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D15" w:rsidRPr="00600D15" w:rsidRDefault="00600D15" w:rsidP="00600D15">
      <w:pPr>
        <w:jc w:val="center"/>
        <w:rPr>
          <w:rFonts w:ascii="標楷體" w:eastAsia="標楷體" w:hAnsi="標楷體"/>
          <w:b/>
          <w:szCs w:val="24"/>
        </w:rPr>
      </w:pPr>
      <w:r w:rsidRPr="00600D15">
        <w:rPr>
          <w:rFonts w:ascii="標楷體" w:eastAsia="標楷體" w:hAnsi="標楷體" w:hint="eastAsia"/>
          <w:b/>
          <w:szCs w:val="24"/>
        </w:rPr>
        <w:t>結構型商品組心得報告</w:t>
      </w:r>
    </w:p>
    <w:p w:rsidR="00B145D8" w:rsidRPr="00600D15" w:rsidRDefault="00B145D8">
      <w:pPr>
        <w:rPr>
          <w:rFonts w:ascii="標楷體" w:eastAsia="標楷體" w:hAnsi="標楷體"/>
          <w:szCs w:val="24"/>
        </w:rPr>
      </w:pPr>
      <w:r w:rsidRPr="00600D15">
        <w:rPr>
          <w:rFonts w:ascii="標楷體" w:eastAsia="標楷體" w:hAnsi="標楷體" w:hint="eastAsia"/>
          <w:szCs w:val="24"/>
        </w:rPr>
        <w:t>分公司通路維護</w:t>
      </w:r>
    </w:p>
    <w:p w:rsidR="00B145D8" w:rsidRPr="00600D15" w:rsidRDefault="00B145D8">
      <w:pPr>
        <w:rPr>
          <w:rFonts w:ascii="標楷體" w:eastAsia="標楷體" w:hAnsi="標楷體"/>
          <w:szCs w:val="24"/>
        </w:rPr>
      </w:pPr>
    </w:p>
    <w:p w:rsidR="00600D15" w:rsidRPr="00600D15" w:rsidRDefault="00B145D8">
      <w:pPr>
        <w:rPr>
          <w:rFonts w:ascii="標楷體" w:eastAsia="標楷體" w:hAnsi="標楷體"/>
          <w:b/>
          <w:szCs w:val="24"/>
        </w:rPr>
      </w:pPr>
      <w:r w:rsidRPr="00600D15">
        <w:rPr>
          <w:rFonts w:ascii="標楷體" w:eastAsia="標楷體" w:hAnsi="標楷體" w:hint="eastAsia"/>
          <w:b/>
          <w:szCs w:val="24"/>
        </w:rPr>
        <w:t>主要職責</w:t>
      </w:r>
    </w:p>
    <w:p w:rsidR="00B145D8" w:rsidRPr="00600D15" w:rsidRDefault="00B145D8">
      <w:pPr>
        <w:rPr>
          <w:rFonts w:ascii="標楷體" w:eastAsia="標楷體" w:hAnsi="標楷體"/>
          <w:szCs w:val="24"/>
        </w:rPr>
      </w:pPr>
      <w:r w:rsidRPr="00600D15">
        <w:rPr>
          <w:rFonts w:ascii="標楷體" w:eastAsia="標楷體" w:hAnsi="標楷體" w:hint="eastAsia"/>
          <w:szCs w:val="24"/>
        </w:rPr>
        <w:t>每日商品建檔提供PGN報價</w:t>
      </w:r>
      <w:r w:rsidR="005D1380" w:rsidRPr="00600D15">
        <w:rPr>
          <w:rFonts w:ascii="標楷體" w:eastAsia="標楷體" w:hAnsi="標楷體" w:hint="eastAsia"/>
          <w:szCs w:val="24"/>
        </w:rPr>
        <w:t>，</w:t>
      </w:r>
      <w:r w:rsidRPr="00600D15">
        <w:rPr>
          <w:rFonts w:ascii="標楷體" w:eastAsia="標楷體" w:hAnsi="標楷體" w:hint="eastAsia"/>
          <w:szCs w:val="24"/>
        </w:rPr>
        <w:t>處理業代及客戶商品問題</w:t>
      </w:r>
      <w:r w:rsidR="007B17AD" w:rsidRPr="00600D15">
        <w:rPr>
          <w:rFonts w:ascii="標楷體" w:eastAsia="標楷體" w:hAnsi="標楷體" w:hint="eastAsia"/>
          <w:szCs w:val="24"/>
        </w:rPr>
        <w:t>。</w:t>
      </w:r>
      <w:r w:rsidRPr="00600D15">
        <w:rPr>
          <w:rFonts w:ascii="標楷體" w:eastAsia="標楷體" w:hAnsi="標楷體" w:hint="eastAsia"/>
          <w:szCs w:val="24"/>
        </w:rPr>
        <w:t>首先</w:t>
      </w:r>
      <w:r w:rsidR="005D1380" w:rsidRPr="00600D15">
        <w:rPr>
          <w:rFonts w:ascii="標楷體" w:eastAsia="標楷體" w:hAnsi="標楷體" w:hint="eastAsia"/>
          <w:szCs w:val="24"/>
        </w:rPr>
        <w:t>，</w:t>
      </w:r>
      <w:r w:rsidRPr="00600D15">
        <w:rPr>
          <w:rFonts w:ascii="標楷體" w:eastAsia="標楷體" w:hAnsi="標楷體" w:hint="eastAsia"/>
          <w:szCs w:val="24"/>
        </w:rPr>
        <w:t>針對客戶資金閒置天數來推薦不同天期(30/60/90天/</w:t>
      </w:r>
      <w:r w:rsidRPr="00600D15">
        <w:rPr>
          <w:rFonts w:ascii="標楷體" w:eastAsia="標楷體" w:hAnsi="標楷體"/>
          <w:szCs w:val="24"/>
        </w:rPr>
        <w:t>1</w:t>
      </w:r>
      <w:r w:rsidRPr="00600D15">
        <w:rPr>
          <w:rFonts w:ascii="標楷體" w:eastAsia="標楷體" w:hAnsi="標楷體" w:hint="eastAsia"/>
          <w:szCs w:val="24"/>
        </w:rPr>
        <w:t>年)</w:t>
      </w:r>
      <w:r w:rsidR="007B17AD" w:rsidRPr="00600D15">
        <w:rPr>
          <w:rFonts w:ascii="標楷體" w:eastAsia="標楷體" w:hAnsi="標楷體"/>
          <w:szCs w:val="24"/>
        </w:rPr>
        <w:t>PGN</w:t>
      </w:r>
      <w:r w:rsidR="007B17AD" w:rsidRPr="00600D15">
        <w:rPr>
          <w:rFonts w:ascii="標楷體" w:eastAsia="標楷體" w:hAnsi="標楷體" w:hint="eastAsia"/>
          <w:szCs w:val="24"/>
        </w:rPr>
        <w:t>人民幣商品</w:t>
      </w:r>
      <w:r w:rsidR="005D1380" w:rsidRPr="00600D15">
        <w:rPr>
          <w:rFonts w:ascii="標楷體" w:eastAsia="標楷體" w:hAnsi="標楷體"/>
          <w:szCs w:val="24"/>
        </w:rPr>
        <w:t>，</w:t>
      </w:r>
      <w:r w:rsidR="007B17AD" w:rsidRPr="00600D15">
        <w:rPr>
          <w:rFonts w:ascii="標楷體" w:eastAsia="標楷體" w:hAnsi="標楷體" w:hint="eastAsia"/>
          <w:szCs w:val="24"/>
        </w:rPr>
        <w:t>其次</w:t>
      </w:r>
      <w:r w:rsidR="005D1380" w:rsidRPr="00600D15">
        <w:rPr>
          <w:rFonts w:ascii="標楷體" w:eastAsia="標楷體" w:hAnsi="標楷體" w:hint="eastAsia"/>
          <w:szCs w:val="24"/>
        </w:rPr>
        <w:t>，</w:t>
      </w:r>
      <w:r w:rsidR="007B17AD" w:rsidRPr="00600D15">
        <w:rPr>
          <w:rFonts w:ascii="標楷體" w:eastAsia="標楷體" w:hAnsi="標楷體" w:hint="eastAsia"/>
          <w:szCs w:val="24"/>
        </w:rPr>
        <w:t>法人和自然人會比較稅制規定</w:t>
      </w:r>
      <w:r w:rsidR="005D1380" w:rsidRPr="00600D15">
        <w:rPr>
          <w:rFonts w:ascii="標楷體" w:eastAsia="標楷體" w:hAnsi="標楷體" w:hint="eastAsia"/>
          <w:szCs w:val="24"/>
        </w:rPr>
        <w:t>，</w:t>
      </w:r>
      <w:r w:rsidR="007B17AD" w:rsidRPr="00600D15">
        <w:rPr>
          <w:rFonts w:ascii="標楷體" w:eastAsia="標楷體" w:hAnsi="標楷體" w:hint="eastAsia"/>
          <w:szCs w:val="24"/>
        </w:rPr>
        <w:t>例如:自然人利息收入10%分離課稅</w:t>
      </w:r>
      <w:r w:rsidR="005D1380" w:rsidRPr="00600D15">
        <w:rPr>
          <w:rFonts w:ascii="標楷體" w:eastAsia="標楷體" w:hAnsi="標楷體" w:hint="eastAsia"/>
          <w:szCs w:val="24"/>
        </w:rPr>
        <w:t>，</w:t>
      </w:r>
      <w:r w:rsidR="007B17AD" w:rsidRPr="00600D15">
        <w:rPr>
          <w:rFonts w:ascii="標楷體" w:eastAsia="標楷體" w:hAnsi="標楷體" w:hint="eastAsia"/>
          <w:szCs w:val="24"/>
        </w:rPr>
        <w:t>法人利息收入併入營所稅，根據客戶屬性不同有不同行銷策略。最後</w:t>
      </w:r>
      <w:r w:rsidR="005D1380" w:rsidRPr="00600D15">
        <w:rPr>
          <w:rFonts w:ascii="標楷體" w:eastAsia="標楷體" w:hAnsi="標楷體" w:hint="eastAsia"/>
          <w:szCs w:val="24"/>
        </w:rPr>
        <w:t>，</w:t>
      </w:r>
      <w:r w:rsidR="007B17AD" w:rsidRPr="00600D15">
        <w:rPr>
          <w:rFonts w:ascii="標楷體" w:eastAsia="標楷體" w:hAnsi="標楷體" w:hint="eastAsia"/>
          <w:szCs w:val="24"/>
        </w:rPr>
        <w:t>P</w:t>
      </w:r>
      <w:r w:rsidR="007B17AD" w:rsidRPr="00600D15">
        <w:rPr>
          <w:rFonts w:ascii="標楷體" w:eastAsia="標楷體" w:hAnsi="標楷體"/>
          <w:szCs w:val="24"/>
        </w:rPr>
        <w:t>NG</w:t>
      </w:r>
      <w:r w:rsidR="007B17AD" w:rsidRPr="00600D15">
        <w:rPr>
          <w:rFonts w:ascii="標楷體" w:eastAsia="標楷體" w:hAnsi="標楷體" w:hint="eastAsia"/>
          <w:szCs w:val="24"/>
        </w:rPr>
        <w:t>人民幣商品在稅後利息收入是無法和銀行理財商品競爭</w:t>
      </w:r>
      <w:r w:rsidR="005D1380" w:rsidRPr="00600D15">
        <w:rPr>
          <w:rFonts w:ascii="標楷體" w:eastAsia="標楷體" w:hAnsi="標楷體" w:hint="eastAsia"/>
          <w:szCs w:val="24"/>
        </w:rPr>
        <w:t>，</w:t>
      </w:r>
      <w:r w:rsidR="007B17AD" w:rsidRPr="00600D15">
        <w:rPr>
          <w:rFonts w:ascii="標楷體" w:eastAsia="標楷體" w:hAnsi="標楷體" w:hint="eastAsia"/>
          <w:szCs w:val="24"/>
        </w:rPr>
        <w:t>但面對客戶提前解約能給予較好</w:t>
      </w:r>
      <w:proofErr w:type="gramStart"/>
      <w:r w:rsidR="007B17AD" w:rsidRPr="00600D15">
        <w:rPr>
          <w:rFonts w:ascii="標楷體" w:eastAsia="標楷體" w:hAnsi="標楷體" w:hint="eastAsia"/>
          <w:szCs w:val="24"/>
        </w:rPr>
        <w:t>折讓率</w:t>
      </w:r>
      <w:proofErr w:type="gramEnd"/>
      <w:r w:rsidR="005D1380" w:rsidRPr="00600D15">
        <w:rPr>
          <w:rFonts w:ascii="標楷體" w:eastAsia="標楷體" w:hAnsi="標楷體" w:hint="eastAsia"/>
          <w:szCs w:val="24"/>
        </w:rPr>
        <w:t>，</w:t>
      </w:r>
      <w:r w:rsidR="007B17AD" w:rsidRPr="00600D15">
        <w:rPr>
          <w:rFonts w:ascii="標楷體" w:eastAsia="標楷體" w:hAnsi="標楷體" w:hint="eastAsia"/>
          <w:szCs w:val="24"/>
        </w:rPr>
        <w:t>進一步穩定客戶關係。</w:t>
      </w:r>
    </w:p>
    <w:p w:rsidR="00600D15" w:rsidRPr="00600D15" w:rsidRDefault="00B145D8">
      <w:pPr>
        <w:rPr>
          <w:rFonts w:ascii="標楷體" w:eastAsia="標楷體" w:hAnsi="標楷體"/>
          <w:b/>
          <w:szCs w:val="24"/>
        </w:rPr>
      </w:pPr>
      <w:r w:rsidRPr="00600D15">
        <w:rPr>
          <w:rFonts w:ascii="標楷體" w:eastAsia="標楷體" w:hAnsi="標楷體" w:hint="eastAsia"/>
          <w:b/>
          <w:szCs w:val="24"/>
        </w:rPr>
        <w:t>目的</w:t>
      </w:r>
    </w:p>
    <w:p w:rsidR="00B145D8" w:rsidRPr="00600D15" w:rsidRDefault="00B145D8">
      <w:pPr>
        <w:rPr>
          <w:rFonts w:ascii="標楷體" w:eastAsia="標楷體" w:hAnsi="標楷體"/>
          <w:szCs w:val="24"/>
        </w:rPr>
      </w:pPr>
      <w:r w:rsidRPr="00600D15">
        <w:rPr>
          <w:rFonts w:ascii="標楷體" w:eastAsia="標楷體" w:hAnsi="標楷體"/>
          <w:szCs w:val="24"/>
        </w:rPr>
        <w:t>PGN</w:t>
      </w:r>
      <w:r w:rsidRPr="00600D15">
        <w:rPr>
          <w:rFonts w:ascii="標楷體" w:eastAsia="標楷體" w:hAnsi="標楷體" w:hint="eastAsia"/>
          <w:szCs w:val="24"/>
        </w:rPr>
        <w:t>商品推</w:t>
      </w:r>
      <w:proofErr w:type="gramStart"/>
      <w:r w:rsidRPr="00600D15">
        <w:rPr>
          <w:rFonts w:ascii="標楷體" w:eastAsia="標楷體" w:hAnsi="標楷體" w:hint="eastAsia"/>
          <w:szCs w:val="24"/>
        </w:rPr>
        <w:t>介</w:t>
      </w:r>
      <w:proofErr w:type="gramEnd"/>
      <w:r w:rsidRPr="00600D15">
        <w:rPr>
          <w:rFonts w:ascii="標楷體" w:eastAsia="標楷體" w:hAnsi="標楷體" w:hint="eastAsia"/>
          <w:szCs w:val="24"/>
        </w:rPr>
        <w:t>在於外幣籌措</w:t>
      </w:r>
      <w:r w:rsidR="005D1380" w:rsidRPr="00600D15">
        <w:rPr>
          <w:rFonts w:ascii="標楷體" w:eastAsia="標楷體" w:hAnsi="標楷體" w:hint="eastAsia"/>
          <w:szCs w:val="24"/>
        </w:rPr>
        <w:t>，</w:t>
      </w:r>
      <w:r w:rsidRPr="00600D15">
        <w:rPr>
          <w:rFonts w:ascii="標楷體" w:eastAsia="標楷體" w:hAnsi="標楷體" w:hint="eastAsia"/>
          <w:szCs w:val="24"/>
        </w:rPr>
        <w:t>債券部籌措外幣有2個管道</w:t>
      </w:r>
      <w:r w:rsidR="005D1380" w:rsidRPr="00600D15">
        <w:rPr>
          <w:rFonts w:ascii="標楷體" w:eastAsia="標楷體" w:hAnsi="標楷體" w:hint="eastAsia"/>
          <w:szCs w:val="24"/>
        </w:rPr>
        <w:t>。</w:t>
      </w:r>
      <w:r w:rsidRPr="00600D15">
        <w:rPr>
          <w:rFonts w:ascii="標楷體" w:eastAsia="標楷體" w:hAnsi="標楷體" w:hint="eastAsia"/>
          <w:szCs w:val="24"/>
        </w:rPr>
        <w:t>第一</w:t>
      </w:r>
      <w:r w:rsidR="005D1380" w:rsidRPr="00600D15">
        <w:rPr>
          <w:rFonts w:ascii="標楷體" w:eastAsia="標楷體" w:hAnsi="標楷體" w:hint="eastAsia"/>
          <w:szCs w:val="24"/>
        </w:rPr>
        <w:t>，</w:t>
      </w:r>
      <w:r w:rsidRPr="00600D15">
        <w:rPr>
          <w:rFonts w:ascii="標楷體" w:eastAsia="標楷體" w:hAnsi="標楷體" w:hint="eastAsia"/>
          <w:szCs w:val="24"/>
        </w:rPr>
        <w:t xml:space="preserve">先向財務部調度台幣再用FX </w:t>
      </w:r>
      <w:r w:rsidRPr="00600D15">
        <w:rPr>
          <w:rFonts w:ascii="標楷體" w:eastAsia="標楷體" w:hAnsi="標楷體"/>
          <w:szCs w:val="24"/>
        </w:rPr>
        <w:t>Swap</w:t>
      </w:r>
      <w:r w:rsidRPr="00600D15">
        <w:rPr>
          <w:rFonts w:ascii="標楷體" w:eastAsia="標楷體" w:hAnsi="標楷體" w:hint="eastAsia"/>
          <w:szCs w:val="24"/>
        </w:rPr>
        <w:t>換成人民幣</w:t>
      </w:r>
      <w:r w:rsidR="005D1380" w:rsidRPr="00600D15">
        <w:rPr>
          <w:rFonts w:ascii="標楷體" w:eastAsia="標楷體" w:hAnsi="標楷體" w:hint="eastAsia"/>
          <w:szCs w:val="24"/>
        </w:rPr>
        <w:t>，</w:t>
      </w:r>
      <w:r w:rsidRPr="00600D15">
        <w:rPr>
          <w:rFonts w:ascii="標楷體" w:eastAsia="標楷體" w:hAnsi="標楷體" w:hint="eastAsia"/>
          <w:szCs w:val="24"/>
        </w:rPr>
        <w:t>成本約4%</w:t>
      </w:r>
      <w:r w:rsidR="005D1380" w:rsidRPr="00600D15">
        <w:rPr>
          <w:rFonts w:ascii="標楷體" w:eastAsia="標楷體" w:hAnsi="標楷體" w:hint="eastAsia"/>
          <w:szCs w:val="24"/>
        </w:rPr>
        <w:t>。</w:t>
      </w:r>
      <w:r w:rsidRPr="00600D15">
        <w:rPr>
          <w:rFonts w:ascii="標楷體" w:eastAsia="標楷體" w:hAnsi="標楷體" w:hint="eastAsia"/>
          <w:szCs w:val="24"/>
        </w:rPr>
        <w:t>第二</w:t>
      </w:r>
      <w:r w:rsidR="005D1380" w:rsidRPr="00600D15">
        <w:rPr>
          <w:rFonts w:ascii="標楷體" w:eastAsia="標楷體" w:hAnsi="標楷體" w:hint="eastAsia"/>
          <w:szCs w:val="24"/>
        </w:rPr>
        <w:t>，</w:t>
      </w:r>
      <w:r w:rsidRPr="00600D15">
        <w:rPr>
          <w:rFonts w:ascii="標楷體" w:eastAsia="標楷體" w:hAnsi="標楷體" w:hint="eastAsia"/>
          <w:szCs w:val="24"/>
        </w:rPr>
        <w:t>銷售PGN商品收到人民幣</w:t>
      </w:r>
      <w:r w:rsidR="005D1380" w:rsidRPr="00600D15">
        <w:rPr>
          <w:rFonts w:ascii="標楷體" w:eastAsia="標楷體" w:hAnsi="標楷體" w:hint="eastAsia"/>
          <w:szCs w:val="24"/>
        </w:rPr>
        <w:t>，</w:t>
      </w:r>
      <w:r w:rsidRPr="00600D15">
        <w:rPr>
          <w:rFonts w:ascii="標楷體" w:eastAsia="標楷體" w:hAnsi="標楷體" w:hint="eastAsia"/>
          <w:szCs w:val="24"/>
        </w:rPr>
        <w:t>成本約2</w:t>
      </w:r>
      <w:r w:rsidR="007B17AD" w:rsidRPr="00600D15">
        <w:rPr>
          <w:rFonts w:ascii="標楷體" w:eastAsia="標楷體" w:hAnsi="標楷體"/>
          <w:szCs w:val="24"/>
        </w:rPr>
        <w:t>.</w:t>
      </w:r>
      <w:r w:rsidRPr="00600D15">
        <w:rPr>
          <w:rFonts w:ascii="標楷體" w:eastAsia="標楷體" w:hAnsi="標楷體" w:hint="eastAsia"/>
          <w:szCs w:val="24"/>
        </w:rPr>
        <w:t>6%</w:t>
      </w:r>
      <w:r w:rsidR="005D1380" w:rsidRPr="00600D15">
        <w:rPr>
          <w:rFonts w:ascii="標楷體" w:eastAsia="標楷體" w:hAnsi="標楷體" w:hint="eastAsia"/>
          <w:szCs w:val="24"/>
        </w:rPr>
        <w:t>，</w:t>
      </w:r>
      <w:r w:rsidRPr="00600D15">
        <w:rPr>
          <w:rFonts w:ascii="標楷體" w:eastAsia="標楷體" w:hAnsi="標楷體" w:hint="eastAsia"/>
          <w:szCs w:val="24"/>
        </w:rPr>
        <w:t>因此後者可以降低</w:t>
      </w:r>
      <w:proofErr w:type="gramStart"/>
      <w:r w:rsidRPr="00600D15">
        <w:rPr>
          <w:rFonts w:ascii="標楷體" w:eastAsia="標楷體" w:hAnsi="標楷體" w:hint="eastAsia"/>
          <w:szCs w:val="24"/>
        </w:rPr>
        <w:t>商品部的籌</w:t>
      </w:r>
      <w:proofErr w:type="gramEnd"/>
      <w:r w:rsidRPr="00600D15">
        <w:rPr>
          <w:rFonts w:ascii="標楷體" w:eastAsia="標楷體" w:hAnsi="標楷體" w:hint="eastAsia"/>
          <w:szCs w:val="24"/>
        </w:rPr>
        <w:t>資成本</w:t>
      </w:r>
      <w:r w:rsidR="007B17AD" w:rsidRPr="00600D15">
        <w:rPr>
          <w:rFonts w:ascii="標楷體" w:eastAsia="標楷體" w:hAnsi="標楷體" w:hint="eastAsia"/>
          <w:szCs w:val="24"/>
        </w:rPr>
        <w:t>。</w:t>
      </w:r>
    </w:p>
    <w:p w:rsidR="00B145D8" w:rsidRPr="00600D15" w:rsidRDefault="007B17AD">
      <w:pPr>
        <w:rPr>
          <w:rFonts w:ascii="標楷體" w:eastAsia="標楷體" w:hAnsi="標楷體"/>
          <w:szCs w:val="24"/>
        </w:rPr>
      </w:pPr>
      <w:r w:rsidRPr="00600D15">
        <w:rPr>
          <w:rFonts w:ascii="標楷體" w:eastAsia="標楷體" w:hAnsi="標楷體" w:hint="eastAsia"/>
          <w:szCs w:val="24"/>
        </w:rPr>
        <w:t>P</w:t>
      </w:r>
      <w:r w:rsidRPr="00600D15">
        <w:rPr>
          <w:rFonts w:ascii="標楷體" w:eastAsia="標楷體" w:hAnsi="標楷體"/>
          <w:szCs w:val="24"/>
        </w:rPr>
        <w:t>NG</w:t>
      </w:r>
      <w:r w:rsidRPr="00600D15">
        <w:rPr>
          <w:rFonts w:ascii="標楷體" w:eastAsia="標楷體" w:hAnsi="標楷體" w:hint="eastAsia"/>
          <w:szCs w:val="24"/>
        </w:rPr>
        <w:t>人民幣商品風險:元大證券倒閉風險，匯率風險。產品推</w:t>
      </w:r>
      <w:proofErr w:type="gramStart"/>
      <w:r w:rsidRPr="00600D15">
        <w:rPr>
          <w:rFonts w:ascii="標楷體" w:eastAsia="標楷體" w:hAnsi="標楷體" w:hint="eastAsia"/>
          <w:szCs w:val="24"/>
        </w:rPr>
        <w:t>介</w:t>
      </w:r>
      <w:proofErr w:type="gramEnd"/>
      <w:r w:rsidRPr="00600D15">
        <w:rPr>
          <w:rFonts w:ascii="標楷體" w:eastAsia="標楷體" w:hAnsi="標楷體" w:hint="eastAsia"/>
          <w:szCs w:val="24"/>
        </w:rPr>
        <w:t>一定要清楚告訴客戶產品面臨風險</w:t>
      </w:r>
      <w:r w:rsidR="006E63E6" w:rsidRPr="00600D15">
        <w:rPr>
          <w:rFonts w:ascii="標楷體" w:eastAsia="標楷體" w:hAnsi="標楷體" w:hint="eastAsia"/>
          <w:szCs w:val="24"/>
        </w:rPr>
        <w:t>,避免後續產品糾紛。</w:t>
      </w:r>
    </w:p>
    <w:p w:rsidR="00EE054E" w:rsidRPr="00600D15" w:rsidRDefault="00600D15">
      <w:pPr>
        <w:rPr>
          <w:rFonts w:ascii="標楷體" w:eastAsia="標楷體" w:hAnsi="標楷體"/>
          <w:b/>
          <w:szCs w:val="24"/>
        </w:rPr>
      </w:pPr>
      <w:r w:rsidRPr="00600D15">
        <w:rPr>
          <w:rFonts w:ascii="標楷體" w:eastAsia="標楷體" w:hAnsi="標楷體" w:hint="eastAsia"/>
          <w:b/>
          <w:szCs w:val="24"/>
        </w:rPr>
        <w:t>通路關係</w:t>
      </w:r>
    </w:p>
    <w:p w:rsidR="00EE054E" w:rsidRPr="00600D15" w:rsidRDefault="00EE054E" w:rsidP="00FC529B">
      <w:pPr>
        <w:rPr>
          <w:rFonts w:ascii="標楷體" w:eastAsia="標楷體" w:hAnsi="標楷體"/>
          <w:szCs w:val="24"/>
        </w:rPr>
      </w:pPr>
      <w:r w:rsidRPr="00600D15">
        <w:rPr>
          <w:rFonts w:ascii="標楷體" w:eastAsia="標楷體" w:hAnsi="標楷體"/>
          <w:noProof/>
          <w:szCs w:val="24"/>
        </w:rPr>
        <mc:AlternateContent>
          <mc:Choice Requires="wps">
            <w:drawing>
              <wp:anchor distT="0" distB="0" distL="114300" distR="114300" simplePos="0" relativeHeight="251659264" behindDoc="0" locked="0" layoutInCell="1" allowOverlap="1" wp14:anchorId="52252DA5" wp14:editId="775506ED">
                <wp:simplePos x="0" y="0"/>
                <wp:positionH relativeFrom="page">
                  <wp:posOffset>2140585</wp:posOffset>
                </wp:positionH>
                <wp:positionV relativeFrom="paragraph">
                  <wp:posOffset>8890</wp:posOffset>
                </wp:positionV>
                <wp:extent cx="3676650" cy="847725"/>
                <wp:effectExtent l="0" t="0" r="19050" b="28575"/>
                <wp:wrapNone/>
                <wp:docPr id="3" name="矩形 3"/>
                <wp:cNvGraphicFramePr/>
                <a:graphic xmlns:a="http://schemas.openxmlformats.org/drawingml/2006/main">
                  <a:graphicData uri="http://schemas.microsoft.com/office/word/2010/wordprocessingShape">
                    <wps:wsp>
                      <wps:cNvSpPr/>
                      <wps:spPr>
                        <a:xfrm>
                          <a:off x="0" y="0"/>
                          <a:ext cx="3676650" cy="847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EE054E" w:rsidRPr="00EE054E" w:rsidRDefault="00EE054E" w:rsidP="00EE054E">
                            <w:pPr>
                              <w:pStyle w:val="ae"/>
                              <w:numPr>
                                <w:ilvl w:val="0"/>
                                <w:numId w:val="6"/>
                              </w:numPr>
                              <w:ind w:leftChars="0"/>
                              <w:rPr>
                                <w:rFonts w:ascii="標楷體" w:eastAsia="標楷體" w:hAnsi="標楷體"/>
                              </w:rPr>
                            </w:pPr>
                            <w:r>
                              <w:rPr>
                                <w:rFonts w:ascii="標楷體" w:eastAsia="標楷體" w:hAnsi="標楷體" w:hint="eastAsia"/>
                              </w:rPr>
                              <w:t>業代及財管不可能只單一推銷債券部商品,可以請他們將客戶介紹進來，但專業服務由債券部提供，仍提供佣金制度來誘發債券業務發展。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52DA5" id="矩形 3" o:spid="_x0000_s1026" style="position:absolute;margin-left:168.55pt;margin-top:.7pt;width:289.5pt;height:6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" fillcolor="white [3201]" strokecolor="#a5a5a5 [3206]" strokeweight="1pt">
                <v:textbox>
                  <w:txbxContent>
                    <w:p w:rsidR="00EE054E" w:rsidRPr="00EE054E" w:rsidRDefault="00EE054E" w:rsidP="00EE054E">
                      <w:pPr>
                        <w:pStyle w:val="ae"/>
                        <w:numPr>
                          <w:ilvl w:val="0"/>
                          <w:numId w:val="6"/>
                        </w:numPr>
                        <w:ind w:leftChars="0"/>
                        <w:rPr>
                          <w:rFonts w:ascii="標楷體" w:eastAsia="標楷體" w:hAnsi="標楷體" w:hint="eastAsia"/>
                        </w:rPr>
                      </w:pPr>
                      <w:r>
                        <w:rPr>
                          <w:rFonts w:ascii="標楷體" w:eastAsia="標楷體" w:hAnsi="標楷體" w:hint="eastAsia"/>
                        </w:rPr>
                        <w:t>業代及財管不可能只單一推銷債券部商品,可以請他們將客戶介紹進來，但專業服務由債券部提供，仍提供佣金制度來誘發債券業務發展。</w:t>
                      </w:r>
                    </w:p>
                  </w:txbxContent>
                </v:textbox>
                <w10:wrap anchorx="page"/>
              </v:rect>
            </w:pict>
          </mc:Fallback>
        </mc:AlternateContent>
      </w:r>
    </w:p>
    <w:p w:rsidR="00EE054E" w:rsidRPr="00600D15" w:rsidRDefault="00EE054E" w:rsidP="00FC529B">
      <w:pPr>
        <w:rPr>
          <w:rFonts w:ascii="標楷體" w:eastAsia="標楷體" w:hAnsi="標楷體"/>
          <w:szCs w:val="24"/>
        </w:rPr>
      </w:pPr>
    </w:p>
    <w:p w:rsidR="00FC529B" w:rsidRPr="00600D15" w:rsidRDefault="00EE054E" w:rsidP="00FC529B">
      <w:pPr>
        <w:rPr>
          <w:rFonts w:ascii="標楷體" w:eastAsia="標楷體" w:hAnsi="標楷體"/>
          <w:szCs w:val="24"/>
        </w:rPr>
      </w:pPr>
      <w:r w:rsidRPr="00600D15">
        <w:rPr>
          <w:rFonts w:ascii="標楷體" w:eastAsia="標楷體" w:hAnsi="標楷體" w:hint="eastAsia"/>
          <w:noProof/>
          <w:szCs w:val="24"/>
        </w:rPr>
        <w:drawing>
          <wp:anchor distT="0" distB="0" distL="114300" distR="114300" simplePos="0" relativeHeight="251658240" behindDoc="1" locked="0" layoutInCell="1" allowOverlap="1" wp14:anchorId="4A5F931C" wp14:editId="4F9B7A47">
            <wp:simplePos x="0" y="0"/>
            <wp:positionH relativeFrom="column">
              <wp:posOffset>342900</wp:posOffset>
            </wp:positionH>
            <wp:positionV relativeFrom="paragraph">
              <wp:posOffset>171450</wp:posOffset>
            </wp:positionV>
            <wp:extent cx="5026660" cy="1724025"/>
            <wp:effectExtent l="0" t="0" r="0" b="0"/>
            <wp:wrapNone/>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B145D8" w:rsidRPr="00600D15" w:rsidRDefault="00B145D8">
      <w:pPr>
        <w:rPr>
          <w:rFonts w:ascii="標楷體" w:eastAsia="標楷體" w:hAnsi="標楷體"/>
          <w:szCs w:val="24"/>
        </w:rPr>
      </w:pPr>
    </w:p>
    <w:p w:rsidR="00FC529B" w:rsidRPr="00600D15" w:rsidRDefault="00580B03" w:rsidP="00580B03">
      <w:pPr>
        <w:tabs>
          <w:tab w:val="left" w:pos="6915"/>
        </w:tabs>
        <w:rPr>
          <w:rFonts w:ascii="標楷體" w:eastAsia="標楷體" w:hAnsi="標楷體"/>
          <w:szCs w:val="24"/>
        </w:rPr>
      </w:pPr>
      <w:r w:rsidRPr="00600D15">
        <w:rPr>
          <w:rFonts w:ascii="標楷體" w:eastAsia="標楷體" w:hAnsi="標楷體"/>
          <w:szCs w:val="24"/>
        </w:rPr>
        <w:tab/>
      </w:r>
    </w:p>
    <w:p w:rsidR="00FC529B" w:rsidRPr="00600D15" w:rsidRDefault="00FC529B">
      <w:pPr>
        <w:rPr>
          <w:rFonts w:ascii="標楷體" w:eastAsia="標楷體" w:hAnsi="標楷體"/>
          <w:szCs w:val="24"/>
        </w:rPr>
      </w:pPr>
    </w:p>
    <w:p w:rsidR="00FC529B" w:rsidRPr="00600D15" w:rsidRDefault="00FC529B">
      <w:pPr>
        <w:rPr>
          <w:rFonts w:ascii="標楷體" w:eastAsia="標楷體" w:hAnsi="標楷體"/>
          <w:szCs w:val="24"/>
        </w:rPr>
      </w:pPr>
    </w:p>
    <w:p w:rsidR="00FC529B" w:rsidRPr="00600D15" w:rsidRDefault="00FC529B">
      <w:pPr>
        <w:rPr>
          <w:rFonts w:ascii="標楷體" w:eastAsia="標楷體" w:hAnsi="標楷體"/>
          <w:szCs w:val="24"/>
        </w:rPr>
      </w:pPr>
    </w:p>
    <w:p w:rsidR="00FC529B" w:rsidRPr="00600D15" w:rsidRDefault="00600D15" w:rsidP="00600D15">
      <w:pPr>
        <w:tabs>
          <w:tab w:val="left" w:pos="6555"/>
        </w:tabs>
        <w:rPr>
          <w:rFonts w:ascii="標楷體" w:eastAsia="標楷體" w:hAnsi="標楷體"/>
          <w:b/>
          <w:szCs w:val="24"/>
        </w:rPr>
      </w:pPr>
      <w:r w:rsidRPr="00600D15">
        <w:rPr>
          <w:rFonts w:ascii="標楷體" w:eastAsia="標楷體" w:hAnsi="標楷體"/>
          <w:b/>
          <w:szCs w:val="24"/>
        </w:rPr>
        <w:tab/>
      </w:r>
    </w:p>
    <w:p w:rsidR="00BD4887" w:rsidRPr="00600D15" w:rsidRDefault="00EE054E" w:rsidP="00BD4887">
      <w:pPr>
        <w:pStyle w:val="ae"/>
        <w:ind w:leftChars="0"/>
        <w:rPr>
          <w:rFonts w:ascii="標楷體" w:eastAsia="標楷體" w:hAnsi="標楷體"/>
          <w:szCs w:val="24"/>
        </w:rPr>
      </w:pPr>
      <w:r w:rsidRPr="00600D15">
        <w:rPr>
          <w:rFonts w:ascii="標楷體" w:eastAsia="標楷體" w:hAnsi="標楷體"/>
          <w:noProof/>
          <w:szCs w:val="24"/>
        </w:rPr>
        <mc:AlternateContent>
          <mc:Choice Requires="wps">
            <w:drawing>
              <wp:anchor distT="0" distB="0" distL="114300" distR="114300" simplePos="0" relativeHeight="251663360" behindDoc="0" locked="0" layoutInCell="1" allowOverlap="1" wp14:anchorId="37B4B620" wp14:editId="2ABBC078">
                <wp:simplePos x="0" y="0"/>
                <wp:positionH relativeFrom="margin">
                  <wp:posOffset>-495300</wp:posOffset>
                </wp:positionH>
                <wp:positionV relativeFrom="paragraph">
                  <wp:posOffset>123825</wp:posOffset>
                </wp:positionV>
                <wp:extent cx="3257550" cy="2590800"/>
                <wp:effectExtent l="0" t="0" r="19050" b="19050"/>
                <wp:wrapNone/>
                <wp:docPr id="6" name="矩形 6"/>
                <wp:cNvGraphicFramePr/>
                <a:graphic xmlns:a="http://schemas.openxmlformats.org/drawingml/2006/main">
                  <a:graphicData uri="http://schemas.microsoft.com/office/word/2010/wordprocessingShape">
                    <wps:wsp>
                      <wps:cNvSpPr/>
                      <wps:spPr>
                        <a:xfrm>
                          <a:off x="0" y="0"/>
                          <a:ext cx="3257550" cy="2590800"/>
                        </a:xfrm>
                        <a:prstGeom prst="rect">
                          <a:avLst/>
                        </a:prstGeom>
                        <a:ln>
                          <a:solidFill>
                            <a:schemeClr val="tx1">
                              <a:lumMod val="50000"/>
                              <a:lumOff val="50000"/>
                            </a:schemeClr>
                          </a:solidFill>
                        </a:ln>
                      </wps:spPr>
                      <wps:style>
                        <a:lnRef idx="2">
                          <a:schemeClr val="accent3"/>
                        </a:lnRef>
                        <a:fillRef idx="1">
                          <a:schemeClr val="lt1"/>
                        </a:fillRef>
                        <a:effectRef idx="0">
                          <a:schemeClr val="accent3"/>
                        </a:effectRef>
                        <a:fontRef idx="minor">
                          <a:schemeClr val="dk1"/>
                        </a:fontRef>
                      </wps:style>
                      <wps:txbx>
                        <w:txbxContent>
                          <w:p w:rsidR="00EE054E" w:rsidRPr="00600D15" w:rsidRDefault="007E4140" w:rsidP="00600D15">
                            <w:pPr>
                              <w:pStyle w:val="ae"/>
                              <w:numPr>
                                <w:ilvl w:val="0"/>
                                <w:numId w:val="6"/>
                              </w:numPr>
                              <w:ind w:leftChars="0"/>
                              <w:rPr>
                                <w:rFonts w:ascii="標楷體" w:eastAsia="標楷體" w:hAnsi="標楷體"/>
                              </w:rPr>
                            </w:pPr>
                            <w:r>
                              <w:rPr>
                                <w:rFonts w:ascii="標楷體" w:eastAsia="標楷體" w:hAnsi="標楷體" w:hint="eastAsia"/>
                              </w:rPr>
                              <w:t>銀行可以明確掌握客戶資金動向及客戶需求。</w:t>
                            </w:r>
                            <w:r w:rsidR="00600D15">
                              <w:rPr>
                                <w:rFonts w:ascii="標楷體" w:eastAsia="標楷體" w:hAnsi="標楷體" w:hint="eastAsia"/>
                              </w:rPr>
                              <w:t>但市場上過多</w:t>
                            </w:r>
                            <w:r w:rsidR="00600D15">
                              <w:rPr>
                                <w:rFonts w:ascii="標楷體" w:eastAsia="標楷體" w:hAnsi="標楷體"/>
                              </w:rPr>
                              <w:t>理財</w:t>
                            </w:r>
                            <w:r w:rsidRPr="00600D15">
                              <w:rPr>
                                <w:rFonts w:ascii="標楷體" w:eastAsia="標楷體" w:hAnsi="標楷體" w:hint="eastAsia"/>
                              </w:rPr>
                              <w:t>商品包含</w:t>
                            </w:r>
                            <w:r w:rsidRPr="00600D15">
                              <w:rPr>
                                <w:rFonts w:ascii="標楷體" w:eastAsia="標楷體" w:hAnsi="標楷體"/>
                              </w:rPr>
                              <w:t>壽險、基金、定存等</w:t>
                            </w:r>
                            <w:r w:rsidRPr="00600D15">
                              <w:rPr>
                                <w:rFonts w:ascii="標楷體" w:eastAsia="標楷體" w:hAnsi="標楷體" w:hint="eastAsia"/>
                              </w:rPr>
                              <w:t>，因此誘發</w:t>
                            </w:r>
                            <w:proofErr w:type="gramStart"/>
                            <w:r w:rsidRPr="00600D15">
                              <w:rPr>
                                <w:rFonts w:ascii="標楷體" w:eastAsia="標楷體" w:hAnsi="標楷體" w:hint="eastAsia"/>
                              </w:rPr>
                              <w:t>理專僅</w:t>
                            </w:r>
                            <w:proofErr w:type="gramEnd"/>
                            <w:r w:rsidRPr="00600D15">
                              <w:rPr>
                                <w:rFonts w:ascii="標楷體" w:eastAsia="標楷體" w:hAnsi="標楷體" w:hint="eastAsia"/>
                              </w:rPr>
                              <w:t>推銷PGN商品是有難度的</w:t>
                            </w:r>
                          </w:p>
                          <w:p w:rsidR="007E4140" w:rsidRDefault="007E4140" w:rsidP="00EE054E">
                            <w:pPr>
                              <w:pStyle w:val="ae"/>
                              <w:numPr>
                                <w:ilvl w:val="0"/>
                                <w:numId w:val="6"/>
                              </w:numPr>
                              <w:ind w:leftChars="0"/>
                              <w:rPr>
                                <w:rFonts w:ascii="標楷體" w:eastAsia="標楷體" w:hAnsi="標楷體"/>
                              </w:rPr>
                            </w:pPr>
                            <w:proofErr w:type="gramStart"/>
                            <w:r>
                              <w:rPr>
                                <w:rFonts w:ascii="標楷體" w:eastAsia="標楷體" w:hAnsi="標楷體" w:hint="eastAsia"/>
                              </w:rPr>
                              <w:t>但</w:t>
                            </w:r>
                            <w:r w:rsidR="00600D15">
                              <w:rPr>
                                <w:rFonts w:ascii="標楷體" w:eastAsia="標楷體" w:hAnsi="標楷體" w:hint="eastAsia"/>
                              </w:rPr>
                              <w:t>理專</w:t>
                            </w:r>
                            <w:r>
                              <w:rPr>
                                <w:rFonts w:ascii="標楷體" w:eastAsia="標楷體" w:hAnsi="標楷體" w:hint="eastAsia"/>
                              </w:rPr>
                              <w:t>面臨</w:t>
                            </w:r>
                            <w:proofErr w:type="gramEnd"/>
                            <w:r>
                              <w:rPr>
                                <w:rFonts w:ascii="標楷體" w:eastAsia="標楷體" w:hAnsi="標楷體" w:hint="eastAsia"/>
                              </w:rPr>
                              <w:t>銀行政策</w:t>
                            </w:r>
                            <w:r>
                              <w:rPr>
                                <w:rFonts w:ascii="標楷體" w:eastAsia="標楷體" w:hAnsi="標楷體"/>
                              </w:rPr>
                              <w:t>在商品推銷會有額度</w:t>
                            </w:r>
                            <w:r>
                              <w:rPr>
                                <w:rFonts w:ascii="標楷體" w:eastAsia="標楷體" w:hAnsi="標楷體" w:hint="eastAsia"/>
                              </w:rPr>
                              <w:t>及業績壓力,</w:t>
                            </w:r>
                            <w:r>
                              <w:rPr>
                                <w:rFonts w:ascii="標楷體" w:eastAsia="標楷體" w:hAnsi="標楷體"/>
                              </w:rPr>
                              <w:t>PGN</w:t>
                            </w:r>
                            <w:r>
                              <w:rPr>
                                <w:rFonts w:ascii="標楷體" w:eastAsia="標楷體" w:hAnsi="標楷體" w:hint="eastAsia"/>
                              </w:rPr>
                              <w:t>商品可以確保客戶擁有人民幣資金,未來有人民幣基金與保險會更容易,債券部角色</w:t>
                            </w:r>
                            <w:r>
                              <w:rPr>
                                <w:rFonts w:ascii="標楷體" w:eastAsia="標楷體" w:hAnsi="標楷體"/>
                              </w:rPr>
                              <w:t>是去幫助</w:t>
                            </w:r>
                            <w:proofErr w:type="gramStart"/>
                            <w:r>
                              <w:rPr>
                                <w:rFonts w:ascii="標楷體" w:eastAsia="標楷體" w:hAnsi="標楷體"/>
                              </w:rPr>
                              <w:t>理專穩定</w:t>
                            </w:r>
                            <w:proofErr w:type="gramEnd"/>
                            <w:r>
                              <w:rPr>
                                <w:rFonts w:ascii="標楷體" w:eastAsia="標楷體" w:hAnsi="標楷體"/>
                              </w:rPr>
                              <w:t>客戶外幣資金流向</w:t>
                            </w:r>
                            <w:r w:rsidR="00600D15">
                              <w:rPr>
                                <w:rFonts w:ascii="標楷體" w:eastAsia="標楷體" w:hAnsi="標楷體" w:hint="eastAsia"/>
                              </w:rPr>
                              <w:t>。</w:t>
                            </w:r>
                          </w:p>
                          <w:p w:rsidR="00600D15" w:rsidRPr="00BD4887" w:rsidRDefault="00600D15" w:rsidP="00600D15">
                            <w:pPr>
                              <w:pStyle w:val="ae"/>
                              <w:numPr>
                                <w:ilvl w:val="0"/>
                                <w:numId w:val="6"/>
                              </w:numPr>
                              <w:ind w:leftChars="0"/>
                              <w:rPr>
                                <w:rFonts w:ascii="標楷體" w:eastAsia="標楷體" w:hAnsi="標楷體"/>
                              </w:rPr>
                            </w:pPr>
                            <w:r>
                              <w:rPr>
                                <w:rFonts w:ascii="標楷體" w:eastAsia="標楷體" w:hAnsi="標楷體" w:hint="eastAsia"/>
                              </w:rPr>
                              <w:t>客戶短期資金閒置就可以引</w:t>
                            </w:r>
                            <w:proofErr w:type="gramStart"/>
                            <w:r>
                              <w:rPr>
                                <w:rFonts w:ascii="標楷體" w:eastAsia="標楷體" w:hAnsi="標楷體" w:hint="eastAsia"/>
                              </w:rPr>
                              <w:t>介</w:t>
                            </w:r>
                            <w:proofErr w:type="gramEnd"/>
                            <w:r>
                              <w:rPr>
                                <w:rFonts w:ascii="標楷體" w:eastAsia="標楷體" w:hAnsi="標楷體" w:hint="eastAsia"/>
                              </w:rPr>
                              <w:t>PGN不同天期商品。</w:t>
                            </w:r>
                          </w:p>
                          <w:p w:rsidR="00600D15" w:rsidRPr="00BD4887" w:rsidRDefault="00600D15" w:rsidP="00EE054E">
                            <w:pPr>
                              <w:pStyle w:val="ae"/>
                              <w:numPr>
                                <w:ilvl w:val="0"/>
                                <w:numId w:val="6"/>
                              </w:numPr>
                              <w:ind w:leftChars="0"/>
                              <w:rPr>
                                <w:rFonts w:ascii="標楷體" w:eastAsia="標楷體" w:hAnsi="標楷體"/>
                              </w:rPr>
                            </w:pPr>
                          </w:p>
                          <w:p w:rsidR="00EE054E" w:rsidRPr="00EE054E" w:rsidRDefault="00EE054E" w:rsidP="007E4140">
                            <w:pPr>
                              <w:pStyle w:val="ae"/>
                              <w:ind w:leftChars="0"/>
                              <w:rPr>
                                <w:rFonts w:ascii="標楷體" w:eastAsia="標楷體" w:hAnsi="標楷體"/>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4B620" id="矩形 6" o:spid="_x0000_s1027" style="position:absolute;left:0;text-align:left;margin-left:-39pt;margin-top:9.75pt;width:256.5pt;height:20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" fillcolor="white [3201]" strokecolor="gray [1629]" strokeweight="1pt">
                <v:textbox>
                  <w:txbxContent>
                    <w:p w:rsidR="00EE054E" w:rsidRPr="00600D15" w:rsidRDefault="007E4140" w:rsidP="00600D15">
                      <w:pPr>
                        <w:pStyle w:val="ae"/>
                        <w:numPr>
                          <w:ilvl w:val="0"/>
                          <w:numId w:val="6"/>
                        </w:numPr>
                        <w:ind w:leftChars="0"/>
                        <w:rPr>
                          <w:rFonts w:ascii="標楷體" w:eastAsia="標楷體" w:hAnsi="標楷體"/>
                        </w:rPr>
                      </w:pPr>
                      <w:r>
                        <w:rPr>
                          <w:rFonts w:ascii="標楷體" w:eastAsia="標楷體" w:hAnsi="標楷體" w:hint="eastAsia"/>
                        </w:rPr>
                        <w:t>銀行可以明確掌握客戶資金動向及客戶需求。</w:t>
                      </w:r>
                      <w:r w:rsidR="00600D15">
                        <w:rPr>
                          <w:rFonts w:ascii="標楷體" w:eastAsia="標楷體" w:hAnsi="標楷體" w:hint="eastAsia"/>
                        </w:rPr>
                        <w:t>但市場上過多</w:t>
                      </w:r>
                      <w:r w:rsidR="00600D15">
                        <w:rPr>
                          <w:rFonts w:ascii="標楷體" w:eastAsia="標楷體" w:hAnsi="標楷體"/>
                        </w:rPr>
                        <w:t>理財</w:t>
                      </w:r>
                      <w:r w:rsidRPr="00600D15">
                        <w:rPr>
                          <w:rFonts w:ascii="標楷體" w:eastAsia="標楷體" w:hAnsi="標楷體" w:hint="eastAsia"/>
                        </w:rPr>
                        <w:t>商品包含</w:t>
                      </w:r>
                      <w:r w:rsidRPr="00600D15">
                        <w:rPr>
                          <w:rFonts w:ascii="標楷體" w:eastAsia="標楷體" w:hAnsi="標楷體"/>
                        </w:rPr>
                        <w:t>壽險、基金、定存等</w:t>
                      </w:r>
                      <w:r w:rsidRPr="00600D15">
                        <w:rPr>
                          <w:rFonts w:ascii="標楷體" w:eastAsia="標楷體" w:hAnsi="標楷體" w:hint="eastAsia"/>
                        </w:rPr>
                        <w:t>，因此誘發</w:t>
                      </w:r>
                      <w:proofErr w:type="gramStart"/>
                      <w:r w:rsidRPr="00600D15">
                        <w:rPr>
                          <w:rFonts w:ascii="標楷體" w:eastAsia="標楷體" w:hAnsi="標楷體" w:hint="eastAsia"/>
                        </w:rPr>
                        <w:t>理專僅</w:t>
                      </w:r>
                      <w:proofErr w:type="gramEnd"/>
                      <w:r w:rsidRPr="00600D15">
                        <w:rPr>
                          <w:rFonts w:ascii="標楷體" w:eastAsia="標楷體" w:hAnsi="標楷體" w:hint="eastAsia"/>
                        </w:rPr>
                        <w:t>推銷PGN</w:t>
                      </w:r>
                      <w:r w:rsidRPr="00600D15">
                        <w:rPr>
                          <w:rFonts w:ascii="標楷體" w:eastAsia="標楷體" w:hAnsi="標楷體" w:hint="eastAsia"/>
                        </w:rPr>
                        <w:t>商品是有難度的</w:t>
                      </w:r>
                    </w:p>
                    <w:p w:rsidR="007E4140" w:rsidRDefault="007E4140" w:rsidP="00EE054E">
                      <w:pPr>
                        <w:pStyle w:val="ae"/>
                        <w:numPr>
                          <w:ilvl w:val="0"/>
                          <w:numId w:val="6"/>
                        </w:numPr>
                        <w:ind w:leftChars="0"/>
                        <w:rPr>
                          <w:rFonts w:ascii="標楷體" w:eastAsia="標楷體" w:hAnsi="標楷體"/>
                        </w:rPr>
                      </w:pPr>
                      <w:proofErr w:type="gramStart"/>
                      <w:r>
                        <w:rPr>
                          <w:rFonts w:ascii="標楷體" w:eastAsia="標楷體" w:hAnsi="標楷體" w:hint="eastAsia"/>
                        </w:rPr>
                        <w:t>但</w:t>
                      </w:r>
                      <w:r w:rsidR="00600D15">
                        <w:rPr>
                          <w:rFonts w:ascii="標楷體" w:eastAsia="標楷體" w:hAnsi="標楷體" w:hint="eastAsia"/>
                        </w:rPr>
                        <w:t>理專</w:t>
                      </w:r>
                      <w:r>
                        <w:rPr>
                          <w:rFonts w:ascii="標楷體" w:eastAsia="標楷體" w:hAnsi="標楷體" w:hint="eastAsia"/>
                        </w:rPr>
                        <w:t>面臨</w:t>
                      </w:r>
                      <w:proofErr w:type="gramEnd"/>
                      <w:r>
                        <w:rPr>
                          <w:rFonts w:ascii="標楷體" w:eastAsia="標楷體" w:hAnsi="標楷體" w:hint="eastAsia"/>
                        </w:rPr>
                        <w:t>銀行政策</w:t>
                      </w:r>
                      <w:r>
                        <w:rPr>
                          <w:rFonts w:ascii="標楷體" w:eastAsia="標楷體" w:hAnsi="標楷體"/>
                        </w:rPr>
                        <w:t>在商品推銷會有額度</w:t>
                      </w:r>
                      <w:r>
                        <w:rPr>
                          <w:rFonts w:ascii="標楷體" w:eastAsia="標楷體" w:hAnsi="標楷體" w:hint="eastAsia"/>
                        </w:rPr>
                        <w:t>及業績壓力,</w:t>
                      </w:r>
                      <w:r>
                        <w:rPr>
                          <w:rFonts w:ascii="標楷體" w:eastAsia="標楷體" w:hAnsi="標楷體"/>
                        </w:rPr>
                        <w:t>PGN</w:t>
                      </w:r>
                      <w:r>
                        <w:rPr>
                          <w:rFonts w:ascii="標楷體" w:eastAsia="標楷體" w:hAnsi="標楷體" w:hint="eastAsia"/>
                        </w:rPr>
                        <w:t>商品可以確保客戶擁有人民幣資金,未來有人民幣基金與保險會更容易,債券部角色</w:t>
                      </w:r>
                      <w:r>
                        <w:rPr>
                          <w:rFonts w:ascii="標楷體" w:eastAsia="標楷體" w:hAnsi="標楷體"/>
                        </w:rPr>
                        <w:t>是去幫助</w:t>
                      </w:r>
                      <w:proofErr w:type="gramStart"/>
                      <w:r>
                        <w:rPr>
                          <w:rFonts w:ascii="標楷體" w:eastAsia="標楷體" w:hAnsi="標楷體"/>
                        </w:rPr>
                        <w:t>理專穩定</w:t>
                      </w:r>
                      <w:proofErr w:type="gramEnd"/>
                      <w:r>
                        <w:rPr>
                          <w:rFonts w:ascii="標楷體" w:eastAsia="標楷體" w:hAnsi="標楷體"/>
                        </w:rPr>
                        <w:t>客戶外幣資金流向</w:t>
                      </w:r>
                      <w:r w:rsidR="00600D15">
                        <w:rPr>
                          <w:rFonts w:ascii="標楷體" w:eastAsia="標楷體" w:hAnsi="標楷體" w:hint="eastAsia"/>
                        </w:rPr>
                        <w:t>。</w:t>
                      </w:r>
                    </w:p>
                    <w:p w:rsidR="00600D15" w:rsidRPr="00BD4887" w:rsidRDefault="00600D15" w:rsidP="00600D15">
                      <w:pPr>
                        <w:pStyle w:val="ae"/>
                        <w:numPr>
                          <w:ilvl w:val="0"/>
                          <w:numId w:val="6"/>
                        </w:numPr>
                        <w:ind w:leftChars="0"/>
                        <w:rPr>
                          <w:rFonts w:ascii="標楷體" w:eastAsia="標楷體" w:hAnsi="標楷體" w:hint="eastAsia"/>
                        </w:rPr>
                      </w:pPr>
                      <w:r>
                        <w:rPr>
                          <w:rFonts w:ascii="標楷體" w:eastAsia="標楷體" w:hAnsi="標楷體" w:hint="eastAsia"/>
                        </w:rPr>
                        <w:t>客戶短期資金閒置就可以引</w:t>
                      </w:r>
                      <w:proofErr w:type="gramStart"/>
                      <w:r>
                        <w:rPr>
                          <w:rFonts w:ascii="標楷體" w:eastAsia="標楷體" w:hAnsi="標楷體" w:hint="eastAsia"/>
                        </w:rPr>
                        <w:t>介</w:t>
                      </w:r>
                      <w:proofErr w:type="gramEnd"/>
                      <w:r>
                        <w:rPr>
                          <w:rFonts w:ascii="標楷體" w:eastAsia="標楷體" w:hAnsi="標楷體" w:hint="eastAsia"/>
                        </w:rPr>
                        <w:t>PGN不同天期商品。</w:t>
                      </w:r>
                    </w:p>
                    <w:p w:rsidR="00600D15" w:rsidRPr="00BD4887" w:rsidRDefault="00600D15" w:rsidP="00EE054E">
                      <w:pPr>
                        <w:pStyle w:val="ae"/>
                        <w:numPr>
                          <w:ilvl w:val="0"/>
                          <w:numId w:val="6"/>
                        </w:numPr>
                        <w:ind w:leftChars="0"/>
                        <w:rPr>
                          <w:rFonts w:ascii="標楷體" w:eastAsia="標楷體" w:hAnsi="標楷體" w:hint="eastAsia"/>
                        </w:rPr>
                      </w:pPr>
                    </w:p>
                    <w:p w:rsidR="00EE054E" w:rsidRPr="00EE054E" w:rsidRDefault="00EE054E" w:rsidP="007E4140">
                      <w:pPr>
                        <w:pStyle w:val="ae"/>
                        <w:ind w:leftChars="0"/>
                        <w:rPr>
                          <w:rFonts w:ascii="標楷體" w:eastAsia="標楷體" w:hAnsi="標楷體" w:hint="eastAsia"/>
                        </w:rPr>
                      </w:pPr>
                    </w:p>
                  </w:txbxContent>
                </v:textbox>
                <w10:wrap anchorx="margin"/>
              </v:rect>
            </w:pict>
          </mc:Fallback>
        </mc:AlternateContent>
      </w:r>
      <w:r w:rsidRPr="00600D15">
        <w:rPr>
          <w:rFonts w:ascii="標楷體" w:eastAsia="標楷體" w:hAnsi="標楷體"/>
          <w:noProof/>
          <w:szCs w:val="24"/>
        </w:rPr>
        <mc:AlternateContent>
          <mc:Choice Requires="wps">
            <w:drawing>
              <wp:anchor distT="0" distB="0" distL="114300" distR="114300" simplePos="0" relativeHeight="251661312" behindDoc="0" locked="0" layoutInCell="1" allowOverlap="1" wp14:anchorId="276BF3CF" wp14:editId="73751F84">
                <wp:simplePos x="0" y="0"/>
                <wp:positionH relativeFrom="page">
                  <wp:posOffset>4191000</wp:posOffset>
                </wp:positionH>
                <wp:positionV relativeFrom="paragraph">
                  <wp:posOffset>123825</wp:posOffset>
                </wp:positionV>
                <wp:extent cx="3276600" cy="2362200"/>
                <wp:effectExtent l="0" t="0" r="19050" b="19050"/>
                <wp:wrapNone/>
                <wp:docPr id="4" name="矩形 4"/>
                <wp:cNvGraphicFramePr/>
                <a:graphic xmlns:a="http://schemas.openxmlformats.org/drawingml/2006/main">
                  <a:graphicData uri="http://schemas.microsoft.com/office/word/2010/wordprocessingShape">
                    <wps:wsp>
                      <wps:cNvSpPr/>
                      <wps:spPr>
                        <a:xfrm>
                          <a:off x="0" y="0"/>
                          <a:ext cx="3276600" cy="2362200"/>
                        </a:xfrm>
                        <a:prstGeom prst="rect">
                          <a:avLst/>
                        </a:prstGeom>
                        <a:ln>
                          <a:solidFill>
                            <a:schemeClr val="tx1">
                              <a:lumMod val="50000"/>
                              <a:lumOff val="50000"/>
                            </a:schemeClr>
                          </a:solidFill>
                        </a:ln>
                      </wps:spPr>
                      <wps:style>
                        <a:lnRef idx="2">
                          <a:schemeClr val="accent3"/>
                        </a:lnRef>
                        <a:fillRef idx="1">
                          <a:schemeClr val="lt1"/>
                        </a:fillRef>
                        <a:effectRef idx="0">
                          <a:schemeClr val="accent3"/>
                        </a:effectRef>
                        <a:fontRef idx="minor">
                          <a:schemeClr val="dk1"/>
                        </a:fontRef>
                      </wps:style>
                      <wps:txbx>
                        <w:txbxContent>
                          <w:p w:rsidR="00EE054E" w:rsidRPr="00BD4887" w:rsidRDefault="00EE054E" w:rsidP="00EE054E">
                            <w:pPr>
                              <w:pStyle w:val="ae"/>
                              <w:numPr>
                                <w:ilvl w:val="0"/>
                                <w:numId w:val="6"/>
                              </w:numPr>
                              <w:ind w:leftChars="0"/>
                              <w:rPr>
                                <w:rFonts w:ascii="標楷體" w:eastAsia="標楷體" w:hAnsi="標楷體"/>
                              </w:rPr>
                            </w:pPr>
                            <w:r>
                              <w:rPr>
                                <w:rFonts w:ascii="標楷體" w:eastAsia="標楷體" w:hAnsi="標楷體" w:hint="eastAsia"/>
                              </w:rPr>
                              <w:t>客戶短期資金閒置就可以引</w:t>
                            </w:r>
                            <w:proofErr w:type="gramStart"/>
                            <w:r>
                              <w:rPr>
                                <w:rFonts w:ascii="標楷體" w:eastAsia="標楷體" w:hAnsi="標楷體" w:hint="eastAsia"/>
                              </w:rPr>
                              <w:t>介</w:t>
                            </w:r>
                            <w:proofErr w:type="gramEnd"/>
                            <w:r>
                              <w:rPr>
                                <w:rFonts w:ascii="標楷體" w:eastAsia="標楷體" w:hAnsi="標楷體" w:hint="eastAsia"/>
                              </w:rPr>
                              <w:t>PGN不同天期商品。</w:t>
                            </w:r>
                          </w:p>
                          <w:p w:rsidR="00EE054E" w:rsidRPr="00BD4887" w:rsidRDefault="00EE054E" w:rsidP="00EE054E">
                            <w:pPr>
                              <w:pStyle w:val="ae"/>
                              <w:numPr>
                                <w:ilvl w:val="0"/>
                                <w:numId w:val="6"/>
                              </w:numPr>
                              <w:ind w:leftChars="0"/>
                              <w:rPr>
                                <w:rFonts w:ascii="標楷體" w:eastAsia="標楷體" w:hAnsi="標楷體"/>
                              </w:rPr>
                            </w:pPr>
                            <w:r>
                              <w:rPr>
                                <w:rFonts w:ascii="標楷體" w:eastAsia="標楷體" w:hAnsi="標楷體" w:hint="eastAsia"/>
                              </w:rPr>
                              <w:t>鎖定客戶資金流向，未來有人民幣基金、保險，業代可以快速掌握客戶資金。</w:t>
                            </w:r>
                          </w:p>
                          <w:p w:rsidR="00EE054E" w:rsidRDefault="00EE054E" w:rsidP="00EE054E">
                            <w:pPr>
                              <w:pStyle w:val="ae"/>
                              <w:numPr>
                                <w:ilvl w:val="0"/>
                                <w:numId w:val="6"/>
                              </w:numPr>
                              <w:ind w:leftChars="0"/>
                              <w:rPr>
                                <w:rFonts w:ascii="標楷體" w:eastAsia="標楷體" w:hAnsi="標楷體"/>
                              </w:rPr>
                            </w:pPr>
                            <w:r>
                              <w:rPr>
                                <w:rFonts w:ascii="標楷體" w:eastAsia="標楷體" w:hAnsi="標楷體" w:hint="eastAsia"/>
                              </w:rPr>
                              <w:t>通路仍具優勢，全台2000-3000業務代表能夠創造較大效益。</w:t>
                            </w:r>
                          </w:p>
                          <w:p w:rsidR="00EE054E" w:rsidRPr="00EE054E" w:rsidRDefault="00EE054E" w:rsidP="00EE054E">
                            <w:pPr>
                              <w:pStyle w:val="ae"/>
                              <w:numPr>
                                <w:ilvl w:val="0"/>
                                <w:numId w:val="6"/>
                              </w:numPr>
                              <w:ind w:leftChars="0"/>
                              <w:rPr>
                                <w:rFonts w:ascii="標楷體" w:eastAsia="標楷體" w:hAnsi="標楷體"/>
                              </w:rPr>
                            </w:pPr>
                            <w:r>
                              <w:rPr>
                                <w:rFonts w:ascii="標楷體" w:eastAsia="標楷體" w:hAnsi="標楷體" w:hint="eastAsia"/>
                              </w:rPr>
                              <w:t>股票電子下單趨勢，會減弱業代和客戶關係。未來可以利用理財商品、債券商品提供客戶專業理財服務，最重要是了解客戶資金深度。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BF3CF" id="矩形 4" o:spid="_x0000_s1028" style="position:absolute;left:0;text-align:left;margin-left:330pt;margin-top:9.75pt;width:258pt;height:18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" fillcolor="white [3201]" strokecolor="gray [1629]" strokeweight="1pt">
                <v:textbox>
                  <w:txbxContent>
                    <w:p w:rsidR="00EE054E" w:rsidRPr="00BD4887" w:rsidRDefault="00EE054E" w:rsidP="00EE054E">
                      <w:pPr>
                        <w:pStyle w:val="ae"/>
                        <w:numPr>
                          <w:ilvl w:val="0"/>
                          <w:numId w:val="6"/>
                        </w:numPr>
                        <w:ind w:leftChars="0"/>
                        <w:rPr>
                          <w:rFonts w:ascii="標楷體" w:eastAsia="標楷體" w:hAnsi="標楷體" w:hint="eastAsia"/>
                        </w:rPr>
                      </w:pPr>
                      <w:r>
                        <w:rPr>
                          <w:rFonts w:ascii="標楷體" w:eastAsia="標楷體" w:hAnsi="標楷體" w:hint="eastAsia"/>
                        </w:rPr>
                        <w:t>客戶短期資金閒置就可以引</w:t>
                      </w:r>
                      <w:proofErr w:type="gramStart"/>
                      <w:r>
                        <w:rPr>
                          <w:rFonts w:ascii="標楷體" w:eastAsia="標楷體" w:hAnsi="標楷體" w:hint="eastAsia"/>
                        </w:rPr>
                        <w:t>介</w:t>
                      </w:r>
                      <w:proofErr w:type="gramEnd"/>
                      <w:r>
                        <w:rPr>
                          <w:rFonts w:ascii="標楷體" w:eastAsia="標楷體" w:hAnsi="標楷體" w:hint="eastAsia"/>
                        </w:rPr>
                        <w:t>PGN不同天期商品。</w:t>
                      </w:r>
                    </w:p>
                    <w:p w:rsidR="00EE054E" w:rsidRPr="00BD4887" w:rsidRDefault="00EE054E" w:rsidP="00EE054E">
                      <w:pPr>
                        <w:pStyle w:val="ae"/>
                        <w:numPr>
                          <w:ilvl w:val="0"/>
                          <w:numId w:val="6"/>
                        </w:numPr>
                        <w:ind w:leftChars="0"/>
                        <w:rPr>
                          <w:rFonts w:ascii="標楷體" w:eastAsia="標楷體" w:hAnsi="標楷體"/>
                        </w:rPr>
                      </w:pPr>
                      <w:r>
                        <w:rPr>
                          <w:rFonts w:ascii="標楷體" w:eastAsia="標楷體" w:hAnsi="標楷體" w:hint="eastAsia"/>
                        </w:rPr>
                        <w:t>鎖定客戶資金流向，未來有人民幣基金、保險，業代可以快速掌握客戶資金。</w:t>
                      </w:r>
                    </w:p>
                    <w:p w:rsidR="00EE054E" w:rsidRDefault="00EE054E" w:rsidP="00EE054E">
                      <w:pPr>
                        <w:pStyle w:val="ae"/>
                        <w:numPr>
                          <w:ilvl w:val="0"/>
                          <w:numId w:val="6"/>
                        </w:numPr>
                        <w:ind w:leftChars="0"/>
                        <w:rPr>
                          <w:rFonts w:ascii="標楷體" w:eastAsia="標楷體" w:hAnsi="標楷體"/>
                        </w:rPr>
                      </w:pPr>
                      <w:r>
                        <w:rPr>
                          <w:rFonts w:ascii="標楷體" w:eastAsia="標楷體" w:hAnsi="標楷體" w:hint="eastAsia"/>
                        </w:rPr>
                        <w:t>通路仍具優勢，全台2000-3000業務代表能夠創造較大效益。</w:t>
                      </w:r>
                    </w:p>
                    <w:p w:rsidR="00EE054E" w:rsidRPr="00EE054E" w:rsidRDefault="00EE054E" w:rsidP="00EE054E">
                      <w:pPr>
                        <w:pStyle w:val="ae"/>
                        <w:numPr>
                          <w:ilvl w:val="0"/>
                          <w:numId w:val="6"/>
                        </w:numPr>
                        <w:ind w:leftChars="0"/>
                        <w:rPr>
                          <w:rFonts w:ascii="標楷體" w:eastAsia="標楷體" w:hAnsi="標楷體" w:hint="eastAsia"/>
                        </w:rPr>
                      </w:pPr>
                      <w:r>
                        <w:rPr>
                          <w:rFonts w:ascii="標楷體" w:eastAsia="標楷體" w:hAnsi="標楷體" w:hint="eastAsia"/>
                        </w:rPr>
                        <w:t>股票電子下單趨勢，會減弱業代和客戶關係。未來可以利用理財商品、債券商品提供客戶專業理財服務，最重要是了解客戶資金深度。</w:t>
                      </w:r>
                    </w:p>
                  </w:txbxContent>
                </v:textbox>
                <w10:wrap anchorx="page"/>
              </v:rect>
            </w:pict>
          </mc:Fallback>
        </mc:AlternateContent>
      </w:r>
    </w:p>
    <w:p w:rsidR="00FC529B" w:rsidRPr="00600D15" w:rsidRDefault="00FC529B">
      <w:pPr>
        <w:rPr>
          <w:rFonts w:ascii="標楷體" w:eastAsia="標楷體" w:hAnsi="標楷體"/>
          <w:szCs w:val="24"/>
        </w:rPr>
      </w:pPr>
    </w:p>
    <w:p w:rsidR="00FC529B" w:rsidRPr="00600D15" w:rsidRDefault="00FC529B">
      <w:pPr>
        <w:rPr>
          <w:rFonts w:ascii="標楷體" w:eastAsia="標楷體" w:hAnsi="標楷體"/>
          <w:szCs w:val="24"/>
        </w:rPr>
      </w:pPr>
    </w:p>
    <w:p w:rsidR="00FC529B" w:rsidRPr="00600D15" w:rsidRDefault="00FC529B">
      <w:pPr>
        <w:rPr>
          <w:rFonts w:ascii="標楷體" w:eastAsia="標楷體" w:hAnsi="標楷體"/>
          <w:szCs w:val="24"/>
        </w:rPr>
      </w:pPr>
    </w:p>
    <w:p w:rsidR="00FC529B" w:rsidRPr="00600D15" w:rsidRDefault="00FC529B">
      <w:pPr>
        <w:rPr>
          <w:rFonts w:ascii="標楷體" w:eastAsia="標楷體" w:hAnsi="標楷體"/>
          <w:szCs w:val="24"/>
        </w:rPr>
      </w:pPr>
    </w:p>
    <w:p w:rsidR="00EE054E" w:rsidRPr="00600D15" w:rsidRDefault="00EE054E">
      <w:pPr>
        <w:rPr>
          <w:rFonts w:ascii="標楷體" w:eastAsia="標楷體" w:hAnsi="標楷體"/>
          <w:szCs w:val="24"/>
        </w:rPr>
      </w:pPr>
    </w:p>
    <w:p w:rsidR="00EE054E" w:rsidRPr="00600D15" w:rsidRDefault="00EE054E">
      <w:pPr>
        <w:rPr>
          <w:rFonts w:ascii="標楷體" w:eastAsia="標楷體" w:hAnsi="標楷體"/>
          <w:szCs w:val="24"/>
        </w:rPr>
      </w:pPr>
    </w:p>
    <w:p w:rsidR="00EE054E" w:rsidRPr="00600D15" w:rsidRDefault="00EE054E">
      <w:pPr>
        <w:rPr>
          <w:rFonts w:ascii="標楷體" w:eastAsia="標楷體" w:hAnsi="標楷體"/>
          <w:szCs w:val="24"/>
        </w:rPr>
      </w:pPr>
    </w:p>
    <w:p w:rsidR="00EE054E" w:rsidRPr="00600D15" w:rsidRDefault="00EE054E">
      <w:pPr>
        <w:rPr>
          <w:rFonts w:ascii="標楷體" w:eastAsia="標楷體" w:hAnsi="標楷體"/>
          <w:szCs w:val="24"/>
        </w:rPr>
      </w:pPr>
    </w:p>
    <w:p w:rsidR="00EE054E" w:rsidRPr="00600D15" w:rsidRDefault="00EE054E">
      <w:pPr>
        <w:rPr>
          <w:rFonts w:ascii="標楷體" w:eastAsia="標楷體" w:hAnsi="標楷體"/>
          <w:szCs w:val="24"/>
        </w:rPr>
      </w:pPr>
    </w:p>
    <w:p w:rsidR="00EE054E" w:rsidRPr="00600D15" w:rsidRDefault="00EE054E">
      <w:pPr>
        <w:rPr>
          <w:rFonts w:ascii="標楷體" w:eastAsia="標楷體" w:hAnsi="標楷體"/>
          <w:szCs w:val="24"/>
        </w:rPr>
      </w:pPr>
    </w:p>
    <w:p w:rsidR="00600D15" w:rsidRDefault="00600D15">
      <w:pPr>
        <w:rPr>
          <w:rFonts w:ascii="標楷體" w:eastAsia="標楷體" w:hAnsi="標楷體"/>
          <w:szCs w:val="24"/>
        </w:rPr>
      </w:pPr>
    </w:p>
    <w:p w:rsidR="00600D15" w:rsidRPr="00600D15" w:rsidRDefault="00600D15">
      <w:pPr>
        <w:rPr>
          <w:rFonts w:ascii="標楷體" w:eastAsia="標楷體" w:hAnsi="標楷體"/>
          <w:szCs w:val="24"/>
        </w:rPr>
      </w:pPr>
      <w:r>
        <w:rPr>
          <w:rFonts w:ascii="標楷體" w:eastAsia="標楷體" w:hAnsi="標楷體" w:hint="eastAsia"/>
          <w:szCs w:val="24"/>
        </w:rPr>
        <w:lastRenderedPageBreak/>
        <w:t>業務規劃發展,法令政策</w:t>
      </w:r>
    </w:p>
    <w:p w:rsidR="004B2D1C" w:rsidRPr="004B2D1C" w:rsidRDefault="004B2D1C">
      <w:pPr>
        <w:rPr>
          <w:rFonts w:ascii="標楷體" w:eastAsia="標楷體" w:hAnsi="標楷體"/>
          <w:b/>
          <w:szCs w:val="24"/>
        </w:rPr>
      </w:pPr>
      <w:r w:rsidRPr="004B2D1C">
        <w:rPr>
          <w:rFonts w:ascii="標楷體" w:eastAsia="標楷體" w:hAnsi="標楷體" w:hint="eastAsia"/>
          <w:b/>
          <w:szCs w:val="24"/>
        </w:rPr>
        <w:t>法令研究</w:t>
      </w:r>
    </w:p>
    <w:p w:rsidR="004B2D1C" w:rsidRPr="00236114" w:rsidRDefault="00236114" w:rsidP="004B2D1C">
      <w:pPr>
        <w:ind w:leftChars="200" w:left="480"/>
        <w:rPr>
          <w:rFonts w:ascii="標楷體" w:eastAsia="標楷體" w:hAnsi="標楷體"/>
          <w:b/>
          <w:szCs w:val="24"/>
        </w:rPr>
      </w:pPr>
      <w:r w:rsidRPr="00236114">
        <w:rPr>
          <w:rFonts w:ascii="標楷體" w:eastAsia="標楷體" w:hAnsi="標楷體" w:hint="eastAsia"/>
          <w:b/>
          <w:noProof/>
          <w:szCs w:val="24"/>
        </w:rPr>
        <mc:AlternateContent>
          <mc:Choice Requires="wps">
            <w:drawing>
              <wp:anchor distT="0" distB="0" distL="114300" distR="114300" simplePos="0" relativeHeight="251664384" behindDoc="0" locked="0" layoutInCell="1" allowOverlap="1" wp14:anchorId="1B83E17B" wp14:editId="2D6DE7ED">
                <wp:simplePos x="0" y="0"/>
                <wp:positionH relativeFrom="column">
                  <wp:posOffset>47625</wp:posOffset>
                </wp:positionH>
                <wp:positionV relativeFrom="paragraph">
                  <wp:posOffset>38100</wp:posOffset>
                </wp:positionV>
                <wp:extent cx="219075" cy="8277225"/>
                <wp:effectExtent l="19050" t="0" r="28575" b="47625"/>
                <wp:wrapNone/>
                <wp:docPr id="7" name="向下箭號 7"/>
                <wp:cNvGraphicFramePr/>
                <a:graphic xmlns:a="http://schemas.openxmlformats.org/drawingml/2006/main">
                  <a:graphicData uri="http://schemas.microsoft.com/office/word/2010/wordprocessingShape">
                    <wps:wsp>
                      <wps:cNvSpPr/>
                      <wps:spPr>
                        <a:xfrm>
                          <a:off x="0" y="0"/>
                          <a:ext cx="219075" cy="827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6E6E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向下箭號 7" o:spid="_x0000_s1026" type="#_x0000_t67" style="position:absolute;margin-left:3.75pt;margin-top:3pt;width:17.25pt;height:6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" adj="21314" fillcolor="#5b9bd5 [3204]" strokecolor="#1f4d78 [1604]" strokeweight="1pt"/>
            </w:pict>
          </mc:Fallback>
        </mc:AlternateContent>
      </w:r>
      <w:r w:rsidR="00987D9F">
        <w:rPr>
          <w:rFonts w:ascii="標楷體" w:eastAsia="標楷體" w:hAnsi="標楷體" w:hint="eastAsia"/>
          <w:b/>
          <w:szCs w:val="24"/>
        </w:rPr>
        <w:t>金管會</w:t>
      </w:r>
      <w:proofErr w:type="gramStart"/>
      <w:r w:rsidR="00987D9F">
        <w:rPr>
          <w:rFonts w:ascii="標楷體" w:eastAsia="標楷體" w:hAnsi="標楷體" w:hint="eastAsia"/>
          <w:b/>
          <w:szCs w:val="24"/>
        </w:rPr>
        <w:t>證期局</w:t>
      </w:r>
      <w:r w:rsidR="004B2D1C" w:rsidRPr="00236114">
        <w:rPr>
          <w:rFonts w:ascii="標楷體" w:eastAsia="標楷體" w:hAnsi="標楷體" w:hint="eastAsia"/>
          <w:b/>
          <w:szCs w:val="24"/>
        </w:rPr>
        <w:t>修正</w:t>
      </w:r>
      <w:proofErr w:type="gramEnd"/>
      <w:r w:rsidR="004B2D1C" w:rsidRPr="00236114">
        <w:rPr>
          <w:rFonts w:ascii="標楷體" w:eastAsia="標楷體" w:hAnsi="標楷體" w:hint="eastAsia"/>
          <w:b/>
          <w:szCs w:val="24"/>
        </w:rPr>
        <w:t>「發行人發行與募集有價證券處理準則」</w:t>
      </w:r>
    </w:p>
    <w:p w:rsidR="00600D15" w:rsidRPr="00236114" w:rsidRDefault="00473575" w:rsidP="004B2D1C">
      <w:pPr>
        <w:ind w:leftChars="200" w:left="480"/>
        <w:rPr>
          <w:rFonts w:ascii="標楷體" w:eastAsia="標楷體" w:hAnsi="標楷體"/>
          <w:szCs w:val="24"/>
          <w:u w:val="single"/>
        </w:rPr>
      </w:pPr>
      <w:r w:rsidRPr="00236114">
        <w:rPr>
          <w:rFonts w:ascii="標楷體" w:eastAsia="標楷體" w:hAnsi="標楷體" w:hint="eastAsia"/>
          <w:noProof/>
          <w:szCs w:val="24"/>
          <w:u w:val="single"/>
        </w:rPr>
        <mc:AlternateContent>
          <mc:Choice Requires="wps">
            <w:drawing>
              <wp:anchor distT="0" distB="0" distL="114300" distR="114300" simplePos="0" relativeHeight="251665408" behindDoc="0" locked="0" layoutInCell="1" allowOverlap="1" wp14:anchorId="389D2C19" wp14:editId="00B1966C">
                <wp:simplePos x="0" y="0"/>
                <wp:positionH relativeFrom="column">
                  <wp:posOffset>104775</wp:posOffset>
                </wp:positionH>
                <wp:positionV relativeFrom="paragraph">
                  <wp:posOffset>47625</wp:posOffset>
                </wp:positionV>
                <wp:extent cx="114300" cy="95250"/>
                <wp:effectExtent l="0" t="0" r="19050" b="19050"/>
                <wp:wrapNone/>
                <wp:docPr id="8" name="橢圓 8"/>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E960E" id="橢圓 8" o:spid="_x0000_s1026" style="position:absolute;margin-left:8.25pt;margin-top:3.75pt;width:9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" fillcolor="white [3212]" strokecolor="#1f4d78 [1604]" strokeweight="1pt">
                <v:stroke joinstyle="miter"/>
              </v:oval>
            </w:pict>
          </mc:Fallback>
        </mc:AlternateContent>
      </w:r>
      <w:r w:rsidR="004B2D1C" w:rsidRPr="00236114">
        <w:rPr>
          <w:rFonts w:ascii="標楷體" w:eastAsia="標楷體" w:hAnsi="標楷體"/>
          <w:szCs w:val="24"/>
          <w:u w:val="single"/>
        </w:rPr>
        <w:t>促進債券市場發展規劃方案</w:t>
      </w:r>
      <w:r w:rsidR="004B2D1C" w:rsidRPr="00236114">
        <w:rPr>
          <w:rFonts w:ascii="標楷體" w:eastAsia="標楷體" w:hAnsi="標楷體" w:hint="eastAsia"/>
          <w:szCs w:val="24"/>
          <w:u w:val="single"/>
        </w:rPr>
        <w:t>_</w:t>
      </w:r>
      <w:r w:rsidR="004B2D1C" w:rsidRPr="00236114">
        <w:rPr>
          <w:rFonts w:ascii="標楷體" w:eastAsia="標楷體" w:hAnsi="標楷體"/>
          <w:szCs w:val="24"/>
          <w:u w:val="single"/>
        </w:rPr>
        <w:t>2013-07-09</w:t>
      </w:r>
    </w:p>
    <w:p w:rsidR="004B2D1C" w:rsidRDefault="004B2D1C" w:rsidP="004B2D1C">
      <w:pPr>
        <w:ind w:leftChars="200" w:left="480"/>
        <w:rPr>
          <w:rFonts w:ascii="標楷體" w:eastAsia="標楷體" w:hAnsi="標楷體"/>
          <w:szCs w:val="24"/>
        </w:rPr>
      </w:pPr>
      <w:r w:rsidRPr="000E6BE3">
        <w:rPr>
          <w:rFonts w:ascii="標楷體" w:eastAsia="標楷體" w:hAnsi="標楷體"/>
          <w:szCs w:val="24"/>
        </w:rPr>
        <w:t>鬆綁相關債券發行法規，</w:t>
      </w:r>
      <w:proofErr w:type="gramStart"/>
      <w:r w:rsidRPr="000E6BE3">
        <w:rPr>
          <w:rFonts w:ascii="標楷體" w:eastAsia="標楷體" w:hAnsi="標楷體"/>
          <w:szCs w:val="24"/>
        </w:rPr>
        <w:t>冀藉此</w:t>
      </w:r>
      <w:proofErr w:type="gramEnd"/>
      <w:r w:rsidRPr="000E6BE3">
        <w:rPr>
          <w:rFonts w:ascii="標楷體" w:eastAsia="標楷體" w:hAnsi="標楷體"/>
          <w:szCs w:val="24"/>
        </w:rPr>
        <w:t>吸引國內外法人在</w:t>
      </w:r>
      <w:proofErr w:type="gramStart"/>
      <w:r w:rsidRPr="000E6BE3">
        <w:rPr>
          <w:rFonts w:ascii="標楷體" w:eastAsia="標楷體" w:hAnsi="標楷體"/>
          <w:szCs w:val="24"/>
        </w:rPr>
        <w:t>臺</w:t>
      </w:r>
      <w:proofErr w:type="gramEnd"/>
      <w:r w:rsidRPr="000E6BE3">
        <w:rPr>
          <w:rFonts w:ascii="標楷體" w:eastAsia="標楷體" w:hAnsi="標楷體"/>
          <w:szCs w:val="24"/>
        </w:rPr>
        <w:t>發行債券，促進我國債券市場發展。</w:t>
      </w:r>
    </w:p>
    <w:p w:rsidR="0001789F" w:rsidRDefault="0001789F" w:rsidP="0001789F">
      <w:pPr>
        <w:pStyle w:val="ae"/>
        <w:numPr>
          <w:ilvl w:val="0"/>
          <w:numId w:val="7"/>
        </w:numPr>
        <w:ind w:leftChars="0"/>
        <w:rPr>
          <w:rFonts w:ascii="標楷體" w:eastAsia="標楷體" w:hAnsi="標楷體"/>
          <w:szCs w:val="24"/>
        </w:rPr>
      </w:pPr>
      <w:proofErr w:type="gramStart"/>
      <w:r w:rsidRPr="0001789F">
        <w:rPr>
          <w:rFonts w:ascii="標楷體" w:eastAsia="標楷體" w:hAnsi="標楷體"/>
          <w:szCs w:val="24"/>
        </w:rPr>
        <w:t>採</w:t>
      </w:r>
      <w:proofErr w:type="gramEnd"/>
      <w:r w:rsidRPr="0001789F">
        <w:rPr>
          <w:rFonts w:ascii="標楷體" w:eastAsia="標楷體" w:hAnsi="標楷體"/>
          <w:szCs w:val="24"/>
        </w:rPr>
        <w:t>行債券投資人分級制度：</w:t>
      </w:r>
    </w:p>
    <w:p w:rsidR="0001789F" w:rsidRPr="0001789F" w:rsidRDefault="0001789F" w:rsidP="0001789F">
      <w:pPr>
        <w:pStyle w:val="ae"/>
        <w:numPr>
          <w:ilvl w:val="0"/>
          <w:numId w:val="9"/>
        </w:numPr>
        <w:ind w:leftChars="0"/>
        <w:rPr>
          <w:rFonts w:ascii="標楷體" w:eastAsia="標楷體" w:hAnsi="標楷體"/>
          <w:szCs w:val="24"/>
        </w:rPr>
      </w:pPr>
      <w:r w:rsidRPr="0001789F">
        <w:rPr>
          <w:rFonts w:ascii="標楷體" w:eastAsia="標楷體" w:hAnsi="標楷體"/>
          <w:szCs w:val="24"/>
        </w:rPr>
        <w:t>外國發行人如發行僅銷售予專業投資機構之外幣計價普通公司債，得豁免向金管會申報生效，亦無須取具中央銀行同意函而改</w:t>
      </w:r>
      <w:proofErr w:type="gramStart"/>
      <w:r w:rsidRPr="0001789F">
        <w:rPr>
          <w:rFonts w:ascii="標楷體" w:eastAsia="標楷體" w:hAnsi="標楷體"/>
          <w:szCs w:val="24"/>
        </w:rPr>
        <w:t>採</w:t>
      </w:r>
      <w:proofErr w:type="gramEnd"/>
      <w:r w:rsidRPr="0001789F">
        <w:rPr>
          <w:rFonts w:ascii="標楷體" w:eastAsia="標楷體" w:hAnsi="標楷體"/>
          <w:szCs w:val="24"/>
        </w:rPr>
        <w:t>事前報備方式為之；另該等債券應募人及再行</w:t>
      </w:r>
    </w:p>
    <w:p w:rsidR="0001789F" w:rsidRDefault="0001789F" w:rsidP="0001789F">
      <w:pPr>
        <w:pStyle w:val="ae"/>
        <w:numPr>
          <w:ilvl w:val="0"/>
          <w:numId w:val="8"/>
        </w:numPr>
        <w:ind w:leftChars="0"/>
        <w:rPr>
          <w:rFonts w:ascii="標楷體" w:eastAsia="標楷體" w:hAnsi="標楷體"/>
          <w:szCs w:val="24"/>
        </w:rPr>
      </w:pPr>
      <w:r w:rsidRPr="0001789F">
        <w:rPr>
          <w:rFonts w:ascii="標楷體" w:eastAsia="標楷體" w:hAnsi="標楷體"/>
          <w:szCs w:val="24"/>
        </w:rPr>
        <w:t>銷售對象以專業投資機構為限，並應向財團法人中華民國證券櫃檯買賣中心(下稱櫃買中心)申請登錄為櫃檯買賣。</w:t>
      </w:r>
    </w:p>
    <w:p w:rsidR="0001789F" w:rsidRPr="0001789F" w:rsidRDefault="0001789F" w:rsidP="0001789F">
      <w:pPr>
        <w:pStyle w:val="ae"/>
        <w:numPr>
          <w:ilvl w:val="0"/>
          <w:numId w:val="8"/>
        </w:numPr>
        <w:ind w:leftChars="0"/>
        <w:rPr>
          <w:rFonts w:ascii="標楷體" w:eastAsia="標楷體" w:hAnsi="標楷體"/>
          <w:szCs w:val="24"/>
        </w:rPr>
      </w:pPr>
      <w:r w:rsidRPr="0001789F">
        <w:rPr>
          <w:rFonts w:ascii="標楷體" w:eastAsia="標楷體" w:hAnsi="標楷體"/>
          <w:szCs w:val="24"/>
        </w:rPr>
        <w:t>簡化本國發行人發行僅</w:t>
      </w:r>
      <w:r w:rsidRPr="0001789F">
        <w:rPr>
          <w:rFonts w:ascii="標楷體" w:eastAsia="標楷體" w:hAnsi="標楷體"/>
          <w:szCs w:val="24"/>
          <w:highlight w:val="yellow"/>
        </w:rPr>
        <w:t>銷售予專業投資機構</w:t>
      </w:r>
      <w:r w:rsidRPr="0001789F">
        <w:rPr>
          <w:rFonts w:ascii="標楷體" w:eastAsia="標楷體" w:hAnsi="標楷體"/>
          <w:szCs w:val="24"/>
        </w:rPr>
        <w:t>之普通公司債之相關申報書件，且放寬該等債券如屬委託證券承銷商對外公開承銷者，無發行人募集與發行有價證券處理準則</w:t>
      </w:r>
      <w:proofErr w:type="gramStart"/>
      <w:r w:rsidRPr="0001789F">
        <w:rPr>
          <w:rFonts w:ascii="標楷體" w:eastAsia="標楷體" w:hAnsi="標楷體"/>
          <w:szCs w:val="24"/>
        </w:rPr>
        <w:t>第八條退件</w:t>
      </w:r>
      <w:proofErr w:type="gramEnd"/>
      <w:r w:rsidRPr="0001789F">
        <w:rPr>
          <w:rFonts w:ascii="標楷體" w:eastAsia="標楷體" w:hAnsi="標楷體"/>
          <w:szCs w:val="24"/>
        </w:rPr>
        <w:t>條款之適用；另該等債券亦應於櫃買中心掛牌。</w:t>
      </w:r>
    </w:p>
    <w:p w:rsidR="0001789F" w:rsidRPr="00236114" w:rsidRDefault="0001789F" w:rsidP="00236114">
      <w:pPr>
        <w:pStyle w:val="ae"/>
        <w:numPr>
          <w:ilvl w:val="0"/>
          <w:numId w:val="7"/>
        </w:numPr>
        <w:ind w:leftChars="0"/>
        <w:rPr>
          <w:rFonts w:ascii="標楷體" w:eastAsia="標楷體" w:hAnsi="標楷體"/>
          <w:szCs w:val="24"/>
        </w:rPr>
      </w:pPr>
      <w:r w:rsidRPr="00236114">
        <w:rPr>
          <w:rFonts w:ascii="標楷體" w:eastAsia="標楷體" w:hAnsi="標楷體"/>
          <w:szCs w:val="24"/>
        </w:rPr>
        <w:t>刪除發行債券強制信用評等之規範：</w:t>
      </w:r>
    </w:p>
    <w:p w:rsidR="00236114" w:rsidRDefault="00236114" w:rsidP="0001789F">
      <w:pPr>
        <w:pStyle w:val="ae"/>
        <w:numPr>
          <w:ilvl w:val="0"/>
          <w:numId w:val="10"/>
        </w:numPr>
        <w:ind w:leftChars="0"/>
        <w:rPr>
          <w:rFonts w:ascii="標楷體" w:eastAsia="標楷體" w:hAnsi="標楷體"/>
          <w:szCs w:val="24"/>
        </w:rPr>
      </w:pPr>
      <w:r>
        <w:rPr>
          <w:rFonts w:ascii="標楷體" w:eastAsia="標楷體" w:hAnsi="標楷體" w:hint="eastAsia"/>
          <w:szCs w:val="24"/>
        </w:rPr>
        <w:t>發行公司決定是否採用發行人信用評等報告</w:t>
      </w:r>
    </w:p>
    <w:p w:rsidR="0001789F" w:rsidRDefault="0001789F" w:rsidP="00236114">
      <w:pPr>
        <w:pStyle w:val="ae"/>
        <w:ind w:leftChars="0" w:left="1440"/>
        <w:rPr>
          <w:rFonts w:ascii="標楷體" w:eastAsia="標楷體" w:hAnsi="標楷體"/>
          <w:szCs w:val="24"/>
        </w:rPr>
      </w:pPr>
      <w:r w:rsidRPr="0001789F">
        <w:rPr>
          <w:rFonts w:ascii="標楷體" w:eastAsia="標楷體" w:hAnsi="標楷體"/>
          <w:szCs w:val="24"/>
        </w:rPr>
        <w:t>刪除前開處理準則涉及債券強制信</w:t>
      </w:r>
      <w:r>
        <w:rPr>
          <w:rFonts w:ascii="標楷體" w:eastAsia="標楷體" w:hAnsi="標楷體"/>
          <w:szCs w:val="24"/>
        </w:rPr>
        <w:t>用評等之規範，回歸由發行公司自行視需求考量是否取具發行人</w:t>
      </w:r>
      <w:r w:rsidRPr="0001789F">
        <w:rPr>
          <w:rFonts w:ascii="標楷體" w:eastAsia="標楷體" w:hAnsi="標楷體"/>
          <w:szCs w:val="24"/>
        </w:rPr>
        <w:t>信用評等報告，降低發行人之債券發行成本</w:t>
      </w:r>
    </w:p>
    <w:p w:rsidR="00236114" w:rsidRDefault="00236114" w:rsidP="00236114">
      <w:pPr>
        <w:pStyle w:val="ae"/>
        <w:numPr>
          <w:ilvl w:val="0"/>
          <w:numId w:val="10"/>
        </w:numPr>
        <w:ind w:leftChars="0"/>
        <w:rPr>
          <w:rFonts w:ascii="標楷體" w:eastAsia="標楷體" w:hAnsi="標楷體"/>
          <w:szCs w:val="24"/>
        </w:rPr>
      </w:pPr>
      <w:r>
        <w:rPr>
          <w:rFonts w:ascii="標楷體" w:eastAsia="標楷體" w:hAnsi="標楷體"/>
          <w:szCs w:val="24"/>
        </w:rPr>
        <w:t>放寬信評要求與契約準則</w:t>
      </w:r>
    </w:p>
    <w:p w:rsidR="00236114" w:rsidRPr="00236114" w:rsidRDefault="0001789F" w:rsidP="00236114">
      <w:pPr>
        <w:pStyle w:val="ae"/>
        <w:ind w:leftChars="0" w:left="1440"/>
        <w:rPr>
          <w:rFonts w:ascii="標楷體" w:eastAsia="標楷體" w:hAnsi="標楷體"/>
          <w:szCs w:val="24"/>
        </w:rPr>
      </w:pPr>
      <w:r w:rsidRPr="00236114">
        <w:rPr>
          <w:rFonts w:ascii="標楷體" w:eastAsia="標楷體" w:hAnsi="標楷體"/>
          <w:szCs w:val="24"/>
        </w:rPr>
        <w:t>配合取消外國發行人申報總括發行普通公司債及契約</w:t>
      </w:r>
      <w:proofErr w:type="gramStart"/>
      <w:r w:rsidRPr="00236114">
        <w:rPr>
          <w:rFonts w:ascii="標楷體" w:eastAsia="標楷體" w:hAnsi="標楷體"/>
          <w:szCs w:val="24"/>
        </w:rPr>
        <w:t>準</w:t>
      </w:r>
      <w:proofErr w:type="gramEnd"/>
      <w:r w:rsidRPr="00236114">
        <w:rPr>
          <w:rFonts w:ascii="標楷體" w:eastAsia="標楷體" w:hAnsi="標楷體"/>
          <w:szCs w:val="24"/>
        </w:rPr>
        <w:t>據法適用非中華民國法律須符合一定信用評等之要求，增訂總括申報發行普通公司債及契約</w:t>
      </w:r>
      <w:proofErr w:type="gramStart"/>
      <w:r w:rsidRPr="00236114">
        <w:rPr>
          <w:rFonts w:ascii="標楷體" w:eastAsia="標楷體" w:hAnsi="標楷體"/>
          <w:szCs w:val="24"/>
        </w:rPr>
        <w:t>準</w:t>
      </w:r>
      <w:proofErr w:type="gramEnd"/>
      <w:r w:rsidRPr="00236114">
        <w:rPr>
          <w:rFonts w:ascii="標楷體" w:eastAsia="標楷體" w:hAnsi="標楷體"/>
          <w:szCs w:val="24"/>
        </w:rPr>
        <w:t>據法適用外國法律所須之資格條件</w:t>
      </w:r>
    </w:p>
    <w:p w:rsidR="00236114" w:rsidRDefault="0001789F" w:rsidP="00236114">
      <w:pPr>
        <w:pStyle w:val="ae"/>
        <w:numPr>
          <w:ilvl w:val="0"/>
          <w:numId w:val="7"/>
        </w:numPr>
        <w:ind w:leftChars="0"/>
        <w:rPr>
          <w:rFonts w:ascii="標楷體" w:eastAsia="標楷體" w:hAnsi="標楷體"/>
          <w:szCs w:val="24"/>
        </w:rPr>
      </w:pPr>
      <w:r w:rsidRPr="00236114">
        <w:rPr>
          <w:rFonts w:ascii="標楷體" w:eastAsia="標楷體" w:hAnsi="標楷體"/>
          <w:szCs w:val="24"/>
        </w:rPr>
        <w:t>法規修正公布後，預期效益如下：</w:t>
      </w:r>
    </w:p>
    <w:p w:rsidR="00236114" w:rsidRDefault="0001789F" w:rsidP="00236114">
      <w:pPr>
        <w:pStyle w:val="ae"/>
        <w:numPr>
          <w:ilvl w:val="0"/>
          <w:numId w:val="10"/>
        </w:numPr>
        <w:ind w:leftChars="0"/>
        <w:rPr>
          <w:rFonts w:ascii="標楷體" w:eastAsia="標楷體" w:hAnsi="標楷體"/>
          <w:szCs w:val="24"/>
        </w:rPr>
      </w:pPr>
      <w:r w:rsidRPr="00236114">
        <w:rPr>
          <w:rFonts w:ascii="標楷體" w:eastAsia="標楷體" w:hAnsi="標楷體"/>
          <w:szCs w:val="24"/>
        </w:rPr>
        <w:t>簡化發行銷售予專業投資機構之普通公司債發行程序，大幅縮短債券發行作業時間並降低發行成本。</w:t>
      </w:r>
    </w:p>
    <w:p w:rsidR="00236114" w:rsidRDefault="0001789F" w:rsidP="00236114">
      <w:pPr>
        <w:pStyle w:val="ae"/>
        <w:numPr>
          <w:ilvl w:val="0"/>
          <w:numId w:val="10"/>
        </w:numPr>
        <w:ind w:leftChars="0"/>
        <w:rPr>
          <w:rFonts w:ascii="標楷體" w:eastAsia="標楷體" w:hAnsi="標楷體"/>
          <w:szCs w:val="24"/>
        </w:rPr>
      </w:pPr>
      <w:r w:rsidRPr="00236114">
        <w:rPr>
          <w:rFonts w:ascii="標楷體" w:eastAsia="標楷體" w:hAnsi="標楷體"/>
          <w:szCs w:val="24"/>
        </w:rPr>
        <w:t>開放多元發行主體加入我國債券市場，活絡我國債券市場。</w:t>
      </w:r>
    </w:p>
    <w:p w:rsidR="00236114" w:rsidRDefault="0001789F" w:rsidP="00236114">
      <w:pPr>
        <w:pStyle w:val="ae"/>
        <w:numPr>
          <w:ilvl w:val="0"/>
          <w:numId w:val="10"/>
        </w:numPr>
        <w:ind w:leftChars="0"/>
        <w:rPr>
          <w:rFonts w:ascii="標楷體" w:eastAsia="標楷體" w:hAnsi="標楷體"/>
          <w:szCs w:val="24"/>
        </w:rPr>
      </w:pPr>
      <w:r w:rsidRPr="00236114">
        <w:rPr>
          <w:rFonts w:ascii="標楷體" w:eastAsia="標楷體" w:hAnsi="標楷體"/>
          <w:szCs w:val="24"/>
        </w:rPr>
        <w:t>有效暢通債券發行與投資渠道，提升債券發行之效率</w:t>
      </w:r>
    </w:p>
    <w:p w:rsidR="0001789F" w:rsidRPr="00236114" w:rsidRDefault="0001789F" w:rsidP="00236114">
      <w:pPr>
        <w:pStyle w:val="ae"/>
        <w:numPr>
          <w:ilvl w:val="0"/>
          <w:numId w:val="10"/>
        </w:numPr>
        <w:ind w:leftChars="0"/>
        <w:rPr>
          <w:rFonts w:ascii="標楷體" w:eastAsia="標楷體" w:hAnsi="標楷體"/>
          <w:szCs w:val="24"/>
        </w:rPr>
      </w:pPr>
      <w:r w:rsidRPr="00236114">
        <w:rPr>
          <w:rFonts w:ascii="標楷體" w:eastAsia="標楷體" w:hAnsi="標楷體"/>
          <w:szCs w:val="24"/>
        </w:rPr>
        <w:t>提升寶島債等外幣債券之發行誘因，促進臺灣金融產業競爭優勢。</w:t>
      </w:r>
    </w:p>
    <w:p w:rsidR="004B2D1C" w:rsidRDefault="004B2D1C">
      <w:pPr>
        <w:rPr>
          <w:rFonts w:ascii="標楷體" w:eastAsia="標楷體" w:hAnsi="標楷體"/>
          <w:szCs w:val="24"/>
        </w:rPr>
      </w:pPr>
    </w:p>
    <w:p w:rsidR="00236114" w:rsidRDefault="00236114" w:rsidP="00236114">
      <w:pPr>
        <w:ind w:leftChars="200" w:left="480"/>
        <w:rPr>
          <w:rFonts w:ascii="標楷體" w:eastAsia="標楷體" w:hAnsi="標楷體"/>
          <w:szCs w:val="24"/>
          <w:u w:val="single"/>
        </w:rPr>
      </w:pPr>
      <w:r w:rsidRPr="00236114">
        <w:rPr>
          <w:rFonts w:ascii="標楷體" w:eastAsia="標楷體" w:hAnsi="標楷體" w:hint="eastAsia"/>
          <w:noProof/>
          <w:szCs w:val="24"/>
          <w:u w:val="single"/>
        </w:rPr>
        <mc:AlternateContent>
          <mc:Choice Requires="wps">
            <w:drawing>
              <wp:anchor distT="0" distB="0" distL="114300" distR="114300" simplePos="0" relativeHeight="251667456" behindDoc="0" locked="0" layoutInCell="1" allowOverlap="1" wp14:anchorId="2664C600" wp14:editId="030CB9C2">
                <wp:simplePos x="0" y="0"/>
                <wp:positionH relativeFrom="leftMargin">
                  <wp:posOffset>1247775</wp:posOffset>
                </wp:positionH>
                <wp:positionV relativeFrom="paragraph">
                  <wp:posOffset>57150</wp:posOffset>
                </wp:positionV>
                <wp:extent cx="114300" cy="95250"/>
                <wp:effectExtent l="0" t="0" r="19050" b="19050"/>
                <wp:wrapNone/>
                <wp:docPr id="9" name="橢圓 9"/>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40EA7" id="橢圓 9" o:spid="_x0000_s1026" style="position:absolute;margin-left:98.25pt;margin-top:4.5pt;width:9pt;height:7.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" fillcolor="white [3212]" strokecolor="#1f4d78 [1604]" strokeweight="1pt">
                <v:stroke joinstyle="miter"/>
                <w10:wrap anchorx="margin"/>
              </v:oval>
            </w:pict>
          </mc:Fallback>
        </mc:AlternateContent>
      </w:r>
      <w:r w:rsidRPr="00236114">
        <w:rPr>
          <w:rFonts w:ascii="標楷體" w:eastAsia="標楷體" w:hAnsi="標楷體" w:hint="eastAsia"/>
          <w:szCs w:val="24"/>
          <w:u w:val="single"/>
        </w:rPr>
        <w:t>放寬專業板債券之銷售對象範圍_</w:t>
      </w:r>
      <w:r w:rsidRPr="00236114">
        <w:rPr>
          <w:rFonts w:ascii="標楷體" w:eastAsia="標楷體" w:hAnsi="標楷體"/>
          <w:szCs w:val="24"/>
          <w:u w:val="single"/>
        </w:rPr>
        <w:t>2014-06-24</w:t>
      </w:r>
    </w:p>
    <w:p w:rsidR="00B675DE" w:rsidRDefault="00236114" w:rsidP="00B675DE">
      <w:pPr>
        <w:ind w:leftChars="200" w:left="480"/>
        <w:rPr>
          <w:rFonts w:ascii="標楷體" w:eastAsia="標楷體" w:hAnsi="標楷體"/>
          <w:szCs w:val="24"/>
        </w:rPr>
      </w:pPr>
      <w:r w:rsidRPr="000E6BE3">
        <w:rPr>
          <w:rFonts w:ascii="標楷體" w:eastAsia="標楷體" w:hAnsi="標楷體"/>
          <w:szCs w:val="24"/>
        </w:rPr>
        <w:t>放寬</w:t>
      </w:r>
      <w:r w:rsidR="00B675DE">
        <w:rPr>
          <w:rFonts w:ascii="標楷體" w:eastAsia="標楷體" w:hAnsi="標楷體"/>
          <w:szCs w:val="24"/>
        </w:rPr>
        <w:t>專業板債券之銷售對象，由現行「</w:t>
      </w:r>
      <w:r w:rsidR="00B675DE" w:rsidRPr="00473575">
        <w:rPr>
          <w:rFonts w:ascii="標楷體" w:eastAsia="標楷體" w:hAnsi="標楷體"/>
          <w:szCs w:val="24"/>
          <w:highlight w:val="yellow"/>
        </w:rPr>
        <w:t>專業投資機構」調整為「專業投資人</w:t>
      </w:r>
      <w:r w:rsidR="00B675DE">
        <w:rPr>
          <w:rFonts w:ascii="標楷體" w:eastAsia="標楷體" w:hAnsi="標楷體"/>
          <w:szCs w:val="24"/>
        </w:rPr>
        <w:t>」</w:t>
      </w:r>
      <w:r w:rsidR="00B675DE">
        <w:rPr>
          <w:rFonts w:ascii="標楷體" w:eastAsia="標楷體" w:hAnsi="標楷體" w:hint="eastAsia"/>
          <w:szCs w:val="24"/>
        </w:rPr>
        <w:t>，</w:t>
      </w:r>
      <w:r w:rsidR="00B675DE">
        <w:rPr>
          <w:rFonts w:ascii="標楷體" w:eastAsia="標楷體" w:hAnsi="標楷體"/>
          <w:szCs w:val="24"/>
        </w:rPr>
        <w:t>帶動國內債券次級市場之交易動能</w:t>
      </w:r>
      <w:r w:rsidR="00B675DE">
        <w:rPr>
          <w:rFonts w:ascii="標楷體" w:eastAsia="標楷體" w:hAnsi="標楷體" w:hint="eastAsia"/>
          <w:szCs w:val="24"/>
        </w:rPr>
        <w:t>。</w:t>
      </w:r>
    </w:p>
    <w:p w:rsidR="00B675DE" w:rsidRDefault="00236114" w:rsidP="00B675DE">
      <w:pPr>
        <w:pStyle w:val="ae"/>
        <w:numPr>
          <w:ilvl w:val="0"/>
          <w:numId w:val="11"/>
        </w:numPr>
        <w:ind w:leftChars="0"/>
        <w:rPr>
          <w:rFonts w:ascii="標楷體" w:eastAsia="標楷體" w:hAnsi="標楷體"/>
          <w:szCs w:val="24"/>
        </w:rPr>
      </w:pPr>
      <w:r w:rsidRPr="00B675DE">
        <w:rPr>
          <w:rFonts w:ascii="標楷體" w:eastAsia="標楷體" w:hAnsi="標楷體"/>
          <w:szCs w:val="24"/>
        </w:rPr>
        <w:t>相關「專業投資人」之定義</w:t>
      </w:r>
    </w:p>
    <w:p w:rsidR="00B675DE" w:rsidRDefault="00236114" w:rsidP="00B675DE">
      <w:pPr>
        <w:pStyle w:val="ae"/>
        <w:numPr>
          <w:ilvl w:val="0"/>
          <w:numId w:val="12"/>
        </w:numPr>
        <w:ind w:leftChars="0"/>
        <w:rPr>
          <w:rFonts w:ascii="標楷體" w:eastAsia="標楷體" w:hAnsi="標楷體"/>
          <w:szCs w:val="24"/>
        </w:rPr>
      </w:pPr>
      <w:r w:rsidRPr="00B675DE">
        <w:rPr>
          <w:rFonts w:ascii="標楷體" w:eastAsia="標楷體" w:hAnsi="標楷體"/>
          <w:szCs w:val="24"/>
        </w:rPr>
        <w:t>證券商管理規則第19條之7第2</w:t>
      </w:r>
      <w:r w:rsidR="00B675DE">
        <w:rPr>
          <w:rFonts w:ascii="標楷體" w:eastAsia="標楷體" w:hAnsi="標楷體"/>
          <w:szCs w:val="24"/>
        </w:rPr>
        <w:t>項所稱之專業機構投資人</w:t>
      </w:r>
    </w:p>
    <w:p w:rsidR="00B675DE" w:rsidRDefault="00652F4D" w:rsidP="00B675DE">
      <w:pPr>
        <w:pStyle w:val="ae"/>
        <w:numPr>
          <w:ilvl w:val="0"/>
          <w:numId w:val="12"/>
        </w:numPr>
        <w:ind w:leftChars="0"/>
        <w:rPr>
          <w:rFonts w:ascii="標楷體" w:eastAsia="標楷體" w:hAnsi="標楷體"/>
          <w:szCs w:val="24"/>
        </w:rPr>
      </w:pPr>
      <w:r w:rsidRPr="00236114">
        <w:rPr>
          <w:rFonts w:ascii="標楷體" w:eastAsia="標楷體" w:hAnsi="標楷體" w:hint="eastAsia"/>
          <w:b/>
          <w:noProof/>
          <w:szCs w:val="24"/>
        </w:rPr>
        <w:lastRenderedPageBreak/>
        <mc:AlternateContent>
          <mc:Choice Requires="wps">
            <w:drawing>
              <wp:anchor distT="0" distB="0" distL="114300" distR="114300" simplePos="0" relativeHeight="251669504" behindDoc="0" locked="0" layoutInCell="1" allowOverlap="1" wp14:anchorId="10F0F8DD" wp14:editId="0787E006">
                <wp:simplePos x="0" y="0"/>
                <wp:positionH relativeFrom="margin">
                  <wp:posOffset>76200</wp:posOffset>
                </wp:positionH>
                <wp:positionV relativeFrom="paragraph">
                  <wp:posOffset>19050</wp:posOffset>
                </wp:positionV>
                <wp:extent cx="230400" cy="2971800"/>
                <wp:effectExtent l="19050" t="0" r="17780" b="38100"/>
                <wp:wrapNone/>
                <wp:docPr id="10" name="向下箭號 10"/>
                <wp:cNvGraphicFramePr/>
                <a:graphic xmlns:a="http://schemas.openxmlformats.org/drawingml/2006/main">
                  <a:graphicData uri="http://schemas.microsoft.com/office/word/2010/wordprocessingShape">
                    <wps:wsp>
                      <wps:cNvSpPr/>
                      <wps:spPr>
                        <a:xfrm>
                          <a:off x="0" y="0"/>
                          <a:ext cx="230400" cy="2971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A3404" id="向下箭號 10" o:spid="_x0000_s1026" type="#_x0000_t67" style="position:absolute;margin-left:6pt;margin-top:1.5pt;width:18.15pt;height:23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" adj="20763" fillcolor="#5b9bd5 [3204]" strokecolor="#1f4d78 [1604]" strokeweight="1pt">
                <w10:wrap anchorx="margin"/>
              </v:shape>
            </w:pict>
          </mc:Fallback>
        </mc:AlternateContent>
      </w:r>
      <w:r w:rsidR="00236114" w:rsidRPr="00B675DE">
        <w:rPr>
          <w:rFonts w:ascii="標楷體" w:eastAsia="標楷體" w:hAnsi="標楷體"/>
          <w:szCs w:val="24"/>
        </w:rPr>
        <w:t>最近一期經會計師查核或核閱之財務報告總資產超過新臺幣(以下同)5,000萬元之法人或基金。</w:t>
      </w:r>
    </w:p>
    <w:p w:rsidR="00B675DE" w:rsidRDefault="00236114" w:rsidP="00B675DE">
      <w:pPr>
        <w:pStyle w:val="ae"/>
        <w:numPr>
          <w:ilvl w:val="0"/>
          <w:numId w:val="12"/>
        </w:numPr>
        <w:ind w:leftChars="0"/>
        <w:rPr>
          <w:rFonts w:ascii="標楷體" w:eastAsia="標楷體" w:hAnsi="標楷體"/>
          <w:szCs w:val="24"/>
        </w:rPr>
      </w:pPr>
      <w:r w:rsidRPr="00B675DE">
        <w:rPr>
          <w:rFonts w:ascii="標楷體" w:eastAsia="標楷體" w:hAnsi="標楷體"/>
          <w:szCs w:val="24"/>
        </w:rPr>
        <w:t>同時符合以下三項條件，並以書面向證券商申請為專業投資人之自然人：</w:t>
      </w:r>
      <w:r w:rsidRPr="00B675DE">
        <w:rPr>
          <w:rFonts w:ascii="標楷體" w:eastAsia="標楷體" w:hAnsi="標楷體"/>
          <w:szCs w:val="24"/>
        </w:rPr>
        <w:br/>
        <w:t>１、提供3,000萬元以上之財力證明；或單筆交易金額逾300萬元，且於該證券商之投資往來總資產逾1,500萬元，並提供總資產超過3,000萬元以上之財力聲明書。</w:t>
      </w:r>
      <w:r w:rsidRPr="00B675DE">
        <w:rPr>
          <w:rFonts w:ascii="標楷體" w:eastAsia="標楷體" w:hAnsi="標楷體"/>
          <w:szCs w:val="24"/>
        </w:rPr>
        <w:br/>
        <w:t>２、投資人具備充分之金融商品專業知識或交易經驗。</w:t>
      </w:r>
      <w:r w:rsidRPr="00B675DE">
        <w:rPr>
          <w:rFonts w:ascii="標楷體" w:eastAsia="標楷體" w:hAnsi="標楷體"/>
          <w:szCs w:val="24"/>
        </w:rPr>
        <w:br/>
        <w:t>３、投資人充分瞭解證券商與專業投資人進行債券交易得免除之責任，同意簽署為專業投資人。</w:t>
      </w:r>
    </w:p>
    <w:p w:rsidR="00473575" w:rsidRPr="00652F4D" w:rsidRDefault="00236114" w:rsidP="00C55DE9">
      <w:pPr>
        <w:pStyle w:val="ae"/>
        <w:numPr>
          <w:ilvl w:val="0"/>
          <w:numId w:val="11"/>
        </w:numPr>
        <w:ind w:leftChars="0"/>
        <w:rPr>
          <w:rFonts w:ascii="標楷體" w:eastAsia="標楷體" w:hAnsi="標楷體"/>
          <w:szCs w:val="24"/>
        </w:rPr>
      </w:pPr>
      <w:r w:rsidRPr="00B675DE">
        <w:rPr>
          <w:rFonts w:ascii="標楷體" w:eastAsia="標楷體" w:hAnsi="標楷體"/>
          <w:szCs w:val="24"/>
        </w:rPr>
        <w:t>法令訂定公布後，將有效擴大我國專業板債券之參與範圍、活絡債券次級市場交易、強化我國債券市場之深度及廣度，健全我國債券市場之發展。</w:t>
      </w:r>
      <w:r w:rsidRPr="00B675DE">
        <w:rPr>
          <w:rFonts w:ascii="標楷體" w:eastAsia="標楷體" w:hAnsi="標楷體"/>
          <w:szCs w:val="24"/>
        </w:rPr>
        <w:br/>
      </w:r>
    </w:p>
    <w:p w:rsidR="00473575" w:rsidRPr="00236114" w:rsidRDefault="00652F4D" w:rsidP="007061E3">
      <w:pPr>
        <w:ind w:leftChars="200" w:left="480"/>
        <w:rPr>
          <w:rFonts w:ascii="標楷體" w:eastAsia="標楷體" w:hAnsi="標楷體"/>
          <w:b/>
          <w:szCs w:val="24"/>
        </w:rPr>
      </w:pPr>
      <w:r w:rsidRPr="00236114">
        <w:rPr>
          <w:rFonts w:ascii="標楷體" w:eastAsia="標楷體" w:hAnsi="標楷體" w:hint="eastAsia"/>
          <w:b/>
          <w:noProof/>
          <w:szCs w:val="24"/>
        </w:rPr>
        <mc:AlternateContent>
          <mc:Choice Requires="wps">
            <w:drawing>
              <wp:anchor distT="0" distB="0" distL="114300" distR="114300" simplePos="0" relativeHeight="251671552" behindDoc="0" locked="0" layoutInCell="1" allowOverlap="1" wp14:anchorId="2F91C1FA" wp14:editId="05CB6233">
                <wp:simplePos x="0" y="0"/>
                <wp:positionH relativeFrom="margin">
                  <wp:posOffset>95250</wp:posOffset>
                </wp:positionH>
                <wp:positionV relativeFrom="paragraph">
                  <wp:posOffset>9524</wp:posOffset>
                </wp:positionV>
                <wp:extent cx="229870" cy="5457825"/>
                <wp:effectExtent l="19050" t="0" r="17780" b="47625"/>
                <wp:wrapNone/>
                <wp:docPr id="11" name="向下箭號 11"/>
                <wp:cNvGraphicFramePr/>
                <a:graphic xmlns:a="http://schemas.openxmlformats.org/drawingml/2006/main">
                  <a:graphicData uri="http://schemas.microsoft.com/office/word/2010/wordprocessingShape">
                    <wps:wsp>
                      <wps:cNvSpPr/>
                      <wps:spPr>
                        <a:xfrm>
                          <a:off x="0" y="0"/>
                          <a:ext cx="229870" cy="545782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DBF5" id="向下箭號 11" o:spid="_x0000_s1026" type="#_x0000_t67" style="position:absolute;margin-left:7.5pt;margin-top:.75pt;width:18.1pt;height:42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" adj="21145" fillcolor="#ed7d31 [3205]" strokecolor="#823b0b [1605]" strokeweight="1pt">
                <w10:wrap anchorx="margin"/>
              </v:shape>
            </w:pict>
          </mc:Fallback>
        </mc:AlternateContent>
      </w:r>
      <w:r w:rsidR="00987D9F">
        <w:rPr>
          <w:rFonts w:ascii="標楷體" w:eastAsia="標楷體" w:hAnsi="標楷體" w:hint="eastAsia"/>
          <w:b/>
          <w:szCs w:val="24"/>
        </w:rPr>
        <w:t>金管會推動</w:t>
      </w:r>
      <w:r w:rsidR="007061E3">
        <w:rPr>
          <w:rFonts w:ascii="標楷體" w:eastAsia="標楷體" w:hAnsi="標楷體" w:hint="eastAsia"/>
          <w:b/>
          <w:szCs w:val="24"/>
        </w:rPr>
        <w:t>金融進口替代法案</w:t>
      </w:r>
    </w:p>
    <w:p w:rsidR="007061E3" w:rsidRDefault="007061E3" w:rsidP="007061E3">
      <w:pPr>
        <w:ind w:leftChars="200" w:left="480"/>
        <w:rPr>
          <w:rFonts w:ascii="標楷體" w:eastAsia="標楷體" w:hAnsi="標楷體"/>
        </w:rPr>
      </w:pPr>
      <w:r w:rsidRPr="007061E3">
        <w:rPr>
          <w:rFonts w:ascii="標楷體" w:eastAsia="標楷體" w:hAnsi="標楷體" w:hint="eastAsia"/>
          <w:szCs w:val="24"/>
          <w:u w:val="single"/>
        </w:rPr>
        <w:t xml:space="preserve">「金融進口替代」相關措施之說明 </w:t>
      </w:r>
      <w:r w:rsidRPr="007061E3">
        <w:rPr>
          <w:rFonts w:ascii="標楷體" w:eastAsia="標楷體" w:hAnsi="標楷體"/>
          <w:szCs w:val="24"/>
          <w:u w:val="single"/>
        </w:rPr>
        <w:t>2015-04-07</w:t>
      </w:r>
      <w:r w:rsidR="008B7808" w:rsidRPr="00236114">
        <w:rPr>
          <w:rFonts w:ascii="標楷體" w:eastAsia="標楷體" w:hAnsi="標楷體" w:hint="eastAsia"/>
          <w:noProof/>
          <w:szCs w:val="24"/>
          <w:u w:val="single"/>
        </w:rPr>
        <mc:AlternateContent>
          <mc:Choice Requires="wps">
            <w:drawing>
              <wp:anchor distT="0" distB="0" distL="114300" distR="114300" simplePos="0" relativeHeight="251673600" behindDoc="0" locked="0" layoutInCell="1" allowOverlap="1" wp14:anchorId="440E128A" wp14:editId="6AEA1EDB">
                <wp:simplePos x="0" y="0"/>
                <wp:positionH relativeFrom="column">
                  <wp:posOffset>133350</wp:posOffset>
                </wp:positionH>
                <wp:positionV relativeFrom="paragraph">
                  <wp:posOffset>57150</wp:posOffset>
                </wp:positionV>
                <wp:extent cx="114300" cy="95250"/>
                <wp:effectExtent l="0" t="0" r="19050" b="19050"/>
                <wp:wrapNone/>
                <wp:docPr id="12" name="橢圓 12"/>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4021B" id="橢圓 12" o:spid="_x0000_s1026" style="position:absolute;margin-left:10.5pt;margin-top:4.5pt;width:9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" fillcolor="white [3212]" strokecolor="#1f4d78 [1604]" strokeweight="1pt">
                <v:stroke joinstyle="miter"/>
              </v:oval>
            </w:pict>
          </mc:Fallback>
        </mc:AlternateContent>
      </w:r>
    </w:p>
    <w:p w:rsidR="007061E3" w:rsidRDefault="008B7808" w:rsidP="007061E3">
      <w:pPr>
        <w:ind w:leftChars="200" w:left="480"/>
        <w:rPr>
          <w:rFonts w:ascii="標楷體" w:eastAsia="標楷體" w:hAnsi="標楷體"/>
        </w:rPr>
      </w:pPr>
      <w:r w:rsidRPr="0072463E">
        <w:rPr>
          <w:rFonts w:ascii="標楷體" w:eastAsia="標楷體" w:hAnsi="標楷體"/>
        </w:rPr>
        <w:t>吸引更多金融機構增加在台</w:t>
      </w:r>
      <w:r w:rsidR="007061E3">
        <w:rPr>
          <w:rFonts w:ascii="標楷體" w:eastAsia="標楷體" w:hAnsi="標楷體" w:hint="eastAsia"/>
        </w:rPr>
        <w:t>做資產</w:t>
      </w:r>
      <w:r w:rsidR="007061E3">
        <w:rPr>
          <w:rFonts w:ascii="標楷體" w:eastAsia="標楷體" w:hAnsi="標楷體"/>
        </w:rPr>
        <w:t>配置，增加國人就業機會</w:t>
      </w:r>
    </w:p>
    <w:p w:rsidR="003D7CBB" w:rsidRPr="003D7CBB" w:rsidRDefault="008B7808" w:rsidP="00F81B2F">
      <w:pPr>
        <w:pStyle w:val="ae"/>
        <w:numPr>
          <w:ilvl w:val="0"/>
          <w:numId w:val="17"/>
        </w:numPr>
        <w:ind w:leftChars="0"/>
        <w:rPr>
          <w:rFonts w:ascii="標楷體" w:eastAsia="標楷體" w:hAnsi="標楷體"/>
          <w:szCs w:val="24"/>
          <w:u w:val="single"/>
        </w:rPr>
      </w:pPr>
      <w:r w:rsidRPr="007061E3">
        <w:rPr>
          <w:rFonts w:ascii="標楷體" w:eastAsia="標楷體" w:hAnsi="標楷體"/>
        </w:rPr>
        <w:t>第1階段希望至少讓交易在國內發生，將國內金融機構原主要透過海外(如：香港、新加坡</w:t>
      </w:r>
      <w:proofErr w:type="gramStart"/>
      <w:r w:rsidRPr="007061E3">
        <w:rPr>
          <w:rFonts w:ascii="標楷體" w:eastAsia="標楷體" w:hAnsi="標楷體"/>
        </w:rPr>
        <w:t>）</w:t>
      </w:r>
      <w:proofErr w:type="gramEnd"/>
      <w:r w:rsidRPr="007061E3">
        <w:rPr>
          <w:rFonts w:ascii="標楷體" w:eastAsia="標楷體" w:hAnsi="標楷體"/>
        </w:rPr>
        <w:t>券商、銀行進行的國外投資交易</w:t>
      </w:r>
      <w:r w:rsidR="00F81B2F">
        <w:rPr>
          <w:rFonts w:ascii="標楷體" w:eastAsia="標楷體" w:hAnsi="標楷體" w:hint="eastAsia"/>
        </w:rPr>
        <w:t>。</w:t>
      </w:r>
    </w:p>
    <w:p w:rsidR="003D7CBB" w:rsidRPr="003D7CBB" w:rsidRDefault="003D7CBB" w:rsidP="007061E3">
      <w:pPr>
        <w:pStyle w:val="ae"/>
        <w:numPr>
          <w:ilvl w:val="0"/>
          <w:numId w:val="13"/>
        </w:numPr>
        <w:ind w:leftChars="0"/>
        <w:rPr>
          <w:rFonts w:ascii="標楷體" w:eastAsia="標楷體" w:hAnsi="標楷體"/>
          <w:szCs w:val="24"/>
          <w:u w:val="single"/>
        </w:rPr>
      </w:pPr>
      <w:r>
        <w:rPr>
          <w:rFonts w:ascii="標楷體" w:eastAsia="標楷體" w:hAnsi="標楷體"/>
        </w:rPr>
        <w:t>避免國際板債券發行利率偏低，</w:t>
      </w:r>
      <w:r w:rsidR="008B7808" w:rsidRPr="007061E3">
        <w:rPr>
          <w:rFonts w:ascii="標楷體" w:eastAsia="標楷體" w:hAnsi="標楷體"/>
        </w:rPr>
        <w:t>櫃買中心注意外幣債券利率訂價的合理性，目前國際板債券於我國發行之利率，若與其他市場如香港比較仍屬相近。</w:t>
      </w:r>
    </w:p>
    <w:p w:rsidR="003D7CBB" w:rsidRPr="00F81B2F" w:rsidRDefault="008B7808" w:rsidP="00F81B2F">
      <w:pPr>
        <w:pStyle w:val="ae"/>
        <w:numPr>
          <w:ilvl w:val="0"/>
          <w:numId w:val="17"/>
        </w:numPr>
        <w:ind w:leftChars="0"/>
        <w:rPr>
          <w:rFonts w:ascii="標楷體" w:eastAsia="標楷體" w:hAnsi="標楷體"/>
          <w:szCs w:val="24"/>
          <w:u w:val="single"/>
        </w:rPr>
      </w:pPr>
      <w:r w:rsidRPr="00F81B2F">
        <w:rPr>
          <w:rFonts w:ascii="標楷體" w:eastAsia="標楷體" w:hAnsi="標楷體"/>
        </w:rPr>
        <w:t>國際板債券發行幣</w:t>
      </w:r>
      <w:proofErr w:type="gramStart"/>
      <w:r w:rsidRPr="00F81B2F">
        <w:rPr>
          <w:rFonts w:ascii="標楷體" w:eastAsia="標楷體" w:hAnsi="標楷體"/>
        </w:rPr>
        <w:t>別均為外幣</w:t>
      </w:r>
      <w:proofErr w:type="gramEnd"/>
      <w:r w:rsidRPr="00F81B2F">
        <w:rPr>
          <w:rFonts w:ascii="標楷體" w:eastAsia="標楷體" w:hAnsi="標楷體"/>
        </w:rPr>
        <w:t>，與我國政府公債發行幣別為新台幣，兩者幣別及商品性質皆不同</w:t>
      </w:r>
    </w:p>
    <w:p w:rsidR="003D7CBB" w:rsidRPr="003D7CBB" w:rsidRDefault="008B7808" w:rsidP="007061E3">
      <w:pPr>
        <w:pStyle w:val="ae"/>
        <w:numPr>
          <w:ilvl w:val="0"/>
          <w:numId w:val="13"/>
        </w:numPr>
        <w:ind w:leftChars="0"/>
        <w:rPr>
          <w:rFonts w:ascii="標楷體" w:eastAsia="標楷體" w:hAnsi="標楷體"/>
          <w:szCs w:val="24"/>
          <w:u w:val="single"/>
        </w:rPr>
      </w:pPr>
      <w:r w:rsidRPr="007061E3">
        <w:rPr>
          <w:rFonts w:ascii="標楷體" w:eastAsia="標楷體" w:hAnsi="標楷體"/>
        </w:rPr>
        <w:t>櫃買中心統計分析，上開法規鬆綁前後保險業者2~10年期公債之得標比率亦未有變化，而財政部2014年11月及12月發行之10年期公債亦出現增額發行，且影響公債流標尚有其他因素，包括預期市場利率將走高、期別及增額發行，因此，保險業積極參與國際債券市場之發行並未對國內中短期公債之發行有所影響。</w:t>
      </w:r>
    </w:p>
    <w:p w:rsidR="00652F4D" w:rsidRPr="00F81B2F" w:rsidRDefault="008B7808" w:rsidP="00F81B2F">
      <w:pPr>
        <w:pStyle w:val="ae"/>
        <w:numPr>
          <w:ilvl w:val="0"/>
          <w:numId w:val="13"/>
        </w:numPr>
        <w:ind w:leftChars="0"/>
        <w:rPr>
          <w:rFonts w:ascii="標楷體" w:eastAsia="標楷體" w:hAnsi="標楷體"/>
          <w:szCs w:val="24"/>
          <w:u w:val="single"/>
        </w:rPr>
      </w:pPr>
      <w:r w:rsidRPr="007061E3">
        <w:rPr>
          <w:rFonts w:ascii="標楷體" w:eastAsia="標楷體" w:hAnsi="標楷體"/>
        </w:rPr>
        <w:t>修正銀行法及銀行發行金融債券辦法，放寬銀行發行債券類金融商品之規範，鼓勵銀行針對國內專業機構投資人之需求，設計相關債券類商品。</w:t>
      </w:r>
    </w:p>
    <w:p w:rsidR="0002201A" w:rsidRDefault="00652F4D" w:rsidP="0002201A">
      <w:pPr>
        <w:ind w:leftChars="200" w:left="480"/>
        <w:rPr>
          <w:rFonts w:ascii="標楷體" w:eastAsia="標楷體" w:hAnsi="標楷體"/>
          <w:szCs w:val="24"/>
          <w:u w:val="single"/>
        </w:rPr>
      </w:pPr>
      <w:r w:rsidRPr="00236114">
        <w:rPr>
          <w:rFonts w:ascii="標楷體" w:eastAsia="標楷體" w:hAnsi="標楷體" w:hint="eastAsia"/>
          <w:noProof/>
          <w:szCs w:val="24"/>
          <w:u w:val="single"/>
        </w:rPr>
        <mc:AlternateContent>
          <mc:Choice Requires="wps">
            <w:drawing>
              <wp:anchor distT="0" distB="0" distL="114300" distR="114300" simplePos="0" relativeHeight="251680768" behindDoc="0" locked="0" layoutInCell="1" allowOverlap="1" wp14:anchorId="4ED9DCF1" wp14:editId="16FDDCA6">
                <wp:simplePos x="0" y="0"/>
                <wp:positionH relativeFrom="column">
                  <wp:posOffset>152400</wp:posOffset>
                </wp:positionH>
                <wp:positionV relativeFrom="paragraph">
                  <wp:posOffset>47625</wp:posOffset>
                </wp:positionV>
                <wp:extent cx="114300" cy="95250"/>
                <wp:effectExtent l="0" t="0" r="19050" b="19050"/>
                <wp:wrapNone/>
                <wp:docPr id="14" name="橢圓 14"/>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D5A5F9" id="橢圓 14" o:spid="_x0000_s1026" style="position:absolute;margin-left:12pt;margin-top:3.75pt;width:9pt;height: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" fillcolor="white [3212]" strokecolor="#1f4d78 [1604]" strokeweight="1pt">
                <v:stroke joinstyle="miter"/>
              </v:oval>
            </w:pict>
          </mc:Fallback>
        </mc:AlternateContent>
      </w:r>
      <w:r w:rsidR="0002201A" w:rsidRPr="0002201A">
        <w:rPr>
          <w:rFonts w:ascii="標楷體" w:eastAsia="標楷體" w:hAnsi="標楷體" w:hint="eastAsia"/>
          <w:u w:val="single"/>
        </w:rPr>
        <w:t xml:space="preserve">「金融進口替代」相關措施之執行成效 </w:t>
      </w:r>
      <w:r w:rsidR="0002201A" w:rsidRPr="0002201A">
        <w:rPr>
          <w:rFonts w:ascii="標楷體" w:eastAsia="標楷體" w:hAnsi="標楷體"/>
          <w:u w:val="single"/>
        </w:rPr>
        <w:t>2015-06-11</w:t>
      </w:r>
    </w:p>
    <w:p w:rsidR="0002201A" w:rsidRPr="0002201A" w:rsidRDefault="0002201A" w:rsidP="0002201A">
      <w:pPr>
        <w:pStyle w:val="ae"/>
        <w:numPr>
          <w:ilvl w:val="0"/>
          <w:numId w:val="15"/>
        </w:numPr>
        <w:ind w:leftChars="0"/>
        <w:rPr>
          <w:rFonts w:ascii="標楷體" w:eastAsia="標楷體" w:hAnsi="標楷體"/>
          <w:szCs w:val="24"/>
          <w:u w:val="single"/>
        </w:rPr>
      </w:pPr>
      <w:r w:rsidRPr="0002201A">
        <w:rPr>
          <w:rFonts w:ascii="標楷體" w:eastAsia="標楷體" w:hAnsi="標楷體"/>
        </w:rPr>
        <w:t>國際板債券部分，例如：國際板債券(含寶島債)104年1月1日至5月31日發行金額5,243億元，較104年預估發行金額6,000億元，達成率已達87.38%</w:t>
      </w:r>
    </w:p>
    <w:p w:rsidR="0002201A" w:rsidRPr="0002201A" w:rsidRDefault="0002201A" w:rsidP="0002201A">
      <w:pPr>
        <w:pStyle w:val="ae"/>
        <w:numPr>
          <w:ilvl w:val="0"/>
          <w:numId w:val="14"/>
        </w:numPr>
        <w:ind w:leftChars="0"/>
        <w:rPr>
          <w:rFonts w:ascii="標楷體" w:eastAsia="標楷體" w:hAnsi="標楷體"/>
          <w:szCs w:val="24"/>
          <w:u w:val="single"/>
        </w:rPr>
      </w:pPr>
      <w:r w:rsidRPr="00C55DE9">
        <w:rPr>
          <w:rFonts w:ascii="標楷體" w:eastAsia="標楷體" w:hAnsi="標楷體"/>
          <w:highlight w:val="yellow"/>
        </w:rPr>
        <w:t>自103年6月4日放寬保險業投資國內外幣計價債券憑證（含寶島債）之金額可不計入國外投資限額後</w:t>
      </w:r>
      <w:r w:rsidRPr="0002201A">
        <w:rPr>
          <w:rFonts w:ascii="標楷體" w:eastAsia="標楷體" w:hAnsi="標楷體"/>
        </w:rPr>
        <w:t>，至104年5月31日之發</w:t>
      </w:r>
      <w:r w:rsidR="00F81B2F" w:rsidRPr="00236114">
        <w:rPr>
          <w:rFonts w:ascii="標楷體" w:eastAsia="標楷體" w:hAnsi="標楷體" w:hint="eastAsia"/>
          <w:b/>
          <w:noProof/>
          <w:szCs w:val="24"/>
        </w:rPr>
        <w:lastRenderedPageBreak/>
        <mc:AlternateContent>
          <mc:Choice Requires="wps">
            <w:drawing>
              <wp:anchor distT="0" distB="0" distL="114300" distR="114300" simplePos="0" relativeHeight="251682816" behindDoc="0" locked="0" layoutInCell="1" allowOverlap="1" wp14:anchorId="4278C4E3" wp14:editId="2E2602B8">
                <wp:simplePos x="0" y="0"/>
                <wp:positionH relativeFrom="margin">
                  <wp:align>left</wp:align>
                </wp:positionH>
                <wp:positionV relativeFrom="paragraph">
                  <wp:posOffset>0</wp:posOffset>
                </wp:positionV>
                <wp:extent cx="228600" cy="5715000"/>
                <wp:effectExtent l="19050" t="0" r="19050" b="38100"/>
                <wp:wrapNone/>
                <wp:docPr id="13" name="向下箭號 13"/>
                <wp:cNvGraphicFramePr/>
                <a:graphic xmlns:a="http://schemas.openxmlformats.org/drawingml/2006/main">
                  <a:graphicData uri="http://schemas.microsoft.com/office/word/2010/wordprocessingShape">
                    <wps:wsp>
                      <wps:cNvSpPr/>
                      <wps:spPr>
                        <a:xfrm>
                          <a:off x="0" y="0"/>
                          <a:ext cx="228600" cy="571500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0B805" id="向下箭號 13" o:spid="_x0000_s1026" type="#_x0000_t67" style="position:absolute;margin-left:0;margin-top:0;width:18pt;height:450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" adj="21168" fillcolor="#ed7d31 [3205]" strokecolor="#823b0b [1605]" strokeweight="1pt">
                <w10:wrap anchorx="margin"/>
              </v:shape>
            </w:pict>
          </mc:Fallback>
        </mc:AlternateContent>
      </w:r>
      <w:r w:rsidRPr="0002201A">
        <w:rPr>
          <w:rFonts w:ascii="標楷體" w:eastAsia="標楷體" w:hAnsi="標楷體"/>
        </w:rPr>
        <w:t>行檔數為167檔，發行金額新臺幣1兆2,187億元，較修正前(95年11月1日至103年6月3日)發行金額新臺幣1,373億元，增加7.88倍，其中保險業投資金額達 1兆479億元，占整體發行金額86%。據估算，保險業投資收益增加155億元，相關證券商承銷及法律顧問業務收入增加約19.5 億元，政府稅收增加約31億元，成功創造提升保險業資金運用效益、擴大國內國際板債券市場規模，及增加政府稅收之三贏局面。</w:t>
      </w:r>
    </w:p>
    <w:p w:rsidR="0002201A" w:rsidRPr="0002201A" w:rsidRDefault="0002201A" w:rsidP="0002201A">
      <w:pPr>
        <w:pStyle w:val="ae"/>
        <w:numPr>
          <w:ilvl w:val="0"/>
          <w:numId w:val="15"/>
        </w:numPr>
        <w:ind w:leftChars="0"/>
        <w:rPr>
          <w:rFonts w:ascii="標楷體" w:eastAsia="標楷體" w:hAnsi="標楷體"/>
          <w:szCs w:val="24"/>
          <w:u w:val="single"/>
        </w:rPr>
      </w:pPr>
      <w:r w:rsidRPr="0002201A">
        <w:rPr>
          <w:rFonts w:ascii="標楷體" w:eastAsia="標楷體" w:hAnsi="標楷體"/>
        </w:rPr>
        <w:t>債券部分：</w:t>
      </w:r>
    </w:p>
    <w:p w:rsidR="0002201A" w:rsidRPr="0002201A" w:rsidRDefault="0002201A" w:rsidP="0002201A">
      <w:pPr>
        <w:pStyle w:val="ae"/>
        <w:numPr>
          <w:ilvl w:val="0"/>
          <w:numId w:val="14"/>
        </w:numPr>
        <w:ind w:leftChars="0"/>
        <w:rPr>
          <w:rFonts w:ascii="標楷體" w:eastAsia="標楷體" w:hAnsi="標楷體"/>
          <w:szCs w:val="24"/>
          <w:u w:val="single"/>
        </w:rPr>
      </w:pPr>
      <w:r w:rsidRPr="0002201A">
        <w:rPr>
          <w:rFonts w:ascii="標楷體" w:eastAsia="標楷體" w:hAnsi="標楷體"/>
        </w:rPr>
        <w:t>開放銀行及其國際金融業務分行(OBU)得兼營代理買賣外國債券：已核准9家銀行辦理，自103年8月至104年4月買賣成交交易金額73億美元(</w:t>
      </w:r>
      <w:proofErr w:type="gramStart"/>
      <w:r w:rsidRPr="0002201A">
        <w:rPr>
          <w:rFonts w:ascii="標楷體" w:eastAsia="標楷體" w:hAnsi="標楷體"/>
        </w:rPr>
        <w:t>約新臺幣</w:t>
      </w:r>
      <w:proofErr w:type="gramEnd"/>
      <w:r w:rsidRPr="0002201A">
        <w:rPr>
          <w:rFonts w:ascii="標楷體" w:eastAsia="標楷體" w:hAnsi="標楷體"/>
        </w:rPr>
        <w:t>2,507億元)。</w:t>
      </w:r>
    </w:p>
    <w:p w:rsidR="0002201A" w:rsidRPr="0002201A" w:rsidRDefault="0002201A" w:rsidP="0002201A">
      <w:pPr>
        <w:pStyle w:val="ae"/>
        <w:numPr>
          <w:ilvl w:val="0"/>
          <w:numId w:val="14"/>
        </w:numPr>
        <w:ind w:leftChars="0"/>
        <w:rPr>
          <w:rFonts w:ascii="標楷體" w:eastAsia="標楷體" w:hAnsi="標楷體"/>
          <w:szCs w:val="24"/>
          <w:u w:val="single"/>
        </w:rPr>
      </w:pPr>
      <w:r w:rsidRPr="0002201A">
        <w:rPr>
          <w:rFonts w:ascii="標楷體" w:eastAsia="標楷體" w:hAnsi="標楷體"/>
        </w:rPr>
        <w:t>修正銀行法及銀行發行金融債券辦法，開放銀行可以發行中期債券：截至104年5月底，已核准1家銀行申請發行可循環之金融債券，發行額度10億美元(</w:t>
      </w:r>
      <w:proofErr w:type="gramStart"/>
      <w:r w:rsidRPr="0002201A">
        <w:rPr>
          <w:rFonts w:ascii="標楷體" w:eastAsia="標楷體" w:hAnsi="標楷體"/>
        </w:rPr>
        <w:t>約新臺幣</w:t>
      </w:r>
      <w:proofErr w:type="gramEnd"/>
      <w:r w:rsidRPr="0002201A">
        <w:rPr>
          <w:rFonts w:ascii="標楷體" w:eastAsia="標楷體" w:hAnsi="標楷體"/>
        </w:rPr>
        <w:t>307億元</w:t>
      </w:r>
      <w:proofErr w:type="gramStart"/>
      <w:r w:rsidRPr="0002201A">
        <w:rPr>
          <w:rFonts w:ascii="標楷體" w:eastAsia="標楷體" w:hAnsi="標楷體"/>
        </w:rPr>
        <w:t>）</w:t>
      </w:r>
      <w:proofErr w:type="gramEnd"/>
      <w:r w:rsidRPr="0002201A">
        <w:rPr>
          <w:rFonts w:ascii="標楷體" w:eastAsia="標楷體" w:hAnsi="標楷體"/>
        </w:rPr>
        <w:t>。</w:t>
      </w:r>
    </w:p>
    <w:p w:rsidR="0002201A" w:rsidRPr="0002201A" w:rsidRDefault="0002201A" w:rsidP="0002201A">
      <w:pPr>
        <w:pStyle w:val="ae"/>
        <w:numPr>
          <w:ilvl w:val="0"/>
          <w:numId w:val="14"/>
        </w:numPr>
        <w:ind w:leftChars="0"/>
        <w:rPr>
          <w:rFonts w:ascii="標楷體" w:eastAsia="標楷體" w:hAnsi="標楷體"/>
          <w:szCs w:val="24"/>
          <w:u w:val="single"/>
        </w:rPr>
      </w:pPr>
      <w:r w:rsidRPr="0002201A">
        <w:rPr>
          <w:rFonts w:ascii="標楷體" w:eastAsia="標楷體" w:hAnsi="標楷體"/>
        </w:rPr>
        <w:t>開放證券商得與專業投資機構於營業處所買賣國外發行之人民幣計價債券：自103年8月1日至104年5月31日</w:t>
      </w:r>
      <w:proofErr w:type="gramStart"/>
      <w:r w:rsidRPr="0002201A">
        <w:rPr>
          <w:rFonts w:ascii="標楷體" w:eastAsia="標楷體" w:hAnsi="標楷體"/>
        </w:rPr>
        <w:t>期間，</w:t>
      </w:r>
      <w:proofErr w:type="gramEnd"/>
      <w:r w:rsidRPr="0002201A">
        <w:rPr>
          <w:rFonts w:ascii="標楷體" w:eastAsia="標楷體" w:hAnsi="標楷體"/>
        </w:rPr>
        <w:t>已有5家證券商</w:t>
      </w:r>
      <w:proofErr w:type="gramStart"/>
      <w:r w:rsidRPr="0002201A">
        <w:rPr>
          <w:rFonts w:ascii="標楷體" w:eastAsia="標楷體" w:hAnsi="標楷體"/>
        </w:rPr>
        <w:t>承作</w:t>
      </w:r>
      <w:proofErr w:type="gramEnd"/>
      <w:r w:rsidRPr="0002201A">
        <w:rPr>
          <w:rFonts w:ascii="標楷體" w:eastAsia="標楷體" w:hAnsi="標楷體"/>
        </w:rPr>
        <w:t>國外發行人民幣債券業務，於營業處所買賣人民幣計價債券金額約3.52億人民幣(</w:t>
      </w:r>
      <w:proofErr w:type="gramStart"/>
      <w:r w:rsidRPr="0002201A">
        <w:rPr>
          <w:rFonts w:ascii="標楷體" w:eastAsia="標楷體" w:hAnsi="標楷體"/>
        </w:rPr>
        <w:t>約新臺幣</w:t>
      </w:r>
      <w:proofErr w:type="gramEnd"/>
      <w:r w:rsidRPr="0002201A">
        <w:rPr>
          <w:rFonts w:ascii="標楷體" w:eastAsia="標楷體" w:hAnsi="標楷體"/>
        </w:rPr>
        <w:t>17.6億元)。</w:t>
      </w:r>
      <w:r>
        <w:rPr>
          <w:rFonts w:ascii="標楷體" w:eastAsia="標楷體" w:hAnsi="標楷體"/>
        </w:rPr>
        <w:t> </w:t>
      </w:r>
    </w:p>
    <w:p w:rsidR="0002201A" w:rsidRPr="0002201A" w:rsidRDefault="0002201A" w:rsidP="0002201A">
      <w:pPr>
        <w:pStyle w:val="ae"/>
        <w:numPr>
          <w:ilvl w:val="0"/>
          <w:numId w:val="15"/>
        </w:numPr>
        <w:ind w:leftChars="0"/>
        <w:rPr>
          <w:rFonts w:ascii="標楷體" w:eastAsia="標楷體" w:hAnsi="標楷體"/>
          <w:szCs w:val="24"/>
          <w:u w:val="single"/>
        </w:rPr>
      </w:pPr>
      <w:r>
        <w:rPr>
          <w:rFonts w:ascii="標楷體" w:eastAsia="標楷體" w:hAnsi="標楷體"/>
        </w:rPr>
        <w:t>商品多元化</w:t>
      </w:r>
    </w:p>
    <w:p w:rsidR="0002201A" w:rsidRPr="0002201A" w:rsidRDefault="0002201A" w:rsidP="0002201A">
      <w:pPr>
        <w:pStyle w:val="ae"/>
        <w:numPr>
          <w:ilvl w:val="0"/>
          <w:numId w:val="16"/>
        </w:numPr>
        <w:ind w:leftChars="0"/>
        <w:rPr>
          <w:rFonts w:ascii="標楷體" w:eastAsia="標楷體" w:hAnsi="標楷體"/>
          <w:szCs w:val="24"/>
          <w:u w:val="single"/>
        </w:rPr>
      </w:pPr>
      <w:proofErr w:type="gramStart"/>
      <w:r w:rsidRPr="0002201A">
        <w:rPr>
          <w:rFonts w:ascii="標楷體" w:eastAsia="標楷體" w:hAnsi="標楷體"/>
        </w:rPr>
        <w:t>研</w:t>
      </w:r>
      <w:proofErr w:type="gramEnd"/>
      <w:r w:rsidRPr="0002201A">
        <w:rPr>
          <w:rFonts w:ascii="標楷體" w:eastAsia="標楷體" w:hAnsi="標楷體"/>
        </w:rPr>
        <w:t>議各項開放措施外，將就國內金融機構目前投資金額較大之金融商品予以檢視，瞭解其投資管道與方式，若經由國內投資尚有困難，必要時，將再邀集金融機構共同</w:t>
      </w:r>
      <w:proofErr w:type="gramStart"/>
      <w:r w:rsidRPr="0002201A">
        <w:rPr>
          <w:rFonts w:ascii="標楷體" w:eastAsia="標楷體" w:hAnsi="標楷體"/>
        </w:rPr>
        <w:t>研</w:t>
      </w:r>
      <w:proofErr w:type="gramEnd"/>
      <w:r w:rsidRPr="0002201A">
        <w:rPr>
          <w:rFonts w:ascii="標楷體" w:eastAsia="標楷體" w:hAnsi="標楷體"/>
        </w:rPr>
        <w:t>商可行作法</w:t>
      </w:r>
    </w:p>
    <w:p w:rsidR="0002201A" w:rsidRPr="0002201A" w:rsidRDefault="0002201A" w:rsidP="0002201A">
      <w:pPr>
        <w:pStyle w:val="ae"/>
        <w:numPr>
          <w:ilvl w:val="0"/>
          <w:numId w:val="16"/>
        </w:numPr>
        <w:ind w:leftChars="0"/>
        <w:rPr>
          <w:rFonts w:ascii="標楷體" w:eastAsia="標楷體" w:hAnsi="標楷體"/>
          <w:szCs w:val="24"/>
          <w:u w:val="single"/>
        </w:rPr>
      </w:pPr>
      <w:r w:rsidRPr="0002201A">
        <w:rPr>
          <w:rFonts w:ascii="標楷體" w:eastAsia="標楷體" w:hAnsi="標楷體"/>
        </w:rPr>
        <w:t>對於國內金融機構目前仍無法提供之商品，亦將進一步</w:t>
      </w:r>
      <w:proofErr w:type="gramStart"/>
      <w:r w:rsidRPr="0002201A">
        <w:rPr>
          <w:rFonts w:ascii="標楷體" w:eastAsia="標楷體" w:hAnsi="標楷體"/>
        </w:rPr>
        <w:t>研</w:t>
      </w:r>
      <w:proofErr w:type="gramEnd"/>
      <w:r w:rsidRPr="0002201A">
        <w:rPr>
          <w:rFonts w:ascii="標楷體" w:eastAsia="標楷體" w:hAnsi="標楷體"/>
        </w:rPr>
        <w:t>議透過鼓勵國內大型金融機構轉投資或</w:t>
      </w:r>
      <w:proofErr w:type="gramStart"/>
      <w:r w:rsidRPr="0002201A">
        <w:rPr>
          <w:rFonts w:ascii="標楷體" w:eastAsia="標楷體" w:hAnsi="標楷體"/>
        </w:rPr>
        <w:t>併</w:t>
      </w:r>
      <w:proofErr w:type="gramEnd"/>
      <w:r w:rsidRPr="0002201A">
        <w:rPr>
          <w:rFonts w:ascii="標楷體" w:eastAsia="標楷體" w:hAnsi="標楷體"/>
        </w:rPr>
        <w:t>購國外金融機構，將相關金融商品引進國內，以強化國內金融機構之新金融商品研發能力。</w:t>
      </w:r>
    </w:p>
    <w:p w:rsidR="0002201A" w:rsidRDefault="0002201A">
      <w:pPr>
        <w:rPr>
          <w:rFonts w:ascii="標楷體" w:eastAsia="標楷體" w:hAnsi="標楷體"/>
          <w:szCs w:val="24"/>
        </w:rPr>
      </w:pPr>
    </w:p>
    <w:p w:rsidR="004B2D1C" w:rsidRPr="0002201A" w:rsidRDefault="004B2D1C">
      <w:pPr>
        <w:rPr>
          <w:rFonts w:ascii="標楷體" w:eastAsia="標楷體" w:hAnsi="標楷體"/>
          <w:szCs w:val="24"/>
        </w:rPr>
      </w:pPr>
    </w:p>
    <w:p w:rsidR="004B2D1C" w:rsidRDefault="004B2D1C">
      <w:pPr>
        <w:rPr>
          <w:rFonts w:ascii="標楷體" w:eastAsia="標楷體" w:hAnsi="標楷體"/>
          <w:szCs w:val="24"/>
        </w:rPr>
      </w:pPr>
    </w:p>
    <w:p w:rsidR="004B2D1C" w:rsidRDefault="004B2D1C">
      <w:pPr>
        <w:rPr>
          <w:rFonts w:ascii="標楷體" w:eastAsia="標楷體" w:hAnsi="標楷體"/>
          <w:szCs w:val="24"/>
        </w:rPr>
      </w:pPr>
    </w:p>
    <w:p w:rsidR="004B2D1C" w:rsidRDefault="004B2D1C">
      <w:pPr>
        <w:rPr>
          <w:rFonts w:ascii="標楷體" w:eastAsia="標楷體" w:hAnsi="標楷體"/>
          <w:szCs w:val="24"/>
        </w:rPr>
      </w:pPr>
    </w:p>
    <w:p w:rsidR="007039BD" w:rsidRDefault="007039BD">
      <w:pPr>
        <w:rPr>
          <w:rFonts w:ascii="標楷體" w:eastAsia="標楷體" w:hAnsi="標楷體"/>
          <w:szCs w:val="24"/>
        </w:rPr>
      </w:pPr>
    </w:p>
    <w:p w:rsidR="00652F4D" w:rsidRDefault="00652F4D">
      <w:pPr>
        <w:rPr>
          <w:rFonts w:ascii="標楷體" w:eastAsia="標楷體" w:hAnsi="標楷體"/>
          <w:szCs w:val="24"/>
        </w:rPr>
      </w:pPr>
    </w:p>
    <w:p w:rsidR="00F81B2F" w:rsidRDefault="00F81B2F">
      <w:pPr>
        <w:rPr>
          <w:rFonts w:ascii="標楷體" w:eastAsia="標楷體" w:hAnsi="標楷體"/>
          <w:szCs w:val="24"/>
        </w:rPr>
      </w:pPr>
    </w:p>
    <w:p w:rsidR="00F81B2F" w:rsidRDefault="00F81B2F">
      <w:pPr>
        <w:rPr>
          <w:rFonts w:ascii="標楷體" w:eastAsia="標楷體" w:hAnsi="標楷體"/>
          <w:szCs w:val="24"/>
        </w:rPr>
      </w:pPr>
    </w:p>
    <w:p w:rsidR="00F81B2F" w:rsidRDefault="00F81B2F">
      <w:pPr>
        <w:rPr>
          <w:rFonts w:ascii="標楷體" w:eastAsia="標楷體" w:hAnsi="標楷體"/>
          <w:szCs w:val="24"/>
        </w:rPr>
      </w:pPr>
    </w:p>
    <w:p w:rsidR="00F81B2F" w:rsidRDefault="00F81B2F">
      <w:pPr>
        <w:rPr>
          <w:rFonts w:ascii="標楷體" w:eastAsia="標楷體" w:hAnsi="標楷體"/>
          <w:szCs w:val="24"/>
        </w:rPr>
      </w:pPr>
    </w:p>
    <w:p w:rsidR="00F81B2F" w:rsidRDefault="00F81B2F">
      <w:pPr>
        <w:rPr>
          <w:rFonts w:ascii="標楷體" w:eastAsia="標楷體" w:hAnsi="標楷體"/>
          <w:szCs w:val="24"/>
        </w:rPr>
      </w:pPr>
    </w:p>
    <w:p w:rsidR="00F81B2F" w:rsidRPr="00600D15" w:rsidRDefault="00F81B2F">
      <w:pPr>
        <w:rPr>
          <w:rFonts w:ascii="標楷體" w:eastAsia="標楷體" w:hAnsi="標楷體"/>
          <w:szCs w:val="24"/>
        </w:rPr>
      </w:pPr>
    </w:p>
    <w:p w:rsidR="0029551C" w:rsidRDefault="0029551C">
      <w:pPr>
        <w:rPr>
          <w:rFonts w:ascii="標楷體" w:eastAsia="標楷體" w:hAnsi="標楷體"/>
          <w:szCs w:val="24"/>
        </w:rPr>
      </w:pPr>
      <w:r w:rsidRPr="00600D15">
        <w:rPr>
          <w:rFonts w:ascii="標楷體" w:eastAsia="標楷體" w:hAnsi="標楷體" w:hint="eastAsia"/>
          <w:szCs w:val="24"/>
        </w:rPr>
        <w:lastRenderedPageBreak/>
        <w:t>投資標的篩選</w:t>
      </w:r>
      <w:r w:rsidR="005D1380" w:rsidRPr="00600D15">
        <w:rPr>
          <w:rFonts w:ascii="標楷體" w:eastAsia="標楷體" w:hAnsi="標楷體"/>
          <w:szCs w:val="24"/>
        </w:rPr>
        <w:t>，</w:t>
      </w:r>
      <w:r w:rsidRPr="00600D15">
        <w:rPr>
          <w:rFonts w:ascii="標楷體" w:eastAsia="標楷體" w:hAnsi="標楷體" w:hint="eastAsia"/>
          <w:szCs w:val="24"/>
        </w:rPr>
        <w:t>外幣債券</w:t>
      </w:r>
    </w:p>
    <w:p w:rsidR="00BE413C" w:rsidRPr="00600D15" w:rsidRDefault="00BE413C">
      <w:pPr>
        <w:rPr>
          <w:rFonts w:ascii="標楷體" w:eastAsia="標楷體" w:hAnsi="標楷體"/>
          <w:szCs w:val="24"/>
        </w:rPr>
      </w:pPr>
    </w:p>
    <w:p w:rsidR="0029551C" w:rsidRPr="00600D15" w:rsidRDefault="0029551C">
      <w:pPr>
        <w:rPr>
          <w:rFonts w:ascii="標楷體" w:eastAsia="標楷體" w:hAnsi="標楷體"/>
          <w:b/>
          <w:szCs w:val="24"/>
        </w:rPr>
      </w:pPr>
      <w:r w:rsidRPr="00600D15">
        <w:rPr>
          <w:rFonts w:ascii="標楷體" w:eastAsia="標楷體" w:hAnsi="標楷體" w:hint="eastAsia"/>
          <w:b/>
          <w:szCs w:val="24"/>
        </w:rPr>
        <w:t>人民幣籌資比較</w:t>
      </w:r>
    </w:p>
    <w:tbl>
      <w:tblPr>
        <w:tblStyle w:val="a3"/>
        <w:tblW w:w="0" w:type="auto"/>
        <w:tblLook w:val="04A0" w:firstRow="1" w:lastRow="0" w:firstColumn="1" w:lastColumn="0" w:noHBand="0" w:noVBand="1"/>
      </w:tblPr>
      <w:tblGrid>
        <w:gridCol w:w="2765"/>
        <w:gridCol w:w="2765"/>
        <w:gridCol w:w="2766"/>
      </w:tblGrid>
      <w:tr w:rsidR="0029551C" w:rsidRPr="00600D15" w:rsidTr="0029551C">
        <w:tc>
          <w:tcPr>
            <w:tcW w:w="2765" w:type="dxa"/>
          </w:tcPr>
          <w:p w:rsidR="0029551C" w:rsidRPr="00600D15" w:rsidRDefault="0029551C">
            <w:pPr>
              <w:rPr>
                <w:rFonts w:ascii="標楷體" w:eastAsia="標楷體" w:hAnsi="標楷體"/>
                <w:szCs w:val="24"/>
              </w:rPr>
            </w:pPr>
          </w:p>
        </w:tc>
        <w:tc>
          <w:tcPr>
            <w:tcW w:w="2765" w:type="dxa"/>
          </w:tcPr>
          <w:p w:rsidR="0029551C" w:rsidRPr="00600D15" w:rsidRDefault="0029551C">
            <w:pPr>
              <w:rPr>
                <w:rFonts w:ascii="標楷體" w:eastAsia="標楷體" w:hAnsi="標楷體"/>
                <w:szCs w:val="24"/>
              </w:rPr>
            </w:pPr>
            <w:r w:rsidRPr="00600D15">
              <w:rPr>
                <w:rFonts w:ascii="標楷體" w:eastAsia="標楷體" w:hAnsi="標楷體" w:hint="eastAsia"/>
                <w:szCs w:val="24"/>
              </w:rPr>
              <w:t>商品組(佳燕)</w:t>
            </w:r>
          </w:p>
        </w:tc>
        <w:tc>
          <w:tcPr>
            <w:tcW w:w="2766" w:type="dxa"/>
          </w:tcPr>
          <w:p w:rsidR="0029551C" w:rsidRPr="00600D15" w:rsidRDefault="0029551C">
            <w:pPr>
              <w:rPr>
                <w:rFonts w:ascii="標楷體" w:eastAsia="標楷體" w:hAnsi="標楷體"/>
                <w:szCs w:val="24"/>
              </w:rPr>
            </w:pPr>
            <w:r w:rsidRPr="00600D15">
              <w:rPr>
                <w:rFonts w:ascii="標楷體" w:eastAsia="標楷體" w:hAnsi="標楷體" w:hint="eastAsia"/>
                <w:szCs w:val="24"/>
              </w:rPr>
              <w:t>外債交易(語</w:t>
            </w:r>
            <w:proofErr w:type="gramStart"/>
            <w:r w:rsidRPr="00600D15">
              <w:rPr>
                <w:rFonts w:ascii="標楷體" w:eastAsia="標楷體" w:hAnsi="標楷體" w:hint="eastAsia"/>
                <w:szCs w:val="24"/>
              </w:rPr>
              <w:t>彤</w:t>
            </w:r>
            <w:proofErr w:type="gramEnd"/>
            <w:r w:rsidRPr="00600D15">
              <w:rPr>
                <w:rFonts w:ascii="標楷體" w:eastAsia="標楷體" w:hAnsi="標楷體" w:hint="eastAsia"/>
                <w:szCs w:val="24"/>
              </w:rPr>
              <w:t>)</w:t>
            </w:r>
          </w:p>
        </w:tc>
      </w:tr>
      <w:tr w:rsidR="0029551C" w:rsidRPr="00600D15" w:rsidTr="0029551C">
        <w:tc>
          <w:tcPr>
            <w:tcW w:w="2765" w:type="dxa"/>
          </w:tcPr>
          <w:p w:rsidR="0029551C" w:rsidRPr="00600D15" w:rsidRDefault="0029551C">
            <w:pPr>
              <w:rPr>
                <w:rFonts w:ascii="標楷體" w:eastAsia="標楷體" w:hAnsi="標楷體"/>
                <w:szCs w:val="24"/>
              </w:rPr>
            </w:pPr>
            <w:r w:rsidRPr="00600D15">
              <w:rPr>
                <w:rFonts w:ascii="標楷體" w:eastAsia="標楷體" w:hAnsi="標楷體" w:hint="eastAsia"/>
                <w:szCs w:val="24"/>
              </w:rPr>
              <w:t>對象</w:t>
            </w:r>
          </w:p>
        </w:tc>
        <w:tc>
          <w:tcPr>
            <w:tcW w:w="2765" w:type="dxa"/>
          </w:tcPr>
          <w:p w:rsidR="0029551C" w:rsidRPr="00600D15" w:rsidRDefault="00354F27">
            <w:pPr>
              <w:rPr>
                <w:rFonts w:ascii="標楷體" w:eastAsia="標楷體" w:hAnsi="標楷體"/>
                <w:szCs w:val="24"/>
              </w:rPr>
            </w:pPr>
            <w:r>
              <w:rPr>
                <w:rFonts w:ascii="標楷體" w:eastAsia="標楷體" w:hAnsi="標楷體" w:hint="eastAsia"/>
                <w:szCs w:val="24"/>
              </w:rPr>
              <w:t>自然人(40%)、法人(60%)</w:t>
            </w:r>
          </w:p>
        </w:tc>
        <w:tc>
          <w:tcPr>
            <w:tcW w:w="2766" w:type="dxa"/>
          </w:tcPr>
          <w:p w:rsidR="0029551C" w:rsidRPr="00600D15" w:rsidRDefault="0029551C">
            <w:pPr>
              <w:rPr>
                <w:rFonts w:ascii="標楷體" w:eastAsia="標楷體" w:hAnsi="標楷體"/>
                <w:szCs w:val="24"/>
              </w:rPr>
            </w:pPr>
            <w:r w:rsidRPr="00600D15">
              <w:rPr>
                <w:rFonts w:ascii="標楷體" w:eastAsia="標楷體" w:hAnsi="標楷體" w:hint="eastAsia"/>
                <w:szCs w:val="24"/>
              </w:rPr>
              <w:t>法人</w:t>
            </w:r>
            <w:r w:rsidR="005D1380" w:rsidRPr="00600D15">
              <w:rPr>
                <w:rFonts w:ascii="標楷體" w:eastAsia="標楷體" w:hAnsi="標楷體"/>
                <w:szCs w:val="24"/>
              </w:rPr>
              <w:t>，</w:t>
            </w:r>
            <w:r w:rsidRPr="00600D15">
              <w:rPr>
                <w:rFonts w:ascii="標楷體" w:eastAsia="標楷體" w:hAnsi="標楷體" w:hint="eastAsia"/>
                <w:szCs w:val="24"/>
              </w:rPr>
              <w:t>投信</w:t>
            </w:r>
          </w:p>
        </w:tc>
      </w:tr>
      <w:tr w:rsidR="0029551C" w:rsidRPr="00600D15" w:rsidTr="0029551C">
        <w:tc>
          <w:tcPr>
            <w:tcW w:w="2765" w:type="dxa"/>
          </w:tcPr>
          <w:p w:rsidR="0029551C" w:rsidRPr="00600D15" w:rsidRDefault="0029551C">
            <w:pPr>
              <w:rPr>
                <w:rFonts w:ascii="標楷體" w:eastAsia="標楷體" w:hAnsi="標楷體"/>
                <w:szCs w:val="24"/>
              </w:rPr>
            </w:pPr>
            <w:r w:rsidRPr="00600D15">
              <w:rPr>
                <w:rFonts w:ascii="標楷體" w:eastAsia="標楷體" w:hAnsi="標楷體" w:hint="eastAsia"/>
                <w:szCs w:val="24"/>
              </w:rPr>
              <w:t>方式</w:t>
            </w:r>
          </w:p>
        </w:tc>
        <w:tc>
          <w:tcPr>
            <w:tcW w:w="2765" w:type="dxa"/>
          </w:tcPr>
          <w:p w:rsidR="0029551C" w:rsidRPr="00600D15" w:rsidRDefault="0029551C">
            <w:pPr>
              <w:rPr>
                <w:rFonts w:ascii="標楷體" w:eastAsia="標楷體" w:hAnsi="標楷體"/>
                <w:szCs w:val="24"/>
              </w:rPr>
            </w:pPr>
            <w:r w:rsidRPr="00600D15">
              <w:rPr>
                <w:rFonts w:ascii="標楷體" w:eastAsia="標楷體" w:hAnsi="標楷體" w:hint="eastAsia"/>
                <w:szCs w:val="24"/>
              </w:rPr>
              <w:t>PGN人民幣保本型商品</w:t>
            </w:r>
          </w:p>
        </w:tc>
        <w:tc>
          <w:tcPr>
            <w:tcW w:w="2766" w:type="dxa"/>
          </w:tcPr>
          <w:p w:rsidR="0029551C" w:rsidRPr="00600D15" w:rsidRDefault="0029551C">
            <w:pPr>
              <w:rPr>
                <w:rFonts w:ascii="標楷體" w:eastAsia="標楷體" w:hAnsi="標楷體"/>
                <w:szCs w:val="24"/>
              </w:rPr>
            </w:pPr>
            <w:r w:rsidRPr="00600D15">
              <w:rPr>
                <w:rFonts w:ascii="標楷體" w:eastAsia="標楷體" w:hAnsi="標楷體" w:hint="eastAsia"/>
                <w:szCs w:val="24"/>
              </w:rPr>
              <w:t>RP</w:t>
            </w:r>
            <w:r w:rsidR="005D1380" w:rsidRPr="00600D15">
              <w:rPr>
                <w:rFonts w:ascii="標楷體" w:eastAsia="標楷體" w:hAnsi="標楷體"/>
                <w:szCs w:val="24"/>
              </w:rPr>
              <w:t>，</w:t>
            </w:r>
            <w:r w:rsidR="00F761E4" w:rsidRPr="00600D15">
              <w:rPr>
                <w:rFonts w:ascii="標楷體" w:eastAsia="標楷體" w:hAnsi="標楷體" w:hint="eastAsia"/>
                <w:szCs w:val="24"/>
              </w:rPr>
              <w:t>財務部資金調度</w:t>
            </w:r>
          </w:p>
        </w:tc>
      </w:tr>
      <w:tr w:rsidR="0029551C" w:rsidRPr="00600D15" w:rsidTr="0029551C">
        <w:tc>
          <w:tcPr>
            <w:tcW w:w="2765" w:type="dxa"/>
          </w:tcPr>
          <w:p w:rsidR="0029551C" w:rsidRPr="00600D15" w:rsidRDefault="0029551C">
            <w:pPr>
              <w:rPr>
                <w:rFonts w:ascii="標楷體" w:eastAsia="標楷體" w:hAnsi="標楷體"/>
                <w:szCs w:val="24"/>
              </w:rPr>
            </w:pPr>
            <w:r w:rsidRPr="00600D15">
              <w:rPr>
                <w:rFonts w:ascii="標楷體" w:eastAsia="標楷體" w:hAnsi="標楷體" w:hint="eastAsia"/>
                <w:szCs w:val="24"/>
              </w:rPr>
              <w:t>交易量</w:t>
            </w:r>
          </w:p>
        </w:tc>
        <w:tc>
          <w:tcPr>
            <w:tcW w:w="2765" w:type="dxa"/>
          </w:tcPr>
          <w:p w:rsidR="00354F27" w:rsidRPr="00074A3E" w:rsidRDefault="0029551C">
            <w:pPr>
              <w:rPr>
                <w:rFonts w:ascii="標楷體" w:eastAsia="標楷體" w:hAnsi="標楷體"/>
                <w:szCs w:val="24"/>
              </w:rPr>
            </w:pPr>
            <w:r w:rsidRPr="00074A3E">
              <w:rPr>
                <w:rFonts w:ascii="標楷體" w:eastAsia="標楷體" w:hAnsi="標楷體" w:hint="eastAsia"/>
                <w:szCs w:val="24"/>
              </w:rPr>
              <w:t>小</w:t>
            </w:r>
            <w:r w:rsidR="005D1380" w:rsidRPr="00074A3E">
              <w:rPr>
                <w:rFonts w:ascii="標楷體" w:eastAsia="標楷體" w:hAnsi="標楷體" w:hint="eastAsia"/>
                <w:szCs w:val="24"/>
              </w:rPr>
              <w:t>，</w:t>
            </w:r>
            <w:r w:rsidRPr="00074A3E">
              <w:rPr>
                <w:rFonts w:ascii="標楷體" w:eastAsia="標楷體" w:hAnsi="標楷體" w:hint="eastAsia"/>
                <w:szCs w:val="24"/>
              </w:rPr>
              <w:t>但相對穩定</w:t>
            </w:r>
          </w:p>
        </w:tc>
        <w:tc>
          <w:tcPr>
            <w:tcW w:w="2766" w:type="dxa"/>
          </w:tcPr>
          <w:p w:rsidR="0029551C" w:rsidRPr="00074A3E" w:rsidRDefault="0029551C">
            <w:pPr>
              <w:rPr>
                <w:rFonts w:ascii="標楷體" w:eastAsia="標楷體" w:hAnsi="標楷體"/>
                <w:szCs w:val="24"/>
              </w:rPr>
            </w:pPr>
            <w:r w:rsidRPr="00074A3E">
              <w:rPr>
                <w:rFonts w:ascii="標楷體" w:eastAsia="標楷體" w:hAnsi="標楷體" w:hint="eastAsia"/>
                <w:szCs w:val="24"/>
              </w:rPr>
              <w:t>大</w:t>
            </w:r>
            <w:r w:rsidR="005D1380" w:rsidRPr="00074A3E">
              <w:rPr>
                <w:rFonts w:ascii="標楷體" w:eastAsia="標楷體" w:hAnsi="標楷體" w:hint="eastAsia"/>
                <w:szCs w:val="24"/>
              </w:rPr>
              <w:t>，</w:t>
            </w:r>
            <w:r w:rsidRPr="00074A3E">
              <w:rPr>
                <w:rFonts w:ascii="標楷體" w:eastAsia="標楷體" w:hAnsi="標楷體" w:hint="eastAsia"/>
                <w:szCs w:val="24"/>
              </w:rPr>
              <w:t>但波動大</w:t>
            </w:r>
          </w:p>
        </w:tc>
      </w:tr>
      <w:tr w:rsidR="0029551C" w:rsidRPr="00600D15" w:rsidTr="0029551C">
        <w:tc>
          <w:tcPr>
            <w:tcW w:w="2765" w:type="dxa"/>
          </w:tcPr>
          <w:p w:rsidR="0029551C" w:rsidRPr="00600D15" w:rsidRDefault="0029551C">
            <w:pPr>
              <w:rPr>
                <w:rFonts w:ascii="標楷體" w:eastAsia="標楷體" w:hAnsi="標楷體"/>
                <w:szCs w:val="24"/>
              </w:rPr>
            </w:pPr>
            <w:r w:rsidRPr="00600D15">
              <w:rPr>
                <w:rFonts w:ascii="標楷體" w:eastAsia="標楷體" w:hAnsi="標楷體" w:hint="eastAsia"/>
                <w:szCs w:val="24"/>
              </w:rPr>
              <w:t>資金成本</w:t>
            </w:r>
          </w:p>
        </w:tc>
        <w:tc>
          <w:tcPr>
            <w:tcW w:w="2765" w:type="dxa"/>
          </w:tcPr>
          <w:p w:rsidR="00A15564" w:rsidRDefault="00A15564">
            <w:pPr>
              <w:rPr>
                <w:rFonts w:ascii="標楷體" w:eastAsia="標楷體" w:hAnsi="標楷體"/>
                <w:szCs w:val="24"/>
              </w:rPr>
            </w:pPr>
            <w:r>
              <w:rPr>
                <w:rFonts w:ascii="標楷體" w:eastAsia="標楷體" w:hAnsi="標楷體" w:hint="eastAsia"/>
                <w:szCs w:val="24"/>
              </w:rPr>
              <w:t>60天:2.6%</w:t>
            </w:r>
          </w:p>
          <w:p w:rsidR="007061E3" w:rsidRDefault="0029551C">
            <w:pPr>
              <w:rPr>
                <w:rFonts w:ascii="標楷體" w:eastAsia="標楷體" w:hAnsi="標楷體"/>
                <w:szCs w:val="24"/>
              </w:rPr>
            </w:pPr>
            <w:r w:rsidRPr="00600D15">
              <w:rPr>
                <w:rFonts w:ascii="標楷體" w:eastAsia="標楷體" w:hAnsi="標楷體" w:hint="eastAsia"/>
                <w:szCs w:val="24"/>
              </w:rPr>
              <w:t>90天:</w:t>
            </w:r>
            <w:r w:rsidR="00354F27">
              <w:rPr>
                <w:rFonts w:ascii="標楷體" w:eastAsia="標楷體" w:hAnsi="標楷體" w:hint="eastAsia"/>
                <w:szCs w:val="24"/>
              </w:rPr>
              <w:t>2.8%</w:t>
            </w:r>
          </w:p>
          <w:p w:rsidR="00354F27" w:rsidRPr="00600D15" w:rsidRDefault="00354F27">
            <w:pPr>
              <w:rPr>
                <w:rFonts w:ascii="標楷體" w:eastAsia="標楷體" w:hAnsi="標楷體"/>
                <w:szCs w:val="24"/>
              </w:rPr>
            </w:pPr>
            <w:r>
              <w:rPr>
                <w:rFonts w:ascii="標楷體" w:eastAsia="標楷體" w:hAnsi="標楷體" w:hint="eastAsia"/>
                <w:szCs w:val="24"/>
              </w:rPr>
              <w:t>180天:3%</w:t>
            </w:r>
          </w:p>
          <w:p w:rsidR="0029551C" w:rsidRPr="00600D15" w:rsidRDefault="0029551C">
            <w:pPr>
              <w:rPr>
                <w:rFonts w:ascii="標楷體" w:eastAsia="標楷體" w:hAnsi="標楷體"/>
                <w:szCs w:val="24"/>
              </w:rPr>
            </w:pPr>
            <w:r w:rsidRPr="00600D15">
              <w:rPr>
                <w:rFonts w:ascii="標楷體" w:eastAsia="標楷體" w:hAnsi="標楷體" w:hint="eastAsia"/>
                <w:szCs w:val="24"/>
              </w:rPr>
              <w:t>1年:</w:t>
            </w:r>
            <w:r w:rsidR="00354F27">
              <w:rPr>
                <w:rFonts w:ascii="標楷體" w:eastAsia="標楷體" w:hAnsi="標楷體" w:hint="eastAsia"/>
                <w:szCs w:val="24"/>
              </w:rPr>
              <w:t>3.2%</w:t>
            </w:r>
          </w:p>
        </w:tc>
        <w:tc>
          <w:tcPr>
            <w:tcW w:w="2766" w:type="dxa"/>
          </w:tcPr>
          <w:p w:rsidR="0029551C" w:rsidRPr="00600D15" w:rsidRDefault="0029551C" w:rsidP="0029551C">
            <w:pPr>
              <w:rPr>
                <w:rFonts w:ascii="標楷體" w:eastAsia="標楷體" w:hAnsi="標楷體"/>
                <w:szCs w:val="24"/>
              </w:rPr>
            </w:pPr>
            <w:r w:rsidRPr="00600D15">
              <w:rPr>
                <w:rFonts w:ascii="標楷體" w:eastAsia="標楷體" w:hAnsi="標楷體" w:hint="eastAsia"/>
                <w:szCs w:val="24"/>
              </w:rPr>
              <w:t>30天:</w:t>
            </w:r>
          </w:p>
          <w:p w:rsidR="0029551C" w:rsidRPr="00600D15" w:rsidRDefault="0029551C" w:rsidP="0029551C">
            <w:pPr>
              <w:rPr>
                <w:rFonts w:ascii="標楷體" w:eastAsia="標楷體" w:hAnsi="標楷體"/>
                <w:szCs w:val="24"/>
              </w:rPr>
            </w:pPr>
            <w:r w:rsidRPr="00600D15">
              <w:rPr>
                <w:rFonts w:ascii="標楷體" w:eastAsia="標楷體" w:hAnsi="標楷體" w:hint="eastAsia"/>
                <w:szCs w:val="24"/>
              </w:rPr>
              <w:t>60天:</w:t>
            </w:r>
          </w:p>
          <w:p w:rsidR="0029551C" w:rsidRPr="00600D15" w:rsidRDefault="0029551C" w:rsidP="0029551C">
            <w:pPr>
              <w:rPr>
                <w:rFonts w:ascii="標楷體" w:eastAsia="標楷體" w:hAnsi="標楷體"/>
                <w:szCs w:val="24"/>
              </w:rPr>
            </w:pPr>
            <w:r w:rsidRPr="00600D15">
              <w:rPr>
                <w:rFonts w:ascii="標楷體" w:eastAsia="標楷體" w:hAnsi="標楷體" w:hint="eastAsia"/>
                <w:szCs w:val="24"/>
              </w:rPr>
              <w:t>90天:</w:t>
            </w:r>
          </w:p>
          <w:p w:rsidR="0029551C" w:rsidRPr="00600D15" w:rsidRDefault="0029551C" w:rsidP="0029551C">
            <w:pPr>
              <w:rPr>
                <w:rFonts w:ascii="標楷體" w:eastAsia="標楷體" w:hAnsi="標楷體"/>
                <w:szCs w:val="24"/>
              </w:rPr>
            </w:pPr>
            <w:r w:rsidRPr="00600D15">
              <w:rPr>
                <w:rFonts w:ascii="標楷體" w:eastAsia="標楷體" w:hAnsi="標楷體" w:hint="eastAsia"/>
                <w:szCs w:val="24"/>
              </w:rPr>
              <w:t>1年:</w:t>
            </w:r>
          </w:p>
        </w:tc>
      </w:tr>
      <w:tr w:rsidR="0029551C" w:rsidRPr="00600D15" w:rsidTr="0029551C">
        <w:tc>
          <w:tcPr>
            <w:tcW w:w="2765" w:type="dxa"/>
          </w:tcPr>
          <w:p w:rsidR="0029551C" w:rsidRPr="00600D15" w:rsidRDefault="0029551C">
            <w:pPr>
              <w:rPr>
                <w:rFonts w:ascii="標楷體" w:eastAsia="標楷體" w:hAnsi="標楷體"/>
                <w:szCs w:val="24"/>
              </w:rPr>
            </w:pPr>
            <w:r w:rsidRPr="00600D15">
              <w:rPr>
                <w:rFonts w:ascii="標楷體" w:eastAsia="標楷體" w:hAnsi="標楷體" w:hint="eastAsia"/>
                <w:szCs w:val="24"/>
              </w:rPr>
              <w:t>議價能力</w:t>
            </w:r>
          </w:p>
        </w:tc>
        <w:tc>
          <w:tcPr>
            <w:tcW w:w="2765" w:type="dxa"/>
          </w:tcPr>
          <w:p w:rsidR="0029551C" w:rsidRPr="00600D15" w:rsidRDefault="0029551C">
            <w:pPr>
              <w:rPr>
                <w:rFonts w:ascii="標楷體" w:eastAsia="標楷體" w:hAnsi="標楷體"/>
                <w:szCs w:val="24"/>
              </w:rPr>
            </w:pPr>
            <w:r w:rsidRPr="00600D15">
              <w:rPr>
                <w:rFonts w:ascii="標楷體" w:eastAsia="標楷體" w:hAnsi="標楷體" w:hint="eastAsia"/>
                <w:szCs w:val="24"/>
              </w:rPr>
              <w:t>散戶較低</w:t>
            </w:r>
          </w:p>
        </w:tc>
        <w:tc>
          <w:tcPr>
            <w:tcW w:w="2766" w:type="dxa"/>
          </w:tcPr>
          <w:p w:rsidR="0029551C" w:rsidRPr="00600D15" w:rsidRDefault="0029551C">
            <w:pPr>
              <w:rPr>
                <w:rFonts w:ascii="標楷體" w:eastAsia="標楷體" w:hAnsi="標楷體"/>
                <w:szCs w:val="24"/>
              </w:rPr>
            </w:pPr>
            <w:r w:rsidRPr="00600D15">
              <w:rPr>
                <w:rFonts w:ascii="標楷體" w:eastAsia="標楷體" w:hAnsi="標楷體" w:hint="eastAsia"/>
                <w:szCs w:val="24"/>
              </w:rPr>
              <w:t>投信議價能力高</w:t>
            </w:r>
          </w:p>
        </w:tc>
      </w:tr>
    </w:tbl>
    <w:p w:rsidR="0029551C" w:rsidRPr="00600D15" w:rsidRDefault="0029551C">
      <w:pPr>
        <w:rPr>
          <w:rFonts w:ascii="標楷體" w:eastAsia="標楷體" w:hAnsi="標楷體"/>
          <w:szCs w:val="24"/>
        </w:rPr>
      </w:pPr>
      <w:r w:rsidRPr="00600D15">
        <w:rPr>
          <w:rFonts w:ascii="標楷體" w:eastAsia="標楷體" w:hAnsi="標楷體" w:hint="eastAsia"/>
          <w:szCs w:val="24"/>
        </w:rPr>
        <w:t>提升散戶人民幣</w:t>
      </w:r>
      <w:proofErr w:type="gramStart"/>
      <w:r w:rsidRPr="00600D15">
        <w:rPr>
          <w:rFonts w:ascii="標楷體" w:eastAsia="標楷體" w:hAnsi="標楷體" w:hint="eastAsia"/>
          <w:szCs w:val="24"/>
        </w:rPr>
        <w:t>籌資量</w:t>
      </w:r>
      <w:proofErr w:type="gramEnd"/>
      <w:r w:rsidR="005D1380" w:rsidRPr="00600D15">
        <w:rPr>
          <w:rFonts w:ascii="標楷體" w:eastAsia="標楷體" w:hAnsi="標楷體" w:hint="eastAsia"/>
          <w:szCs w:val="24"/>
        </w:rPr>
        <w:t>，</w:t>
      </w:r>
      <w:r w:rsidRPr="00600D15">
        <w:rPr>
          <w:rFonts w:ascii="標楷體" w:eastAsia="標楷體" w:hAnsi="標楷體" w:hint="eastAsia"/>
          <w:szCs w:val="24"/>
        </w:rPr>
        <w:t>成為目前商品組主要業務也是資金來源重要管道</w:t>
      </w:r>
      <w:r w:rsidR="005D1380" w:rsidRPr="00600D15">
        <w:rPr>
          <w:rFonts w:ascii="標楷體" w:eastAsia="標楷體" w:hAnsi="標楷體" w:hint="eastAsia"/>
          <w:szCs w:val="24"/>
        </w:rPr>
        <w:t>，</w:t>
      </w:r>
      <w:r w:rsidRPr="00600D15">
        <w:rPr>
          <w:rFonts w:ascii="標楷體" w:eastAsia="標楷體" w:hAnsi="標楷體" w:hint="eastAsia"/>
          <w:szCs w:val="24"/>
        </w:rPr>
        <w:t>但散</w:t>
      </w:r>
      <w:r w:rsidR="00CD2780" w:rsidRPr="00600D15">
        <w:rPr>
          <w:rFonts w:ascii="標楷體" w:eastAsia="標楷體" w:hAnsi="標楷體" w:hint="eastAsia"/>
          <w:szCs w:val="24"/>
        </w:rPr>
        <w:t>戶個人資金分散</w:t>
      </w:r>
      <w:r w:rsidR="005D1380" w:rsidRPr="00600D15">
        <w:rPr>
          <w:rFonts w:ascii="標楷體" w:eastAsia="標楷體" w:hAnsi="標楷體" w:hint="eastAsia"/>
          <w:szCs w:val="24"/>
        </w:rPr>
        <w:t>，</w:t>
      </w:r>
      <w:r w:rsidR="00CD2780" w:rsidRPr="00600D15">
        <w:rPr>
          <w:rFonts w:ascii="標楷體" w:eastAsia="標楷體" w:hAnsi="標楷體" w:hint="eastAsia"/>
          <w:szCs w:val="24"/>
        </w:rPr>
        <w:t>證券商無法得到客戶資金資產配置</w:t>
      </w:r>
      <w:r w:rsidR="00B145D8" w:rsidRPr="00600D15">
        <w:rPr>
          <w:rFonts w:ascii="標楷體" w:eastAsia="標楷體" w:hAnsi="標楷體" w:hint="eastAsia"/>
          <w:szCs w:val="24"/>
        </w:rPr>
        <w:t>資訊</w:t>
      </w:r>
      <w:r w:rsidR="007B17AD" w:rsidRPr="00600D15">
        <w:rPr>
          <w:rFonts w:ascii="標楷體" w:eastAsia="標楷體" w:hAnsi="標楷體" w:hint="eastAsia"/>
          <w:szCs w:val="24"/>
        </w:rPr>
        <w:t>。</w:t>
      </w:r>
      <w:r w:rsidR="00CD2780" w:rsidRPr="00600D15">
        <w:rPr>
          <w:rFonts w:ascii="標楷體" w:eastAsia="標楷體" w:hAnsi="標楷體" w:hint="eastAsia"/>
          <w:szCs w:val="24"/>
        </w:rPr>
        <w:t>目前吸引資金方式</w:t>
      </w:r>
      <w:r w:rsidR="005D1380" w:rsidRPr="00600D15">
        <w:rPr>
          <w:rFonts w:ascii="標楷體" w:eastAsia="標楷體" w:hAnsi="標楷體" w:hint="eastAsia"/>
          <w:szCs w:val="24"/>
        </w:rPr>
        <w:t>，</w:t>
      </w:r>
      <w:r w:rsidR="00CD2780" w:rsidRPr="00600D15">
        <w:rPr>
          <w:rFonts w:ascii="標楷體" w:eastAsia="標楷體" w:hAnsi="標楷體" w:hint="eastAsia"/>
          <w:szCs w:val="24"/>
        </w:rPr>
        <w:t>是透過高利率人民幣保本型</w:t>
      </w:r>
      <w:r w:rsidR="006A769D" w:rsidRPr="00600D15">
        <w:rPr>
          <w:rFonts w:ascii="標楷體" w:eastAsia="標楷體" w:hAnsi="標楷體" w:hint="eastAsia"/>
          <w:szCs w:val="24"/>
        </w:rPr>
        <w:t>PGN</w:t>
      </w:r>
      <w:r w:rsidR="00CD2780" w:rsidRPr="00600D15">
        <w:rPr>
          <w:rFonts w:ascii="標楷體" w:eastAsia="標楷體" w:hAnsi="標楷體" w:hint="eastAsia"/>
          <w:szCs w:val="24"/>
        </w:rPr>
        <w:t>商品</w:t>
      </w:r>
      <w:r w:rsidR="00CD2780" w:rsidRPr="00600D15">
        <w:rPr>
          <w:rStyle w:val="ad"/>
          <w:rFonts w:ascii="標楷體" w:eastAsia="標楷體" w:hAnsi="標楷體"/>
          <w:szCs w:val="24"/>
        </w:rPr>
        <w:footnoteReference w:id="1"/>
      </w:r>
      <w:r w:rsidR="00CD2780" w:rsidRPr="00600D15">
        <w:rPr>
          <w:rFonts w:ascii="標楷體" w:eastAsia="標楷體" w:hAnsi="標楷體" w:hint="eastAsia"/>
          <w:szCs w:val="24"/>
        </w:rPr>
        <w:t>(來吸引潛在專業投資人</w:t>
      </w:r>
      <w:r w:rsidR="005D1380" w:rsidRPr="00600D15">
        <w:rPr>
          <w:rFonts w:ascii="標楷體" w:eastAsia="標楷體" w:hAnsi="標楷體" w:hint="eastAsia"/>
          <w:szCs w:val="24"/>
        </w:rPr>
        <w:t>，</w:t>
      </w:r>
      <w:r w:rsidR="00CD2780" w:rsidRPr="00600D15">
        <w:rPr>
          <w:rFonts w:ascii="標楷體" w:eastAsia="標楷體" w:hAnsi="標楷體" w:hint="eastAsia"/>
          <w:szCs w:val="24"/>
        </w:rPr>
        <w:t>進一步再推薦其他衍生性金融商品</w:t>
      </w:r>
      <w:r w:rsidR="005D1380" w:rsidRPr="00600D15">
        <w:rPr>
          <w:rFonts w:ascii="標楷體" w:eastAsia="標楷體" w:hAnsi="標楷體" w:hint="eastAsia"/>
          <w:szCs w:val="24"/>
        </w:rPr>
        <w:t>，</w:t>
      </w:r>
      <w:r w:rsidR="00CD2780" w:rsidRPr="00600D15">
        <w:rPr>
          <w:rFonts w:ascii="標楷體" w:eastAsia="標楷體" w:hAnsi="標楷體" w:hint="eastAsia"/>
          <w:szCs w:val="24"/>
        </w:rPr>
        <w:t>並針對客戶需求做客製化服務</w:t>
      </w:r>
      <w:r w:rsidR="005D1380" w:rsidRPr="00600D15">
        <w:rPr>
          <w:rFonts w:ascii="標楷體" w:eastAsia="標楷體" w:hAnsi="標楷體" w:hint="eastAsia"/>
          <w:szCs w:val="24"/>
        </w:rPr>
        <w:t>，</w:t>
      </w:r>
      <w:r w:rsidR="006A769D" w:rsidRPr="00600D15">
        <w:rPr>
          <w:rFonts w:ascii="標楷體" w:eastAsia="標楷體" w:hAnsi="標楷體" w:hint="eastAsia"/>
          <w:szCs w:val="24"/>
        </w:rPr>
        <w:t>提供ELN商品(連結標的延伸至商品</w:t>
      </w:r>
      <w:r w:rsidR="005D1380" w:rsidRPr="00600D15">
        <w:rPr>
          <w:rFonts w:ascii="標楷體" w:eastAsia="標楷體" w:hAnsi="標楷體" w:hint="eastAsia"/>
          <w:szCs w:val="24"/>
        </w:rPr>
        <w:t>，</w:t>
      </w:r>
      <w:r w:rsidR="006A769D" w:rsidRPr="00600D15">
        <w:rPr>
          <w:rFonts w:ascii="標楷體" w:eastAsia="標楷體" w:hAnsi="標楷體" w:hint="eastAsia"/>
          <w:szCs w:val="24"/>
        </w:rPr>
        <w:t>黃金</w:t>
      </w:r>
      <w:r w:rsidR="005D1380" w:rsidRPr="00600D15">
        <w:rPr>
          <w:rFonts w:ascii="標楷體" w:eastAsia="標楷體" w:hAnsi="標楷體" w:hint="eastAsia"/>
          <w:szCs w:val="24"/>
        </w:rPr>
        <w:t>，</w:t>
      </w:r>
      <w:r w:rsidR="006A769D" w:rsidRPr="00600D15">
        <w:rPr>
          <w:rFonts w:ascii="標楷體" w:eastAsia="標楷體" w:hAnsi="標楷體" w:hint="eastAsia"/>
          <w:szCs w:val="24"/>
        </w:rPr>
        <w:t>基金)</w:t>
      </w:r>
      <w:r w:rsidR="007B17AD" w:rsidRPr="00600D15">
        <w:rPr>
          <w:rFonts w:ascii="標楷體" w:eastAsia="標楷體" w:hAnsi="標楷體"/>
          <w:szCs w:val="24"/>
        </w:rPr>
        <w:t>。</w:t>
      </w:r>
      <w:r w:rsidR="006A769D" w:rsidRPr="00600D15">
        <w:rPr>
          <w:rFonts w:ascii="標楷體" w:eastAsia="標楷體" w:hAnsi="標楷體" w:hint="eastAsia"/>
          <w:szCs w:val="24"/>
        </w:rPr>
        <w:t>針對高稅率</w:t>
      </w:r>
      <w:r w:rsidR="005D1380" w:rsidRPr="00600D15">
        <w:rPr>
          <w:rFonts w:ascii="標楷體" w:eastAsia="標楷體" w:hAnsi="標楷體" w:hint="eastAsia"/>
          <w:szCs w:val="24"/>
        </w:rPr>
        <w:t>，</w:t>
      </w:r>
      <w:r w:rsidR="006A769D" w:rsidRPr="00600D15">
        <w:rPr>
          <w:rFonts w:ascii="標楷體" w:eastAsia="標楷體" w:hAnsi="標楷體" w:hint="eastAsia"/>
          <w:szCs w:val="24"/>
        </w:rPr>
        <w:t>利息收入超過27萬額度專業投資人</w:t>
      </w:r>
      <w:r w:rsidR="005D1380" w:rsidRPr="00600D15">
        <w:rPr>
          <w:rFonts w:ascii="標楷體" w:eastAsia="標楷體" w:hAnsi="標楷體" w:hint="eastAsia"/>
          <w:szCs w:val="24"/>
        </w:rPr>
        <w:t>，</w:t>
      </w:r>
      <w:r w:rsidR="006A769D" w:rsidRPr="00600D15">
        <w:rPr>
          <w:rFonts w:ascii="標楷體" w:eastAsia="標楷體" w:hAnsi="標楷體" w:hint="eastAsia"/>
          <w:szCs w:val="24"/>
        </w:rPr>
        <w:t>僅給付 10%分離課稅並不計入利息收入</w:t>
      </w:r>
      <w:r w:rsidR="005D1380" w:rsidRPr="00600D15">
        <w:rPr>
          <w:rFonts w:ascii="標楷體" w:eastAsia="標楷體" w:hAnsi="標楷體" w:hint="eastAsia"/>
          <w:szCs w:val="24"/>
        </w:rPr>
        <w:t>，</w:t>
      </w:r>
      <w:r w:rsidR="006A769D" w:rsidRPr="00600D15">
        <w:rPr>
          <w:rFonts w:ascii="標楷體" w:eastAsia="標楷體" w:hAnsi="標楷體" w:hint="eastAsia"/>
          <w:szCs w:val="24"/>
        </w:rPr>
        <w:t>有利於專業投資人</w:t>
      </w:r>
      <w:r w:rsidR="007B17AD" w:rsidRPr="00600D15">
        <w:rPr>
          <w:rFonts w:ascii="標楷體" w:eastAsia="標楷體" w:hAnsi="標楷體" w:hint="eastAsia"/>
          <w:szCs w:val="24"/>
        </w:rPr>
        <w:t>。</w:t>
      </w:r>
    </w:p>
    <w:p w:rsidR="009E1D5E" w:rsidRPr="00600D15" w:rsidRDefault="009E1D5E" w:rsidP="0077613F">
      <w:pPr>
        <w:tabs>
          <w:tab w:val="left" w:pos="1816"/>
        </w:tabs>
        <w:jc w:val="both"/>
        <w:rPr>
          <w:rFonts w:ascii="標楷體" w:eastAsia="標楷體" w:hAnsi="標楷體"/>
          <w:szCs w:val="24"/>
        </w:rPr>
      </w:pPr>
    </w:p>
    <w:p w:rsidR="0077613F" w:rsidRPr="00600D15" w:rsidRDefault="0077613F" w:rsidP="0077613F">
      <w:pPr>
        <w:tabs>
          <w:tab w:val="left" w:pos="1816"/>
        </w:tabs>
        <w:jc w:val="both"/>
        <w:rPr>
          <w:rFonts w:ascii="標楷體" w:eastAsia="標楷體" w:hAnsi="標楷體"/>
          <w:b/>
          <w:szCs w:val="24"/>
        </w:rPr>
      </w:pPr>
      <w:r w:rsidRPr="00600D15">
        <w:rPr>
          <w:rFonts w:ascii="標楷體" w:eastAsia="標楷體" w:hAnsi="標楷體" w:hint="eastAsia"/>
          <w:b/>
          <w:szCs w:val="24"/>
        </w:rPr>
        <w:t>外幣債券投資</w:t>
      </w:r>
    </w:p>
    <w:p w:rsidR="0077613F" w:rsidRPr="00600D15" w:rsidRDefault="0077613F" w:rsidP="0077613F">
      <w:pPr>
        <w:tabs>
          <w:tab w:val="left" w:pos="1816"/>
        </w:tabs>
        <w:jc w:val="both"/>
        <w:rPr>
          <w:rFonts w:ascii="標楷體" w:eastAsia="標楷體" w:hAnsi="標楷體"/>
          <w:szCs w:val="24"/>
        </w:rPr>
      </w:pPr>
      <w:r w:rsidRPr="00600D15">
        <w:rPr>
          <w:rFonts w:ascii="標楷體" w:eastAsia="標楷體" w:hAnsi="標楷體" w:hint="eastAsia"/>
          <w:szCs w:val="24"/>
        </w:rPr>
        <w:t>保本型PGN商品在市場籌資的人民幣</w:t>
      </w:r>
      <w:r w:rsidR="005D1380" w:rsidRPr="00600D15">
        <w:rPr>
          <w:rFonts w:ascii="標楷體" w:eastAsia="標楷體" w:hAnsi="標楷體" w:hint="eastAsia"/>
          <w:szCs w:val="24"/>
        </w:rPr>
        <w:t>，</w:t>
      </w:r>
      <w:r w:rsidRPr="00600D15">
        <w:rPr>
          <w:rFonts w:ascii="標楷體" w:eastAsia="標楷體" w:hAnsi="標楷體" w:hint="eastAsia"/>
          <w:szCs w:val="24"/>
        </w:rPr>
        <w:t>拿去市場購買</w:t>
      </w:r>
      <w:r w:rsidR="002563D3" w:rsidRPr="00600D15">
        <w:rPr>
          <w:rFonts w:ascii="標楷體" w:eastAsia="標楷體" w:hAnsi="標楷體" w:hint="eastAsia"/>
          <w:szCs w:val="24"/>
        </w:rPr>
        <w:t>債券</w:t>
      </w:r>
      <w:r w:rsidR="007B17AD" w:rsidRPr="00600D15">
        <w:rPr>
          <w:rFonts w:ascii="標楷體" w:eastAsia="標楷體" w:hAnsi="標楷體" w:hint="eastAsia"/>
          <w:szCs w:val="24"/>
        </w:rPr>
        <w:t>。</w:t>
      </w:r>
      <w:r w:rsidR="002563D3" w:rsidRPr="00600D15">
        <w:rPr>
          <w:rFonts w:ascii="標楷體" w:eastAsia="標楷體" w:hAnsi="標楷體" w:hint="eastAsia"/>
          <w:szCs w:val="24"/>
        </w:rPr>
        <w:t>而債券部行銷組承銷</w:t>
      </w:r>
      <w:proofErr w:type="gramStart"/>
      <w:r w:rsidR="002563D3" w:rsidRPr="00600D15">
        <w:rPr>
          <w:rFonts w:ascii="標楷體" w:eastAsia="標楷體" w:hAnsi="標楷體" w:hint="eastAsia"/>
          <w:szCs w:val="24"/>
        </w:rPr>
        <w:t>寶島債時</w:t>
      </w:r>
      <w:proofErr w:type="gramEnd"/>
      <w:r w:rsidR="005D1380" w:rsidRPr="00600D15">
        <w:rPr>
          <w:rFonts w:ascii="標楷體" w:eastAsia="標楷體" w:hAnsi="標楷體" w:hint="eastAsia"/>
          <w:szCs w:val="24"/>
        </w:rPr>
        <w:t>，</w:t>
      </w:r>
      <w:r w:rsidR="002563D3" w:rsidRPr="00600D15">
        <w:rPr>
          <w:rFonts w:ascii="標楷體" w:eastAsia="標楷體" w:hAnsi="標楷體" w:hint="eastAsia"/>
          <w:szCs w:val="24"/>
        </w:rPr>
        <w:t>交易組和結構型商品組也會收購寶島債</w:t>
      </w:r>
      <w:r w:rsidR="005D1380" w:rsidRPr="00600D15">
        <w:rPr>
          <w:rFonts w:ascii="標楷體" w:eastAsia="標楷體" w:hAnsi="標楷體" w:hint="eastAsia"/>
          <w:szCs w:val="24"/>
        </w:rPr>
        <w:t>，</w:t>
      </w:r>
      <w:r w:rsidR="002563D3" w:rsidRPr="00600D15">
        <w:rPr>
          <w:rFonts w:ascii="標楷體" w:eastAsia="標楷體" w:hAnsi="標楷體" w:hint="eastAsia"/>
          <w:szCs w:val="24"/>
        </w:rPr>
        <w:t>一方面創造流動性</w:t>
      </w:r>
      <w:r w:rsidR="005D1380" w:rsidRPr="00600D15">
        <w:rPr>
          <w:rFonts w:ascii="標楷體" w:eastAsia="標楷體" w:hAnsi="標楷體" w:hint="eastAsia"/>
          <w:szCs w:val="24"/>
        </w:rPr>
        <w:t>，</w:t>
      </w:r>
      <w:r w:rsidR="002563D3" w:rsidRPr="00600D15">
        <w:rPr>
          <w:rFonts w:ascii="標楷體" w:eastAsia="標楷體" w:hAnsi="標楷體" w:hint="eastAsia"/>
          <w:szCs w:val="24"/>
        </w:rPr>
        <w:t>另一方面組合商品</w:t>
      </w:r>
      <w:r w:rsidR="005D1380" w:rsidRPr="00600D15">
        <w:rPr>
          <w:rFonts w:ascii="標楷體" w:eastAsia="標楷體" w:hAnsi="標楷體" w:hint="eastAsia"/>
          <w:szCs w:val="24"/>
        </w:rPr>
        <w:t>，</w:t>
      </w:r>
      <w:r w:rsidR="002563D3" w:rsidRPr="00600D15">
        <w:rPr>
          <w:rFonts w:ascii="標楷體" w:eastAsia="標楷體" w:hAnsi="標楷體" w:hint="eastAsia"/>
          <w:szCs w:val="24"/>
        </w:rPr>
        <w:t>例如:投信發行寶島債ETF</w:t>
      </w:r>
      <w:r w:rsidR="007B17AD" w:rsidRPr="00600D15">
        <w:rPr>
          <w:rFonts w:ascii="標楷體" w:eastAsia="標楷體" w:hAnsi="標楷體"/>
          <w:szCs w:val="24"/>
        </w:rPr>
        <w:t>。</w:t>
      </w:r>
      <w:r w:rsidR="002563D3" w:rsidRPr="00600D15">
        <w:rPr>
          <w:rFonts w:ascii="標楷體" w:eastAsia="標楷體" w:hAnsi="標楷體" w:hint="eastAsia"/>
          <w:szCs w:val="24"/>
        </w:rPr>
        <w:t>債券部亦可以進行寶島債ETF實物交割</w:t>
      </w:r>
      <w:r w:rsidR="007B17AD" w:rsidRPr="00600D15">
        <w:rPr>
          <w:rFonts w:ascii="標楷體" w:eastAsia="標楷體" w:hAnsi="標楷體" w:hint="eastAsia"/>
          <w:szCs w:val="24"/>
        </w:rPr>
        <w:t>。</w:t>
      </w:r>
    </w:p>
    <w:p w:rsidR="002563D3" w:rsidRPr="00600D15" w:rsidRDefault="002563D3" w:rsidP="0077613F">
      <w:pPr>
        <w:tabs>
          <w:tab w:val="left" w:pos="1816"/>
        </w:tabs>
        <w:jc w:val="both"/>
        <w:rPr>
          <w:rFonts w:ascii="標楷體" w:eastAsia="標楷體" w:hAnsi="標楷體"/>
          <w:szCs w:val="24"/>
        </w:rPr>
      </w:pPr>
      <w:r w:rsidRPr="00600D15">
        <w:rPr>
          <w:rFonts w:ascii="標楷體" w:eastAsia="標楷體" w:hAnsi="標楷體" w:hint="eastAsia"/>
          <w:szCs w:val="24"/>
        </w:rPr>
        <w:t>美元商品受限於市場低利率約0</w:t>
      </w:r>
      <w:r w:rsidR="00074A3E">
        <w:rPr>
          <w:rFonts w:ascii="標楷體" w:eastAsia="標楷體" w:hAnsi="標楷體"/>
          <w:szCs w:val="24"/>
        </w:rPr>
        <w:t>.</w:t>
      </w:r>
      <w:r w:rsidRPr="00600D15">
        <w:rPr>
          <w:rFonts w:ascii="標楷體" w:eastAsia="標楷體" w:hAnsi="標楷體" w:hint="eastAsia"/>
          <w:szCs w:val="24"/>
        </w:rPr>
        <w:t>5%並不受投資人</w:t>
      </w:r>
      <w:proofErr w:type="gramStart"/>
      <w:r w:rsidRPr="00600D15">
        <w:rPr>
          <w:rFonts w:ascii="標楷體" w:eastAsia="標楷體" w:hAnsi="標楷體" w:hint="eastAsia"/>
          <w:szCs w:val="24"/>
        </w:rPr>
        <w:t>親睞</w:t>
      </w:r>
      <w:proofErr w:type="gramEnd"/>
      <w:r w:rsidR="005D1380" w:rsidRPr="00600D15">
        <w:rPr>
          <w:rFonts w:ascii="標楷體" w:eastAsia="標楷體" w:hAnsi="標楷體" w:hint="eastAsia"/>
          <w:szCs w:val="24"/>
        </w:rPr>
        <w:t>，</w:t>
      </w:r>
      <w:r w:rsidR="009A5544" w:rsidRPr="00600D15">
        <w:rPr>
          <w:rFonts w:ascii="標楷體" w:eastAsia="標楷體" w:hAnsi="標楷體" w:hint="eastAsia"/>
          <w:szCs w:val="24"/>
        </w:rPr>
        <w:t>但融資成本相對低廉仍可以向財務部融資</w:t>
      </w:r>
      <w:r w:rsidR="005D1380" w:rsidRPr="00600D15">
        <w:rPr>
          <w:rFonts w:ascii="標楷體" w:eastAsia="標楷體" w:hAnsi="標楷體" w:hint="eastAsia"/>
          <w:szCs w:val="24"/>
        </w:rPr>
        <w:t>，</w:t>
      </w:r>
      <w:r w:rsidR="009A5544" w:rsidRPr="00600D15">
        <w:rPr>
          <w:rFonts w:ascii="標楷體" w:eastAsia="標楷體" w:hAnsi="標楷體" w:hint="eastAsia"/>
          <w:szCs w:val="24"/>
        </w:rPr>
        <w:t>目前投資標的以</w:t>
      </w:r>
      <w:proofErr w:type="gramStart"/>
      <w:r w:rsidR="009A5544" w:rsidRPr="00600D15">
        <w:rPr>
          <w:rFonts w:ascii="標楷體" w:eastAsia="標楷體" w:hAnsi="標楷體" w:hint="eastAsia"/>
          <w:szCs w:val="24"/>
        </w:rPr>
        <w:t>信評佳</w:t>
      </w:r>
      <w:proofErr w:type="gramEnd"/>
      <w:r w:rsidR="005D1380" w:rsidRPr="00600D15">
        <w:rPr>
          <w:rFonts w:ascii="標楷體" w:eastAsia="標楷體" w:hAnsi="標楷體" w:hint="eastAsia"/>
          <w:szCs w:val="24"/>
        </w:rPr>
        <w:t>，</w:t>
      </w:r>
      <w:r w:rsidR="009A5544" w:rsidRPr="00600D15">
        <w:rPr>
          <w:rFonts w:ascii="標楷體" w:eastAsia="標楷體" w:hAnsi="標楷體" w:hint="eastAsia"/>
          <w:szCs w:val="24"/>
        </w:rPr>
        <w:t>知名度大企業為主</w:t>
      </w:r>
      <w:r w:rsidR="005D1380" w:rsidRPr="00600D15">
        <w:rPr>
          <w:rFonts w:ascii="標楷體" w:eastAsia="標楷體" w:hAnsi="標楷體" w:hint="eastAsia"/>
          <w:szCs w:val="24"/>
        </w:rPr>
        <w:t>，</w:t>
      </w:r>
      <w:r w:rsidR="009A5544" w:rsidRPr="00600D15">
        <w:rPr>
          <w:rFonts w:ascii="標楷體" w:eastAsia="標楷體" w:hAnsi="標楷體" w:hint="eastAsia"/>
          <w:szCs w:val="24"/>
        </w:rPr>
        <w:t>債券部優勢在於</w:t>
      </w:r>
      <w:r w:rsidR="005D1380" w:rsidRPr="00600D15">
        <w:rPr>
          <w:rFonts w:ascii="標楷體" w:eastAsia="標楷體" w:hAnsi="標楷體" w:hint="eastAsia"/>
          <w:szCs w:val="24"/>
        </w:rPr>
        <w:t>，</w:t>
      </w:r>
      <w:r w:rsidR="009A5544" w:rsidRPr="00600D15">
        <w:rPr>
          <w:rFonts w:ascii="標楷體" w:eastAsia="標楷體" w:hAnsi="標楷體" w:hint="eastAsia"/>
          <w:szCs w:val="24"/>
        </w:rPr>
        <w:t>可以直接購買行銷組</w:t>
      </w:r>
      <w:proofErr w:type="gramStart"/>
      <w:r w:rsidR="009A5544" w:rsidRPr="00600D15">
        <w:rPr>
          <w:rFonts w:ascii="標楷體" w:eastAsia="標楷體" w:hAnsi="標楷體" w:hint="eastAsia"/>
          <w:szCs w:val="24"/>
        </w:rPr>
        <w:t>承作</w:t>
      </w:r>
      <w:proofErr w:type="gramEnd"/>
      <w:r w:rsidR="009A5544" w:rsidRPr="00600D15">
        <w:rPr>
          <w:rFonts w:ascii="標楷體" w:eastAsia="標楷體" w:hAnsi="標楷體" w:hint="eastAsia"/>
          <w:szCs w:val="24"/>
        </w:rPr>
        <w:t>得案件的債券</w:t>
      </w:r>
      <w:r w:rsidR="005D1380" w:rsidRPr="00600D15">
        <w:rPr>
          <w:rFonts w:ascii="標楷體" w:eastAsia="標楷體" w:hAnsi="標楷體" w:hint="eastAsia"/>
          <w:szCs w:val="24"/>
        </w:rPr>
        <w:t>，</w:t>
      </w:r>
      <w:r w:rsidR="009A5544" w:rsidRPr="00600D15">
        <w:rPr>
          <w:rFonts w:ascii="標楷體" w:eastAsia="標楷體" w:hAnsi="標楷體" w:hint="eastAsia"/>
          <w:szCs w:val="24"/>
        </w:rPr>
        <w:t>例如:</w:t>
      </w:r>
      <w:r w:rsidR="009A5544" w:rsidRPr="00600D15">
        <w:rPr>
          <w:rFonts w:ascii="標楷體" w:eastAsia="標楷體" w:hAnsi="標楷體"/>
          <w:szCs w:val="24"/>
          <w:highlight w:val="yellow"/>
        </w:rPr>
        <w:t>Inte</w:t>
      </w:r>
      <w:r w:rsidR="009A5544" w:rsidRPr="00600D15">
        <w:rPr>
          <w:rFonts w:ascii="標楷體" w:eastAsia="標楷體" w:hAnsi="標楷體" w:hint="eastAsia"/>
          <w:szCs w:val="24"/>
          <w:highlight w:val="yellow"/>
        </w:rPr>
        <w:t>l</w:t>
      </w:r>
      <w:r w:rsidR="005D1380" w:rsidRPr="00600D15">
        <w:rPr>
          <w:rFonts w:ascii="標楷體" w:eastAsia="標楷體" w:hAnsi="標楷體" w:hint="eastAsia"/>
          <w:szCs w:val="24"/>
        </w:rPr>
        <w:t>，</w:t>
      </w:r>
      <w:r w:rsidR="009A5544" w:rsidRPr="00600D15">
        <w:rPr>
          <w:rFonts w:ascii="標楷體" w:eastAsia="標楷體" w:hAnsi="標楷體" w:hint="eastAsia"/>
          <w:szCs w:val="24"/>
        </w:rPr>
        <w:t>30年期</w:t>
      </w:r>
    </w:p>
    <w:p w:rsidR="009A5544" w:rsidRPr="00600D15" w:rsidRDefault="009A5544" w:rsidP="0077613F">
      <w:pPr>
        <w:tabs>
          <w:tab w:val="left" w:pos="1816"/>
        </w:tabs>
        <w:jc w:val="both"/>
        <w:rPr>
          <w:rFonts w:ascii="標楷體" w:eastAsia="標楷體" w:hAnsi="標楷體"/>
          <w:szCs w:val="24"/>
        </w:rPr>
      </w:pPr>
    </w:p>
    <w:p w:rsidR="009A5544" w:rsidRPr="00600D15" w:rsidRDefault="009A5544" w:rsidP="0077613F">
      <w:pPr>
        <w:tabs>
          <w:tab w:val="left" w:pos="1816"/>
        </w:tabs>
        <w:jc w:val="both"/>
        <w:rPr>
          <w:rFonts w:ascii="標楷體" w:eastAsia="標楷體" w:hAnsi="標楷體"/>
          <w:b/>
          <w:szCs w:val="24"/>
        </w:rPr>
      </w:pPr>
      <w:r w:rsidRPr="00600D15">
        <w:rPr>
          <w:rFonts w:ascii="標楷體" w:eastAsia="標楷體" w:hAnsi="標楷體" w:hint="eastAsia"/>
          <w:b/>
          <w:szCs w:val="24"/>
        </w:rPr>
        <w:t>人民幣債券標的選擇</w:t>
      </w:r>
    </w:p>
    <w:p w:rsidR="009A5544" w:rsidRPr="00600D15" w:rsidRDefault="009A5544" w:rsidP="00F761E4">
      <w:pPr>
        <w:pStyle w:val="ae"/>
        <w:numPr>
          <w:ilvl w:val="0"/>
          <w:numId w:val="1"/>
        </w:numPr>
        <w:tabs>
          <w:tab w:val="left" w:pos="1816"/>
        </w:tabs>
        <w:ind w:leftChars="0"/>
        <w:jc w:val="both"/>
        <w:rPr>
          <w:rFonts w:ascii="標楷體" w:eastAsia="標楷體" w:hAnsi="標楷體"/>
          <w:szCs w:val="24"/>
        </w:rPr>
      </w:pPr>
      <w:r w:rsidRPr="00600D15">
        <w:rPr>
          <w:rFonts w:ascii="標楷體" w:eastAsia="標楷體" w:hAnsi="標楷體" w:hint="eastAsia"/>
          <w:szCs w:val="24"/>
        </w:rPr>
        <w:t xml:space="preserve">以中國為發行人的債券: </w:t>
      </w:r>
      <w:r w:rsidRPr="00600D15">
        <w:rPr>
          <w:rFonts w:ascii="標楷體" w:eastAsia="標楷體" w:hAnsi="標楷體"/>
          <w:szCs w:val="24"/>
        </w:rPr>
        <w:t>credit spread</w:t>
      </w:r>
      <w:r w:rsidRPr="00600D15">
        <w:rPr>
          <w:rFonts w:ascii="標楷體" w:eastAsia="標楷體" w:hAnsi="標楷體" w:hint="eastAsia"/>
          <w:szCs w:val="24"/>
        </w:rPr>
        <w:t>較高</w:t>
      </w:r>
      <w:r w:rsidR="005D1380" w:rsidRPr="00600D15">
        <w:rPr>
          <w:rFonts w:ascii="標楷體" w:eastAsia="標楷體" w:hAnsi="標楷體" w:hint="eastAsia"/>
          <w:szCs w:val="24"/>
        </w:rPr>
        <w:t>，</w:t>
      </w:r>
      <w:r w:rsidRPr="00600D15">
        <w:rPr>
          <w:rFonts w:ascii="標楷體" w:eastAsia="標楷體" w:hAnsi="標楷體" w:hint="eastAsia"/>
          <w:szCs w:val="24"/>
        </w:rPr>
        <w:t>但仍要考慮發行量是否夠大</w:t>
      </w:r>
      <w:r w:rsidR="005D1380" w:rsidRPr="00600D15">
        <w:rPr>
          <w:rFonts w:ascii="標楷體" w:eastAsia="標楷體" w:hAnsi="標楷體" w:hint="eastAsia"/>
          <w:szCs w:val="24"/>
        </w:rPr>
        <w:t>，</w:t>
      </w:r>
      <w:r w:rsidRPr="00600D15">
        <w:rPr>
          <w:rFonts w:ascii="標楷體" w:eastAsia="標楷體" w:hAnsi="標楷體" w:hint="eastAsia"/>
          <w:szCs w:val="24"/>
        </w:rPr>
        <w:t>及買家的接受度</w:t>
      </w:r>
    </w:p>
    <w:p w:rsidR="00173076" w:rsidRPr="00600D15" w:rsidRDefault="009A5544" w:rsidP="00F761E4">
      <w:pPr>
        <w:pStyle w:val="ae"/>
        <w:numPr>
          <w:ilvl w:val="0"/>
          <w:numId w:val="1"/>
        </w:numPr>
        <w:tabs>
          <w:tab w:val="left" w:pos="1816"/>
        </w:tabs>
        <w:ind w:leftChars="0"/>
        <w:jc w:val="both"/>
        <w:rPr>
          <w:rFonts w:ascii="標楷體" w:eastAsia="標楷體" w:hAnsi="標楷體"/>
          <w:szCs w:val="24"/>
        </w:rPr>
      </w:pPr>
      <w:r w:rsidRPr="00600D15">
        <w:rPr>
          <w:rFonts w:ascii="標楷體" w:eastAsia="標楷體" w:hAnsi="標楷體" w:hint="eastAsia"/>
          <w:szCs w:val="24"/>
        </w:rPr>
        <w:t>產業</w:t>
      </w:r>
      <w:r w:rsidR="00173076" w:rsidRPr="00600D15">
        <w:rPr>
          <w:rFonts w:ascii="標楷體" w:eastAsia="標楷體" w:hAnsi="標楷體" w:hint="eastAsia"/>
          <w:szCs w:val="24"/>
        </w:rPr>
        <w:t>:房市在降</w:t>
      </w:r>
      <w:proofErr w:type="gramStart"/>
      <w:r w:rsidR="00173076" w:rsidRPr="00600D15">
        <w:rPr>
          <w:rFonts w:ascii="標楷體" w:eastAsia="標楷體" w:hAnsi="標楷體" w:hint="eastAsia"/>
          <w:szCs w:val="24"/>
        </w:rPr>
        <w:t>準</w:t>
      </w:r>
      <w:proofErr w:type="gramEnd"/>
      <w:r w:rsidR="00173076" w:rsidRPr="00600D15">
        <w:rPr>
          <w:rFonts w:ascii="標楷體" w:eastAsia="標楷體" w:hAnsi="標楷體" w:hint="eastAsia"/>
          <w:szCs w:val="24"/>
        </w:rPr>
        <w:t>降息後</w:t>
      </w:r>
      <w:r w:rsidR="005D1380" w:rsidRPr="00600D15">
        <w:rPr>
          <w:rFonts w:ascii="標楷體" w:eastAsia="標楷體" w:hAnsi="標楷體" w:hint="eastAsia"/>
          <w:szCs w:val="24"/>
        </w:rPr>
        <w:t>，</w:t>
      </w:r>
      <w:r w:rsidR="00173076" w:rsidRPr="00600D15">
        <w:rPr>
          <w:rFonts w:ascii="標楷體" w:eastAsia="標楷體" w:hAnsi="標楷體" w:hint="eastAsia"/>
          <w:szCs w:val="24"/>
        </w:rPr>
        <w:t>房市再度推高面臨房市泡沫化風險</w:t>
      </w:r>
      <w:r w:rsidR="007B17AD" w:rsidRPr="00600D15">
        <w:rPr>
          <w:rFonts w:ascii="標楷體" w:eastAsia="標楷體" w:hAnsi="標楷體" w:hint="eastAsia"/>
          <w:szCs w:val="24"/>
        </w:rPr>
        <w:t>。</w:t>
      </w:r>
      <w:r w:rsidR="00173076" w:rsidRPr="00600D15">
        <w:rPr>
          <w:rFonts w:ascii="標楷體" w:eastAsia="標楷體" w:hAnsi="標楷體" w:hint="eastAsia"/>
          <w:szCs w:val="24"/>
        </w:rPr>
        <w:t>能源產業(石油/電子/礦產)在近期石油價格下跌</w:t>
      </w:r>
      <w:r w:rsidR="005D1380" w:rsidRPr="00600D15">
        <w:rPr>
          <w:rFonts w:ascii="標楷體" w:eastAsia="標楷體" w:hAnsi="標楷體" w:hint="eastAsia"/>
          <w:szCs w:val="24"/>
        </w:rPr>
        <w:t>，</w:t>
      </w:r>
      <w:r w:rsidR="00173076" w:rsidRPr="00600D15">
        <w:rPr>
          <w:rFonts w:ascii="標楷體" w:eastAsia="標楷體" w:hAnsi="標楷體" w:hint="eastAsia"/>
          <w:szCs w:val="24"/>
        </w:rPr>
        <w:t>投資者也該產業產生疑慮</w:t>
      </w:r>
      <w:r w:rsidR="005D1380" w:rsidRPr="00600D15">
        <w:rPr>
          <w:rFonts w:ascii="標楷體" w:eastAsia="標楷體" w:hAnsi="標楷體" w:hint="eastAsia"/>
          <w:szCs w:val="24"/>
        </w:rPr>
        <w:t>，</w:t>
      </w:r>
      <w:r w:rsidR="00173076" w:rsidRPr="00600D15">
        <w:rPr>
          <w:rFonts w:ascii="標楷體" w:eastAsia="標楷體" w:hAnsi="標楷體" w:hint="eastAsia"/>
          <w:szCs w:val="24"/>
        </w:rPr>
        <w:t>標的選擇也要考量到總經變化</w:t>
      </w:r>
    </w:p>
    <w:p w:rsidR="00F761E4" w:rsidRPr="00600D15" w:rsidRDefault="00F761E4" w:rsidP="00F761E4">
      <w:pPr>
        <w:tabs>
          <w:tab w:val="left" w:pos="1816"/>
        </w:tabs>
        <w:jc w:val="both"/>
        <w:rPr>
          <w:rFonts w:ascii="標楷體" w:eastAsia="標楷體" w:hAnsi="標楷體"/>
          <w:szCs w:val="24"/>
        </w:rPr>
      </w:pPr>
    </w:p>
    <w:p w:rsidR="00F761E4" w:rsidRPr="00600D15" w:rsidRDefault="00F761E4" w:rsidP="00F761E4">
      <w:pPr>
        <w:tabs>
          <w:tab w:val="left" w:pos="1816"/>
        </w:tabs>
        <w:jc w:val="both"/>
        <w:rPr>
          <w:rFonts w:ascii="標楷體" w:eastAsia="標楷體" w:hAnsi="標楷體"/>
          <w:b/>
          <w:szCs w:val="24"/>
        </w:rPr>
      </w:pPr>
      <w:r w:rsidRPr="00600D15">
        <w:rPr>
          <w:rFonts w:ascii="標楷體" w:eastAsia="標楷體" w:hAnsi="標楷體" w:hint="eastAsia"/>
          <w:b/>
          <w:szCs w:val="24"/>
        </w:rPr>
        <w:lastRenderedPageBreak/>
        <w:t>標的選定送件</w:t>
      </w:r>
    </w:p>
    <w:p w:rsidR="00E54D6E" w:rsidRPr="00600D15" w:rsidRDefault="00F761E4" w:rsidP="00E54D6E">
      <w:pPr>
        <w:pStyle w:val="ae"/>
        <w:numPr>
          <w:ilvl w:val="0"/>
          <w:numId w:val="3"/>
        </w:numPr>
        <w:tabs>
          <w:tab w:val="left" w:pos="1816"/>
        </w:tabs>
        <w:ind w:leftChars="0"/>
        <w:jc w:val="both"/>
        <w:rPr>
          <w:rFonts w:ascii="標楷體" w:eastAsia="標楷體" w:hAnsi="標楷體"/>
          <w:szCs w:val="24"/>
        </w:rPr>
      </w:pPr>
      <w:r w:rsidRPr="00600D15">
        <w:rPr>
          <w:rFonts w:ascii="標楷體" w:eastAsia="標楷體" w:hAnsi="標楷體" w:hint="eastAsia"/>
          <w:szCs w:val="24"/>
        </w:rPr>
        <w:t>送件後</w:t>
      </w:r>
      <w:r w:rsidR="005D1380" w:rsidRPr="00600D15">
        <w:rPr>
          <w:rFonts w:ascii="標楷體" w:eastAsia="標楷體" w:hAnsi="標楷體" w:hint="eastAsia"/>
          <w:szCs w:val="24"/>
        </w:rPr>
        <w:t>，</w:t>
      </w:r>
      <w:proofErr w:type="gramStart"/>
      <w:r w:rsidRPr="00600D15">
        <w:rPr>
          <w:rFonts w:ascii="標楷體" w:eastAsia="標楷體" w:hAnsi="標楷體" w:hint="eastAsia"/>
          <w:szCs w:val="24"/>
        </w:rPr>
        <w:t>風控會</w:t>
      </w:r>
      <w:proofErr w:type="gramEnd"/>
      <w:r w:rsidRPr="00600D15">
        <w:rPr>
          <w:rFonts w:ascii="標楷體" w:eastAsia="標楷體" w:hAnsi="標楷體" w:hint="eastAsia"/>
          <w:szCs w:val="24"/>
        </w:rPr>
        <w:t>依據</w:t>
      </w:r>
      <w:r w:rsidR="000A1005" w:rsidRPr="00600D15">
        <w:rPr>
          <w:rFonts w:ascii="標楷體" w:eastAsia="標楷體" w:hAnsi="標楷體" w:hint="eastAsia"/>
          <w:szCs w:val="24"/>
        </w:rPr>
        <w:t>送件資料(財報/信評/營運/研究報告)</w:t>
      </w:r>
      <w:r w:rsidRPr="00600D15">
        <w:rPr>
          <w:rFonts w:ascii="標楷體" w:eastAsia="標楷體" w:hAnsi="標楷體" w:hint="eastAsia"/>
          <w:szCs w:val="24"/>
        </w:rPr>
        <w:t>給予額度與內部評等</w:t>
      </w:r>
      <w:r w:rsidR="005D1380" w:rsidRPr="00600D15">
        <w:rPr>
          <w:rFonts w:ascii="標楷體" w:eastAsia="標楷體" w:hAnsi="標楷體" w:hint="eastAsia"/>
          <w:szCs w:val="24"/>
        </w:rPr>
        <w:t>，</w:t>
      </w:r>
      <w:r w:rsidR="00E54D6E" w:rsidRPr="00600D15">
        <w:rPr>
          <w:rFonts w:ascii="標楷體" w:eastAsia="標楷體" w:hAnsi="標楷體" w:hint="eastAsia"/>
          <w:szCs w:val="24"/>
        </w:rPr>
        <w:t>目前針對BBB-/BBB投資標的為主</w:t>
      </w:r>
      <w:r w:rsidR="005D1380" w:rsidRPr="00600D15">
        <w:rPr>
          <w:rFonts w:ascii="標楷體" w:eastAsia="標楷體" w:hAnsi="標楷體" w:hint="eastAsia"/>
          <w:szCs w:val="24"/>
        </w:rPr>
        <w:t>，</w:t>
      </w:r>
      <w:r w:rsidR="00E54D6E" w:rsidRPr="00600D15">
        <w:rPr>
          <w:rFonts w:ascii="標楷體" w:eastAsia="標楷體" w:hAnsi="標楷體" w:hint="eastAsia"/>
          <w:szCs w:val="24"/>
        </w:rPr>
        <w:t>但未符合長期佈局及交易策略需求</w:t>
      </w:r>
      <w:r w:rsidR="005D1380" w:rsidRPr="00600D15">
        <w:rPr>
          <w:rFonts w:ascii="標楷體" w:eastAsia="標楷體" w:hAnsi="標楷體"/>
          <w:szCs w:val="24"/>
        </w:rPr>
        <w:t>，</w:t>
      </w:r>
      <w:r w:rsidR="00E54D6E" w:rsidRPr="00600D15">
        <w:rPr>
          <w:rFonts w:ascii="標楷體" w:eastAsia="標楷體" w:hAnsi="標楷體" w:hint="eastAsia"/>
          <w:szCs w:val="24"/>
        </w:rPr>
        <w:t>也會事先研究BBB+投資標的</w:t>
      </w:r>
      <w:r w:rsidR="007B17AD" w:rsidRPr="00600D15">
        <w:rPr>
          <w:rFonts w:ascii="標楷體" w:eastAsia="標楷體" w:hAnsi="標楷體" w:hint="eastAsia"/>
          <w:szCs w:val="24"/>
        </w:rPr>
        <w:t>。</w:t>
      </w:r>
    </w:p>
    <w:p w:rsidR="00F761E4" w:rsidRPr="00600D15" w:rsidRDefault="00E54D6E" w:rsidP="00E54D6E">
      <w:pPr>
        <w:pStyle w:val="ae"/>
        <w:numPr>
          <w:ilvl w:val="0"/>
          <w:numId w:val="2"/>
        </w:numPr>
        <w:tabs>
          <w:tab w:val="left" w:pos="1816"/>
        </w:tabs>
        <w:ind w:leftChars="0"/>
        <w:jc w:val="both"/>
        <w:rPr>
          <w:rFonts w:ascii="標楷體" w:eastAsia="標楷體" w:hAnsi="標楷體"/>
          <w:szCs w:val="24"/>
        </w:rPr>
      </w:pPr>
      <w:proofErr w:type="gramStart"/>
      <w:r w:rsidRPr="00600D15">
        <w:rPr>
          <w:rFonts w:ascii="標楷體" w:eastAsia="標楷體" w:hAnsi="標楷體" w:hint="eastAsia"/>
          <w:szCs w:val="24"/>
        </w:rPr>
        <w:t>風控將</w:t>
      </w:r>
      <w:proofErr w:type="gramEnd"/>
      <w:r w:rsidRPr="00600D15">
        <w:rPr>
          <w:rFonts w:ascii="標楷體" w:eastAsia="標楷體" w:hAnsi="標楷體" w:hint="eastAsia"/>
          <w:szCs w:val="24"/>
        </w:rPr>
        <w:t>BBB-標的給予內部評等降為BB+</w:t>
      </w:r>
      <w:r w:rsidR="005D1380" w:rsidRPr="00600D15">
        <w:rPr>
          <w:rFonts w:ascii="標楷體" w:eastAsia="標楷體" w:hAnsi="標楷體" w:hint="eastAsia"/>
          <w:szCs w:val="24"/>
        </w:rPr>
        <w:t>，</w:t>
      </w:r>
      <w:r w:rsidRPr="00600D15">
        <w:rPr>
          <w:rFonts w:ascii="標楷體" w:eastAsia="標楷體" w:hAnsi="標楷體" w:hint="eastAsia"/>
          <w:szCs w:val="24"/>
        </w:rPr>
        <w:t>風管則會進一步詢問購買目的</w:t>
      </w:r>
      <w:r w:rsidR="005D1380" w:rsidRPr="00600D15">
        <w:rPr>
          <w:rFonts w:ascii="標楷體" w:eastAsia="標楷體" w:hAnsi="標楷體" w:hint="eastAsia"/>
          <w:szCs w:val="24"/>
        </w:rPr>
        <w:t>，</w:t>
      </w:r>
      <w:r w:rsidRPr="00600D15">
        <w:rPr>
          <w:rFonts w:ascii="標楷體" w:eastAsia="標楷體" w:hAnsi="標楷體" w:hint="eastAsia"/>
          <w:szCs w:val="24"/>
        </w:rPr>
        <w:t>要求必須在3個月內將風險移轉</w:t>
      </w:r>
      <w:r w:rsidR="007B17AD" w:rsidRPr="00600D15">
        <w:rPr>
          <w:rFonts w:ascii="標楷體" w:eastAsia="標楷體" w:hAnsi="標楷體" w:hint="eastAsia"/>
          <w:szCs w:val="24"/>
        </w:rPr>
        <w:t>。</w:t>
      </w:r>
    </w:p>
    <w:p w:rsidR="00E54D6E" w:rsidRPr="00600D15" w:rsidRDefault="00E54D6E" w:rsidP="00F761E4">
      <w:pPr>
        <w:tabs>
          <w:tab w:val="left" w:pos="1816"/>
        </w:tabs>
        <w:jc w:val="both"/>
        <w:rPr>
          <w:rFonts w:ascii="標楷體" w:eastAsia="標楷體" w:hAnsi="標楷體"/>
          <w:szCs w:val="24"/>
        </w:rPr>
      </w:pPr>
    </w:p>
    <w:p w:rsidR="00E54D6E" w:rsidRPr="00600D15" w:rsidRDefault="00E54D6E" w:rsidP="00F761E4">
      <w:pPr>
        <w:tabs>
          <w:tab w:val="left" w:pos="1816"/>
        </w:tabs>
        <w:jc w:val="both"/>
        <w:rPr>
          <w:rFonts w:ascii="標楷體" w:eastAsia="標楷體" w:hAnsi="標楷體"/>
          <w:b/>
          <w:szCs w:val="24"/>
        </w:rPr>
      </w:pPr>
      <w:r w:rsidRPr="00600D15">
        <w:rPr>
          <w:rFonts w:ascii="標楷體" w:eastAsia="標楷體" w:hAnsi="標楷體" w:hint="eastAsia"/>
          <w:b/>
          <w:szCs w:val="24"/>
        </w:rPr>
        <w:t>債券及公債交易</w:t>
      </w:r>
    </w:p>
    <w:p w:rsidR="00E54D6E" w:rsidRPr="00600D15" w:rsidRDefault="00E54D6E" w:rsidP="00E54D6E">
      <w:pPr>
        <w:pStyle w:val="ae"/>
        <w:numPr>
          <w:ilvl w:val="0"/>
          <w:numId w:val="2"/>
        </w:numPr>
        <w:tabs>
          <w:tab w:val="left" w:pos="1816"/>
        </w:tabs>
        <w:ind w:leftChars="0"/>
        <w:jc w:val="both"/>
        <w:rPr>
          <w:rFonts w:ascii="標楷體" w:eastAsia="標楷體" w:hAnsi="標楷體"/>
          <w:szCs w:val="24"/>
        </w:rPr>
      </w:pPr>
      <w:r w:rsidRPr="00600D15">
        <w:rPr>
          <w:rFonts w:ascii="標楷體" w:eastAsia="標楷體" w:hAnsi="標楷體" w:hint="eastAsia"/>
          <w:szCs w:val="24"/>
        </w:rPr>
        <w:t>信用風險為優先考量</w:t>
      </w:r>
      <w:r w:rsidR="005D1380" w:rsidRPr="00600D15">
        <w:rPr>
          <w:rFonts w:ascii="標楷體" w:eastAsia="標楷體" w:hAnsi="標楷體"/>
          <w:szCs w:val="24"/>
        </w:rPr>
        <w:t>，</w:t>
      </w:r>
      <w:r w:rsidRPr="00600D15">
        <w:rPr>
          <w:rFonts w:ascii="標楷體" w:eastAsia="標楷體" w:hAnsi="標楷體" w:hint="eastAsia"/>
          <w:szCs w:val="24"/>
        </w:rPr>
        <w:t>其次才是資本利得</w:t>
      </w:r>
      <w:r w:rsidR="005D1380" w:rsidRPr="00600D15">
        <w:rPr>
          <w:rFonts w:ascii="標楷體" w:eastAsia="標楷體" w:hAnsi="標楷體" w:hint="eastAsia"/>
          <w:szCs w:val="24"/>
        </w:rPr>
        <w:t>，</w:t>
      </w:r>
      <w:r w:rsidRPr="00600D15">
        <w:rPr>
          <w:rFonts w:ascii="標楷體" w:eastAsia="標楷體" w:hAnsi="標楷體" w:hint="eastAsia"/>
          <w:szCs w:val="24"/>
        </w:rPr>
        <w:t>債券</w:t>
      </w:r>
      <w:r w:rsidR="00C170A5" w:rsidRPr="00600D15">
        <w:rPr>
          <w:rFonts w:ascii="標楷體" w:eastAsia="標楷體" w:hAnsi="標楷體" w:hint="eastAsia"/>
          <w:szCs w:val="24"/>
        </w:rPr>
        <w:t>倒債會有本金拿不回來的問題</w:t>
      </w:r>
      <w:r w:rsidR="005D1380" w:rsidRPr="00600D15">
        <w:rPr>
          <w:rFonts w:ascii="標楷體" w:eastAsia="標楷體" w:hAnsi="標楷體" w:hint="eastAsia"/>
          <w:szCs w:val="24"/>
        </w:rPr>
        <w:t>，</w:t>
      </w:r>
      <w:r w:rsidR="00C170A5" w:rsidRPr="00600D15">
        <w:rPr>
          <w:rFonts w:ascii="標楷體" w:eastAsia="標楷體" w:hAnsi="標楷體" w:hint="eastAsia"/>
          <w:szCs w:val="24"/>
        </w:rPr>
        <w:t>甚至藉由官司要求債務請求權</w:t>
      </w:r>
    </w:p>
    <w:p w:rsidR="00C170A5" w:rsidRPr="00600D15" w:rsidRDefault="00C170A5" w:rsidP="00C170A5">
      <w:pPr>
        <w:pStyle w:val="ae"/>
        <w:numPr>
          <w:ilvl w:val="0"/>
          <w:numId w:val="2"/>
        </w:numPr>
        <w:tabs>
          <w:tab w:val="left" w:pos="1816"/>
        </w:tabs>
        <w:ind w:leftChars="0"/>
        <w:jc w:val="both"/>
        <w:rPr>
          <w:rFonts w:ascii="標楷體" w:eastAsia="標楷體" w:hAnsi="標楷體"/>
          <w:szCs w:val="24"/>
        </w:rPr>
      </w:pPr>
      <w:r w:rsidRPr="00600D15">
        <w:rPr>
          <w:rFonts w:ascii="標楷體" w:eastAsia="標楷體" w:hAnsi="標楷體" w:hint="eastAsia"/>
          <w:szCs w:val="24"/>
        </w:rPr>
        <w:t>流動性亦是考量重點</w:t>
      </w:r>
      <w:r w:rsidR="005D1380" w:rsidRPr="00600D15">
        <w:rPr>
          <w:rFonts w:ascii="標楷體" w:eastAsia="標楷體" w:hAnsi="標楷體" w:hint="eastAsia"/>
          <w:szCs w:val="24"/>
        </w:rPr>
        <w:t>，</w:t>
      </w:r>
      <w:r w:rsidRPr="00600D15">
        <w:rPr>
          <w:rFonts w:ascii="標楷體" w:eastAsia="標楷體" w:hAnsi="標楷體" w:hint="eastAsia"/>
          <w:szCs w:val="24"/>
        </w:rPr>
        <w:t>目前已Broker提供投資標的為主</w:t>
      </w:r>
      <w:r w:rsidR="005D1380" w:rsidRPr="00600D15">
        <w:rPr>
          <w:rFonts w:ascii="標楷體" w:eastAsia="標楷體" w:hAnsi="標楷體" w:hint="eastAsia"/>
          <w:szCs w:val="24"/>
        </w:rPr>
        <w:t>，</w:t>
      </w:r>
      <w:r w:rsidRPr="00600D15">
        <w:rPr>
          <w:rFonts w:ascii="標楷體" w:eastAsia="標楷體" w:hAnsi="標楷體" w:hint="eastAsia"/>
          <w:szCs w:val="24"/>
        </w:rPr>
        <w:t>考慮發行量</w:t>
      </w:r>
    </w:p>
    <w:p w:rsidR="00C170A5" w:rsidRPr="00600D15" w:rsidRDefault="00C170A5" w:rsidP="00E54D6E">
      <w:pPr>
        <w:pStyle w:val="ae"/>
        <w:numPr>
          <w:ilvl w:val="0"/>
          <w:numId w:val="2"/>
        </w:numPr>
        <w:tabs>
          <w:tab w:val="left" w:pos="1816"/>
        </w:tabs>
        <w:ind w:leftChars="0"/>
        <w:jc w:val="both"/>
        <w:rPr>
          <w:rFonts w:ascii="標楷體" w:eastAsia="標楷體" w:hAnsi="標楷體"/>
          <w:szCs w:val="24"/>
        </w:rPr>
      </w:pPr>
      <w:r w:rsidRPr="00600D15">
        <w:rPr>
          <w:rFonts w:ascii="標楷體" w:eastAsia="標楷體" w:hAnsi="標楷體" w:hint="eastAsia"/>
          <w:szCs w:val="24"/>
        </w:rPr>
        <w:t>目前以初級市場的劵為主</w:t>
      </w:r>
      <w:r w:rsidR="005D1380" w:rsidRPr="00600D15">
        <w:rPr>
          <w:rFonts w:ascii="標楷體" w:eastAsia="標楷體" w:hAnsi="標楷體" w:hint="eastAsia"/>
          <w:szCs w:val="24"/>
        </w:rPr>
        <w:t>，</w:t>
      </w:r>
      <w:r w:rsidRPr="00600D15">
        <w:rPr>
          <w:rFonts w:ascii="標楷體" w:eastAsia="標楷體" w:hAnsi="標楷體" w:hint="eastAsia"/>
          <w:szCs w:val="24"/>
        </w:rPr>
        <w:t>利率報較即時</w:t>
      </w:r>
      <w:r w:rsidR="005D1380" w:rsidRPr="00600D15">
        <w:rPr>
          <w:rFonts w:ascii="標楷體" w:eastAsia="標楷體" w:hAnsi="標楷體"/>
          <w:szCs w:val="24"/>
        </w:rPr>
        <w:t>，</w:t>
      </w:r>
      <w:r w:rsidRPr="00600D15">
        <w:rPr>
          <w:rFonts w:ascii="標楷體" w:eastAsia="標楷體" w:hAnsi="標楷體" w:hint="eastAsia"/>
          <w:szCs w:val="24"/>
        </w:rPr>
        <w:t>市場接受度較高</w:t>
      </w:r>
      <w:r w:rsidR="005D1380" w:rsidRPr="00600D15">
        <w:rPr>
          <w:rFonts w:ascii="標楷體" w:eastAsia="標楷體" w:hAnsi="標楷體" w:hint="eastAsia"/>
          <w:szCs w:val="24"/>
        </w:rPr>
        <w:t>，</w:t>
      </w:r>
      <w:r w:rsidRPr="00600D15">
        <w:rPr>
          <w:rFonts w:ascii="標楷體" w:eastAsia="標楷體" w:hAnsi="標楷體" w:hint="eastAsia"/>
          <w:szCs w:val="24"/>
        </w:rPr>
        <w:t>較能反映真實價值</w:t>
      </w:r>
    </w:p>
    <w:p w:rsidR="00C170A5" w:rsidRPr="00600D15" w:rsidRDefault="00C170A5" w:rsidP="00C170A5">
      <w:pPr>
        <w:tabs>
          <w:tab w:val="left" w:pos="1816"/>
        </w:tabs>
        <w:jc w:val="both"/>
        <w:rPr>
          <w:rFonts w:ascii="標楷體" w:eastAsia="標楷體" w:hAnsi="標楷體"/>
          <w:szCs w:val="24"/>
        </w:rPr>
      </w:pPr>
    </w:p>
    <w:p w:rsidR="00C170A5" w:rsidRPr="00600D15" w:rsidRDefault="00C170A5" w:rsidP="00C170A5">
      <w:pPr>
        <w:tabs>
          <w:tab w:val="left" w:pos="1816"/>
        </w:tabs>
        <w:jc w:val="both"/>
        <w:rPr>
          <w:rFonts w:ascii="標楷體" w:eastAsia="標楷體" w:hAnsi="標楷體"/>
          <w:b/>
          <w:szCs w:val="24"/>
        </w:rPr>
      </w:pPr>
      <w:r w:rsidRPr="00600D15">
        <w:rPr>
          <w:rFonts w:ascii="標楷體" w:eastAsia="標楷體" w:hAnsi="標楷體" w:hint="eastAsia"/>
          <w:b/>
          <w:szCs w:val="24"/>
        </w:rPr>
        <w:t>元大好利High專案</w:t>
      </w:r>
    </w:p>
    <w:p w:rsidR="00C170A5" w:rsidRPr="00600D15" w:rsidRDefault="00C170A5" w:rsidP="00C170A5">
      <w:pPr>
        <w:pStyle w:val="ae"/>
        <w:numPr>
          <w:ilvl w:val="0"/>
          <w:numId w:val="4"/>
        </w:numPr>
        <w:tabs>
          <w:tab w:val="left" w:pos="1816"/>
        </w:tabs>
        <w:ind w:leftChars="0"/>
        <w:jc w:val="both"/>
        <w:rPr>
          <w:rFonts w:ascii="標楷體" w:eastAsia="標楷體" w:hAnsi="標楷體"/>
          <w:szCs w:val="24"/>
        </w:rPr>
      </w:pPr>
      <w:r w:rsidRPr="00600D15">
        <w:rPr>
          <w:rFonts w:ascii="標楷體" w:eastAsia="標楷體" w:hAnsi="標楷體" w:hint="eastAsia"/>
          <w:szCs w:val="24"/>
        </w:rPr>
        <w:t>賺取價差很小</w:t>
      </w:r>
      <w:r w:rsidR="005D1380" w:rsidRPr="00600D15">
        <w:rPr>
          <w:rFonts w:ascii="標楷體" w:eastAsia="標楷體" w:hAnsi="標楷體" w:hint="eastAsia"/>
          <w:szCs w:val="24"/>
        </w:rPr>
        <w:t>，</w:t>
      </w:r>
      <w:r w:rsidRPr="00600D15">
        <w:rPr>
          <w:rFonts w:ascii="標楷體" w:eastAsia="標楷體" w:hAnsi="標楷體" w:hint="eastAsia"/>
          <w:szCs w:val="24"/>
        </w:rPr>
        <w:t>最主要目的</w:t>
      </w:r>
      <w:r w:rsidR="00DE18DE" w:rsidRPr="00600D15">
        <w:rPr>
          <w:rFonts w:ascii="標楷體" w:eastAsia="標楷體" w:hAnsi="標楷體" w:hint="eastAsia"/>
          <w:szCs w:val="24"/>
        </w:rPr>
        <w:t>是創造誘因吸引專業投資人</w:t>
      </w:r>
    </w:p>
    <w:p w:rsidR="00DE18DE" w:rsidRPr="00600D15" w:rsidRDefault="00DE18DE" w:rsidP="00C170A5">
      <w:pPr>
        <w:pStyle w:val="ae"/>
        <w:numPr>
          <w:ilvl w:val="0"/>
          <w:numId w:val="4"/>
        </w:numPr>
        <w:tabs>
          <w:tab w:val="left" w:pos="1816"/>
        </w:tabs>
        <w:ind w:leftChars="0"/>
        <w:jc w:val="both"/>
        <w:rPr>
          <w:rFonts w:ascii="標楷體" w:eastAsia="標楷體" w:hAnsi="標楷體"/>
          <w:szCs w:val="24"/>
        </w:rPr>
      </w:pPr>
      <w:r w:rsidRPr="00600D15">
        <w:rPr>
          <w:rFonts w:ascii="標楷體" w:eastAsia="標楷體" w:hAnsi="標楷體"/>
          <w:szCs w:val="24"/>
        </w:rPr>
        <w:t>6</w:t>
      </w:r>
      <w:r w:rsidRPr="00600D15">
        <w:rPr>
          <w:rFonts w:ascii="標楷體" w:eastAsia="標楷體" w:hAnsi="標楷體" w:hint="eastAsia"/>
          <w:szCs w:val="24"/>
        </w:rPr>
        <w:t>月法令開放後</w:t>
      </w:r>
      <w:r w:rsidR="005D1380" w:rsidRPr="00600D15">
        <w:rPr>
          <w:rFonts w:ascii="標楷體" w:eastAsia="標楷體" w:hAnsi="標楷體" w:hint="eastAsia"/>
          <w:szCs w:val="24"/>
        </w:rPr>
        <w:t>，</w:t>
      </w:r>
      <w:r w:rsidRPr="00600D15">
        <w:rPr>
          <w:rFonts w:ascii="標楷體" w:eastAsia="標楷體" w:hAnsi="標楷體" w:hint="eastAsia"/>
          <w:szCs w:val="24"/>
        </w:rPr>
        <w:t>專業投資人可以購買BB等級以上</w:t>
      </w:r>
      <w:r w:rsidR="005D1380" w:rsidRPr="00600D15">
        <w:rPr>
          <w:rFonts w:ascii="標楷體" w:eastAsia="標楷體" w:hAnsi="標楷體" w:hint="eastAsia"/>
          <w:szCs w:val="24"/>
        </w:rPr>
        <w:t>，</w:t>
      </w:r>
      <w:r w:rsidRPr="00600D15">
        <w:rPr>
          <w:rFonts w:ascii="標楷體" w:eastAsia="標楷體" w:hAnsi="標楷體" w:hint="eastAsia"/>
          <w:szCs w:val="24"/>
        </w:rPr>
        <w:t>以外幣計價的債券</w:t>
      </w:r>
    </w:p>
    <w:p w:rsidR="00173076" w:rsidRPr="00600D15" w:rsidRDefault="00173076" w:rsidP="0077613F">
      <w:pPr>
        <w:tabs>
          <w:tab w:val="left" w:pos="1816"/>
        </w:tabs>
        <w:jc w:val="both"/>
        <w:rPr>
          <w:rFonts w:ascii="標楷體" w:eastAsia="標楷體" w:hAnsi="標楷體"/>
          <w:szCs w:val="24"/>
        </w:rPr>
      </w:pPr>
    </w:p>
    <w:p w:rsidR="009A5544" w:rsidRDefault="009A5544"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376CC1" w:rsidP="0077613F">
      <w:pPr>
        <w:tabs>
          <w:tab w:val="left" w:pos="1816"/>
        </w:tabs>
        <w:jc w:val="both"/>
        <w:rPr>
          <w:rFonts w:ascii="標楷體" w:eastAsia="標楷體" w:hAnsi="標楷體"/>
          <w:szCs w:val="24"/>
        </w:rPr>
      </w:pPr>
    </w:p>
    <w:p w:rsidR="00376CC1" w:rsidRDefault="002F5EDD" w:rsidP="0077613F">
      <w:pPr>
        <w:tabs>
          <w:tab w:val="left" w:pos="1816"/>
        </w:tabs>
        <w:jc w:val="both"/>
        <w:rPr>
          <w:rFonts w:ascii="標楷體" w:eastAsia="標楷體" w:hAnsi="標楷體"/>
          <w:szCs w:val="24"/>
        </w:rPr>
      </w:pPr>
      <w:r>
        <w:rPr>
          <w:rFonts w:ascii="標楷體" w:eastAsia="標楷體" w:hAnsi="標楷體" w:hint="eastAsia"/>
          <w:szCs w:val="24"/>
        </w:rPr>
        <w:lastRenderedPageBreak/>
        <w:t>寶島債ETF</w:t>
      </w:r>
      <w:r w:rsidR="00BE413C">
        <w:rPr>
          <w:rFonts w:ascii="標楷體" w:eastAsia="標楷體" w:hAnsi="標楷體"/>
          <w:szCs w:val="24"/>
        </w:rPr>
        <w:t xml:space="preserve"> </w:t>
      </w:r>
    </w:p>
    <w:p w:rsidR="00B66417" w:rsidRDefault="00B66417" w:rsidP="0077613F">
      <w:pPr>
        <w:tabs>
          <w:tab w:val="left" w:pos="1816"/>
        </w:tabs>
        <w:jc w:val="both"/>
        <w:rPr>
          <w:rFonts w:ascii="標楷體" w:eastAsia="標楷體" w:hAnsi="標楷體"/>
          <w:szCs w:val="24"/>
        </w:rPr>
      </w:pPr>
    </w:p>
    <w:p w:rsidR="002F5EDD" w:rsidRDefault="002F5EDD" w:rsidP="0077613F">
      <w:pPr>
        <w:tabs>
          <w:tab w:val="left" w:pos="1816"/>
        </w:tabs>
        <w:jc w:val="both"/>
        <w:rPr>
          <w:rFonts w:ascii="標楷體" w:eastAsia="標楷體" w:hAnsi="標楷體" w:hint="eastAsia"/>
          <w:szCs w:val="24"/>
        </w:rPr>
      </w:pPr>
      <w:r>
        <w:rPr>
          <w:rFonts w:ascii="標楷體" w:eastAsia="標楷體" w:hAnsi="標楷體" w:hint="eastAsia"/>
          <w:szCs w:val="24"/>
        </w:rPr>
        <w:t>商品發行</w:t>
      </w:r>
    </w:p>
    <w:p w:rsidR="002F5EDD" w:rsidRDefault="002F5EDD" w:rsidP="0077613F">
      <w:pPr>
        <w:tabs>
          <w:tab w:val="left" w:pos="1816"/>
        </w:tabs>
        <w:jc w:val="both"/>
        <w:rPr>
          <w:rFonts w:ascii="標楷體" w:eastAsia="標楷體" w:hAnsi="標楷體"/>
          <w:szCs w:val="24"/>
        </w:rPr>
      </w:pPr>
      <w:r>
        <w:rPr>
          <w:rFonts w:ascii="標楷體" w:eastAsia="標楷體" w:hAnsi="標楷體" w:hint="eastAsia"/>
          <w:szCs w:val="24"/>
        </w:rPr>
        <w:t>9/1櫃買中心公告寶島債指數，</w:t>
      </w:r>
      <w:r w:rsidR="00DA3934">
        <w:rPr>
          <w:rFonts w:ascii="標楷體" w:eastAsia="標楷體" w:hAnsi="標楷體" w:hint="eastAsia"/>
          <w:szCs w:val="24"/>
        </w:rPr>
        <w:t>未來</w:t>
      </w:r>
      <w:r>
        <w:rPr>
          <w:rFonts w:ascii="標楷體" w:eastAsia="標楷體" w:hAnsi="標楷體" w:hint="eastAsia"/>
          <w:szCs w:val="24"/>
        </w:rPr>
        <w:t>元大</w:t>
      </w:r>
      <w:r w:rsidR="00DA3934">
        <w:rPr>
          <w:rFonts w:ascii="標楷體" w:eastAsia="標楷體" w:hAnsi="標楷體" w:hint="eastAsia"/>
          <w:szCs w:val="24"/>
        </w:rPr>
        <w:t>投信也將</w:t>
      </w:r>
      <w:r>
        <w:rPr>
          <w:rFonts w:ascii="標楷體" w:eastAsia="標楷體" w:hAnsi="標楷體" w:hint="eastAsia"/>
          <w:szCs w:val="24"/>
        </w:rPr>
        <w:t>發行第一</w:t>
      </w:r>
      <w:proofErr w:type="gramStart"/>
      <w:r>
        <w:rPr>
          <w:rFonts w:ascii="標楷體" w:eastAsia="標楷體" w:hAnsi="標楷體" w:hint="eastAsia"/>
          <w:szCs w:val="24"/>
        </w:rPr>
        <w:t>檔</w:t>
      </w:r>
      <w:proofErr w:type="gramEnd"/>
      <w:r>
        <w:rPr>
          <w:rFonts w:ascii="標楷體" w:eastAsia="標楷體" w:hAnsi="標楷體" w:hint="eastAsia"/>
          <w:szCs w:val="24"/>
        </w:rPr>
        <w:t>寶島債 ETF，</w:t>
      </w:r>
    </w:p>
    <w:p w:rsidR="00564B08" w:rsidRDefault="00564B08" w:rsidP="0077613F">
      <w:pPr>
        <w:tabs>
          <w:tab w:val="left" w:pos="1816"/>
        </w:tabs>
        <w:jc w:val="both"/>
        <w:rPr>
          <w:rFonts w:ascii="標楷體" w:eastAsia="標楷體" w:hAnsi="標楷體"/>
          <w:szCs w:val="24"/>
        </w:rPr>
      </w:pPr>
    </w:p>
    <w:p w:rsidR="00564B08" w:rsidRDefault="00726CA1" w:rsidP="0077613F">
      <w:pPr>
        <w:tabs>
          <w:tab w:val="left" w:pos="1816"/>
        </w:tabs>
        <w:jc w:val="both"/>
        <w:rPr>
          <w:rFonts w:ascii="標楷體" w:eastAsia="標楷體" w:hAnsi="標楷體"/>
          <w:szCs w:val="24"/>
        </w:rPr>
      </w:pPr>
      <w:bookmarkStart w:id="0" w:name="_GoBack"/>
      <w:bookmarkEnd w:id="0"/>
      <w:r w:rsidRPr="00726CA1">
        <w:rPr>
          <w:rFonts w:ascii="標楷體" w:eastAsia="標楷體" w:hAnsi="標楷體" w:hint="eastAsia"/>
          <w:szCs w:val="24"/>
          <w:highlight w:val="yellow"/>
        </w:rPr>
        <w:t>新商品轉型契機</w:t>
      </w:r>
    </w:p>
    <w:p w:rsidR="00564B08" w:rsidRDefault="00564B08" w:rsidP="0077613F">
      <w:pPr>
        <w:tabs>
          <w:tab w:val="left" w:pos="1816"/>
        </w:tabs>
        <w:jc w:val="both"/>
        <w:rPr>
          <w:rFonts w:ascii="標楷體" w:eastAsia="標楷體" w:hAnsi="標楷體"/>
          <w:szCs w:val="24"/>
        </w:rPr>
      </w:pPr>
      <w:r>
        <w:rPr>
          <w:rFonts w:ascii="標楷體" w:eastAsia="標楷體" w:hAnsi="標楷體" w:hint="eastAsia"/>
          <w:szCs w:val="24"/>
        </w:rPr>
        <w:t>銀行財富管理_固定收益/基金</w:t>
      </w:r>
    </w:p>
    <w:p w:rsidR="00564B08" w:rsidRDefault="00564B08" w:rsidP="0077613F">
      <w:pPr>
        <w:tabs>
          <w:tab w:val="left" w:pos="1816"/>
        </w:tabs>
        <w:jc w:val="both"/>
        <w:rPr>
          <w:rFonts w:ascii="標楷體" w:eastAsia="標楷體" w:hAnsi="標楷體"/>
          <w:szCs w:val="24"/>
        </w:rPr>
      </w:pPr>
      <w:r>
        <w:rPr>
          <w:rFonts w:ascii="標楷體" w:eastAsia="標楷體" w:hAnsi="標楷體" w:hint="eastAsia"/>
          <w:szCs w:val="24"/>
        </w:rPr>
        <w:t>業代關係_固定收益/股票</w:t>
      </w:r>
    </w:p>
    <w:p w:rsidR="00564B08" w:rsidRDefault="00564B08" w:rsidP="0077613F">
      <w:pPr>
        <w:tabs>
          <w:tab w:val="left" w:pos="1816"/>
        </w:tabs>
        <w:jc w:val="both"/>
        <w:rPr>
          <w:rFonts w:ascii="標楷體" w:eastAsia="標楷體" w:hAnsi="標楷體"/>
          <w:szCs w:val="24"/>
        </w:rPr>
      </w:pPr>
      <w:r>
        <w:rPr>
          <w:rFonts w:ascii="標楷體" w:eastAsia="標楷體" w:hAnsi="標楷體" w:hint="eastAsia"/>
          <w:szCs w:val="24"/>
        </w:rPr>
        <w:t>成本效益</w:t>
      </w:r>
    </w:p>
    <w:p w:rsidR="00564B08" w:rsidRPr="00564B08" w:rsidRDefault="00564B08" w:rsidP="0077613F">
      <w:pPr>
        <w:tabs>
          <w:tab w:val="left" w:pos="1816"/>
        </w:tabs>
        <w:jc w:val="both"/>
        <w:rPr>
          <w:rFonts w:ascii="標楷體" w:eastAsia="標楷體" w:hAnsi="標楷體" w:hint="eastAsia"/>
          <w:szCs w:val="24"/>
        </w:rPr>
      </w:pPr>
      <w:r>
        <w:rPr>
          <w:rFonts w:ascii="標楷體" w:eastAsia="標楷體" w:hAnsi="標楷體" w:hint="eastAsia"/>
          <w:szCs w:val="24"/>
        </w:rPr>
        <w:t>效率</w:t>
      </w:r>
    </w:p>
    <w:sectPr w:rsidR="00564B08" w:rsidRPr="00564B0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F00" w:rsidRDefault="00A47F00" w:rsidP="00CD2780">
      <w:r>
        <w:separator/>
      </w:r>
    </w:p>
  </w:endnote>
  <w:endnote w:type="continuationSeparator" w:id="0">
    <w:p w:rsidR="00A47F00" w:rsidRDefault="00A47F00" w:rsidP="00CD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F00" w:rsidRDefault="00A47F00" w:rsidP="00CD2780">
      <w:r>
        <w:separator/>
      </w:r>
    </w:p>
  </w:footnote>
  <w:footnote w:type="continuationSeparator" w:id="0">
    <w:p w:rsidR="00A47F00" w:rsidRDefault="00A47F00" w:rsidP="00CD2780">
      <w:r>
        <w:continuationSeparator/>
      </w:r>
    </w:p>
  </w:footnote>
  <w:footnote w:id="1">
    <w:p w:rsidR="00CD2780" w:rsidRDefault="00CD2780">
      <w:pPr>
        <w:pStyle w:val="ab"/>
      </w:pPr>
      <w:r>
        <w:rPr>
          <w:rStyle w:val="ad"/>
        </w:rPr>
        <w:footnoteRef/>
      </w:r>
      <w:r>
        <w:t xml:space="preserve"> </w:t>
      </w:r>
      <w:r w:rsidR="005F7498">
        <w:rPr>
          <w:rFonts w:hint="eastAsia"/>
        </w:rPr>
        <w:t>元大好利</w:t>
      </w:r>
      <w:r w:rsidR="005F7498">
        <w:rPr>
          <w:rFonts w:hint="eastAsia"/>
        </w:rPr>
        <w:t>High</w:t>
      </w:r>
      <w:r w:rsidR="005F7498">
        <w:rPr>
          <w:rFonts w:hint="eastAsia"/>
        </w:rPr>
        <w:t>專案</w:t>
      </w:r>
      <w:r w:rsidR="005D1380">
        <w:t>，</w:t>
      </w:r>
      <w:r w:rsidR="005F7498">
        <w:rPr>
          <w:rFonts w:hint="eastAsia"/>
        </w:rPr>
        <w:t>人民幣保本型商品</w:t>
      </w:r>
      <w:r w:rsidR="005D1380">
        <w:rPr>
          <w:rFonts w:hint="eastAsia"/>
        </w:rPr>
        <w:t>，</w:t>
      </w:r>
      <w:r w:rsidR="005F7498">
        <w:rPr>
          <w:rFonts w:hint="eastAsia"/>
        </w:rPr>
        <w:t>3</w:t>
      </w:r>
      <w:r w:rsidR="005F7498">
        <w:rPr>
          <w:rFonts w:hint="eastAsia"/>
        </w:rPr>
        <w:t>個月期</w:t>
      </w:r>
      <w:r w:rsidR="005D1380">
        <w:rPr>
          <w:rFonts w:hint="eastAsia"/>
        </w:rPr>
        <w:t>，</w:t>
      </w:r>
      <w:proofErr w:type="gramStart"/>
      <w:r w:rsidR="005F7498">
        <w:rPr>
          <w:rFonts w:hint="eastAsia"/>
        </w:rPr>
        <w:t>保本率</w:t>
      </w:r>
      <w:proofErr w:type="gramEnd"/>
      <w:r w:rsidR="005F7498">
        <w:rPr>
          <w:rFonts w:hint="eastAsia"/>
        </w:rPr>
        <w:t>100%</w:t>
      </w:r>
      <w:r w:rsidR="005D1380">
        <w:t>，</w:t>
      </w:r>
      <w:r w:rsidR="005F7498">
        <w:rPr>
          <w:rFonts w:hint="eastAsia"/>
        </w:rPr>
        <w:t>最低利率</w:t>
      </w:r>
      <w:r w:rsidR="005F7498">
        <w:rPr>
          <w:rFonts w:hint="eastAsia"/>
        </w:rPr>
        <w:t>4%</w:t>
      </w:r>
      <w:r w:rsidR="005D1380">
        <w:rPr>
          <w:rFonts w:hint="eastAsia"/>
        </w:rPr>
        <w:t>，</w:t>
      </w:r>
      <w:proofErr w:type="gramStart"/>
      <w:r w:rsidR="005F7498">
        <w:rPr>
          <w:rFonts w:hint="eastAsia"/>
        </w:rPr>
        <w:t>乘做金額</w:t>
      </w:r>
      <w:proofErr w:type="gramEnd"/>
      <w:r w:rsidR="005F7498">
        <w:rPr>
          <w:rFonts w:hint="eastAsia"/>
        </w:rPr>
        <w:t>100</w:t>
      </w:r>
      <w:r w:rsidR="005F7498">
        <w:rPr>
          <w:rFonts w:hint="eastAsia"/>
        </w:rPr>
        <w:t>萬人民幣</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73431"/>
    <w:multiLevelType w:val="hybridMultilevel"/>
    <w:tmpl w:val="F4203118"/>
    <w:lvl w:ilvl="0" w:tplc="A50AF800">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nsid w:val="0CB93426"/>
    <w:multiLevelType w:val="hybridMultilevel"/>
    <w:tmpl w:val="86C6D7F6"/>
    <w:lvl w:ilvl="0" w:tplc="A50AF800">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nsid w:val="12254B44"/>
    <w:multiLevelType w:val="hybridMultilevel"/>
    <w:tmpl w:val="72ACAD2C"/>
    <w:lvl w:ilvl="0" w:tplc="A50AF800">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nsid w:val="14CB730E"/>
    <w:multiLevelType w:val="hybridMultilevel"/>
    <w:tmpl w:val="71FEA162"/>
    <w:lvl w:ilvl="0" w:tplc="A50AF800">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
    <w:nsid w:val="2CF91874"/>
    <w:multiLevelType w:val="hybridMultilevel"/>
    <w:tmpl w:val="9890411A"/>
    <w:lvl w:ilvl="0" w:tplc="25CA37B4">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3A0170FE"/>
    <w:multiLevelType w:val="hybridMultilevel"/>
    <w:tmpl w:val="0B1453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CD330B9"/>
    <w:multiLevelType w:val="hybridMultilevel"/>
    <w:tmpl w:val="669287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7524A5C"/>
    <w:multiLevelType w:val="hybridMultilevel"/>
    <w:tmpl w:val="0532B5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1771308"/>
    <w:multiLevelType w:val="hybridMultilevel"/>
    <w:tmpl w:val="8D6E40DA"/>
    <w:lvl w:ilvl="0" w:tplc="A50AF80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1066725"/>
    <w:multiLevelType w:val="hybridMultilevel"/>
    <w:tmpl w:val="E42893DA"/>
    <w:lvl w:ilvl="0" w:tplc="A50AF800">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0">
    <w:nsid w:val="61FD03D2"/>
    <w:multiLevelType w:val="hybridMultilevel"/>
    <w:tmpl w:val="098A62D8"/>
    <w:lvl w:ilvl="0" w:tplc="25CA37B4">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68386735"/>
    <w:multiLevelType w:val="hybridMultilevel"/>
    <w:tmpl w:val="2D125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9F060AC"/>
    <w:multiLevelType w:val="hybridMultilevel"/>
    <w:tmpl w:val="89D8A15E"/>
    <w:lvl w:ilvl="0" w:tplc="25CA37B4">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6B137A70"/>
    <w:multiLevelType w:val="hybridMultilevel"/>
    <w:tmpl w:val="DB5033CC"/>
    <w:lvl w:ilvl="0" w:tplc="A50AF80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E30644A"/>
    <w:multiLevelType w:val="hybridMultilevel"/>
    <w:tmpl w:val="023882F2"/>
    <w:lvl w:ilvl="0" w:tplc="A50AF800">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5">
    <w:nsid w:val="6FC41431"/>
    <w:multiLevelType w:val="hybridMultilevel"/>
    <w:tmpl w:val="A7C6FEB4"/>
    <w:lvl w:ilvl="0" w:tplc="A50AF800">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nsid w:val="737C2B32"/>
    <w:multiLevelType w:val="hybridMultilevel"/>
    <w:tmpl w:val="9A809468"/>
    <w:lvl w:ilvl="0" w:tplc="25CA37B4">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6"/>
  </w:num>
  <w:num w:numId="3">
    <w:abstractNumId w:val="11"/>
  </w:num>
  <w:num w:numId="4">
    <w:abstractNumId w:val="7"/>
  </w:num>
  <w:num w:numId="5">
    <w:abstractNumId w:val="8"/>
  </w:num>
  <w:num w:numId="6">
    <w:abstractNumId w:val="13"/>
  </w:num>
  <w:num w:numId="7">
    <w:abstractNumId w:val="12"/>
  </w:num>
  <w:num w:numId="8">
    <w:abstractNumId w:val="2"/>
  </w:num>
  <w:num w:numId="9">
    <w:abstractNumId w:val="0"/>
  </w:num>
  <w:num w:numId="10">
    <w:abstractNumId w:val="9"/>
  </w:num>
  <w:num w:numId="11">
    <w:abstractNumId w:val="16"/>
  </w:num>
  <w:num w:numId="12">
    <w:abstractNumId w:val="15"/>
  </w:num>
  <w:num w:numId="13">
    <w:abstractNumId w:val="1"/>
  </w:num>
  <w:num w:numId="14">
    <w:abstractNumId w:val="14"/>
  </w:num>
  <w:num w:numId="15">
    <w:abstractNumId w:val="4"/>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2B"/>
    <w:rsid w:val="000005C4"/>
    <w:rsid w:val="0001789F"/>
    <w:rsid w:val="0002201A"/>
    <w:rsid w:val="00074A3E"/>
    <w:rsid w:val="000A1005"/>
    <w:rsid w:val="00173076"/>
    <w:rsid w:val="00182E7B"/>
    <w:rsid w:val="00236114"/>
    <w:rsid w:val="002563D3"/>
    <w:rsid w:val="0029551C"/>
    <w:rsid w:val="002F5EDD"/>
    <w:rsid w:val="00354F27"/>
    <w:rsid w:val="00376CC1"/>
    <w:rsid w:val="003D7CBB"/>
    <w:rsid w:val="00452B5C"/>
    <w:rsid w:val="00473575"/>
    <w:rsid w:val="004B2D1C"/>
    <w:rsid w:val="004C7557"/>
    <w:rsid w:val="00510B2F"/>
    <w:rsid w:val="00564B08"/>
    <w:rsid w:val="00580B03"/>
    <w:rsid w:val="005C6DEB"/>
    <w:rsid w:val="005D1380"/>
    <w:rsid w:val="005F7498"/>
    <w:rsid w:val="00600D15"/>
    <w:rsid w:val="00652F4D"/>
    <w:rsid w:val="0067482B"/>
    <w:rsid w:val="006A769D"/>
    <w:rsid w:val="006E63E6"/>
    <w:rsid w:val="007039BD"/>
    <w:rsid w:val="007061E3"/>
    <w:rsid w:val="00726CA1"/>
    <w:rsid w:val="0077613F"/>
    <w:rsid w:val="007B17AD"/>
    <w:rsid w:val="007E4140"/>
    <w:rsid w:val="00886C26"/>
    <w:rsid w:val="008B7808"/>
    <w:rsid w:val="008F28DE"/>
    <w:rsid w:val="00987D9F"/>
    <w:rsid w:val="009A5544"/>
    <w:rsid w:val="009E1D5E"/>
    <w:rsid w:val="00A07165"/>
    <w:rsid w:val="00A15564"/>
    <w:rsid w:val="00A33563"/>
    <w:rsid w:val="00A47F00"/>
    <w:rsid w:val="00B145D8"/>
    <w:rsid w:val="00B66417"/>
    <w:rsid w:val="00B675DE"/>
    <w:rsid w:val="00BD4887"/>
    <w:rsid w:val="00BE413C"/>
    <w:rsid w:val="00C170A5"/>
    <w:rsid w:val="00C2326C"/>
    <w:rsid w:val="00C55DE9"/>
    <w:rsid w:val="00CD2780"/>
    <w:rsid w:val="00DA3934"/>
    <w:rsid w:val="00DE18DE"/>
    <w:rsid w:val="00E2705B"/>
    <w:rsid w:val="00E54D6E"/>
    <w:rsid w:val="00EA7545"/>
    <w:rsid w:val="00EE054E"/>
    <w:rsid w:val="00F761E4"/>
    <w:rsid w:val="00F81B2F"/>
    <w:rsid w:val="00FC52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44472-860F-41C9-92CC-912B953E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955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CD2780"/>
    <w:rPr>
      <w:sz w:val="18"/>
      <w:szCs w:val="18"/>
    </w:rPr>
  </w:style>
  <w:style w:type="paragraph" w:styleId="a5">
    <w:name w:val="annotation text"/>
    <w:basedOn w:val="a"/>
    <w:link w:val="a6"/>
    <w:uiPriority w:val="99"/>
    <w:semiHidden/>
    <w:unhideWhenUsed/>
    <w:rsid w:val="00CD2780"/>
  </w:style>
  <w:style w:type="character" w:customStyle="1" w:styleId="a6">
    <w:name w:val="註解文字 字元"/>
    <w:basedOn w:val="a0"/>
    <w:link w:val="a5"/>
    <w:uiPriority w:val="99"/>
    <w:semiHidden/>
    <w:rsid w:val="00CD2780"/>
  </w:style>
  <w:style w:type="paragraph" w:styleId="a7">
    <w:name w:val="annotation subject"/>
    <w:basedOn w:val="a5"/>
    <w:next w:val="a5"/>
    <w:link w:val="a8"/>
    <w:uiPriority w:val="99"/>
    <w:semiHidden/>
    <w:unhideWhenUsed/>
    <w:rsid w:val="00CD2780"/>
    <w:rPr>
      <w:b/>
      <w:bCs/>
    </w:rPr>
  </w:style>
  <w:style w:type="character" w:customStyle="1" w:styleId="a8">
    <w:name w:val="註解主旨 字元"/>
    <w:basedOn w:val="a6"/>
    <w:link w:val="a7"/>
    <w:uiPriority w:val="99"/>
    <w:semiHidden/>
    <w:rsid w:val="00CD2780"/>
    <w:rPr>
      <w:b/>
      <w:bCs/>
    </w:rPr>
  </w:style>
  <w:style w:type="paragraph" w:styleId="a9">
    <w:name w:val="Balloon Text"/>
    <w:basedOn w:val="a"/>
    <w:link w:val="aa"/>
    <w:uiPriority w:val="99"/>
    <w:semiHidden/>
    <w:unhideWhenUsed/>
    <w:rsid w:val="00CD278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D2780"/>
    <w:rPr>
      <w:rFonts w:asciiTheme="majorHAnsi" w:eastAsiaTheme="majorEastAsia" w:hAnsiTheme="majorHAnsi" w:cstheme="majorBidi"/>
      <w:sz w:val="18"/>
      <w:szCs w:val="18"/>
    </w:rPr>
  </w:style>
  <w:style w:type="paragraph" w:styleId="ab">
    <w:name w:val="footnote text"/>
    <w:basedOn w:val="a"/>
    <w:link w:val="ac"/>
    <w:uiPriority w:val="99"/>
    <w:semiHidden/>
    <w:unhideWhenUsed/>
    <w:rsid w:val="00CD2780"/>
    <w:pPr>
      <w:snapToGrid w:val="0"/>
    </w:pPr>
    <w:rPr>
      <w:sz w:val="20"/>
      <w:szCs w:val="20"/>
    </w:rPr>
  </w:style>
  <w:style w:type="character" w:customStyle="1" w:styleId="ac">
    <w:name w:val="註腳文字 字元"/>
    <w:basedOn w:val="a0"/>
    <w:link w:val="ab"/>
    <w:uiPriority w:val="99"/>
    <w:semiHidden/>
    <w:rsid w:val="00CD2780"/>
    <w:rPr>
      <w:sz w:val="20"/>
      <w:szCs w:val="20"/>
    </w:rPr>
  </w:style>
  <w:style w:type="character" w:styleId="ad">
    <w:name w:val="footnote reference"/>
    <w:basedOn w:val="a0"/>
    <w:uiPriority w:val="99"/>
    <w:semiHidden/>
    <w:unhideWhenUsed/>
    <w:rsid w:val="00CD2780"/>
    <w:rPr>
      <w:vertAlign w:val="superscript"/>
    </w:rPr>
  </w:style>
  <w:style w:type="paragraph" w:styleId="ae">
    <w:name w:val="List Paragraph"/>
    <w:basedOn w:val="a"/>
    <w:uiPriority w:val="34"/>
    <w:qFormat/>
    <w:rsid w:val="00F761E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01E5B1-2C41-43E4-88DB-ABA575FC25AD}"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TW" altLang="en-US"/>
        </a:p>
      </dgm:t>
    </dgm:pt>
    <dgm:pt modelId="{2C82C692-4B8A-4F0C-9F97-7DF67DCBFAA3}">
      <dgm:prSet phldrT="[文字]" custT="1"/>
      <dgm:spPr/>
      <dgm:t>
        <a:bodyPr/>
        <a:lstStyle/>
        <a:p>
          <a:r>
            <a:rPr lang="zh-TW" altLang="en-US" sz="1200" b="0">
              <a:solidFill>
                <a:sysClr val="windowText" lastClr="000000"/>
              </a:solidFill>
              <a:latin typeface="標楷體" panose="03000509000000000000" pitchFamily="65" charset="-120"/>
              <a:ea typeface="標楷體" panose="03000509000000000000" pitchFamily="65" charset="-120"/>
            </a:rPr>
            <a:t>債券部</a:t>
          </a:r>
        </a:p>
      </dgm:t>
    </dgm:pt>
    <dgm:pt modelId="{C499064C-567C-477B-A23C-01B7402F5F52}" type="parTrans" cxnId="{FC31A32B-0995-4595-8D90-3BA7725CADF5}">
      <dgm:prSet/>
      <dgm:spPr/>
      <dgm:t>
        <a:bodyPr/>
        <a:lstStyle/>
        <a:p>
          <a:endParaRPr lang="zh-TW" altLang="en-US"/>
        </a:p>
      </dgm:t>
    </dgm:pt>
    <dgm:pt modelId="{0DEB61C5-3823-4BE9-9379-B402A044D496}" type="sibTrans" cxnId="{FC31A32B-0995-4595-8D90-3BA7725CADF5}">
      <dgm:prSet/>
      <dgm:spPr/>
      <dgm:t>
        <a:bodyPr/>
        <a:lstStyle/>
        <a:p>
          <a:endParaRPr lang="zh-TW" altLang="en-US"/>
        </a:p>
      </dgm:t>
    </dgm:pt>
    <dgm:pt modelId="{9E730ECD-87C2-4FC6-B751-200AA007E2C9}">
      <dgm:prSet phldrT="[文字]" custT="1"/>
      <dgm:spPr/>
      <dgm:t>
        <a:bodyPr/>
        <a:lstStyle/>
        <a:p>
          <a:r>
            <a:rPr lang="zh-TW" altLang="en-US" sz="1200" b="0">
              <a:solidFill>
                <a:sysClr val="windowText" lastClr="000000"/>
              </a:solidFill>
              <a:latin typeface="標楷體" panose="03000509000000000000" pitchFamily="65" charset="-120"/>
              <a:ea typeface="標楷體" panose="03000509000000000000" pitchFamily="65" charset="-120"/>
            </a:rPr>
            <a:t>證券業代</a:t>
          </a:r>
        </a:p>
      </dgm:t>
    </dgm:pt>
    <dgm:pt modelId="{11352A52-CBAB-401F-8074-F18AD67AA8ED}" type="parTrans" cxnId="{51761192-43A7-455B-889D-5B7A33F8F29D}">
      <dgm:prSet/>
      <dgm:spPr/>
      <dgm:t>
        <a:bodyPr/>
        <a:lstStyle/>
        <a:p>
          <a:endParaRPr lang="zh-TW" altLang="en-US"/>
        </a:p>
      </dgm:t>
    </dgm:pt>
    <dgm:pt modelId="{E1E8CC40-C9A5-4A64-ADF7-3C2D93ECD404}" type="sibTrans" cxnId="{51761192-43A7-455B-889D-5B7A33F8F29D}">
      <dgm:prSet/>
      <dgm:spPr>
        <a:noFill/>
      </dgm:spPr>
      <dgm:t>
        <a:bodyPr/>
        <a:lstStyle/>
        <a:p>
          <a:endParaRPr lang="zh-TW" altLang="en-US"/>
        </a:p>
      </dgm:t>
    </dgm:pt>
    <dgm:pt modelId="{8F32D1E1-2EC9-4337-A190-00758D5D8F20}">
      <dgm:prSet phldrT="[文字]" custT="1"/>
      <dgm:spPr/>
      <dgm:t>
        <a:bodyPr/>
        <a:lstStyle/>
        <a:p>
          <a:r>
            <a:rPr lang="zh-TW" altLang="en-US" sz="1200" b="0">
              <a:solidFill>
                <a:sysClr val="windowText" lastClr="000000"/>
              </a:solidFill>
              <a:latin typeface="標楷體" panose="03000509000000000000" pitchFamily="65" charset="-120"/>
              <a:ea typeface="標楷體" panose="03000509000000000000" pitchFamily="65" charset="-120"/>
            </a:rPr>
            <a:t>銀行財管</a:t>
          </a:r>
        </a:p>
      </dgm:t>
    </dgm:pt>
    <dgm:pt modelId="{53C4F182-361A-4499-8541-9976C9F6C90F}" type="parTrans" cxnId="{C5B00586-30AC-43CD-AC35-21C4B02A40D6}">
      <dgm:prSet/>
      <dgm:spPr/>
      <dgm:t>
        <a:bodyPr/>
        <a:lstStyle/>
        <a:p>
          <a:endParaRPr lang="zh-TW" altLang="en-US"/>
        </a:p>
      </dgm:t>
    </dgm:pt>
    <dgm:pt modelId="{B4B5E3B5-5A44-4C20-9F1F-948B0DC09D39}" type="sibTrans" cxnId="{C5B00586-30AC-43CD-AC35-21C4B02A40D6}">
      <dgm:prSet/>
      <dgm:spPr/>
      <dgm:t>
        <a:bodyPr/>
        <a:lstStyle/>
        <a:p>
          <a:endParaRPr lang="zh-TW" altLang="en-US"/>
        </a:p>
      </dgm:t>
    </dgm:pt>
    <dgm:pt modelId="{E02B30BA-5222-4ECF-9B06-5443CD297114}" type="pres">
      <dgm:prSet presAssocID="{E601E5B1-2C41-43E4-88DB-ABA575FC25AD}" presName="Name0" presStyleCnt="0">
        <dgm:presLayoutVars>
          <dgm:dir/>
          <dgm:resizeHandles val="exact"/>
        </dgm:presLayoutVars>
      </dgm:prSet>
      <dgm:spPr/>
      <dgm:t>
        <a:bodyPr/>
        <a:lstStyle/>
        <a:p>
          <a:endParaRPr lang="zh-TW" altLang="en-US"/>
        </a:p>
      </dgm:t>
    </dgm:pt>
    <dgm:pt modelId="{60B290B7-CAB6-4235-82A1-B127488A6580}" type="pres">
      <dgm:prSet presAssocID="{2C82C692-4B8A-4F0C-9F97-7DF67DCBFAA3}" presName="node" presStyleLbl="node1" presStyleIdx="0" presStyleCnt="3" custScaleX="148966" custScaleY="67369" custRadScaleRad="75553" custRadScaleInc="-1585">
        <dgm:presLayoutVars>
          <dgm:bulletEnabled val="1"/>
        </dgm:presLayoutVars>
      </dgm:prSet>
      <dgm:spPr/>
      <dgm:t>
        <a:bodyPr/>
        <a:lstStyle/>
        <a:p>
          <a:endParaRPr lang="zh-TW" altLang="en-US"/>
        </a:p>
      </dgm:t>
    </dgm:pt>
    <dgm:pt modelId="{CD872F40-FBA2-405E-9CB5-C891493302B3}" type="pres">
      <dgm:prSet presAssocID="{0DEB61C5-3823-4BE9-9379-B402A044D496}" presName="sibTrans" presStyleLbl="sibTrans2D1" presStyleIdx="0" presStyleCnt="3"/>
      <dgm:spPr/>
      <dgm:t>
        <a:bodyPr/>
        <a:lstStyle/>
        <a:p>
          <a:endParaRPr lang="zh-TW" altLang="en-US"/>
        </a:p>
      </dgm:t>
    </dgm:pt>
    <dgm:pt modelId="{2DC0E731-9F7F-4BE2-924C-49448DB5B86B}" type="pres">
      <dgm:prSet presAssocID="{0DEB61C5-3823-4BE9-9379-B402A044D496}" presName="connectorText" presStyleLbl="sibTrans2D1" presStyleIdx="0" presStyleCnt="3"/>
      <dgm:spPr/>
      <dgm:t>
        <a:bodyPr/>
        <a:lstStyle/>
        <a:p>
          <a:endParaRPr lang="zh-TW" altLang="en-US"/>
        </a:p>
      </dgm:t>
    </dgm:pt>
    <dgm:pt modelId="{D0B659E4-E2EB-4EED-A07C-2AE8EE2DD46C}" type="pres">
      <dgm:prSet presAssocID="{9E730ECD-87C2-4FC6-B751-200AA007E2C9}" presName="node" presStyleLbl="node1" presStyleIdx="1" presStyleCnt="3" custScaleX="152816" custScaleY="79473" custRadScaleRad="138340" custRadScaleInc="-31936">
        <dgm:presLayoutVars>
          <dgm:bulletEnabled val="1"/>
        </dgm:presLayoutVars>
      </dgm:prSet>
      <dgm:spPr/>
      <dgm:t>
        <a:bodyPr/>
        <a:lstStyle/>
        <a:p>
          <a:endParaRPr lang="zh-TW" altLang="en-US"/>
        </a:p>
      </dgm:t>
    </dgm:pt>
    <dgm:pt modelId="{64607E62-68DF-4D05-96EA-DC3014145CE1}" type="pres">
      <dgm:prSet presAssocID="{E1E8CC40-C9A5-4A64-ADF7-3C2D93ECD404}" presName="sibTrans" presStyleLbl="sibTrans2D1" presStyleIdx="1" presStyleCnt="3" custLinFactX="-37832" custLinFactY="-297501" custLinFactNeighborX="-100000" custLinFactNeighborY="-300000"/>
      <dgm:spPr/>
      <dgm:t>
        <a:bodyPr/>
        <a:lstStyle/>
        <a:p>
          <a:endParaRPr lang="zh-TW" altLang="en-US"/>
        </a:p>
      </dgm:t>
    </dgm:pt>
    <dgm:pt modelId="{75E554C6-3FC5-4AC5-8A5D-D2B989655490}" type="pres">
      <dgm:prSet presAssocID="{E1E8CC40-C9A5-4A64-ADF7-3C2D93ECD404}" presName="connectorText" presStyleLbl="sibTrans2D1" presStyleIdx="1" presStyleCnt="3"/>
      <dgm:spPr/>
      <dgm:t>
        <a:bodyPr/>
        <a:lstStyle/>
        <a:p>
          <a:endParaRPr lang="zh-TW" altLang="en-US"/>
        </a:p>
      </dgm:t>
    </dgm:pt>
    <dgm:pt modelId="{B1EDD920-B422-4E2B-84BA-AF220E195B24}" type="pres">
      <dgm:prSet presAssocID="{8F32D1E1-2EC9-4337-A190-00758D5D8F20}" presName="node" presStyleLbl="node1" presStyleIdx="2" presStyleCnt="3" custScaleX="147599" custScaleY="76444" custRadScaleRad="142320" custRadScaleInc="33545">
        <dgm:presLayoutVars>
          <dgm:bulletEnabled val="1"/>
        </dgm:presLayoutVars>
      </dgm:prSet>
      <dgm:spPr/>
      <dgm:t>
        <a:bodyPr/>
        <a:lstStyle/>
        <a:p>
          <a:endParaRPr lang="zh-TW" altLang="en-US"/>
        </a:p>
      </dgm:t>
    </dgm:pt>
    <dgm:pt modelId="{34887B54-4D43-41F2-907C-6D32C53E8E82}" type="pres">
      <dgm:prSet presAssocID="{B4B5E3B5-5A44-4C20-9F1F-948B0DC09D39}" presName="sibTrans" presStyleLbl="sibTrans2D1" presStyleIdx="2" presStyleCnt="3"/>
      <dgm:spPr/>
      <dgm:t>
        <a:bodyPr/>
        <a:lstStyle/>
        <a:p>
          <a:endParaRPr lang="zh-TW" altLang="en-US"/>
        </a:p>
      </dgm:t>
    </dgm:pt>
    <dgm:pt modelId="{53F4DF87-91A7-48C3-8D17-206566354497}" type="pres">
      <dgm:prSet presAssocID="{B4B5E3B5-5A44-4C20-9F1F-948B0DC09D39}" presName="connectorText" presStyleLbl="sibTrans2D1" presStyleIdx="2" presStyleCnt="3"/>
      <dgm:spPr/>
      <dgm:t>
        <a:bodyPr/>
        <a:lstStyle/>
        <a:p>
          <a:endParaRPr lang="zh-TW" altLang="en-US"/>
        </a:p>
      </dgm:t>
    </dgm:pt>
  </dgm:ptLst>
  <dgm:cxnLst>
    <dgm:cxn modelId="{FC31A32B-0995-4595-8D90-3BA7725CADF5}" srcId="{E601E5B1-2C41-43E4-88DB-ABA575FC25AD}" destId="{2C82C692-4B8A-4F0C-9F97-7DF67DCBFAA3}" srcOrd="0" destOrd="0" parTransId="{C499064C-567C-477B-A23C-01B7402F5F52}" sibTransId="{0DEB61C5-3823-4BE9-9379-B402A044D496}"/>
    <dgm:cxn modelId="{386B2262-9A42-483D-860B-E32BFA8F045F}" type="presOf" srcId="{8F32D1E1-2EC9-4337-A190-00758D5D8F20}" destId="{B1EDD920-B422-4E2B-84BA-AF220E195B24}" srcOrd="0" destOrd="0" presId="urn:microsoft.com/office/officeart/2005/8/layout/cycle7"/>
    <dgm:cxn modelId="{F4D3A319-FB59-4EE2-A135-85BDC2F2243C}" type="presOf" srcId="{B4B5E3B5-5A44-4C20-9F1F-948B0DC09D39}" destId="{53F4DF87-91A7-48C3-8D17-206566354497}" srcOrd="1" destOrd="0" presId="urn:microsoft.com/office/officeart/2005/8/layout/cycle7"/>
    <dgm:cxn modelId="{8CBCE66D-7933-4189-88F8-F0D49A7E1831}" type="presOf" srcId="{E601E5B1-2C41-43E4-88DB-ABA575FC25AD}" destId="{E02B30BA-5222-4ECF-9B06-5443CD297114}" srcOrd="0" destOrd="0" presId="urn:microsoft.com/office/officeart/2005/8/layout/cycle7"/>
    <dgm:cxn modelId="{5F57ECA9-47E1-4A3F-BAD4-A794C49CF670}" type="presOf" srcId="{0DEB61C5-3823-4BE9-9379-B402A044D496}" destId="{2DC0E731-9F7F-4BE2-924C-49448DB5B86B}" srcOrd="1" destOrd="0" presId="urn:microsoft.com/office/officeart/2005/8/layout/cycle7"/>
    <dgm:cxn modelId="{8EE3EDCA-C63C-4B99-9660-1EF53727E4E7}" type="presOf" srcId="{9E730ECD-87C2-4FC6-B751-200AA007E2C9}" destId="{D0B659E4-E2EB-4EED-A07C-2AE8EE2DD46C}" srcOrd="0" destOrd="0" presId="urn:microsoft.com/office/officeart/2005/8/layout/cycle7"/>
    <dgm:cxn modelId="{51761192-43A7-455B-889D-5B7A33F8F29D}" srcId="{E601E5B1-2C41-43E4-88DB-ABA575FC25AD}" destId="{9E730ECD-87C2-4FC6-B751-200AA007E2C9}" srcOrd="1" destOrd="0" parTransId="{11352A52-CBAB-401F-8074-F18AD67AA8ED}" sibTransId="{E1E8CC40-C9A5-4A64-ADF7-3C2D93ECD404}"/>
    <dgm:cxn modelId="{F9CC0D95-E32D-46E7-BC4E-15BE91D5325E}" type="presOf" srcId="{B4B5E3B5-5A44-4C20-9F1F-948B0DC09D39}" destId="{34887B54-4D43-41F2-907C-6D32C53E8E82}" srcOrd="0" destOrd="0" presId="urn:microsoft.com/office/officeart/2005/8/layout/cycle7"/>
    <dgm:cxn modelId="{C5B00586-30AC-43CD-AC35-21C4B02A40D6}" srcId="{E601E5B1-2C41-43E4-88DB-ABA575FC25AD}" destId="{8F32D1E1-2EC9-4337-A190-00758D5D8F20}" srcOrd="2" destOrd="0" parTransId="{53C4F182-361A-4499-8541-9976C9F6C90F}" sibTransId="{B4B5E3B5-5A44-4C20-9F1F-948B0DC09D39}"/>
    <dgm:cxn modelId="{243335DA-CC26-4D13-92F0-048F1651A12E}" type="presOf" srcId="{E1E8CC40-C9A5-4A64-ADF7-3C2D93ECD404}" destId="{75E554C6-3FC5-4AC5-8A5D-D2B989655490}" srcOrd="1" destOrd="0" presId="urn:microsoft.com/office/officeart/2005/8/layout/cycle7"/>
    <dgm:cxn modelId="{185AFA14-A10C-43FC-BCDB-CF1323252234}" type="presOf" srcId="{E1E8CC40-C9A5-4A64-ADF7-3C2D93ECD404}" destId="{64607E62-68DF-4D05-96EA-DC3014145CE1}" srcOrd="0" destOrd="0" presId="urn:microsoft.com/office/officeart/2005/8/layout/cycle7"/>
    <dgm:cxn modelId="{28C9E68A-55B5-4AA9-AF9B-5B99E324D90E}" type="presOf" srcId="{0DEB61C5-3823-4BE9-9379-B402A044D496}" destId="{CD872F40-FBA2-405E-9CB5-C891493302B3}" srcOrd="0" destOrd="0" presId="urn:microsoft.com/office/officeart/2005/8/layout/cycle7"/>
    <dgm:cxn modelId="{AA17C89F-76D9-485E-8B3C-08AD260AB1C0}" type="presOf" srcId="{2C82C692-4B8A-4F0C-9F97-7DF67DCBFAA3}" destId="{60B290B7-CAB6-4235-82A1-B127488A6580}" srcOrd="0" destOrd="0" presId="urn:microsoft.com/office/officeart/2005/8/layout/cycle7"/>
    <dgm:cxn modelId="{6673E537-1D95-4DA9-BA5E-519A0B3DD582}" type="presParOf" srcId="{E02B30BA-5222-4ECF-9B06-5443CD297114}" destId="{60B290B7-CAB6-4235-82A1-B127488A6580}" srcOrd="0" destOrd="0" presId="urn:microsoft.com/office/officeart/2005/8/layout/cycle7"/>
    <dgm:cxn modelId="{881F4589-3DDC-4B9F-9682-6060A0F70AE6}" type="presParOf" srcId="{E02B30BA-5222-4ECF-9B06-5443CD297114}" destId="{CD872F40-FBA2-405E-9CB5-C891493302B3}" srcOrd="1" destOrd="0" presId="urn:microsoft.com/office/officeart/2005/8/layout/cycle7"/>
    <dgm:cxn modelId="{66849372-7085-4D1E-866E-F7365F91E5B0}" type="presParOf" srcId="{CD872F40-FBA2-405E-9CB5-C891493302B3}" destId="{2DC0E731-9F7F-4BE2-924C-49448DB5B86B}" srcOrd="0" destOrd="0" presId="urn:microsoft.com/office/officeart/2005/8/layout/cycle7"/>
    <dgm:cxn modelId="{65E644D0-B64A-451F-A6D1-9BD8FD4D991E}" type="presParOf" srcId="{E02B30BA-5222-4ECF-9B06-5443CD297114}" destId="{D0B659E4-E2EB-4EED-A07C-2AE8EE2DD46C}" srcOrd="2" destOrd="0" presId="urn:microsoft.com/office/officeart/2005/8/layout/cycle7"/>
    <dgm:cxn modelId="{760313F5-C2D3-4F2C-92DF-522280FAC323}" type="presParOf" srcId="{E02B30BA-5222-4ECF-9B06-5443CD297114}" destId="{64607E62-68DF-4D05-96EA-DC3014145CE1}" srcOrd="3" destOrd="0" presId="urn:microsoft.com/office/officeart/2005/8/layout/cycle7"/>
    <dgm:cxn modelId="{06CE3743-F27E-4F07-9680-DA017332B89D}" type="presParOf" srcId="{64607E62-68DF-4D05-96EA-DC3014145CE1}" destId="{75E554C6-3FC5-4AC5-8A5D-D2B989655490}" srcOrd="0" destOrd="0" presId="urn:microsoft.com/office/officeart/2005/8/layout/cycle7"/>
    <dgm:cxn modelId="{5664B2B9-9240-4C04-96F7-C9FB63AA12F8}" type="presParOf" srcId="{E02B30BA-5222-4ECF-9B06-5443CD297114}" destId="{B1EDD920-B422-4E2B-84BA-AF220E195B24}" srcOrd="4" destOrd="0" presId="urn:microsoft.com/office/officeart/2005/8/layout/cycle7"/>
    <dgm:cxn modelId="{F1341499-D484-4D9C-B8CD-5C28F79B8F15}" type="presParOf" srcId="{E02B30BA-5222-4ECF-9B06-5443CD297114}" destId="{34887B54-4D43-41F2-907C-6D32C53E8E82}" srcOrd="5" destOrd="0" presId="urn:microsoft.com/office/officeart/2005/8/layout/cycle7"/>
    <dgm:cxn modelId="{10D33DD5-7B26-4F7B-B329-13831A19DDA7}" type="presParOf" srcId="{34887B54-4D43-41F2-907C-6D32C53E8E82}" destId="{53F4DF87-91A7-48C3-8D17-206566354497}" srcOrd="0" destOrd="0" presId="urn:microsoft.com/office/officeart/2005/8/layout/cycle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B290B7-CAB6-4235-82A1-B127488A6580}">
      <dsp:nvSpPr>
        <dsp:cNvPr id="0" name=""/>
        <dsp:cNvSpPr/>
      </dsp:nvSpPr>
      <dsp:spPr>
        <a:xfrm>
          <a:off x="1825566" y="304289"/>
          <a:ext cx="1330877" cy="3009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b="0" kern="1200">
              <a:solidFill>
                <a:sysClr val="windowText" lastClr="000000"/>
              </a:solidFill>
              <a:latin typeface="標楷體" panose="03000509000000000000" pitchFamily="65" charset="-120"/>
              <a:ea typeface="標楷體" panose="03000509000000000000" pitchFamily="65" charset="-120"/>
            </a:rPr>
            <a:t>債券部</a:t>
          </a:r>
        </a:p>
      </dsp:txBody>
      <dsp:txXfrm>
        <a:off x="1834380" y="313103"/>
        <a:ext cx="1313249" cy="283312"/>
      </dsp:txXfrm>
    </dsp:sp>
    <dsp:sp modelId="{CD872F40-FBA2-405E-9CB5-C891493302B3}">
      <dsp:nvSpPr>
        <dsp:cNvPr id="0" name=""/>
        <dsp:cNvSpPr/>
      </dsp:nvSpPr>
      <dsp:spPr>
        <a:xfrm rot="2191424">
          <a:off x="2695804" y="795249"/>
          <a:ext cx="720999" cy="15634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TW" altLang="en-US" sz="600" kern="1200"/>
        </a:p>
      </dsp:txBody>
      <dsp:txXfrm>
        <a:off x="2742708" y="826518"/>
        <a:ext cx="627191" cy="93808"/>
      </dsp:txXfrm>
    </dsp:sp>
    <dsp:sp modelId="{D0B659E4-E2EB-4EED-A07C-2AE8EE2DD46C}">
      <dsp:nvSpPr>
        <dsp:cNvPr id="0" name=""/>
        <dsp:cNvSpPr/>
      </dsp:nvSpPr>
      <dsp:spPr>
        <a:xfrm>
          <a:off x="2975470" y="1141614"/>
          <a:ext cx="1365273" cy="355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b="0" kern="1200">
              <a:solidFill>
                <a:sysClr val="windowText" lastClr="000000"/>
              </a:solidFill>
              <a:latin typeface="標楷體" panose="03000509000000000000" pitchFamily="65" charset="-120"/>
              <a:ea typeface="標楷體" panose="03000509000000000000" pitchFamily="65" charset="-120"/>
            </a:rPr>
            <a:t>證券業代</a:t>
          </a:r>
        </a:p>
      </dsp:txBody>
      <dsp:txXfrm>
        <a:off x="2985868" y="1152012"/>
        <a:ext cx="1344477" cy="334213"/>
      </dsp:txXfrm>
    </dsp:sp>
    <dsp:sp modelId="{64607E62-68DF-4D05-96EA-DC3014145CE1}">
      <dsp:nvSpPr>
        <dsp:cNvPr id="0" name=""/>
        <dsp:cNvSpPr/>
      </dsp:nvSpPr>
      <dsp:spPr>
        <a:xfrm rot="10820054">
          <a:off x="1117288" y="299850"/>
          <a:ext cx="720999" cy="156346"/>
        </a:xfrm>
        <a:prstGeom prst="leftRightArrow">
          <a:avLst>
            <a:gd name="adj1" fmla="val 60000"/>
            <a:gd name="adj2" fmla="val 50000"/>
          </a:avLst>
        </a:prstGeom>
        <a:no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TW" altLang="en-US" sz="600" kern="1200"/>
        </a:p>
      </dsp:txBody>
      <dsp:txXfrm rot="10800000">
        <a:off x="1164192" y="331119"/>
        <a:ext cx="627191" cy="93808"/>
      </dsp:txXfrm>
    </dsp:sp>
    <dsp:sp modelId="{B1EDD920-B422-4E2B-84BA-AF220E195B24}">
      <dsp:nvSpPr>
        <dsp:cNvPr id="0" name=""/>
        <dsp:cNvSpPr/>
      </dsp:nvSpPr>
      <dsp:spPr>
        <a:xfrm>
          <a:off x="648976" y="1134672"/>
          <a:ext cx="1318664" cy="3414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TW" altLang="en-US" sz="1200" b="0" kern="1200">
              <a:solidFill>
                <a:sysClr val="windowText" lastClr="000000"/>
              </a:solidFill>
              <a:latin typeface="標楷體" panose="03000509000000000000" pitchFamily="65" charset="-120"/>
              <a:ea typeface="標楷體" panose="03000509000000000000" pitchFamily="65" charset="-120"/>
            </a:rPr>
            <a:t>銀行財管</a:t>
          </a:r>
        </a:p>
      </dsp:txBody>
      <dsp:txXfrm>
        <a:off x="658978" y="1144674"/>
        <a:ext cx="1298660" cy="321475"/>
      </dsp:txXfrm>
    </dsp:sp>
    <dsp:sp modelId="{34887B54-4D43-41F2-907C-6D32C53E8E82}">
      <dsp:nvSpPr>
        <dsp:cNvPr id="0" name=""/>
        <dsp:cNvSpPr/>
      </dsp:nvSpPr>
      <dsp:spPr>
        <a:xfrm rot="19456470">
          <a:off x="1553247" y="791778"/>
          <a:ext cx="720999" cy="15634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TW" altLang="en-US" sz="600" kern="1200"/>
        </a:p>
      </dsp:txBody>
      <dsp:txXfrm>
        <a:off x="1600151" y="823047"/>
        <a:ext cx="627191" cy="9380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341E7-88C3-4A72-9E8A-4A125F859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7</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陳冠廷 alexchen789 (Yuanta)</dc:creator>
  <cp:keywords/>
  <dc:description/>
  <cp:lastModifiedBy>陳冠廷 alexchen789 (Yuanta)</cp:lastModifiedBy>
  <cp:revision>39</cp:revision>
  <dcterms:created xsi:type="dcterms:W3CDTF">2015-08-12T06:23:00Z</dcterms:created>
  <dcterms:modified xsi:type="dcterms:W3CDTF">2015-08-14T02:44:00Z</dcterms:modified>
</cp:coreProperties>
</file>