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b/>
          <w:bCs/>
          <w:color w:val="1B2A4A"/>
          <w:sz w:val="400"/>
          <w:szCs w:val="400"/>
        </w:rPr>
        <w:t xml:space="preserve">CPT Pharma (Pty) Ltd</w:t>
      </w:r>
    </w:p>
    <w:p>
      <w:pPr>
        <w:spacing w:after="600"/>
        <w:jc w:val="center"/>
      </w:pPr>
      <w:r>
        <w:rPr>
          <w:color w:val="374151"/>
          <w:sz w:val="280"/>
          <w:szCs w:val="280"/>
        </w:rPr>
        <w:t xml:space="preserve">Computerised System Validation</w:t>
      </w:r>
    </w:p>
    <w:p>
      <w:pPr>
        <w:spacing w:after="240"/>
        <w:jc w:val="center"/>
      </w:pPr>
      <w:r>
        <w:rPr>
          <w:b/>
          <w:bCs/>
          <w:color w:val="1B2A4A"/>
          <w:sz w:val="440"/>
          <w:szCs w:val="440"/>
        </w:rPr>
        <w:t xml:space="preserve">Project Plan</w:t>
      </w:r>
    </w:p>
    <w:p>
      <w:pPr>
        <w:spacing w:after="600"/>
        <w:jc w:val="center"/>
      </w:pPr>
      <w:r>
        <w:rPr>
          <w:b/>
          <w:bCs/>
          <w:color w:val="2563EB"/>
          <w:sz w:val="280"/>
          <w:szCs w:val="280"/>
        </w:rPr>
        <w:t xml:space="preserve">Capalyst QMS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Field</w:t>
            </w:r>
          </w:p>
        </w:tc>
        <w:tc>
          <w:tcPr>
            <w:shd w:fill="1B2A4A" w:val="clear"/>
            <w:tcMar>
              <w:top w:type="dxa" w:w="28"/>
              <w:left w:type="dxa" w:w="72"/>
              <w:bottom w:type="dxa" w:w="28"/>
              <w:right w:type="dxa" w:w="72"/>
            </w:tcMar>
          </w:tcPr>
          <w:p>
            <w:pPr>
              <w:spacing w:after="40" w:before="40"/>
            </w:pPr>
            <w:r>
              <w:rPr>
                <w:b/>
                <w:bCs/>
                <w:color w:val="FFFFFF"/>
                <w:sz w:val="180"/>
                <w:szCs w:val="180"/>
              </w:rPr>
              <w:t xml:space="preserve">Value</w:t>
            </w:r>
          </w:p>
        </w:tc>
      </w:tr>
      <w:tr>
        <w:tc>
          <w:tcPr>
            <w:tcMar>
              <w:top w:type="dxa" w:w="28"/>
              <w:left w:type="dxa" w:w="72"/>
              <w:bottom w:type="dxa" w:w="28"/>
              <w:right w:type="dxa" w:w="72"/>
            </w:tcMar>
          </w:tcPr>
          <w:p>
            <w:pPr>
              <w:spacing w:after="40" w:before="40"/>
            </w:pPr>
            <w:r>
              <w:rPr>
                <w:color w:val="111827"/>
                <w:sz w:val="180"/>
                <w:szCs w:val="180"/>
              </w:rPr>
              <w:t xml:space="preserve">Document Number</w:t>
            </w:r>
          </w:p>
        </w:tc>
        <w:tc>
          <w:tcPr>
            <w:tcMar>
              <w:top w:type="dxa" w:w="28"/>
              <w:left w:type="dxa" w:w="72"/>
              <w:bottom w:type="dxa" w:w="28"/>
              <w:right w:type="dxa" w:w="72"/>
            </w:tcMar>
          </w:tcPr>
          <w:p>
            <w:pPr>
              <w:spacing w:after="40" w:before="40"/>
            </w:pPr>
            <w:r>
              <w:rPr>
                <w:color w:val="111827"/>
                <w:sz w:val="180"/>
                <w:szCs w:val="180"/>
              </w:rPr>
              <w:t xml:space="preserve">CPT-VL-ISVP-PP Capalyst-001</w:t>
            </w:r>
          </w:p>
        </w:tc>
      </w:tr>
      <w:tr>
        <w:tc>
          <w:tcPr>
            <w:tcMar>
              <w:top w:type="dxa" w:w="28"/>
              <w:left w:type="dxa" w:w="72"/>
              <w:bottom w:type="dxa" w:w="28"/>
              <w:right w:type="dxa" w:w="72"/>
            </w:tcMar>
          </w:tcPr>
          <w:p>
            <w:pPr>
              <w:spacing w:after="40" w:before="40"/>
            </w:pPr>
            <w:r>
              <w:rPr>
                <w:color w:val="111827"/>
                <w:sz w:val="180"/>
                <w:szCs w:val="180"/>
              </w:rPr>
              <w:t xml:space="preserve">Version</w:t>
            </w:r>
          </w:p>
        </w:tc>
        <w:tc>
          <w:tcPr>
            <w:tcMar>
              <w:top w:type="dxa" w:w="28"/>
              <w:left w:type="dxa" w:w="72"/>
              <w:bottom w:type="dxa" w:w="28"/>
              <w:right w:type="dxa" w:w="72"/>
            </w:tcMar>
          </w:tcPr>
          <w:p>
            <w:pPr>
              <w:spacing w:after="40" w:before="40"/>
            </w:pPr>
            <w:r>
              <w:rPr>
                <w:color w:val="111827"/>
                <w:sz w:val="180"/>
                <w:szCs w:val="180"/>
              </w:rPr>
              <w:t xml:space="preserve">1.0</w:t>
            </w:r>
          </w:p>
        </w:tc>
      </w:tr>
      <w:tr>
        <w:tc>
          <w:tcPr>
            <w:tcMar>
              <w:top w:type="dxa" w:w="28"/>
              <w:left w:type="dxa" w:w="72"/>
              <w:bottom w:type="dxa" w:w="28"/>
              <w:right w:type="dxa" w:w="72"/>
            </w:tcMar>
          </w:tcPr>
          <w:p>
            <w:pPr>
              <w:spacing w:after="40" w:before="40"/>
            </w:pPr>
            <w:r>
              <w:rPr>
                <w:color w:val="111827"/>
                <w:sz w:val="180"/>
                <w:szCs w:val="180"/>
              </w:rPr>
              <w:t xml:space="preserve">Status</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Date</w:t>
            </w:r>
          </w:p>
        </w:tc>
        <w:tc>
          <w:tcPr>
            <w:tcMar>
              <w:top w:type="dxa" w:w="28"/>
              <w:left w:type="dxa" w:w="72"/>
              <w:bottom w:type="dxa" w:w="28"/>
              <w:right w:type="dxa" w:w="72"/>
            </w:tcMar>
          </w:tcPr>
          <w:p>
            <w:pPr>
              <w:spacing w:after="40" w:before="40"/>
            </w:pPr>
            <w:r>
              <w:rPr>
                <w:color w:val="111827"/>
                <w:sz w:val="180"/>
                <w:szCs w:val="180"/>
              </w:rPr>
              <w:t xml:space="preserve">2026-06-01</w:t>
            </w:r>
          </w:p>
        </w:tc>
      </w:tr>
      <w:tr>
        <w:tc>
          <w:tcPr>
            <w:tcMar>
              <w:top w:type="dxa" w:w="28"/>
              <w:left w:type="dxa" w:w="72"/>
              <w:bottom w:type="dxa" w:w="28"/>
              <w:right w:type="dxa" w:w="72"/>
            </w:tcMar>
          </w:tcPr>
          <w:p>
            <w:pPr>
              <w:spacing w:after="40" w:before="40"/>
            </w:pPr>
            <w:r>
              <w:rPr>
                <w:color w:val="111827"/>
                <w:sz w:val="180"/>
                <w:szCs w:val="180"/>
              </w:rPr>
              <w:t xml:space="preserve">System</w:t>
            </w:r>
          </w:p>
        </w:tc>
        <w:tc>
          <w:tcPr>
            <w:tcMar>
              <w:top w:type="dxa" w:w="28"/>
              <w:left w:type="dxa" w:w="72"/>
              <w:bottom w:type="dxa" w:w="28"/>
              <w:right w:type="dxa" w:w="72"/>
            </w:tcMar>
          </w:tcPr>
          <w:p>
            <w:pPr>
              <w:spacing w:after="40" w:before="40"/>
            </w:pPr>
            <w:r>
              <w:rPr>
                <w:color w:val="111827"/>
                <w:sz w:val="180"/>
                <w:szCs w:val="180"/>
              </w:rPr>
              <w:t xml:space="preserve">Capalyst — Quality Management System</w:t>
            </w:r>
          </w:p>
        </w:tc>
      </w:tr>
      <w:tr>
        <w:tc>
          <w:tcPr>
            <w:tcMar>
              <w:top w:type="dxa" w:w="28"/>
              <w:left w:type="dxa" w:w="72"/>
              <w:bottom w:type="dxa" w:w="28"/>
              <w:right w:type="dxa" w:w="72"/>
            </w:tcMar>
          </w:tcPr>
          <w:p>
            <w:pPr>
              <w:spacing w:after="40" w:before="40"/>
            </w:pPr>
            <w:r>
              <w:rPr>
                <w:color w:val="111827"/>
                <w:sz w:val="180"/>
                <w:szCs w:val="180"/>
              </w:rPr>
              <w:t xml:space="preserve">Company</w:t>
            </w:r>
          </w:p>
        </w:tc>
        <w:tc>
          <w:tcPr>
            <w:tcMar>
              <w:top w:type="dxa" w:w="28"/>
              <w:left w:type="dxa" w:w="72"/>
              <w:bottom w:type="dxa" w:w="28"/>
              <w:right w:type="dxa" w:w="72"/>
            </w:tcMar>
          </w:tcPr>
          <w:p>
            <w:pPr>
              <w:spacing w:after="40" w:before="40"/>
            </w:pPr>
            <w:r>
              <w:rPr>
                <w:color w:val="111827"/>
                <w:sz w:val="180"/>
                <w:szCs w:val="180"/>
              </w:rPr>
              <w:t xml:space="preserve">CPT Pharma (Pty) Ltd</w:t>
            </w:r>
          </w:p>
        </w:tc>
      </w:tr>
      <w:tr>
        <w:tc>
          <w:tcPr>
            <w:tcMar>
              <w:top w:type="dxa" w:w="28"/>
              <w:left w:type="dxa" w:w="72"/>
              <w:bottom w:type="dxa" w:w="28"/>
              <w:right w:type="dxa" w:w="72"/>
            </w:tcMar>
          </w:tcPr>
          <w:p>
            <w:pPr>
              <w:spacing w:after="40" w:before="40"/>
            </w:pPr>
            <w:r>
              <w:rPr>
                <w:color w:val="111827"/>
                <w:sz w:val="180"/>
                <w:szCs w:val="180"/>
              </w:rPr>
              <w:t xml:space="preserve">Prepared by</w:t>
            </w:r>
          </w:p>
        </w:tc>
        <w:tc>
          <w:tcPr>
            <w:tcMar>
              <w:top w:type="dxa" w:w="28"/>
              <w:left w:type="dxa" w:w="72"/>
              <w:bottom w:type="dxa" w:w="28"/>
              <w:right w:type="dxa" w:w="72"/>
            </w:tcMar>
          </w:tcPr>
          <w:p>
            <w:pPr>
              <w:spacing w:after="40" w:before="40"/>
            </w:pPr>
            <w:r>
              <w:rPr>
                <w:color w:val="111827"/>
                <w:sz w:val="180"/>
                <w:szCs w:val="180"/>
              </w:rPr>
              <w:t xml:space="preserve">Validation Team</w:t>
            </w:r>
          </w:p>
        </w:tc>
      </w:tr>
      <w:tr>
        <w:tc>
          <w:tcPr>
            <w:tcMar>
              <w:top w:type="dxa" w:w="28"/>
              <w:left w:type="dxa" w:w="72"/>
              <w:bottom w:type="dxa" w:w="28"/>
              <w:right w:type="dxa" w:w="72"/>
            </w:tcMar>
          </w:tcPr>
          <w:p>
            <w:pPr>
              <w:spacing w:after="40" w:before="40"/>
            </w:pPr>
            <w:r>
              <w:rPr>
                <w:color w:val="111827"/>
                <w:sz w:val="180"/>
                <w:szCs w:val="180"/>
              </w:rPr>
              <w:t xml:space="preserve">Classification</w:t>
            </w:r>
          </w:p>
        </w:tc>
        <w:tc>
          <w:tcPr>
            <w:tcMar>
              <w:top w:type="dxa" w:w="28"/>
              <w:left w:type="dxa" w:w="72"/>
              <w:bottom w:type="dxa" w:w="28"/>
              <w:right w:type="dxa" w:w="72"/>
            </w:tcMar>
          </w:tcPr>
          <w:p>
            <w:pPr>
              <w:spacing w:after="40" w:before="40"/>
            </w:pPr>
            <w:r>
              <w:rPr>
                <w:color w:val="111827"/>
                <w:sz w:val="180"/>
                <w:szCs w:val="180"/>
              </w:rPr>
              <w:t xml:space="preserve">Confidential</w:t>
            </w:r>
          </w:p>
        </w:tc>
      </w:tr>
    </w:tbl>
    <w:p/>
    <w:p>
      <w:pPr>
        <w:pStyle w:val="Heading1"/>
        <w:spacing w:after="120" w:before="280"/>
        <w:rPr>
          <w:b/>
          <w:bCs/>
          <w:color w:val="1B2A4A"/>
          <w:sz w:val="280"/>
          <w:szCs w:val="280"/>
        </w:rPr>
      </w:pPr>
      <w:r>
        <w:t xml:space="preserve">1. Introduction</w:t>
      </w:r>
    </w:p>
    <w:p>
      <w:pPr>
        <w:spacing w:after="100"/>
      </w:pPr>
      <w:r>
        <w:rPr>
          <w:color w:val="111827"/>
          <w:sz w:val="200"/>
          <w:szCs w:val="200"/>
        </w:rPr>
        <w:t xml:space="preserve">This Project Plan defines the organisation, approach, schedule, and deliverables for the Computerised System Validation (CSV) of the Capalyst Quality Management System (QMS) at CPT Pharma (Pty) Ltd. The document serves as the master reference for all validation activities performed in accordance with EU GMP Annex 11 and 21 CFR Part 11.</w:t>
      </w:r>
    </w:p>
    <w:p/>
    <w:p>
      <w:pPr>
        <w:pStyle w:val="Heading2"/>
        <w:spacing w:after="80" w:before="200"/>
        <w:rPr>
          <w:b/>
          <w:bCs/>
          <w:color w:val="1B2A4A"/>
          <w:sz w:val="240"/>
          <w:szCs w:val="240"/>
        </w:rPr>
      </w:pPr>
      <w:r>
        <w:t xml:space="preserve">1.1 Purpose</w:t>
      </w:r>
    </w:p>
    <w:p>
      <w:pPr>
        <w:spacing w:after="100"/>
      </w:pPr>
      <w:r>
        <w:rPr>
          <w:color w:val="111827"/>
          <w:sz w:val="200"/>
          <w:szCs w:val="200"/>
        </w:rPr>
        <w:t xml:space="preserve">To establish a structured and compliant framework for validating the Capalyst QMS, ensuring that the system reliably performs its intended functions in the GxP-regulated environment of CPT Pharma.</w:t>
      </w:r>
    </w:p>
    <w:p>
      <w:pPr>
        <w:pStyle w:val="Heading2"/>
        <w:spacing w:after="80" w:before="200"/>
        <w:rPr>
          <w:b/>
          <w:bCs/>
          <w:color w:val="1B2A4A"/>
          <w:sz w:val="240"/>
          <w:szCs w:val="240"/>
        </w:rPr>
      </w:pPr>
      <w:r>
        <w:t xml:space="preserve">1.2 Scope</w:t>
      </w:r>
    </w:p>
    <w:p>
      <w:pPr>
        <w:spacing w:after="100"/>
      </w:pPr>
      <w:r>
        <w:rPr>
          <w:color w:val="111827"/>
          <w:sz w:val="200"/>
          <w:szCs w:val="200"/>
        </w:rPr>
        <w:t xml:space="preserve">The validation covers the following Capalyst QMS modules:</w:t>
      </w:r>
    </w:p>
    <w:p>
      <w:pPr>
        <w:pStyle w:val="ListParagraph"/>
        <w:numPr>
          <w:ilvl w:val="0"/>
          <w:numId w:val="1"/>
        </w:numPr>
        <w:spacing w:after="60"/>
        <w:rPr>
          <w:color w:val="111827"/>
          <w:sz w:val="200"/>
          <w:szCs w:val="200"/>
        </w:rPr>
      </w:pPr>
      <w:r>
        <w:t xml:space="preserve">Deviations — recording, investigation, root cause, CAPA linkage, and QA closure</w:t>
      </w:r>
    </w:p>
    <w:p>
      <w:pPr>
        <w:pStyle w:val="ListParagraph"/>
        <w:numPr>
          <w:ilvl w:val="0"/>
          <w:numId w:val="1"/>
        </w:numPr>
        <w:spacing w:after="60"/>
        <w:rPr>
          <w:color w:val="111827"/>
          <w:sz w:val="200"/>
          <w:szCs w:val="200"/>
        </w:rPr>
      </w:pPr>
      <w:r>
        <w:t xml:space="preserve">CAPA — corrective and preventive action with efficacy review workflow</w:t>
      </w:r>
    </w:p>
    <w:p>
      <w:pPr>
        <w:pStyle w:val="ListParagraph"/>
        <w:numPr>
          <w:ilvl w:val="0"/>
          <w:numId w:val="1"/>
        </w:numPr>
        <w:spacing w:after="60"/>
        <w:rPr>
          <w:color w:val="111827"/>
          <w:sz w:val="200"/>
          <w:szCs w:val="200"/>
        </w:rPr>
      </w:pPr>
      <w:r>
        <w:t xml:space="preserve">Change Control — multi-stage approval workflow (HR, SC, Expert, QA)</w:t>
      </w:r>
    </w:p>
    <w:p>
      <w:pPr>
        <w:pStyle w:val="ListParagraph"/>
        <w:numPr>
          <w:ilvl w:val="0"/>
          <w:numId w:val="1"/>
        </w:numPr>
        <w:spacing w:after="60"/>
        <w:rPr>
          <w:color w:val="111827"/>
          <w:sz w:val="200"/>
          <w:szCs w:val="200"/>
        </w:rPr>
      </w:pPr>
      <w:r>
        <w:t xml:space="preserve">Risk Assessment — FMEA-based risk assessment per ICH Q9 / SOPPQA016 v05</w:t>
      </w:r>
    </w:p>
    <w:p>
      <w:pPr>
        <w:pStyle w:val="ListParagraph"/>
        <w:numPr>
          <w:ilvl w:val="0"/>
          <w:numId w:val="1"/>
        </w:numPr>
        <w:spacing w:after="60"/>
        <w:rPr>
          <w:color w:val="111827"/>
          <w:sz w:val="200"/>
          <w:szCs w:val="200"/>
        </w:rPr>
      </w:pPr>
      <w:r>
        <w:t xml:space="preserve">User Administration — role-based access control (Admin, QA, User)</w:t>
      </w:r>
    </w:p>
    <w:p>
      <w:pPr>
        <w:pStyle w:val="ListParagraph"/>
        <w:numPr>
          <w:ilvl w:val="0"/>
          <w:numId w:val="1"/>
        </w:numPr>
        <w:spacing w:after="60"/>
        <w:rPr>
          <w:color w:val="111827"/>
          <w:sz w:val="200"/>
          <w:szCs w:val="200"/>
        </w:rPr>
      </w:pPr>
      <w:r>
        <w:t xml:space="preserve">Dashboard — KPI summaries and trend analytics</w:t>
      </w:r>
    </w:p>
    <w:p/>
    <w:p>
      <w:pPr>
        <w:pStyle w:val="Heading2"/>
        <w:spacing w:after="80" w:before="200"/>
        <w:rPr>
          <w:b/>
          <w:bCs/>
          <w:color w:val="1B2A4A"/>
          <w:sz w:val="240"/>
          <w:szCs w:val="240"/>
        </w:rPr>
      </w:pPr>
      <w:r>
        <w:t xml:space="preserve">1.3 Exclusions</w:t>
      </w:r>
    </w:p>
    <w:p>
      <w:pPr>
        <w:spacing w:after="100"/>
      </w:pPr>
      <w:r>
        <w:rPr>
          <w:color w:val="111827"/>
          <w:sz w:val="200"/>
          <w:szCs w:val="200"/>
        </w:rPr>
        <w:t xml:space="preserve">The following are out of scope for this validation exercise:</w:t>
      </w:r>
    </w:p>
    <w:p>
      <w:pPr>
        <w:pStyle w:val="ListParagraph"/>
        <w:numPr>
          <w:ilvl w:val="0"/>
          <w:numId w:val="1"/>
        </w:numPr>
        <w:spacing w:after="60"/>
        <w:rPr>
          <w:color w:val="111827"/>
          <w:sz w:val="200"/>
          <w:szCs w:val="200"/>
        </w:rPr>
      </w:pPr>
      <w:r>
        <w:t xml:space="preserve">Third-party infrastructure components not maintained by CPT Pharma (cloud hosting platform internals)</w:t>
      </w:r>
    </w:p>
    <w:p>
      <w:pPr>
        <w:pStyle w:val="ListParagraph"/>
        <w:numPr>
          <w:ilvl w:val="0"/>
          <w:numId w:val="1"/>
        </w:numPr>
        <w:spacing w:after="60"/>
        <w:rPr>
          <w:color w:val="111827"/>
          <w:sz w:val="200"/>
          <w:szCs w:val="200"/>
        </w:rPr>
      </w:pPr>
      <w:r>
        <w:t xml:space="preserve">Disaster recovery testing of the hosting provider's infrastructure</w:t>
      </w:r>
    </w:p>
    <w:p/>
    <w:p>
      <w:pPr>
        <w:pStyle w:val="Heading1"/>
        <w:spacing w:after="120" w:before="280"/>
        <w:rPr>
          <w:b/>
          <w:bCs/>
          <w:color w:val="1B2A4A"/>
          <w:sz w:val="280"/>
          <w:szCs w:val="280"/>
        </w:rPr>
      </w:pPr>
      <w:r>
        <w:t xml:space="preserve">2. Business Context</w:t>
      </w:r>
    </w:p>
    <w:p>
      <w:pPr>
        <w:spacing w:after="100"/>
      </w:pPr>
      <w:r>
        <w:rPr>
          <w:color w:val="111827"/>
          <w:sz w:val="200"/>
          <w:szCs w:val="200"/>
        </w:rPr>
        <w:t xml:space="preserve">CPT Pharma (Pty) Ltd operates in a GxP-regulated environment and is required to maintain validated computerised systems for quality-related processes. The Capalyst QMS replaces manual (paper-based) processes for deviation management, CAPA tracking, change control, and risk assessment. The system supports regulatory compliance obligations under South African pharmaceutical regulations aligned with EU GMP and PIC/S guidelines.</w:t>
      </w:r>
    </w:p>
    <w:p/>
    <w:p>
      <w:pPr>
        <w:pStyle w:val="Heading1"/>
        <w:spacing w:after="120" w:before="280"/>
        <w:rPr>
          <w:b/>
          <w:bCs/>
          <w:color w:val="1B2A4A"/>
          <w:sz w:val="280"/>
          <w:szCs w:val="280"/>
        </w:rPr>
      </w:pPr>
      <w:r>
        <w:t xml:space="preserve">3. Project Organisation</w:t>
      </w:r>
    </w:p>
    <w:p>
      <w:pPr>
        <w:pStyle w:val="Heading2"/>
        <w:spacing w:after="80" w:before="200"/>
        <w:rPr>
          <w:b/>
          <w:bCs/>
          <w:color w:val="1B2A4A"/>
          <w:sz w:val="240"/>
          <w:szCs w:val="240"/>
        </w:rPr>
      </w:pPr>
      <w:r>
        <w:t xml:space="preserve">3.1 Roles and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c>
          <w:tcPr>
            <w:shd w:fill="1B2A4A" w:val="clear"/>
            <w:tcMar>
              <w:top w:type="dxa" w:w="28"/>
              <w:left w:type="dxa" w:w="72"/>
              <w:bottom w:type="dxa" w:w="28"/>
              <w:right w:type="dxa" w:w="72"/>
            </w:tcMar>
          </w:tcPr>
          <w:p>
            <w:pPr>
              <w:spacing w:after="40" w:before="40"/>
            </w:pPr>
            <w:r>
              <w:rPr>
                <w:b/>
                <w:bCs/>
                <w:color w:val="FFFFFF"/>
                <w:sz w:val="180"/>
                <w:szCs w:val="180"/>
              </w:rPr>
              <w:t xml:space="preserve">Responsibility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Name / Function</w:t>
            </w:r>
          </w:p>
        </w:tc>
      </w:tr>
      <w:tr>
        <w:tc>
          <w:tcPr>
            <w:tcMar>
              <w:top w:type="dxa" w:w="28"/>
              <w:left w:type="dxa" w:w="72"/>
              <w:bottom w:type="dxa" w:w="28"/>
              <w:right w:type="dxa" w:w="72"/>
            </w:tcMar>
          </w:tcPr>
          <w:p>
            <w:pPr>
              <w:spacing w:after="40" w:before="40"/>
            </w:pPr>
            <w:r>
              <w:rPr>
                <w:color w:val="111827"/>
                <w:sz w:val="180"/>
                <w:szCs w:val="180"/>
              </w:rPr>
              <w:t xml:space="preserve">Project Manager (PM)</w:t>
            </w:r>
          </w:p>
        </w:tc>
        <w:tc>
          <w:tcPr>
            <w:tcMar>
              <w:top w:type="dxa" w:w="28"/>
              <w:left w:type="dxa" w:w="72"/>
              <w:bottom w:type="dxa" w:w="28"/>
              <w:right w:type="dxa" w:w="72"/>
            </w:tcMar>
          </w:tcPr>
          <w:p>
            <w:pPr>
              <w:spacing w:after="40" w:before="40"/>
            </w:pPr>
            <w:r>
              <w:rPr>
                <w:color w:val="111827"/>
                <w:sz w:val="180"/>
                <w:szCs w:val="180"/>
              </w:rPr>
              <w:t xml:space="preserve">Overall project coordination, schedule, and resource management</w:t>
            </w:r>
          </w:p>
        </w:tc>
        <w:tc>
          <w:tcPr>
            <w:tcMar>
              <w:top w:type="dxa" w:w="28"/>
              <w:left w:type="dxa" w:w="72"/>
              <w:bottom w:type="dxa" w:w="28"/>
              <w:right w:type="dxa" w:w="72"/>
            </w:tcMar>
          </w:tcPr>
          <w:p>
            <w:pPr>
              <w:spacing w:after="40" w:before="40"/>
            </w:pPr>
            <w:r>
              <w:rPr>
                <w:color w:val="111827"/>
                <w:sz w:val="180"/>
                <w:szCs w:val="180"/>
              </w:rPr>
              <w:t xml:space="preserve">TBD — QA Manager</w:t>
            </w:r>
          </w:p>
        </w:tc>
      </w:tr>
      <w:tr>
        <w:tc>
          <w:tcPr>
            <w:tcMar>
              <w:top w:type="dxa" w:w="28"/>
              <w:left w:type="dxa" w:w="72"/>
              <w:bottom w:type="dxa" w:w="28"/>
              <w:right w:type="dxa" w:w="72"/>
            </w:tcMar>
          </w:tcPr>
          <w:p>
            <w:pPr>
              <w:spacing w:after="40" w:before="40"/>
            </w:pPr>
            <w:r>
              <w:rPr>
                <w:color w:val="111827"/>
                <w:sz w:val="180"/>
                <w:szCs w:val="180"/>
              </w:rPr>
              <w:t xml:space="preserve">Validation Expert (VE)</w:t>
            </w:r>
          </w:p>
        </w:tc>
        <w:tc>
          <w:tcPr>
            <w:tcMar>
              <w:top w:type="dxa" w:w="28"/>
              <w:left w:type="dxa" w:w="72"/>
              <w:bottom w:type="dxa" w:w="28"/>
              <w:right w:type="dxa" w:w="72"/>
            </w:tcMar>
          </w:tcPr>
          <w:p>
            <w:pPr>
              <w:spacing w:after="40" w:before="40"/>
            </w:pPr>
            <w:r>
              <w:rPr>
                <w:color w:val="111827"/>
                <w:sz w:val="180"/>
                <w:szCs w:val="180"/>
              </w:rPr>
              <w:t xml:space="preserve">Lead validation activities, author validation documents, coordinate testing</w:t>
            </w:r>
          </w:p>
        </w:tc>
        <w:tc>
          <w:tcPr>
            <w:tcMar>
              <w:top w:type="dxa" w:w="28"/>
              <w:left w:type="dxa" w:w="72"/>
              <w:bottom w:type="dxa" w:w="28"/>
              <w:right w:type="dxa" w:w="72"/>
            </w:tcMar>
          </w:tcPr>
          <w:p>
            <w:pPr>
              <w:spacing w:after="40" w:before="40"/>
            </w:pPr>
            <w:r>
              <w:rPr>
                <w:color w:val="111827"/>
                <w:sz w:val="180"/>
                <w:szCs w:val="180"/>
              </w:rPr>
              <w:t xml:space="preserve">TBD — Validation Specialist</w:t>
            </w:r>
          </w:p>
        </w:tc>
      </w:tr>
      <w:tr>
        <w:tc>
          <w:tcPr>
            <w:tcMar>
              <w:top w:type="dxa" w:w="28"/>
              <w:left w:type="dxa" w:w="72"/>
              <w:bottom w:type="dxa" w:w="28"/>
              <w:right w:type="dxa" w:w="72"/>
            </w:tcMar>
          </w:tcPr>
          <w:p>
            <w:pPr>
              <w:spacing w:after="40" w:before="40"/>
            </w:pPr>
            <w:r>
              <w:rPr>
                <w:color w:val="111827"/>
                <w:sz w:val="180"/>
                <w:szCs w:val="180"/>
              </w:rPr>
              <w:t xml:space="preserve">System Owner (SO)</w:t>
            </w:r>
          </w:p>
        </w:tc>
        <w:tc>
          <w:tcPr>
            <w:tcMar>
              <w:top w:type="dxa" w:w="28"/>
              <w:left w:type="dxa" w:w="72"/>
              <w:bottom w:type="dxa" w:w="28"/>
              <w:right w:type="dxa" w:w="72"/>
            </w:tcMar>
          </w:tcPr>
          <w:p>
            <w:pPr>
              <w:spacing w:after="40" w:before="40"/>
            </w:pPr>
            <w:r>
              <w:rPr>
                <w:color w:val="111827"/>
                <w:sz w:val="180"/>
                <w:szCs w:val="180"/>
              </w:rPr>
              <w:t xml:space="preserve">Business accountability for the Capalyst QMS; approves validation deliverables</w:t>
            </w:r>
          </w:p>
        </w:tc>
        <w:tc>
          <w:tcPr>
            <w:tcMar>
              <w:top w:type="dxa" w:w="28"/>
              <w:left w:type="dxa" w:w="72"/>
              <w:bottom w:type="dxa" w:w="28"/>
              <w:right w:type="dxa" w:w="72"/>
            </w:tcMar>
          </w:tcPr>
          <w:p>
            <w:pPr>
              <w:spacing w:after="40" w:before="40"/>
            </w:pPr>
            <w:r>
              <w:rPr>
                <w:color w:val="111827"/>
                <w:sz w:val="180"/>
                <w:szCs w:val="180"/>
              </w:rPr>
              <w:t xml:space="preserve">Hannes van der Berg (QA Admin)</w:t>
            </w:r>
          </w:p>
        </w:tc>
      </w:tr>
      <w:tr>
        <w:tc>
          <w:tcPr>
            <w:tcMar>
              <w:top w:type="dxa" w:w="28"/>
              <w:left w:type="dxa" w:w="72"/>
              <w:bottom w:type="dxa" w:w="28"/>
              <w:right w:type="dxa" w:w="72"/>
            </w:tcMar>
          </w:tcPr>
          <w:p>
            <w:pPr>
              <w:spacing w:after="40" w:before="40"/>
            </w:pPr>
            <w:r>
              <w:rPr>
                <w:color w:val="111827"/>
                <w:sz w:val="180"/>
                <w:szCs w:val="180"/>
              </w:rPr>
              <w:t xml:space="preserve">Business Quality Representative (BQR)</w:t>
            </w:r>
          </w:p>
        </w:tc>
        <w:tc>
          <w:tcPr>
            <w:tcMar>
              <w:top w:type="dxa" w:w="28"/>
              <w:left w:type="dxa" w:w="72"/>
              <w:bottom w:type="dxa" w:w="28"/>
              <w:right w:type="dxa" w:w="72"/>
            </w:tcMar>
          </w:tcPr>
          <w:p>
            <w:pPr>
              <w:spacing w:after="40" w:before="40"/>
            </w:pPr>
            <w:r>
              <w:rPr>
                <w:color w:val="111827"/>
                <w:sz w:val="180"/>
                <w:szCs w:val="180"/>
              </w:rPr>
              <w:t xml:space="preserve">QA oversight, approves test scripts, reviews anomalies</w:t>
            </w:r>
          </w:p>
        </w:tc>
        <w:tc>
          <w:tcPr>
            <w:tcMar>
              <w:top w:type="dxa" w:w="28"/>
              <w:left w:type="dxa" w:w="72"/>
              <w:bottom w:type="dxa" w:w="28"/>
              <w:right w:type="dxa" w:w="72"/>
            </w:tcMar>
          </w:tcPr>
          <w:p>
            <w:pPr>
              <w:spacing w:after="40" w:before="40"/>
            </w:pPr>
            <w:r>
              <w:rPr>
                <w:color w:val="111827"/>
                <w:sz w:val="180"/>
                <w:szCs w:val="180"/>
              </w:rPr>
              <w:t xml:space="preserve">Monique Leblanc (QA)</w:t>
            </w:r>
          </w:p>
        </w:tc>
      </w:tr>
      <w:tr>
        <w:tc>
          <w:tcPr>
            <w:tcMar>
              <w:top w:type="dxa" w:w="28"/>
              <w:left w:type="dxa" w:w="72"/>
              <w:bottom w:type="dxa" w:w="28"/>
              <w:right w:type="dxa" w:w="72"/>
            </w:tcMar>
          </w:tcPr>
          <w:p>
            <w:pPr>
              <w:spacing w:after="40" w:before="40"/>
            </w:pPr>
            <w:r>
              <w:rPr>
                <w:color w:val="111827"/>
                <w:sz w:val="180"/>
                <w:szCs w:val="180"/>
              </w:rPr>
              <w:t xml:space="preserve">Infrastructure Expert (IE)</w:t>
            </w:r>
          </w:p>
        </w:tc>
        <w:tc>
          <w:tcPr>
            <w:tcMar>
              <w:top w:type="dxa" w:w="28"/>
              <w:left w:type="dxa" w:w="72"/>
              <w:bottom w:type="dxa" w:w="28"/>
              <w:right w:type="dxa" w:w="72"/>
            </w:tcMar>
          </w:tcPr>
          <w:p>
            <w:pPr>
              <w:spacing w:after="40" w:before="40"/>
            </w:pPr>
            <w:r>
              <w:rPr>
                <w:color w:val="111827"/>
                <w:sz w:val="180"/>
                <w:szCs w:val="180"/>
              </w:rPr>
              <w:t xml:space="preserve">Technical architecture, installation, and environment qualification</w:t>
            </w:r>
          </w:p>
        </w:tc>
        <w:tc>
          <w:tcPr>
            <w:tcMar>
              <w:top w:type="dxa" w:w="28"/>
              <w:left w:type="dxa" w:w="72"/>
              <w:bottom w:type="dxa" w:w="28"/>
              <w:right w:type="dxa" w:w="72"/>
            </w:tcMar>
          </w:tcPr>
          <w:p>
            <w:pPr>
              <w:spacing w:after="40" w:before="40"/>
            </w:pPr>
            <w:r>
              <w:rPr>
                <w:color w:val="111827"/>
                <w:sz w:val="180"/>
                <w:szCs w:val="180"/>
              </w:rPr>
              <w:t xml:space="preserve">TBD — IT / Systems Administrator</w:t>
            </w:r>
          </w:p>
        </w:tc>
      </w:tr>
      <w:tr>
        <w:tc>
          <w:tcPr>
            <w:tcMar>
              <w:top w:type="dxa" w:w="28"/>
              <w:left w:type="dxa" w:w="72"/>
              <w:bottom w:type="dxa" w:w="28"/>
              <w:right w:type="dxa" w:w="72"/>
            </w:tcMar>
          </w:tcPr>
          <w:p>
            <w:pPr>
              <w:spacing w:after="40" w:before="40"/>
            </w:pPr>
            <w:r>
              <w:rPr>
                <w:color w:val="111827"/>
                <w:sz w:val="180"/>
                <w:szCs w:val="180"/>
              </w:rPr>
              <w:t xml:space="preserve">Project Technical Coordinator (PTC)</w:t>
            </w:r>
          </w:p>
        </w:tc>
        <w:tc>
          <w:tcPr>
            <w:tcMar>
              <w:top w:type="dxa" w:w="28"/>
              <w:left w:type="dxa" w:w="72"/>
              <w:bottom w:type="dxa" w:w="28"/>
              <w:right w:type="dxa" w:w="72"/>
            </w:tcMar>
          </w:tcPr>
          <w:p>
            <w:pPr>
              <w:spacing w:after="40" w:before="40"/>
            </w:pPr>
            <w:r>
              <w:rPr>
                <w:color w:val="111827"/>
                <w:sz w:val="180"/>
                <w:szCs w:val="180"/>
              </w:rPr>
              <w:t xml:space="preserve">Technical liaison, manages configuration and deployment</w:t>
            </w:r>
          </w:p>
        </w:tc>
        <w:tc>
          <w:tcPr>
            <w:tcMar>
              <w:top w:type="dxa" w:w="28"/>
              <w:left w:type="dxa" w:w="72"/>
              <w:bottom w:type="dxa" w:w="28"/>
              <w:right w:type="dxa" w:w="72"/>
            </w:tcMar>
          </w:tcPr>
          <w:p>
            <w:pPr>
              <w:spacing w:after="40" w:before="40"/>
            </w:pPr>
            <w:r>
              <w:rPr>
                <w:color w:val="111827"/>
                <w:sz w:val="180"/>
                <w:szCs w:val="180"/>
              </w:rPr>
              <w:t xml:space="preserve">TBD — Technical Lead</w:t>
            </w:r>
          </w:p>
        </w:tc>
      </w:tr>
      <w:tr>
        <w:tc>
          <w:tcPr>
            <w:tcMar>
              <w:top w:type="dxa" w:w="28"/>
              <w:left w:type="dxa" w:w="72"/>
              <w:bottom w:type="dxa" w:w="28"/>
              <w:right w:type="dxa" w:w="72"/>
            </w:tcMar>
          </w:tcPr>
          <w:p>
            <w:pPr>
              <w:spacing w:after="40" w:before="40"/>
            </w:pPr>
            <w:r>
              <w:rPr>
                <w:color w:val="111827"/>
                <w:sz w:val="180"/>
                <w:szCs w:val="180"/>
              </w:rPr>
              <w:t xml:space="preserve">End User Representative</w:t>
            </w:r>
          </w:p>
        </w:tc>
        <w:tc>
          <w:tcPr>
            <w:tcMar>
              <w:top w:type="dxa" w:w="28"/>
              <w:left w:type="dxa" w:w="72"/>
              <w:bottom w:type="dxa" w:w="28"/>
              <w:right w:type="dxa" w:w="72"/>
            </w:tcMar>
          </w:tcPr>
          <w:p>
            <w:pPr>
              <w:spacing w:after="40" w:before="40"/>
            </w:pPr>
            <w:r>
              <w:rPr>
                <w:color w:val="111827"/>
                <w:sz w:val="180"/>
                <w:szCs w:val="180"/>
              </w:rPr>
              <w:t xml:space="preserve">User acceptance testing, user requirements sign-off</w:t>
            </w:r>
          </w:p>
        </w:tc>
        <w:tc>
          <w:tcPr>
            <w:tcMar>
              <w:top w:type="dxa" w:w="28"/>
              <w:left w:type="dxa" w:w="72"/>
              <w:bottom w:type="dxa" w:w="28"/>
              <w:right w:type="dxa" w:w="72"/>
            </w:tcMar>
          </w:tcPr>
          <w:p>
            <w:pPr>
              <w:spacing w:after="40" w:before="40"/>
            </w:pPr>
            <w:r>
              <w:rPr>
                <w:color w:val="111827"/>
                <w:sz w:val="180"/>
                <w:szCs w:val="180"/>
              </w:rPr>
              <w:t xml:space="preserve">Yoshika Tanaka (User)</w:t>
            </w:r>
          </w:p>
        </w:tc>
      </w:tr>
    </w:tbl>
    <w:p/>
    <w:p>
      <w:pPr>
        <w:pStyle w:val="Heading1"/>
        <w:spacing w:after="120" w:before="280"/>
        <w:rPr>
          <w:b/>
          <w:bCs/>
          <w:color w:val="1B2A4A"/>
          <w:sz w:val="280"/>
          <w:szCs w:val="280"/>
        </w:rPr>
      </w:pPr>
      <w:r>
        <w:t xml:space="preserve">4. Project Approach</w:t>
      </w:r>
    </w:p>
    <w:p>
      <w:pPr>
        <w:pStyle w:val="Heading2"/>
        <w:spacing w:after="80" w:before="200"/>
        <w:rPr>
          <w:b/>
          <w:bCs/>
          <w:color w:val="1B2A4A"/>
          <w:sz w:val="240"/>
          <w:szCs w:val="240"/>
        </w:rPr>
      </w:pPr>
      <w:r>
        <w:t xml:space="preserve">4.1 Validation Strategy</w:t>
      </w:r>
    </w:p>
    <w:p>
      <w:pPr>
        <w:spacing w:after="100"/>
      </w:pPr>
      <w:r>
        <w:rPr>
          <w:color w:val="111827"/>
          <w:sz w:val="200"/>
          <w:szCs w:val="200"/>
        </w:rPr>
        <w:t xml:space="preserve">CPT Pharma adopts a risk-based validation approach consistent with GAMP 5 (Second Edition) guidelines. The Capalyst QMS is classified as a Category 4 configured software product. Validation effort is proportionate to the GxP risk and criticality of each system function.</w:t>
      </w:r>
    </w:p>
    <w:p>
      <w:pPr>
        <w:pStyle w:val="Heading2"/>
        <w:spacing w:after="80" w:before="200"/>
        <w:rPr>
          <w:b/>
          <w:bCs/>
          <w:color w:val="1B2A4A"/>
          <w:sz w:val="240"/>
          <w:szCs w:val="240"/>
        </w:rPr>
      </w:pPr>
      <w:r>
        <w:t xml:space="preserve">4.2 Validation Lifecycle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Phase</w:t>
            </w:r>
          </w:p>
        </w:tc>
        <w:tc>
          <w:tcPr>
            <w:shd w:fill="1B2A4A" w:val="clear"/>
            <w:tcMar>
              <w:top w:type="dxa" w:w="28"/>
              <w:left w:type="dxa" w:w="72"/>
              <w:bottom w:type="dxa" w:w="28"/>
              <w:right w:type="dxa" w:w="72"/>
            </w:tcMar>
          </w:tcPr>
          <w:p>
            <w:pPr>
              <w:spacing w:after="40" w:before="40"/>
            </w:pPr>
            <w:r>
              <w:rPr>
                <w:b/>
                <w:bCs/>
                <w:color w:val="FFFFFF"/>
                <w:sz w:val="180"/>
                <w:szCs w:val="180"/>
              </w:rPr>
              <w:t xml:space="preserve">Document / Activity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Reference</w:t>
            </w:r>
          </w:p>
        </w:tc>
      </w:tr>
      <w:tr>
        <w:tc>
          <w:tcPr>
            <w:tcMar>
              <w:top w:type="dxa" w:w="28"/>
              <w:left w:type="dxa" w:w="72"/>
              <w:bottom w:type="dxa" w:w="28"/>
              <w:right w:type="dxa" w:w="72"/>
            </w:tcMar>
          </w:tcPr>
          <w:p>
            <w:pPr>
              <w:spacing w:after="40" w:before="40"/>
            </w:pPr>
            <w:r>
              <w:rPr>
                <w:color w:val="111827"/>
                <w:sz w:val="180"/>
                <w:szCs w:val="180"/>
              </w:rPr>
              <w:t xml:space="preserve">Planning</w:t>
            </w:r>
          </w:p>
        </w:tc>
        <w:tc>
          <w:tcPr>
            <w:tcMar>
              <w:top w:type="dxa" w:w="28"/>
              <w:left w:type="dxa" w:w="72"/>
              <w:bottom w:type="dxa" w:w="28"/>
              <w:right w:type="dxa" w:w="72"/>
            </w:tcMar>
          </w:tcPr>
          <w:p>
            <w:pPr>
              <w:spacing w:after="40" w:before="40"/>
            </w:pPr>
            <w:r>
              <w:rPr>
                <w:color w:val="111827"/>
                <w:sz w:val="180"/>
                <w:szCs w:val="180"/>
              </w:rPr>
              <w:t xml:space="preserve">Project Plan, System Criticality Assessment, Validation Plan</w:t>
            </w:r>
          </w:p>
        </w:tc>
        <w:tc>
          <w:tcPr>
            <w:tcMar>
              <w:top w:type="dxa" w:w="28"/>
              <w:left w:type="dxa" w:w="72"/>
              <w:bottom w:type="dxa" w:w="28"/>
              <w:right w:type="dxa" w:w="72"/>
            </w:tcMar>
          </w:tcPr>
          <w:p>
            <w:pPr>
              <w:spacing w:after="40" w:before="40"/>
            </w:pPr>
            <w:r>
              <w:rPr>
                <w:color w:val="111827"/>
                <w:sz w:val="180"/>
                <w:szCs w:val="180"/>
              </w:rPr>
              <w:t xml:space="preserve">CPT-VL-ISVP-PP / SCA / VP</w:t>
            </w:r>
          </w:p>
        </w:tc>
      </w:tr>
      <w:tr>
        <w:tc>
          <w:tcPr>
            <w:tcMar>
              <w:top w:type="dxa" w:w="28"/>
              <w:left w:type="dxa" w:w="72"/>
              <w:bottom w:type="dxa" w:w="28"/>
              <w:right w:type="dxa" w:w="72"/>
            </w:tcMar>
          </w:tcPr>
          <w:p>
            <w:pPr>
              <w:spacing w:after="40" w:before="40"/>
            </w:pPr>
            <w:r>
              <w:rPr>
                <w:color w:val="111827"/>
                <w:sz w:val="180"/>
                <w:szCs w:val="180"/>
              </w:rPr>
              <w:t xml:space="preserve">Specification</w:t>
            </w:r>
          </w:p>
        </w:tc>
        <w:tc>
          <w:tcPr>
            <w:tcMar>
              <w:top w:type="dxa" w:w="28"/>
              <w:left w:type="dxa" w:w="72"/>
              <w:bottom w:type="dxa" w:w="28"/>
              <w:right w:type="dxa" w:w="72"/>
            </w:tcMar>
          </w:tcPr>
          <w:p>
            <w:pPr>
              <w:spacing w:after="40" w:before="40"/>
            </w:pPr>
            <w:r>
              <w:rPr>
                <w:color w:val="111827"/>
                <w:sz w:val="180"/>
                <w:szCs w:val="180"/>
              </w:rPr>
              <w:t xml:space="preserve">User Requirements Specification, Architecture Specification</w:t>
            </w:r>
          </w:p>
        </w:tc>
        <w:tc>
          <w:tcPr>
            <w:tcMar>
              <w:top w:type="dxa" w:w="28"/>
              <w:left w:type="dxa" w:w="72"/>
              <w:bottom w:type="dxa" w:w="28"/>
              <w:right w:type="dxa" w:w="72"/>
            </w:tcMar>
          </w:tcPr>
          <w:p>
            <w:pPr>
              <w:spacing w:after="40" w:before="40"/>
            </w:pPr>
            <w:r>
              <w:rPr>
                <w:color w:val="111827"/>
                <w:sz w:val="180"/>
                <w:szCs w:val="180"/>
              </w:rPr>
              <w:t xml:space="preserve">CPT-VL-ISVP-UR / ArS</w:t>
            </w:r>
          </w:p>
        </w:tc>
      </w:tr>
      <w:tr>
        <w:tc>
          <w:tcPr>
            <w:tcMar>
              <w:top w:type="dxa" w:w="28"/>
              <w:left w:type="dxa" w:w="72"/>
              <w:bottom w:type="dxa" w:w="28"/>
              <w:right w:type="dxa" w:w="72"/>
            </w:tcMar>
          </w:tcPr>
          <w:p>
            <w:pPr>
              <w:spacing w:after="40" w:before="40"/>
            </w:pPr>
            <w:r>
              <w:rPr>
                <w:color w:val="111827"/>
                <w:sz w:val="180"/>
                <w:szCs w:val="180"/>
              </w:rPr>
              <w:t xml:space="preserve">Verification — IQ</w:t>
            </w:r>
          </w:p>
        </w:tc>
        <w:tc>
          <w:tcPr>
            <w:tcMar>
              <w:top w:type="dxa" w:w="28"/>
              <w:left w:type="dxa" w:w="72"/>
              <w:bottom w:type="dxa" w:w="28"/>
              <w:right w:type="dxa" w:w="72"/>
            </w:tcMar>
          </w:tcPr>
          <w:p>
            <w:pPr>
              <w:spacing w:after="40" w:before="40"/>
            </w:pPr>
            <w:r>
              <w:rPr>
                <w:color w:val="111827"/>
                <w:sz w:val="180"/>
                <w:szCs w:val="180"/>
              </w:rPr>
              <w:t xml:space="preserve">Installation Qualification, Infrastructure &amp; Application Operations Manual</w:t>
            </w:r>
          </w:p>
        </w:tc>
        <w:tc>
          <w:tcPr>
            <w:tcMar>
              <w:top w:type="dxa" w:w="28"/>
              <w:left w:type="dxa" w:w="72"/>
              <w:bottom w:type="dxa" w:w="28"/>
              <w:right w:type="dxa" w:w="72"/>
            </w:tcMar>
          </w:tcPr>
          <w:p>
            <w:pPr>
              <w:spacing w:after="40" w:before="40"/>
            </w:pPr>
            <w:r>
              <w:rPr>
                <w:color w:val="111827"/>
                <w:sz w:val="180"/>
                <w:szCs w:val="180"/>
              </w:rPr>
              <w:t xml:space="preserve">CPT-VL-ISVP-IQ / IAOM</w:t>
            </w:r>
          </w:p>
        </w:tc>
      </w:tr>
      <w:tr>
        <w:tc>
          <w:tcPr>
            <w:tcMar>
              <w:top w:type="dxa" w:w="28"/>
              <w:left w:type="dxa" w:w="72"/>
              <w:bottom w:type="dxa" w:w="28"/>
              <w:right w:type="dxa" w:w="72"/>
            </w:tcMar>
          </w:tcPr>
          <w:p>
            <w:pPr>
              <w:spacing w:after="40" w:before="40"/>
            </w:pPr>
            <w:r>
              <w:rPr>
                <w:color w:val="111827"/>
                <w:sz w:val="180"/>
                <w:szCs w:val="180"/>
              </w:rPr>
              <w:t xml:space="preserve">Verification — OQ/PQ</w:t>
            </w:r>
          </w:p>
        </w:tc>
        <w:tc>
          <w:tcPr>
            <w:tcMar>
              <w:top w:type="dxa" w:w="28"/>
              <w:left w:type="dxa" w:w="72"/>
              <w:bottom w:type="dxa" w:w="28"/>
              <w:right w:type="dxa" w:w="72"/>
            </w:tcMar>
          </w:tcPr>
          <w:p>
            <w:pPr>
              <w:spacing w:after="40" w:before="40"/>
            </w:pPr>
            <w:r>
              <w:rPr>
                <w:color w:val="111827"/>
                <w:sz w:val="180"/>
                <w:szCs w:val="180"/>
              </w:rPr>
              <w:t xml:space="preserve">Test Scripts, Test Report, Database Comparison</w:t>
            </w:r>
          </w:p>
        </w:tc>
        <w:tc>
          <w:tcPr>
            <w:tcMar>
              <w:top w:type="dxa" w:w="28"/>
              <w:left w:type="dxa" w:w="72"/>
              <w:bottom w:type="dxa" w:w="28"/>
              <w:right w:type="dxa" w:w="72"/>
            </w:tcMar>
          </w:tcPr>
          <w:p>
            <w:pPr>
              <w:spacing w:after="40" w:before="40"/>
            </w:pPr>
            <w:r>
              <w:rPr>
                <w:color w:val="111827"/>
                <w:sz w:val="180"/>
                <w:szCs w:val="180"/>
              </w:rPr>
              <w:t xml:space="preserve">CPT-VL-ISVP-TR / DBC</w:t>
            </w:r>
          </w:p>
        </w:tc>
      </w:tr>
      <w:tr>
        <w:tc>
          <w:tcPr>
            <w:tcMar>
              <w:top w:type="dxa" w:w="28"/>
              <w:left w:type="dxa" w:w="72"/>
              <w:bottom w:type="dxa" w:w="28"/>
              <w:right w:type="dxa" w:w="72"/>
            </w:tcMar>
          </w:tcPr>
          <w:p>
            <w:pPr>
              <w:spacing w:after="40" w:before="40"/>
            </w:pPr>
            <w:r>
              <w:rPr>
                <w:color w:val="111827"/>
                <w:sz w:val="180"/>
                <w:szCs w:val="180"/>
              </w:rPr>
              <w:t xml:space="preserve">Closure</w:t>
            </w:r>
          </w:p>
        </w:tc>
        <w:tc>
          <w:tcPr>
            <w:tcMar>
              <w:top w:type="dxa" w:w="28"/>
              <w:left w:type="dxa" w:w="72"/>
              <w:bottom w:type="dxa" w:w="28"/>
              <w:right w:type="dxa" w:w="72"/>
            </w:tcMar>
          </w:tcPr>
          <w:p>
            <w:pPr>
              <w:spacing w:after="40" w:before="40"/>
            </w:pPr>
            <w:r>
              <w:rPr>
                <w:color w:val="111827"/>
                <w:sz w:val="180"/>
                <w:szCs w:val="180"/>
              </w:rPr>
              <w:t xml:space="preserve">Authorization for Use, Validation Report</w:t>
            </w:r>
          </w:p>
        </w:tc>
        <w:tc>
          <w:tcPr>
            <w:tcMar>
              <w:top w:type="dxa" w:w="28"/>
              <w:left w:type="dxa" w:w="72"/>
              <w:bottom w:type="dxa" w:w="28"/>
              <w:right w:type="dxa" w:w="72"/>
            </w:tcMar>
          </w:tcPr>
          <w:p>
            <w:pPr>
              <w:spacing w:after="40" w:before="40"/>
            </w:pPr>
            <w:r>
              <w:rPr>
                <w:color w:val="111827"/>
                <w:sz w:val="180"/>
                <w:szCs w:val="180"/>
              </w:rPr>
              <w:t xml:space="preserve">CPT-VL-ISVP-AFU / VR</w:t>
            </w:r>
          </w:p>
        </w:tc>
      </w:tr>
    </w:tbl>
    <w:p/>
    <w:p>
      <w:pPr>
        <w:pStyle w:val="Heading2"/>
        <w:spacing w:after="80" w:before="200"/>
        <w:rPr>
          <w:b/>
          <w:bCs/>
          <w:color w:val="1B2A4A"/>
          <w:sz w:val="240"/>
          <w:szCs w:val="240"/>
        </w:rPr>
      </w:pPr>
      <w:r>
        <w:t xml:space="preserve">4.3 Testing Approach</w:t>
      </w:r>
    </w:p>
    <w:p>
      <w:pPr>
        <w:pStyle w:val="ListParagraph"/>
        <w:numPr>
          <w:ilvl w:val="0"/>
          <w:numId w:val="1"/>
        </w:numPr>
        <w:spacing w:after="60"/>
        <w:rPr>
          <w:color w:val="111827"/>
          <w:sz w:val="200"/>
          <w:szCs w:val="200"/>
        </w:rPr>
      </w:pPr>
      <w:r>
        <w:t xml:space="preserve">Functional testing covering all user requirements defined in CPT-VL-ISVP-UR</w:t>
      </w:r>
    </w:p>
    <w:p>
      <w:pPr>
        <w:pStyle w:val="ListParagraph"/>
        <w:numPr>
          <w:ilvl w:val="0"/>
          <w:numId w:val="1"/>
        </w:numPr>
        <w:spacing w:after="60"/>
        <w:rPr>
          <w:color w:val="111827"/>
          <w:sz w:val="200"/>
          <w:szCs w:val="200"/>
        </w:rPr>
      </w:pPr>
      <w:r>
        <w:t xml:space="preserve">Role-based access control testing for Admin, QA, and User roles</w:t>
      </w:r>
    </w:p>
    <w:p>
      <w:pPr>
        <w:pStyle w:val="ListParagraph"/>
        <w:numPr>
          <w:ilvl w:val="0"/>
          <w:numId w:val="1"/>
        </w:numPr>
        <w:spacing w:after="60"/>
        <w:rPr>
          <w:color w:val="111827"/>
          <w:sz w:val="200"/>
          <w:szCs w:val="200"/>
        </w:rPr>
      </w:pPr>
      <w:r>
        <w:t xml:space="preserve">Workflow state-transition testing for all four process modules</w:t>
      </w:r>
    </w:p>
    <w:p>
      <w:pPr>
        <w:pStyle w:val="ListParagraph"/>
        <w:numPr>
          <w:ilvl w:val="0"/>
          <w:numId w:val="1"/>
        </w:numPr>
        <w:spacing w:after="60"/>
        <w:rPr>
          <w:color w:val="111827"/>
          <w:sz w:val="200"/>
          <w:szCs w:val="200"/>
        </w:rPr>
      </w:pPr>
      <w:r>
        <w:t xml:space="preserve">Negative testing (invalid inputs, unauthorised actions)</w:t>
      </w:r>
    </w:p>
    <w:p>
      <w:pPr>
        <w:pStyle w:val="ListParagraph"/>
        <w:numPr>
          <w:ilvl w:val="0"/>
          <w:numId w:val="1"/>
        </w:numPr>
        <w:spacing w:after="60"/>
        <w:rPr>
          <w:color w:val="111827"/>
          <w:sz w:val="200"/>
          <w:szCs w:val="200"/>
        </w:rPr>
      </w:pPr>
      <w:r>
        <w:t xml:space="preserve">Audit trail verification for all GxP-critical data fields</w:t>
      </w:r>
    </w:p>
    <w:p>
      <w:pPr>
        <w:pStyle w:val="ListParagraph"/>
        <w:numPr>
          <w:ilvl w:val="0"/>
          <w:numId w:val="1"/>
        </w:numPr>
        <w:spacing w:after="60"/>
        <w:rPr>
          <w:color w:val="111827"/>
          <w:sz w:val="200"/>
          <w:szCs w:val="200"/>
        </w:rPr>
      </w:pPr>
      <w:r>
        <w:t xml:space="preserve">21 CFR Part 11 / Annex 11 compliance checks</w:t>
      </w:r>
    </w:p>
    <w:p/>
    <w:p>
      <w:pPr>
        <w:pStyle w:val="Heading1"/>
        <w:spacing w:after="120" w:before="280"/>
        <w:rPr>
          <w:b/>
          <w:bCs/>
          <w:color w:val="1B2A4A"/>
          <w:sz w:val="280"/>
          <w:szCs w:val="280"/>
        </w:rPr>
      </w:pPr>
      <w:r>
        <w:t xml:space="preserve">5. Project Schedule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Milestone</w:t>
            </w:r>
          </w:p>
        </w:tc>
        <w:tc>
          <w:tcPr>
            <w:shd w:fill="1B2A4A" w:val="clear"/>
            <w:tcMar>
              <w:top w:type="dxa" w:w="28"/>
              <w:left w:type="dxa" w:w="72"/>
              <w:bottom w:type="dxa" w:w="28"/>
              <w:right w:type="dxa" w:w="72"/>
            </w:tcMar>
          </w:tcPr>
          <w:p>
            <w:pPr>
              <w:spacing w:after="40" w:before="40"/>
            </w:pPr>
            <w:r>
              <w:rPr>
                <w:b/>
                <w:bCs/>
                <w:color w:val="FFFFFF"/>
                <w:sz w:val="180"/>
                <w:szCs w:val="180"/>
              </w:rPr>
              <w:t xml:space="preserve">Target Date</w:t>
            </w:r>
          </w:p>
        </w:tc>
        <w:tc>
          <w:tcPr>
            <w:shd w:fill="1B2A4A" w:val="clear"/>
            <w:tcMar>
              <w:top w:type="dxa" w:w="28"/>
              <w:left w:type="dxa" w:w="72"/>
              <w:bottom w:type="dxa" w:w="28"/>
              <w:right w:type="dxa" w:w="72"/>
            </w:tcMar>
          </w:tcPr>
          <w:p>
            <w:pPr>
              <w:spacing w:after="40" w:before="40"/>
            </w:pPr>
            <w:r>
              <w:rPr>
                <w:b/>
                <w:bCs/>
                <w:color w:val="FFFFFF"/>
                <w:sz w:val="180"/>
                <w:szCs w:val="180"/>
              </w:rPr>
              <w:t xml:space="preserve">Owner</w:t>
            </w:r>
          </w:p>
        </w:tc>
      </w:tr>
      <w:tr>
        <w:tc>
          <w:tcPr>
            <w:tcMar>
              <w:top w:type="dxa" w:w="28"/>
              <w:left w:type="dxa" w:w="72"/>
              <w:bottom w:type="dxa" w:w="28"/>
              <w:right w:type="dxa" w:w="72"/>
            </w:tcMar>
          </w:tcPr>
          <w:p>
            <w:pPr>
              <w:spacing w:after="40" w:before="40"/>
            </w:pPr>
            <w:r>
              <w:rPr>
                <w:color w:val="111827"/>
                <w:sz w:val="180"/>
                <w:szCs w:val="180"/>
              </w:rPr>
              <w:t xml:space="preserve">Project kick-off and plan approval</w:t>
            </w:r>
          </w:p>
        </w:tc>
        <w:tc>
          <w:tcPr>
            <w:tcMar>
              <w:top w:type="dxa" w:w="28"/>
              <w:left w:type="dxa" w:w="72"/>
              <w:bottom w:type="dxa" w:w="28"/>
              <w:right w:type="dxa" w:w="72"/>
            </w:tcMar>
          </w:tcPr>
          <w:p>
            <w:pPr>
              <w:spacing w:after="40" w:before="40"/>
            </w:pPr>
            <w:r>
              <w:rPr>
                <w:color w:val="111827"/>
                <w:sz w:val="180"/>
                <w:szCs w:val="180"/>
              </w:rPr>
              <w:t xml:space="preserve">2026-05-01</w:t>
            </w:r>
          </w:p>
        </w:tc>
        <w:tc>
          <w:tcPr>
            <w:tcMar>
              <w:top w:type="dxa" w:w="28"/>
              <w:left w:type="dxa" w:w="72"/>
              <w:bottom w:type="dxa" w:w="28"/>
              <w:right w:type="dxa" w:w="72"/>
            </w:tcMar>
          </w:tcPr>
          <w:p>
            <w:pPr>
              <w:spacing w:after="40" w:before="40"/>
            </w:pPr>
            <w:r>
              <w:rPr>
                <w:color w:val="111827"/>
                <w:sz w:val="180"/>
                <w:szCs w:val="180"/>
              </w:rPr>
              <w:t xml:space="preserve">PM</w:t>
            </w:r>
          </w:p>
        </w:tc>
      </w:tr>
      <w:tr>
        <w:tc>
          <w:tcPr>
            <w:tcMar>
              <w:top w:type="dxa" w:w="28"/>
              <w:left w:type="dxa" w:w="72"/>
              <w:bottom w:type="dxa" w:w="28"/>
              <w:right w:type="dxa" w:w="72"/>
            </w:tcMar>
          </w:tcPr>
          <w:p>
            <w:pPr>
              <w:spacing w:after="40" w:before="40"/>
            </w:pPr>
            <w:r>
              <w:rPr>
                <w:color w:val="111827"/>
                <w:sz w:val="180"/>
                <w:szCs w:val="180"/>
              </w:rPr>
              <w:t xml:space="preserve">System Criticality Assessment complete</w:t>
            </w:r>
          </w:p>
        </w:tc>
        <w:tc>
          <w:tcPr>
            <w:tcMar>
              <w:top w:type="dxa" w:w="28"/>
              <w:left w:type="dxa" w:w="72"/>
              <w:bottom w:type="dxa" w:w="28"/>
              <w:right w:type="dxa" w:w="72"/>
            </w:tcMar>
          </w:tcPr>
          <w:p>
            <w:pPr>
              <w:spacing w:after="40" w:before="40"/>
            </w:pPr>
            <w:r>
              <w:rPr>
                <w:color w:val="111827"/>
                <w:sz w:val="180"/>
                <w:szCs w:val="180"/>
              </w:rPr>
              <w:t xml:space="preserve">2026-05-07</w:t>
            </w:r>
          </w:p>
        </w:tc>
        <w:tc>
          <w:tcPr>
            <w:tcMar>
              <w:top w:type="dxa" w:w="28"/>
              <w:left w:type="dxa" w:w="72"/>
              <w:bottom w:type="dxa" w:w="28"/>
              <w:right w:type="dxa" w:w="72"/>
            </w:tcMar>
          </w:tcPr>
          <w:p>
            <w:pPr>
              <w:spacing w:after="40" w:before="40"/>
            </w:pPr>
            <w:r>
              <w:rPr>
                <w:color w:val="111827"/>
                <w:sz w:val="180"/>
                <w:szCs w:val="180"/>
              </w:rPr>
              <w:t xml:space="preserve">VE / BQR</w:t>
            </w:r>
          </w:p>
        </w:tc>
      </w:tr>
      <w:tr>
        <w:tc>
          <w:tcPr>
            <w:tcMar>
              <w:top w:type="dxa" w:w="28"/>
              <w:left w:type="dxa" w:w="72"/>
              <w:bottom w:type="dxa" w:w="28"/>
              <w:right w:type="dxa" w:w="72"/>
            </w:tcMar>
          </w:tcPr>
          <w:p>
            <w:pPr>
              <w:spacing w:after="40" w:before="40"/>
            </w:pPr>
            <w:r>
              <w:rPr>
                <w:color w:val="111827"/>
                <w:sz w:val="180"/>
                <w:szCs w:val="180"/>
              </w:rPr>
              <w:t xml:space="preserve">User Requirements Specification approved</w:t>
            </w:r>
          </w:p>
        </w:tc>
        <w:tc>
          <w:tcPr>
            <w:tcMar>
              <w:top w:type="dxa" w:w="28"/>
              <w:left w:type="dxa" w:w="72"/>
              <w:bottom w:type="dxa" w:w="28"/>
              <w:right w:type="dxa" w:w="72"/>
            </w:tcMar>
          </w:tcPr>
          <w:p>
            <w:pPr>
              <w:spacing w:after="40" w:before="40"/>
            </w:pPr>
            <w:r>
              <w:rPr>
                <w:color w:val="111827"/>
                <w:sz w:val="180"/>
                <w:szCs w:val="180"/>
              </w:rPr>
              <w:t xml:space="preserve">2026-05-14</w:t>
            </w:r>
          </w:p>
        </w:tc>
        <w:tc>
          <w:tcPr>
            <w:tcMar>
              <w:top w:type="dxa" w:w="28"/>
              <w:left w:type="dxa" w:w="72"/>
              <w:bottom w:type="dxa" w:w="28"/>
              <w:right w:type="dxa" w:w="72"/>
            </w:tcMar>
          </w:tcPr>
          <w:p>
            <w:pPr>
              <w:spacing w:after="40" w:before="40"/>
            </w:pPr>
            <w:r>
              <w:rPr>
                <w:color w:val="111827"/>
                <w:sz w:val="180"/>
                <w:szCs w:val="180"/>
              </w:rPr>
              <w:t xml:space="preserve">SO / BQR</w:t>
            </w:r>
          </w:p>
        </w:tc>
      </w:tr>
      <w:tr>
        <w:tc>
          <w:tcPr>
            <w:tcMar>
              <w:top w:type="dxa" w:w="28"/>
              <w:left w:type="dxa" w:w="72"/>
              <w:bottom w:type="dxa" w:w="28"/>
              <w:right w:type="dxa" w:w="72"/>
            </w:tcMar>
          </w:tcPr>
          <w:p>
            <w:pPr>
              <w:spacing w:after="40" w:before="40"/>
            </w:pPr>
            <w:r>
              <w:rPr>
                <w:color w:val="111827"/>
                <w:sz w:val="180"/>
                <w:szCs w:val="180"/>
              </w:rPr>
              <w:t xml:space="preserve">Validation Plan approved</w:t>
            </w:r>
          </w:p>
        </w:tc>
        <w:tc>
          <w:tcPr>
            <w:tcMar>
              <w:top w:type="dxa" w:w="28"/>
              <w:left w:type="dxa" w:w="72"/>
              <w:bottom w:type="dxa" w:w="28"/>
              <w:right w:type="dxa" w:w="72"/>
            </w:tcMar>
          </w:tcPr>
          <w:p>
            <w:pPr>
              <w:spacing w:after="40" w:before="40"/>
            </w:pPr>
            <w:r>
              <w:rPr>
                <w:color w:val="111827"/>
                <w:sz w:val="180"/>
                <w:szCs w:val="180"/>
              </w:rPr>
              <w:t xml:space="preserve">2026-05-21</w:t>
            </w:r>
          </w:p>
        </w:tc>
        <w:tc>
          <w:tcPr>
            <w:tcMar>
              <w:top w:type="dxa" w:w="28"/>
              <w:left w:type="dxa" w:w="72"/>
              <w:bottom w:type="dxa" w:w="28"/>
              <w:right w:type="dxa" w:w="72"/>
            </w:tcMar>
          </w:tcPr>
          <w:p>
            <w:pPr>
              <w:spacing w:after="40" w:before="40"/>
            </w:pPr>
            <w:r>
              <w:rPr>
                <w:color w:val="111827"/>
                <w:sz w:val="180"/>
                <w:szCs w:val="180"/>
              </w:rPr>
              <w:t xml:space="preserve">VE / BQR</w:t>
            </w:r>
          </w:p>
        </w:tc>
      </w:tr>
      <w:tr>
        <w:tc>
          <w:tcPr>
            <w:tcMar>
              <w:top w:type="dxa" w:w="28"/>
              <w:left w:type="dxa" w:w="72"/>
              <w:bottom w:type="dxa" w:w="28"/>
              <w:right w:type="dxa" w:w="72"/>
            </w:tcMar>
          </w:tcPr>
          <w:p>
            <w:pPr>
              <w:spacing w:after="40" w:before="40"/>
            </w:pPr>
            <w:r>
              <w:rPr>
                <w:color w:val="111827"/>
                <w:sz w:val="180"/>
                <w:szCs w:val="180"/>
              </w:rPr>
              <w:t xml:space="preserve">Architecture Specification approved</w:t>
            </w:r>
          </w:p>
        </w:tc>
        <w:tc>
          <w:tcPr>
            <w:tcMar>
              <w:top w:type="dxa" w:w="28"/>
              <w:left w:type="dxa" w:w="72"/>
              <w:bottom w:type="dxa" w:w="28"/>
              <w:right w:type="dxa" w:w="72"/>
            </w:tcMar>
          </w:tcPr>
          <w:p>
            <w:pPr>
              <w:spacing w:after="40" w:before="40"/>
            </w:pPr>
            <w:r>
              <w:rPr>
                <w:color w:val="111827"/>
                <w:sz w:val="180"/>
                <w:szCs w:val="180"/>
              </w:rPr>
              <w:t xml:space="preserve">2026-05-28</w:t>
            </w:r>
          </w:p>
        </w:tc>
        <w:tc>
          <w:tcPr>
            <w:tcMar>
              <w:top w:type="dxa" w:w="28"/>
              <w:left w:type="dxa" w:w="72"/>
              <w:bottom w:type="dxa" w:w="28"/>
              <w:right w:type="dxa" w:w="72"/>
            </w:tcMar>
          </w:tcPr>
          <w:p>
            <w:pPr>
              <w:spacing w:after="40" w:before="40"/>
            </w:pPr>
            <w:r>
              <w:rPr>
                <w:color w:val="111827"/>
                <w:sz w:val="180"/>
                <w:szCs w:val="180"/>
              </w:rPr>
              <w:t xml:space="preserve">IE / VE</w:t>
            </w:r>
          </w:p>
        </w:tc>
      </w:tr>
      <w:tr>
        <w:tc>
          <w:tcPr>
            <w:tcMar>
              <w:top w:type="dxa" w:w="28"/>
              <w:left w:type="dxa" w:w="72"/>
              <w:bottom w:type="dxa" w:w="28"/>
              <w:right w:type="dxa" w:w="72"/>
            </w:tcMar>
          </w:tcPr>
          <w:p>
            <w:pPr>
              <w:spacing w:after="40" w:before="40"/>
            </w:pPr>
            <w:r>
              <w:rPr>
                <w:color w:val="111827"/>
                <w:sz w:val="180"/>
                <w:szCs w:val="180"/>
              </w:rPr>
              <w:t xml:space="preserve">Installation Qualification complete</w:t>
            </w:r>
          </w:p>
        </w:tc>
        <w:tc>
          <w:tcPr>
            <w:tcMar>
              <w:top w:type="dxa" w:w="28"/>
              <w:left w:type="dxa" w:w="72"/>
              <w:bottom w:type="dxa" w:w="28"/>
              <w:right w:type="dxa" w:w="72"/>
            </w:tcMar>
          </w:tcPr>
          <w:p>
            <w:pPr>
              <w:spacing w:after="40" w:before="40"/>
            </w:pPr>
            <w:r>
              <w:rPr>
                <w:color w:val="111827"/>
                <w:sz w:val="180"/>
                <w:szCs w:val="180"/>
              </w:rPr>
              <w:t xml:space="preserve">2026-06-04</w:t>
            </w:r>
          </w:p>
        </w:tc>
        <w:tc>
          <w:tcPr>
            <w:tcMar>
              <w:top w:type="dxa" w:w="28"/>
              <w:left w:type="dxa" w:w="72"/>
              <w:bottom w:type="dxa" w:w="28"/>
              <w:right w:type="dxa" w:w="72"/>
            </w:tcMar>
          </w:tcPr>
          <w:p>
            <w:pPr>
              <w:spacing w:after="40" w:before="40"/>
            </w:pPr>
            <w:r>
              <w:rPr>
                <w:color w:val="111827"/>
                <w:sz w:val="180"/>
                <w:szCs w:val="180"/>
              </w:rPr>
              <w:t xml:space="preserve">IE / VE</w:t>
            </w:r>
          </w:p>
        </w:tc>
      </w:tr>
      <w:tr>
        <w:tc>
          <w:tcPr>
            <w:tcMar>
              <w:top w:type="dxa" w:w="28"/>
              <w:left w:type="dxa" w:w="72"/>
              <w:bottom w:type="dxa" w:w="28"/>
              <w:right w:type="dxa" w:w="72"/>
            </w:tcMar>
          </w:tcPr>
          <w:p>
            <w:pPr>
              <w:spacing w:after="40" w:before="40"/>
            </w:pPr>
            <w:r>
              <w:rPr>
                <w:color w:val="111827"/>
                <w:sz w:val="180"/>
                <w:szCs w:val="180"/>
              </w:rPr>
              <w:t xml:space="preserve">Test execution complete</w:t>
            </w:r>
          </w:p>
        </w:tc>
        <w:tc>
          <w:tcPr>
            <w:tcMar>
              <w:top w:type="dxa" w:w="28"/>
              <w:left w:type="dxa" w:w="72"/>
              <w:bottom w:type="dxa" w:w="28"/>
              <w:right w:type="dxa" w:w="72"/>
            </w:tcMar>
          </w:tcPr>
          <w:p>
            <w:pPr>
              <w:spacing w:after="40" w:before="40"/>
            </w:pPr>
            <w:r>
              <w:rPr>
                <w:color w:val="111827"/>
                <w:sz w:val="180"/>
                <w:szCs w:val="180"/>
              </w:rPr>
              <w:t xml:space="preserve">2026-06-18</w:t>
            </w:r>
          </w:p>
        </w:tc>
        <w:tc>
          <w:tcPr>
            <w:tcMar>
              <w:top w:type="dxa" w:w="28"/>
              <w:left w:type="dxa" w:w="72"/>
              <w:bottom w:type="dxa" w:w="28"/>
              <w:right w:type="dxa" w:w="72"/>
            </w:tcMar>
          </w:tcPr>
          <w:p>
            <w:pPr>
              <w:spacing w:after="40" w:before="40"/>
            </w:pPr>
            <w:r>
              <w:rPr>
                <w:color w:val="111827"/>
                <w:sz w:val="180"/>
                <w:szCs w:val="180"/>
              </w:rPr>
              <w:t xml:space="preserve">VE / BQR</w:t>
            </w:r>
          </w:p>
        </w:tc>
      </w:tr>
      <w:tr>
        <w:tc>
          <w:tcPr>
            <w:tcMar>
              <w:top w:type="dxa" w:w="28"/>
              <w:left w:type="dxa" w:w="72"/>
              <w:bottom w:type="dxa" w:w="28"/>
              <w:right w:type="dxa" w:w="72"/>
            </w:tcMar>
          </w:tcPr>
          <w:p>
            <w:pPr>
              <w:spacing w:after="40" w:before="40"/>
            </w:pPr>
            <w:r>
              <w:rPr>
                <w:color w:val="111827"/>
                <w:sz w:val="180"/>
                <w:szCs w:val="180"/>
              </w:rPr>
              <w:t xml:space="preserve">Validation Report approved</w:t>
            </w:r>
          </w:p>
        </w:tc>
        <w:tc>
          <w:tcPr>
            <w:tcMar>
              <w:top w:type="dxa" w:w="28"/>
              <w:left w:type="dxa" w:w="72"/>
              <w:bottom w:type="dxa" w:w="28"/>
              <w:right w:type="dxa" w:w="72"/>
            </w:tcMar>
          </w:tcPr>
          <w:p>
            <w:pPr>
              <w:spacing w:after="40" w:before="40"/>
            </w:pPr>
            <w:r>
              <w:rPr>
                <w:color w:val="111827"/>
                <w:sz w:val="180"/>
                <w:szCs w:val="180"/>
              </w:rPr>
              <w:t xml:space="preserve">2026-06-25</w:t>
            </w:r>
          </w:p>
        </w:tc>
        <w:tc>
          <w:tcPr>
            <w:tcMar>
              <w:top w:type="dxa" w:w="28"/>
              <w:left w:type="dxa" w:w="72"/>
              <w:bottom w:type="dxa" w:w="28"/>
              <w:right w:type="dxa" w:w="72"/>
            </w:tcMar>
          </w:tcPr>
          <w:p>
            <w:pPr>
              <w:spacing w:after="40" w:before="40"/>
            </w:pPr>
            <w:r>
              <w:rPr>
                <w:color w:val="111827"/>
                <w:sz w:val="180"/>
                <w:szCs w:val="180"/>
              </w:rPr>
              <w:t xml:space="preserve">SO / BQR</w:t>
            </w:r>
          </w:p>
        </w:tc>
      </w:tr>
      <w:tr>
        <w:tc>
          <w:tcPr>
            <w:tcMar>
              <w:top w:type="dxa" w:w="28"/>
              <w:left w:type="dxa" w:w="72"/>
              <w:bottom w:type="dxa" w:w="28"/>
              <w:right w:type="dxa" w:w="72"/>
            </w:tcMar>
          </w:tcPr>
          <w:p>
            <w:pPr>
              <w:spacing w:after="40" w:before="40"/>
            </w:pPr>
            <w:r>
              <w:rPr>
                <w:color w:val="111827"/>
                <w:sz w:val="180"/>
                <w:szCs w:val="180"/>
              </w:rPr>
              <w:t xml:space="preserve">Authorization for Use signed</w:t>
            </w:r>
          </w:p>
        </w:tc>
        <w:tc>
          <w:tcPr>
            <w:tcMar>
              <w:top w:type="dxa" w:w="28"/>
              <w:left w:type="dxa" w:w="72"/>
              <w:bottom w:type="dxa" w:w="28"/>
              <w:right w:type="dxa" w:w="72"/>
            </w:tcMar>
          </w:tcPr>
          <w:p>
            <w:pPr>
              <w:spacing w:after="40" w:before="40"/>
            </w:pPr>
            <w:r>
              <w:rPr>
                <w:color w:val="111827"/>
                <w:sz w:val="180"/>
                <w:szCs w:val="180"/>
              </w:rPr>
              <w:t xml:space="preserve">2026-06-30</w:t>
            </w:r>
          </w:p>
        </w:tc>
        <w:tc>
          <w:tcPr>
            <w:tcMar>
              <w:top w:type="dxa" w:w="28"/>
              <w:left w:type="dxa" w:w="72"/>
              <w:bottom w:type="dxa" w:w="28"/>
              <w:right w:type="dxa" w:w="72"/>
            </w:tcMar>
          </w:tcPr>
          <w:p>
            <w:pPr>
              <w:spacing w:after="40" w:before="40"/>
            </w:pPr>
            <w:r>
              <w:rPr>
                <w:color w:val="111827"/>
                <w:sz w:val="180"/>
                <w:szCs w:val="180"/>
              </w:rPr>
              <w:t xml:space="preserve">SO</w:t>
            </w:r>
          </w:p>
        </w:tc>
      </w:tr>
    </w:tbl>
    <w:p/>
    <w:p>
      <w:pPr>
        <w:pStyle w:val="Heading1"/>
        <w:spacing w:after="120" w:before="280"/>
        <w:rPr>
          <w:b/>
          <w:bCs/>
          <w:color w:val="1B2A4A"/>
          <w:sz w:val="280"/>
          <w:szCs w:val="280"/>
        </w:rPr>
      </w:pPr>
      <w:r>
        <w:t xml:space="preserve">6. Document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3150"/>
        <w:gridCol w:w="24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Document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Document Number</w:t>
            </w:r>
          </w:p>
        </w:tc>
        <w:tc>
          <w:tcPr>
            <w:shd w:fill="1B2A4A" w:val="clear"/>
            <w:tcMar>
              <w:top w:type="dxa" w:w="28"/>
              <w:left w:type="dxa" w:w="72"/>
              <w:bottom w:type="dxa" w:w="28"/>
              <w:right w:type="dxa" w:w="72"/>
            </w:tcMar>
          </w:tcPr>
          <w:p>
            <w:pPr>
              <w:spacing w:after="40" w:before="40"/>
            </w:pPr>
            <w:r>
              <w:rPr>
                <w:b/>
                <w:bCs/>
                <w:color w:val="FFFFFF"/>
                <w:sz w:val="180"/>
                <w:szCs w:val="180"/>
              </w:rPr>
              <w:t xml:space="preserve">Type</w:t>
            </w:r>
          </w:p>
        </w:tc>
      </w:tr>
      <w:tr>
        <w:tc>
          <w:tcPr>
            <w:tcMar>
              <w:top w:type="dxa" w:w="28"/>
              <w:left w:type="dxa" w:w="72"/>
              <w:bottom w:type="dxa" w:w="28"/>
              <w:right w:type="dxa" w:w="72"/>
            </w:tcMar>
          </w:tcPr>
          <w:p>
            <w:pPr>
              <w:spacing w:after="40" w:before="40"/>
            </w:pPr>
            <w:r>
              <w:rPr>
                <w:color w:val="111827"/>
                <w:sz w:val="180"/>
                <w:szCs w:val="180"/>
              </w:rPr>
              <w:t xml:space="preserve">Project Plan</w:t>
            </w:r>
          </w:p>
        </w:tc>
        <w:tc>
          <w:tcPr>
            <w:tcMar>
              <w:top w:type="dxa" w:w="28"/>
              <w:left w:type="dxa" w:w="72"/>
              <w:bottom w:type="dxa" w:w="28"/>
              <w:right w:type="dxa" w:w="72"/>
            </w:tcMar>
          </w:tcPr>
          <w:p>
            <w:pPr>
              <w:spacing w:after="40" w:before="40"/>
            </w:pPr>
            <w:r>
              <w:rPr>
                <w:color w:val="111827"/>
                <w:sz w:val="180"/>
                <w:szCs w:val="180"/>
              </w:rPr>
              <w:t xml:space="preserve">CPT-VL-ISVP-PP Capalyst-001</w:t>
            </w:r>
          </w:p>
        </w:tc>
        <w:tc>
          <w:tcPr>
            <w:tcMar>
              <w:top w:type="dxa" w:w="28"/>
              <w:left w:type="dxa" w:w="72"/>
              <w:bottom w:type="dxa" w:w="28"/>
              <w:right w:type="dxa" w:w="72"/>
            </w:tcMar>
          </w:tcPr>
          <w:p>
            <w:pPr>
              <w:spacing w:after="40" w:before="40"/>
            </w:pPr>
            <w:r>
              <w:rPr>
                <w:color w:val="111827"/>
                <w:sz w:val="180"/>
                <w:szCs w:val="180"/>
              </w:rPr>
              <w:t xml:space="preserve">Planning</w:t>
            </w:r>
          </w:p>
        </w:tc>
      </w:tr>
      <w:tr>
        <w:tc>
          <w:tcPr>
            <w:tcMar>
              <w:top w:type="dxa" w:w="28"/>
              <w:left w:type="dxa" w:w="72"/>
              <w:bottom w:type="dxa" w:w="28"/>
              <w:right w:type="dxa" w:w="72"/>
            </w:tcMar>
          </w:tcPr>
          <w:p>
            <w:pPr>
              <w:spacing w:after="40" w:before="40"/>
            </w:pPr>
            <w:r>
              <w:rPr>
                <w:color w:val="111827"/>
                <w:sz w:val="180"/>
                <w:szCs w:val="180"/>
              </w:rPr>
              <w:t xml:space="preserve">System Criticality Assessment</w:t>
            </w:r>
          </w:p>
        </w:tc>
        <w:tc>
          <w:tcPr>
            <w:tcMar>
              <w:top w:type="dxa" w:w="28"/>
              <w:left w:type="dxa" w:w="72"/>
              <w:bottom w:type="dxa" w:w="28"/>
              <w:right w:type="dxa" w:w="72"/>
            </w:tcMar>
          </w:tcPr>
          <w:p>
            <w:pPr>
              <w:spacing w:after="40" w:before="40"/>
            </w:pPr>
            <w:r>
              <w:rPr>
                <w:color w:val="111827"/>
                <w:sz w:val="180"/>
                <w:szCs w:val="180"/>
              </w:rPr>
              <w:t xml:space="preserve">CPT-VL-ISVP-SCA Capalyst-001</w:t>
            </w:r>
          </w:p>
        </w:tc>
        <w:tc>
          <w:tcPr>
            <w:tcMar>
              <w:top w:type="dxa" w:w="28"/>
              <w:left w:type="dxa" w:w="72"/>
              <w:bottom w:type="dxa" w:w="28"/>
              <w:right w:type="dxa" w:w="72"/>
            </w:tcMar>
          </w:tcPr>
          <w:p>
            <w:pPr>
              <w:spacing w:after="40" w:before="40"/>
            </w:pPr>
            <w:r>
              <w:rPr>
                <w:color w:val="111827"/>
                <w:sz w:val="180"/>
                <w:szCs w:val="180"/>
              </w:rPr>
              <w:t xml:space="preserve">Planning</w:t>
            </w:r>
          </w:p>
        </w:tc>
      </w:tr>
      <w:tr>
        <w:tc>
          <w:tcPr>
            <w:tcMar>
              <w:top w:type="dxa" w:w="28"/>
              <w:left w:type="dxa" w:w="72"/>
              <w:bottom w:type="dxa" w:w="28"/>
              <w:right w:type="dxa" w:w="72"/>
            </w:tcMar>
          </w:tcPr>
          <w:p>
            <w:pPr>
              <w:spacing w:after="40" w:before="40"/>
            </w:pPr>
            <w:r>
              <w:rPr>
                <w:color w:val="111827"/>
                <w:sz w:val="180"/>
                <w:szCs w:val="180"/>
              </w:rPr>
              <w:t xml:space="preserve">User Requirements Specification</w:t>
            </w:r>
          </w:p>
        </w:tc>
        <w:tc>
          <w:tcPr>
            <w:tcMar>
              <w:top w:type="dxa" w:w="28"/>
              <w:left w:type="dxa" w:w="72"/>
              <w:bottom w:type="dxa" w:w="28"/>
              <w:right w:type="dxa" w:w="72"/>
            </w:tcMar>
          </w:tcPr>
          <w:p>
            <w:pPr>
              <w:spacing w:after="40" w:before="40"/>
            </w:pPr>
            <w:r>
              <w:rPr>
                <w:color w:val="111827"/>
                <w:sz w:val="180"/>
                <w:szCs w:val="180"/>
              </w:rPr>
              <w:t xml:space="preserve">CPT-VL-ISVP-UR Capalyst-001</w:t>
            </w:r>
          </w:p>
        </w:tc>
        <w:tc>
          <w:tcPr>
            <w:tcMar>
              <w:top w:type="dxa" w:w="28"/>
              <w:left w:type="dxa" w:w="72"/>
              <w:bottom w:type="dxa" w:w="28"/>
              <w:right w:type="dxa" w:w="72"/>
            </w:tcMar>
          </w:tcPr>
          <w:p>
            <w:pPr>
              <w:spacing w:after="40" w:before="40"/>
            </w:pPr>
            <w:r>
              <w:rPr>
                <w:color w:val="111827"/>
                <w:sz w:val="180"/>
                <w:szCs w:val="180"/>
              </w:rPr>
              <w:t xml:space="preserve">Specification</w:t>
            </w:r>
          </w:p>
        </w:tc>
      </w:tr>
      <w:tr>
        <w:tc>
          <w:tcPr>
            <w:tcMar>
              <w:top w:type="dxa" w:w="28"/>
              <w:left w:type="dxa" w:w="72"/>
              <w:bottom w:type="dxa" w:w="28"/>
              <w:right w:type="dxa" w:w="72"/>
            </w:tcMar>
          </w:tcPr>
          <w:p>
            <w:pPr>
              <w:spacing w:after="40" w:before="40"/>
            </w:pPr>
            <w:r>
              <w:rPr>
                <w:color w:val="111827"/>
                <w:sz w:val="180"/>
                <w:szCs w:val="180"/>
              </w:rPr>
              <w:t xml:space="preserve">Validation Plan</w:t>
            </w:r>
          </w:p>
        </w:tc>
        <w:tc>
          <w:tcPr>
            <w:tcMar>
              <w:top w:type="dxa" w:w="28"/>
              <w:left w:type="dxa" w:w="72"/>
              <w:bottom w:type="dxa" w:w="28"/>
              <w:right w:type="dxa" w:w="72"/>
            </w:tcMar>
          </w:tcPr>
          <w:p>
            <w:pPr>
              <w:spacing w:after="40" w:before="40"/>
            </w:pPr>
            <w:r>
              <w:rPr>
                <w:color w:val="111827"/>
                <w:sz w:val="180"/>
                <w:szCs w:val="180"/>
              </w:rPr>
              <w:t xml:space="preserve">CPT-VL-ISVP-VP Capalyst-001</w:t>
            </w:r>
          </w:p>
        </w:tc>
        <w:tc>
          <w:tcPr>
            <w:tcMar>
              <w:top w:type="dxa" w:w="28"/>
              <w:left w:type="dxa" w:w="72"/>
              <w:bottom w:type="dxa" w:w="28"/>
              <w:right w:type="dxa" w:w="72"/>
            </w:tcMar>
          </w:tcPr>
          <w:p>
            <w:pPr>
              <w:spacing w:after="40" w:before="40"/>
            </w:pPr>
            <w:r>
              <w:rPr>
                <w:color w:val="111827"/>
                <w:sz w:val="180"/>
                <w:szCs w:val="180"/>
              </w:rPr>
              <w:t xml:space="preserve">Planning</w:t>
            </w:r>
          </w:p>
        </w:tc>
      </w:tr>
      <w:tr>
        <w:tc>
          <w:tcPr>
            <w:tcMar>
              <w:top w:type="dxa" w:w="28"/>
              <w:left w:type="dxa" w:w="72"/>
              <w:bottom w:type="dxa" w:w="28"/>
              <w:right w:type="dxa" w:w="72"/>
            </w:tcMar>
          </w:tcPr>
          <w:p>
            <w:pPr>
              <w:spacing w:after="40" w:before="40"/>
            </w:pPr>
            <w:r>
              <w:rPr>
                <w:color w:val="111827"/>
                <w:sz w:val="180"/>
                <w:szCs w:val="180"/>
              </w:rPr>
              <w:t xml:space="preserve">Architecture Specification</w:t>
            </w:r>
          </w:p>
        </w:tc>
        <w:tc>
          <w:tcPr>
            <w:tcMar>
              <w:top w:type="dxa" w:w="28"/>
              <w:left w:type="dxa" w:w="72"/>
              <w:bottom w:type="dxa" w:w="28"/>
              <w:right w:type="dxa" w:w="72"/>
            </w:tcMar>
          </w:tcPr>
          <w:p>
            <w:pPr>
              <w:spacing w:after="40" w:before="40"/>
            </w:pPr>
            <w:r>
              <w:rPr>
                <w:color w:val="111827"/>
                <w:sz w:val="180"/>
                <w:szCs w:val="180"/>
              </w:rPr>
              <w:t xml:space="preserve">CPT-VL-ISVP-ArS Capalyst-001</w:t>
            </w:r>
          </w:p>
        </w:tc>
        <w:tc>
          <w:tcPr>
            <w:tcMar>
              <w:top w:type="dxa" w:w="28"/>
              <w:left w:type="dxa" w:w="72"/>
              <w:bottom w:type="dxa" w:w="28"/>
              <w:right w:type="dxa" w:w="72"/>
            </w:tcMar>
          </w:tcPr>
          <w:p>
            <w:pPr>
              <w:spacing w:after="40" w:before="40"/>
            </w:pPr>
            <w:r>
              <w:rPr>
                <w:color w:val="111827"/>
                <w:sz w:val="180"/>
                <w:szCs w:val="180"/>
              </w:rPr>
              <w:t xml:space="preserve">Specification</w:t>
            </w:r>
          </w:p>
        </w:tc>
      </w:tr>
      <w:tr>
        <w:tc>
          <w:tcPr>
            <w:tcMar>
              <w:top w:type="dxa" w:w="28"/>
              <w:left w:type="dxa" w:w="72"/>
              <w:bottom w:type="dxa" w:w="28"/>
              <w:right w:type="dxa" w:w="72"/>
            </w:tcMar>
          </w:tcPr>
          <w:p>
            <w:pPr>
              <w:spacing w:after="40" w:before="40"/>
            </w:pPr>
            <w:r>
              <w:rPr>
                <w:color w:val="111827"/>
                <w:sz w:val="180"/>
                <w:szCs w:val="180"/>
              </w:rPr>
              <w:t xml:space="preserve">Data Migration Plan</w:t>
            </w:r>
          </w:p>
        </w:tc>
        <w:tc>
          <w:tcPr>
            <w:tcMar>
              <w:top w:type="dxa" w:w="28"/>
              <w:left w:type="dxa" w:w="72"/>
              <w:bottom w:type="dxa" w:w="28"/>
              <w:right w:type="dxa" w:w="72"/>
            </w:tcMar>
          </w:tcPr>
          <w:p>
            <w:pPr>
              <w:spacing w:after="40" w:before="40"/>
            </w:pPr>
            <w:r>
              <w:rPr>
                <w:color w:val="111827"/>
                <w:sz w:val="180"/>
                <w:szCs w:val="180"/>
              </w:rPr>
              <w:t xml:space="preserve">CPT-VL-ISVP-DMP Capalyst-001</w:t>
            </w:r>
          </w:p>
        </w:tc>
        <w:tc>
          <w:tcPr>
            <w:tcMar>
              <w:top w:type="dxa" w:w="28"/>
              <w:left w:type="dxa" w:w="72"/>
              <w:bottom w:type="dxa" w:w="28"/>
              <w:right w:type="dxa" w:w="72"/>
            </w:tcMar>
          </w:tcPr>
          <w:p>
            <w:pPr>
              <w:spacing w:after="40" w:before="40"/>
            </w:pPr>
            <w:r>
              <w:rPr>
                <w:color w:val="111827"/>
                <w:sz w:val="180"/>
                <w:szCs w:val="180"/>
              </w:rPr>
              <w:t xml:space="preserve">Specification</w:t>
            </w:r>
          </w:p>
        </w:tc>
      </w:tr>
      <w:tr>
        <w:tc>
          <w:tcPr>
            <w:tcMar>
              <w:top w:type="dxa" w:w="28"/>
              <w:left w:type="dxa" w:w="72"/>
              <w:bottom w:type="dxa" w:w="28"/>
              <w:right w:type="dxa" w:w="72"/>
            </w:tcMar>
          </w:tcPr>
          <w:p>
            <w:pPr>
              <w:spacing w:after="40" w:before="40"/>
            </w:pPr>
            <w:r>
              <w:rPr>
                <w:color w:val="111827"/>
                <w:sz w:val="180"/>
                <w:szCs w:val="180"/>
              </w:rPr>
              <w:t xml:space="preserve">Installation Qualification</w:t>
            </w:r>
          </w:p>
        </w:tc>
        <w:tc>
          <w:tcPr>
            <w:tcMar>
              <w:top w:type="dxa" w:w="28"/>
              <w:left w:type="dxa" w:w="72"/>
              <w:bottom w:type="dxa" w:w="28"/>
              <w:right w:type="dxa" w:w="72"/>
            </w:tcMar>
          </w:tcPr>
          <w:p>
            <w:pPr>
              <w:spacing w:after="40" w:before="40"/>
            </w:pPr>
            <w:r>
              <w:rPr>
                <w:color w:val="111827"/>
                <w:sz w:val="180"/>
                <w:szCs w:val="180"/>
              </w:rPr>
              <w:t xml:space="preserve">CPT-VL-ISVP-IQ Capalyst-001</w:t>
            </w:r>
          </w:p>
        </w:tc>
        <w:tc>
          <w:tcPr>
            <w:tcMar>
              <w:top w:type="dxa" w:w="28"/>
              <w:left w:type="dxa" w:w="72"/>
              <w:bottom w:type="dxa" w:w="28"/>
              <w:right w:type="dxa" w:w="72"/>
            </w:tcMar>
          </w:tcPr>
          <w:p>
            <w:pPr>
              <w:spacing w:after="40" w:before="40"/>
            </w:pPr>
            <w:r>
              <w:rPr>
                <w:color w:val="111827"/>
                <w:sz w:val="180"/>
                <w:szCs w:val="180"/>
              </w:rPr>
              <w:t xml:space="preserve">Verification</w:t>
            </w:r>
          </w:p>
        </w:tc>
      </w:tr>
      <w:tr>
        <w:tc>
          <w:tcPr>
            <w:tcMar>
              <w:top w:type="dxa" w:w="28"/>
              <w:left w:type="dxa" w:w="72"/>
              <w:bottom w:type="dxa" w:w="28"/>
              <w:right w:type="dxa" w:w="72"/>
            </w:tcMar>
          </w:tcPr>
          <w:p>
            <w:pPr>
              <w:spacing w:after="40" w:before="40"/>
            </w:pPr>
            <w:r>
              <w:rPr>
                <w:color w:val="111827"/>
                <w:sz w:val="180"/>
                <w:szCs w:val="180"/>
              </w:rPr>
              <w:t xml:space="preserve">Infrastructure &amp; Application Operations Manual</w:t>
            </w:r>
          </w:p>
        </w:tc>
        <w:tc>
          <w:tcPr>
            <w:tcMar>
              <w:top w:type="dxa" w:w="28"/>
              <w:left w:type="dxa" w:w="72"/>
              <w:bottom w:type="dxa" w:w="28"/>
              <w:right w:type="dxa" w:w="72"/>
            </w:tcMar>
          </w:tcPr>
          <w:p>
            <w:pPr>
              <w:spacing w:after="40" w:before="40"/>
            </w:pPr>
            <w:r>
              <w:rPr>
                <w:color w:val="111827"/>
                <w:sz w:val="180"/>
                <w:szCs w:val="180"/>
              </w:rPr>
              <w:t xml:space="preserve">CPT-VL-ISVP-IAOM Capalyst-001</w:t>
            </w:r>
          </w:p>
        </w:tc>
        <w:tc>
          <w:tcPr>
            <w:tcMar>
              <w:top w:type="dxa" w:w="28"/>
              <w:left w:type="dxa" w:w="72"/>
              <w:bottom w:type="dxa" w:w="28"/>
              <w:right w:type="dxa" w:w="72"/>
            </w:tcMar>
          </w:tcPr>
          <w:p>
            <w:pPr>
              <w:spacing w:after="40" w:before="40"/>
            </w:pPr>
            <w:r>
              <w:rPr>
                <w:color w:val="111827"/>
                <w:sz w:val="180"/>
                <w:szCs w:val="180"/>
              </w:rPr>
              <w:t xml:space="preserve">Verification</w:t>
            </w:r>
          </w:p>
        </w:tc>
      </w:tr>
      <w:tr>
        <w:tc>
          <w:tcPr>
            <w:tcMar>
              <w:top w:type="dxa" w:w="28"/>
              <w:left w:type="dxa" w:w="72"/>
              <w:bottom w:type="dxa" w:w="28"/>
              <w:right w:type="dxa" w:w="72"/>
            </w:tcMar>
          </w:tcPr>
          <w:p>
            <w:pPr>
              <w:spacing w:after="40" w:before="40"/>
            </w:pPr>
            <w:r>
              <w:rPr>
                <w:color w:val="111827"/>
                <w:sz w:val="180"/>
                <w:szCs w:val="180"/>
              </w:rPr>
              <w:t xml:space="preserve">Test Report</w:t>
            </w:r>
          </w:p>
        </w:tc>
        <w:tc>
          <w:tcPr>
            <w:tcMar>
              <w:top w:type="dxa" w:w="28"/>
              <w:left w:type="dxa" w:w="72"/>
              <w:bottom w:type="dxa" w:w="28"/>
              <w:right w:type="dxa" w:w="72"/>
            </w:tcMar>
          </w:tcPr>
          <w:p>
            <w:pPr>
              <w:spacing w:after="40" w:before="40"/>
            </w:pPr>
            <w:r>
              <w:rPr>
                <w:color w:val="111827"/>
                <w:sz w:val="180"/>
                <w:szCs w:val="180"/>
              </w:rPr>
              <w:t xml:space="preserve">CPT-VL-ISVP-TR Capalyst-001</w:t>
            </w:r>
          </w:p>
        </w:tc>
        <w:tc>
          <w:tcPr>
            <w:tcMar>
              <w:top w:type="dxa" w:w="28"/>
              <w:left w:type="dxa" w:w="72"/>
              <w:bottom w:type="dxa" w:w="28"/>
              <w:right w:type="dxa" w:w="72"/>
            </w:tcMar>
          </w:tcPr>
          <w:p>
            <w:pPr>
              <w:spacing w:after="40" w:before="40"/>
            </w:pPr>
            <w:r>
              <w:rPr>
                <w:color w:val="111827"/>
                <w:sz w:val="180"/>
                <w:szCs w:val="180"/>
              </w:rPr>
              <w:t xml:space="preserve">Verification</w:t>
            </w:r>
          </w:p>
        </w:tc>
      </w:tr>
      <w:tr>
        <w:tc>
          <w:tcPr>
            <w:tcMar>
              <w:top w:type="dxa" w:w="28"/>
              <w:left w:type="dxa" w:w="72"/>
              <w:bottom w:type="dxa" w:w="28"/>
              <w:right w:type="dxa" w:w="72"/>
            </w:tcMar>
          </w:tcPr>
          <w:p>
            <w:pPr>
              <w:spacing w:after="40" w:before="40"/>
            </w:pPr>
            <w:r>
              <w:rPr>
                <w:color w:val="111827"/>
                <w:sz w:val="180"/>
                <w:szCs w:val="180"/>
              </w:rPr>
              <w:t xml:space="preserve">Database Comparison</w:t>
            </w:r>
          </w:p>
        </w:tc>
        <w:tc>
          <w:tcPr>
            <w:tcMar>
              <w:top w:type="dxa" w:w="28"/>
              <w:left w:type="dxa" w:w="72"/>
              <w:bottom w:type="dxa" w:w="28"/>
              <w:right w:type="dxa" w:w="72"/>
            </w:tcMar>
          </w:tcPr>
          <w:p>
            <w:pPr>
              <w:spacing w:after="40" w:before="40"/>
            </w:pPr>
            <w:r>
              <w:rPr>
                <w:color w:val="111827"/>
                <w:sz w:val="180"/>
                <w:szCs w:val="180"/>
              </w:rPr>
              <w:t xml:space="preserve">CPT-VL-ISVP-DBC Capalyst-001</w:t>
            </w:r>
          </w:p>
        </w:tc>
        <w:tc>
          <w:tcPr>
            <w:tcMar>
              <w:top w:type="dxa" w:w="28"/>
              <w:left w:type="dxa" w:w="72"/>
              <w:bottom w:type="dxa" w:w="28"/>
              <w:right w:type="dxa" w:w="72"/>
            </w:tcMar>
          </w:tcPr>
          <w:p>
            <w:pPr>
              <w:spacing w:after="40" w:before="40"/>
            </w:pPr>
            <w:r>
              <w:rPr>
                <w:color w:val="111827"/>
                <w:sz w:val="180"/>
                <w:szCs w:val="180"/>
              </w:rPr>
              <w:t xml:space="preserve">Verification</w:t>
            </w:r>
          </w:p>
        </w:tc>
      </w:tr>
      <w:tr>
        <w:tc>
          <w:tcPr>
            <w:tcMar>
              <w:top w:type="dxa" w:w="28"/>
              <w:left w:type="dxa" w:w="72"/>
              <w:bottom w:type="dxa" w:w="28"/>
              <w:right w:type="dxa" w:w="72"/>
            </w:tcMar>
          </w:tcPr>
          <w:p>
            <w:pPr>
              <w:spacing w:after="40" w:before="40"/>
            </w:pPr>
            <w:r>
              <w:rPr>
                <w:color w:val="111827"/>
                <w:sz w:val="180"/>
                <w:szCs w:val="180"/>
              </w:rPr>
              <w:t xml:space="preserve">Authorization for Use</w:t>
            </w:r>
          </w:p>
        </w:tc>
        <w:tc>
          <w:tcPr>
            <w:tcMar>
              <w:top w:type="dxa" w:w="28"/>
              <w:left w:type="dxa" w:w="72"/>
              <w:bottom w:type="dxa" w:w="28"/>
              <w:right w:type="dxa" w:w="72"/>
            </w:tcMar>
          </w:tcPr>
          <w:p>
            <w:pPr>
              <w:spacing w:after="40" w:before="40"/>
            </w:pPr>
            <w:r>
              <w:rPr>
                <w:color w:val="111827"/>
                <w:sz w:val="180"/>
                <w:szCs w:val="180"/>
              </w:rPr>
              <w:t xml:space="preserve">CPT-VL-ISVP-AFU Capalyst-001</w:t>
            </w:r>
          </w:p>
        </w:tc>
        <w:tc>
          <w:tcPr>
            <w:tcMar>
              <w:top w:type="dxa" w:w="28"/>
              <w:left w:type="dxa" w:w="72"/>
              <w:bottom w:type="dxa" w:w="28"/>
              <w:right w:type="dxa" w:w="72"/>
            </w:tcMar>
          </w:tcPr>
          <w:p>
            <w:pPr>
              <w:spacing w:after="40" w:before="40"/>
            </w:pPr>
            <w:r>
              <w:rPr>
                <w:color w:val="111827"/>
                <w:sz w:val="180"/>
                <w:szCs w:val="180"/>
              </w:rPr>
              <w:t xml:space="preserve">Closure</w:t>
            </w:r>
          </w:p>
        </w:tc>
      </w:tr>
      <w:tr>
        <w:tc>
          <w:tcPr>
            <w:tcMar>
              <w:top w:type="dxa" w:w="28"/>
              <w:left w:type="dxa" w:w="72"/>
              <w:bottom w:type="dxa" w:w="28"/>
              <w:right w:type="dxa" w:w="72"/>
            </w:tcMar>
          </w:tcPr>
          <w:p>
            <w:pPr>
              <w:spacing w:after="40" w:before="40"/>
            </w:pPr>
            <w:r>
              <w:rPr>
                <w:color w:val="111827"/>
                <w:sz w:val="180"/>
                <w:szCs w:val="180"/>
              </w:rPr>
              <w:t xml:space="preserve">Validation Report</w:t>
            </w:r>
          </w:p>
        </w:tc>
        <w:tc>
          <w:tcPr>
            <w:tcMar>
              <w:top w:type="dxa" w:w="28"/>
              <w:left w:type="dxa" w:w="72"/>
              <w:bottom w:type="dxa" w:w="28"/>
              <w:right w:type="dxa" w:w="72"/>
            </w:tcMar>
          </w:tcPr>
          <w:p>
            <w:pPr>
              <w:spacing w:after="40" w:before="40"/>
            </w:pPr>
            <w:r>
              <w:rPr>
                <w:color w:val="111827"/>
                <w:sz w:val="180"/>
                <w:szCs w:val="180"/>
              </w:rPr>
              <w:t xml:space="preserve">CPT-VL-ISVP-VR Capalyst-001</w:t>
            </w:r>
          </w:p>
        </w:tc>
        <w:tc>
          <w:tcPr>
            <w:tcMar>
              <w:top w:type="dxa" w:w="28"/>
              <w:left w:type="dxa" w:w="72"/>
              <w:bottom w:type="dxa" w:w="28"/>
              <w:right w:type="dxa" w:w="72"/>
            </w:tcMar>
          </w:tcPr>
          <w:p>
            <w:pPr>
              <w:spacing w:after="40" w:before="40"/>
            </w:pPr>
            <w:r>
              <w:rPr>
                <w:color w:val="111827"/>
                <w:sz w:val="180"/>
                <w:szCs w:val="180"/>
              </w:rPr>
              <w:t xml:space="preserve">Closure</w:t>
            </w:r>
          </w:p>
        </w:tc>
      </w:tr>
      <w:tr>
        <w:tc>
          <w:tcPr>
            <w:tcMar>
              <w:top w:type="dxa" w:w="28"/>
              <w:left w:type="dxa" w:w="72"/>
              <w:bottom w:type="dxa" w:w="28"/>
              <w:right w:type="dxa" w:w="72"/>
            </w:tcMar>
          </w:tcPr>
          <w:p>
            <w:pPr>
              <w:spacing w:after="40" w:before="40"/>
            </w:pPr>
            <w:r>
              <w:rPr>
                <w:color w:val="111827"/>
                <w:sz w:val="180"/>
                <w:szCs w:val="180"/>
              </w:rPr>
              <w:t xml:space="preserve">Version Release Notes Review</w:t>
            </w:r>
          </w:p>
        </w:tc>
        <w:tc>
          <w:tcPr>
            <w:tcMar>
              <w:top w:type="dxa" w:w="28"/>
              <w:left w:type="dxa" w:w="72"/>
              <w:bottom w:type="dxa" w:w="28"/>
              <w:right w:type="dxa" w:w="72"/>
            </w:tcMar>
          </w:tcPr>
          <w:p>
            <w:pPr>
              <w:spacing w:after="40" w:before="40"/>
            </w:pPr>
            <w:r>
              <w:rPr>
                <w:color w:val="111827"/>
                <w:sz w:val="180"/>
                <w:szCs w:val="180"/>
              </w:rPr>
              <w:t xml:space="preserve">CPT-VL-CVP-Capalyst-v1.0.0-001</w:t>
            </w:r>
          </w:p>
        </w:tc>
        <w:tc>
          <w:tcPr>
            <w:tcMar>
              <w:top w:type="dxa" w:w="28"/>
              <w:left w:type="dxa" w:w="72"/>
              <w:bottom w:type="dxa" w:w="28"/>
              <w:right w:type="dxa" w:w="72"/>
            </w:tcMar>
          </w:tcPr>
          <w:p>
            <w:pPr>
              <w:spacing w:after="40" w:before="40"/>
            </w:pPr>
            <w:r>
              <w:rPr>
                <w:color w:val="111827"/>
                <w:sz w:val="180"/>
                <w:szCs w:val="180"/>
              </w:rPr>
              <w:t xml:space="preserve">Change Control</w:t>
            </w:r>
          </w:p>
        </w:tc>
      </w:tr>
    </w:tbl>
    <w:p/>
    <w:p>
      <w:pPr>
        <w:pStyle w:val="Heading1"/>
        <w:spacing w:after="120" w:before="280"/>
        <w:rPr>
          <w:b/>
          <w:bCs/>
          <w:color w:val="1B2A4A"/>
          <w:sz w:val="280"/>
          <w:szCs w:val="280"/>
        </w:rPr>
      </w:pPr>
      <w:r>
        <w:t xml:space="preserve">7. 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c>
          <w:tcPr>
            <w:shd w:fill="1B2A4A" w:val="clear"/>
            <w:tcMar>
              <w:top w:type="dxa" w:w="28"/>
              <w:left w:type="dxa" w:w="72"/>
              <w:bottom w:type="dxa" w:w="28"/>
              <w:right w:type="dxa" w:w="72"/>
            </w:tcMar>
          </w:tcPr>
          <w:p>
            <w:pPr>
              <w:spacing w:after="40" w:before="40"/>
            </w:pPr>
            <w:r>
              <w:rPr>
                <w:b/>
                <w:bCs/>
                <w:color w:val="FFFFFF"/>
                <w:sz w:val="180"/>
                <w:szCs w:val="180"/>
              </w:rPr>
              <w:t xml:space="preserve">Name</w:t>
            </w:r>
          </w:p>
        </w:tc>
        <w:tc>
          <w:tcPr>
            <w:shd w:fill="1B2A4A" w:val="clear"/>
            <w:tcMar>
              <w:top w:type="dxa" w:w="28"/>
              <w:left w:type="dxa" w:w="72"/>
              <w:bottom w:type="dxa" w:w="28"/>
              <w:right w:type="dxa" w:w="72"/>
            </w:tcMar>
          </w:tcPr>
          <w:p>
            <w:pPr>
              <w:spacing w:after="40" w:before="40"/>
            </w:pPr>
            <w:r>
              <w:rPr>
                <w:b/>
                <w:bCs/>
                <w:color w:val="FFFFFF"/>
                <w:sz w:val="180"/>
                <w:szCs w:val="180"/>
              </w:rPr>
              <w:t xml:space="preserve">Signature</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r>
      <w:tr>
        <w:tc>
          <w:tcPr>
            <w:tcMar>
              <w:left w:type="dxa" w:w="72"/>
              <w:right w:type="dxa" w:w="72"/>
            </w:tcMar>
          </w:tcPr>
          <w:p>
            <w:pPr>
              <w:spacing w:after="360" w:before="40"/>
            </w:pPr>
            <w:r>
              <w:rPr>
                <w:color w:val="111827"/>
                <w:sz w:val="180"/>
                <w:szCs w:val="180"/>
              </w:rPr>
              <w:t xml:space="preserve">System Owner</w:t>
            </w:r>
          </w:p>
        </w:tc>
        <w:tc>
          <w:tcPr>
            <w:tcMar>
              <w:left w:type="dxa" w:w="72"/>
              <w:right w:type="dxa" w:w="72"/>
            </w:tcMar>
          </w:tcPr>
          <w:p>
            <w:pPr>
              <w:spacing w:after="360" w:before="40"/>
            </w:pPr>
            <w:r>
              <w:rPr>
                <w:color w:val="111827"/>
                <w:sz w:val="180"/>
                <w:szCs w:val="180"/>
              </w:rPr>
              <w:t xml:space="preserve">Hannes van der Berg</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Business Quality Representative</w:t>
            </w:r>
          </w:p>
        </w:tc>
        <w:tc>
          <w:tcPr>
            <w:tcMar>
              <w:left w:type="dxa" w:w="72"/>
              <w:right w:type="dxa" w:w="72"/>
            </w:tcMar>
          </w:tcPr>
          <w:p>
            <w:pPr>
              <w:spacing w:after="360" w:before="40"/>
            </w:pPr>
            <w:r>
              <w:rPr>
                <w:color w:val="111827"/>
                <w:sz w:val="180"/>
                <w:szCs w:val="180"/>
              </w:rPr>
              <w:t xml:space="preserve">Monique Leblanc</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Validation Expert</w:t>
            </w:r>
          </w:p>
        </w:tc>
        <w:tc>
          <w:tcPr>
            <w:tcMar>
              <w:left w:type="dxa" w:w="72"/>
              <w:right w:type="dxa" w:w="72"/>
            </w:tcMar>
          </w:tcPr>
          <w:p>
            <w:pPr>
              <w:spacing w:after="360" w:before="40"/>
            </w:pPr>
            <w:r>
              <w:rPr>
                <w:color w:val="111827"/>
                <w:sz w:val="180"/>
                <w:szCs w:val="180"/>
              </w:rPr>
              <w:t xml:space="preserve">TBD</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bl>
    <w:p/>
    <w:p>
      <w:pPr>
        <w:pStyle w:val="Heading2"/>
        <w:spacing w:after="80" w:before="200"/>
        <w:rPr>
          <w:b/>
          <w:bCs/>
          <w:color w:val="1B2A4A"/>
          <w:sz w:val="240"/>
          <w:szCs w:val="240"/>
        </w:rPr>
      </w:pPr>
      <w:r>
        <w:t xml:space="preserve">Document Change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750"/>
        <w:gridCol w:w="16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Author</w:t>
            </w:r>
          </w:p>
        </w:tc>
      </w:tr>
      <w:tr>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2026-06-01</w:t>
            </w:r>
          </w:p>
        </w:tc>
        <w:tc>
          <w:tcPr>
            <w:tcMar>
              <w:top w:type="dxa" w:w="28"/>
              <w:left w:type="dxa" w:w="72"/>
              <w:bottom w:type="dxa" w:w="28"/>
              <w:right w:type="dxa" w:w="72"/>
            </w:tcMar>
          </w:tcPr>
          <w:p>
            <w:pPr>
              <w:spacing w:after="40" w:before="40"/>
            </w:pPr>
            <w:r>
              <w:rPr>
                <w:color w:val="111827"/>
                <w:sz w:val="180"/>
                <w:szCs w:val="180"/>
              </w:rPr>
              <w:t xml:space="preserve">Initial approved version</w:t>
            </w:r>
          </w:p>
        </w:tc>
        <w:tc>
          <w:tcPr>
            <w:tcMar>
              <w:top w:type="dxa" w:w="28"/>
              <w:left w:type="dxa" w:w="72"/>
              <w:bottom w:type="dxa" w:w="28"/>
              <w:right w:type="dxa" w:w="72"/>
            </w:tcMar>
          </w:tcPr>
          <w:p>
            <w:pPr>
              <w:spacing w:after="40" w:before="40"/>
            </w:pPr>
            <w:r>
              <w:rPr>
                <w:color w:val="111827"/>
                <w:sz w:val="180"/>
                <w:szCs w:val="180"/>
              </w:rPr>
              <w:t xml:space="preserve">Validation Team</w:t>
            </w:r>
          </w:p>
        </w:tc>
      </w:tr>
    </w:tbl>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74151"/>
        <w:sz w:val="160"/>
        <w:szCs w:val="160"/>
      </w:rPr>
      <w:t xml:space="preserve">Confidential — CPT Pharma (Pty) Ltd     Page </w:t>
    </w:r>
    <w:r>
      <w:rPr>
        <w:color w:val="374151"/>
        <w:sz w:val="160"/>
        <w:szCs w:val="160"/>
      </w:rPr>
      <w:fldChar w:fldCharType="begin"/>
      <w:instrText xml:space="preserve">PAGE</w:instrText>
      <w:fldChar w:fldCharType="separate"/>
      <w:fldChar w:fldCharType="end"/>
    </w:r>
    <w:r>
      <w:rPr>
        <w:color w:val="374151"/>
        <w:sz w:val="160"/>
        <w:szCs w:val="160"/>
      </w:rPr>
      <w:t xml:space="preserve"> of </w:t>
    </w:r>
    <w:r>
      <w:rPr>
        <w:color w:val="374151"/>
        <w:sz w:val="160"/>
        <w:szCs w:val="16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850"/>
      <w:gridCol w:w="3000"/>
    </w:tblGrid>
    <w:tr>
      <w:tc>
        <w:p>
          <w:r>
            <w:rPr>
              <w:b/>
              <w:bCs/>
              <w:color w:val="1B2A4A"/>
              <w:sz w:val="160"/>
              <w:szCs w:val="160"/>
            </w:rPr>
            <w:t xml:space="preserve">CPT Pharma (Pty) Ltd  |  Capalyst QMS CSV</w:t>
          </w:r>
        </w:p>
      </w:tc>
      <w:tc>
        <w:p>
          <w:pPr>
            <w:jc w:val="center"/>
          </w:pPr>
          <w:r>
            <w:rPr>
              <w:color w:val="374151"/>
              <w:sz w:val="160"/>
              <w:szCs w:val="160"/>
            </w:rPr>
            <w:t xml:space="preserve">CPT-VL-ISVP-PP Capalyst-001</w:t>
          </w:r>
        </w:p>
      </w:tc>
      <w:tc>
        <w:p>
          <w:pPr>
            <w:jc w:val="right"/>
          </w:pPr>
          <w:r>
            <w:rPr>
              <w:color w:val="374151"/>
              <w:sz w:val="160"/>
              <w:szCs w:val="160"/>
            </w:rPr>
            <w:t xml:space="preserve">01_CPT-VL-ISVP-PP_Capalyst-001_Project_Plan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2026-06-26T04:56:27.321Z</dcterms:created>
  <dcterms:modified xsi:type="dcterms:W3CDTF">2026-06-26T04:56:27.321Z</dcterms:modified>
</cp:coreProperties>
</file>

<file path=docProps/custom.xml><?xml version="1.0" encoding="utf-8"?>
<Properties xmlns="http://schemas.openxmlformats.org/officeDocument/2006/custom-properties" xmlns:vt="http://schemas.openxmlformats.org/officeDocument/2006/docPropsVTypes"/>
</file>