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Pr>
        <w:spacing w:after="120"/>
        <w:jc w:val="center"/>
      </w:pPr>
      <w:r>
        <w:rPr>
          <w:b/>
          <w:bCs/>
          <w:color w:val="1B2A4A"/>
          <w:sz w:val="400"/>
          <w:szCs w:val="400"/>
        </w:rPr>
        <w:t xml:space="preserve">CPT Pharma (Pty) Ltd</w:t>
      </w:r>
    </w:p>
    <w:p>
      <w:pPr>
        <w:spacing w:after="600"/>
        <w:jc w:val="center"/>
      </w:pPr>
      <w:r>
        <w:rPr>
          <w:color w:val="374151"/>
          <w:sz w:val="280"/>
          <w:szCs w:val="280"/>
        </w:rPr>
        <w:t xml:space="preserve">Computerised System Validation</w:t>
      </w:r>
    </w:p>
    <w:p>
      <w:pPr>
        <w:spacing w:after="240"/>
        <w:jc w:val="center"/>
      </w:pPr>
      <w:r>
        <w:rPr>
          <w:b/>
          <w:bCs/>
          <w:color w:val="1B2A4A"/>
          <w:sz w:val="440"/>
          <w:szCs w:val="440"/>
        </w:rPr>
        <w:t xml:space="preserve">Validation Plan</w:t>
      </w:r>
    </w:p>
    <w:p>
      <w:pPr>
        <w:spacing w:after="600"/>
        <w:jc w:val="center"/>
      </w:pPr>
      <w:r>
        <w:rPr>
          <w:b/>
          <w:bCs/>
          <w:color w:val="2563EB"/>
          <w:sz w:val="280"/>
          <w:szCs w:val="280"/>
        </w:rPr>
        <w:t xml:space="preserve">Capalyst QMS</w:t>
      </w:r>
    </w:p>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c>
          <w:tcPr>
            <w:shd w:fill="1B2A4A" w:val="clear"/>
            <w:tcMar>
              <w:top w:type="dxa" w:w="28"/>
              <w:left w:type="dxa" w:w="72"/>
              <w:bottom w:type="dxa" w:w="28"/>
              <w:right w:type="dxa" w:w="72"/>
            </w:tcMar>
          </w:tcPr>
          <w:p>
            <w:pPr>
              <w:spacing w:after="40" w:before="40"/>
            </w:pPr>
            <w:r>
              <w:rPr>
                <w:b/>
                <w:bCs/>
                <w:color w:val="FFFFFF"/>
                <w:sz w:val="180"/>
                <w:szCs w:val="180"/>
              </w:rPr>
              <w:t xml:space="preserve">Field</w:t>
            </w:r>
          </w:p>
        </w:tc>
        <w:tc>
          <w:tcPr>
            <w:shd w:fill="1B2A4A" w:val="clear"/>
            <w:tcMar>
              <w:top w:type="dxa" w:w="28"/>
              <w:left w:type="dxa" w:w="72"/>
              <w:bottom w:type="dxa" w:w="28"/>
              <w:right w:type="dxa" w:w="72"/>
            </w:tcMar>
          </w:tcPr>
          <w:p>
            <w:pPr>
              <w:spacing w:after="40" w:before="40"/>
            </w:pPr>
            <w:r>
              <w:rPr>
                <w:b/>
                <w:bCs/>
                <w:color w:val="FFFFFF"/>
                <w:sz w:val="180"/>
                <w:szCs w:val="180"/>
              </w:rPr>
              <w:t xml:space="preserve">Value</w:t>
            </w:r>
          </w:p>
        </w:tc>
      </w:tr>
      <w:tr>
        <w:tc>
          <w:tcPr>
            <w:tcMar>
              <w:top w:type="dxa" w:w="28"/>
              <w:left w:type="dxa" w:w="72"/>
              <w:bottom w:type="dxa" w:w="28"/>
              <w:right w:type="dxa" w:w="72"/>
            </w:tcMar>
          </w:tcPr>
          <w:p>
            <w:pPr>
              <w:spacing w:after="40" w:before="40"/>
            </w:pPr>
            <w:r>
              <w:rPr>
                <w:color w:val="111827"/>
                <w:sz w:val="180"/>
                <w:szCs w:val="180"/>
              </w:rPr>
              <w:t xml:space="preserve">Document Number</w:t>
            </w:r>
          </w:p>
        </w:tc>
        <w:tc>
          <w:tcPr>
            <w:tcMar>
              <w:top w:type="dxa" w:w="28"/>
              <w:left w:type="dxa" w:w="72"/>
              <w:bottom w:type="dxa" w:w="28"/>
              <w:right w:type="dxa" w:w="72"/>
            </w:tcMar>
          </w:tcPr>
          <w:p>
            <w:pPr>
              <w:spacing w:after="40" w:before="40"/>
            </w:pPr>
            <w:r>
              <w:rPr>
                <w:color w:val="111827"/>
                <w:sz w:val="180"/>
                <w:szCs w:val="180"/>
              </w:rPr>
              <w:t xml:space="preserve">CPT-VL-ISVP-VP Capalyst-001</w:t>
            </w:r>
          </w:p>
        </w:tc>
      </w:tr>
      <w:tr>
        <w:tc>
          <w:tcPr>
            <w:tcMar>
              <w:top w:type="dxa" w:w="28"/>
              <w:left w:type="dxa" w:w="72"/>
              <w:bottom w:type="dxa" w:w="28"/>
              <w:right w:type="dxa" w:w="72"/>
            </w:tcMar>
          </w:tcPr>
          <w:p>
            <w:pPr>
              <w:spacing w:after="40" w:before="40"/>
            </w:pPr>
            <w:r>
              <w:rPr>
                <w:color w:val="111827"/>
                <w:sz w:val="180"/>
                <w:szCs w:val="180"/>
              </w:rPr>
              <w:t xml:space="preserve">Version</w:t>
            </w:r>
          </w:p>
        </w:tc>
        <w:tc>
          <w:tcPr>
            <w:tcMar>
              <w:top w:type="dxa" w:w="28"/>
              <w:left w:type="dxa" w:w="72"/>
              <w:bottom w:type="dxa" w:w="28"/>
              <w:right w:type="dxa" w:w="72"/>
            </w:tcMar>
          </w:tcPr>
          <w:p>
            <w:pPr>
              <w:spacing w:after="40" w:before="40"/>
            </w:pPr>
            <w:r>
              <w:rPr>
                <w:color w:val="111827"/>
                <w:sz w:val="180"/>
                <w:szCs w:val="180"/>
              </w:rPr>
              <w:t xml:space="preserve">1.0</w:t>
            </w:r>
          </w:p>
        </w:tc>
      </w:tr>
      <w:tr>
        <w:tc>
          <w:tcPr>
            <w:tcMar>
              <w:top w:type="dxa" w:w="28"/>
              <w:left w:type="dxa" w:w="72"/>
              <w:bottom w:type="dxa" w:w="28"/>
              <w:right w:type="dxa" w:w="72"/>
            </w:tcMar>
          </w:tcPr>
          <w:p>
            <w:pPr>
              <w:spacing w:after="40" w:before="40"/>
            </w:pPr>
            <w:r>
              <w:rPr>
                <w:color w:val="111827"/>
                <w:sz w:val="180"/>
                <w:szCs w:val="180"/>
              </w:rPr>
              <w:t xml:space="preserve">Status</w:t>
            </w:r>
          </w:p>
        </w:tc>
        <w:tc>
          <w:tcPr>
            <w:tcMar>
              <w:top w:type="dxa" w:w="28"/>
              <w:left w:type="dxa" w:w="72"/>
              <w:bottom w:type="dxa" w:w="28"/>
              <w:right w:type="dxa" w:w="72"/>
            </w:tcMar>
          </w:tcPr>
          <w:p>
            <w:pPr>
              <w:spacing w:after="40" w:before="40"/>
            </w:pPr>
            <w:r>
              <w:rPr>
                <w:color w:val="111827"/>
                <w:sz w:val="180"/>
                <w:szCs w:val="180"/>
              </w:rPr>
              <w:t xml:space="preserve">Approved</w:t>
            </w:r>
          </w:p>
        </w:tc>
      </w:tr>
      <w:tr>
        <w:tc>
          <w:tcPr>
            <w:tcMar>
              <w:top w:type="dxa" w:w="28"/>
              <w:left w:type="dxa" w:w="72"/>
              <w:bottom w:type="dxa" w:w="28"/>
              <w:right w:type="dxa" w:w="72"/>
            </w:tcMar>
          </w:tcPr>
          <w:p>
            <w:pPr>
              <w:spacing w:after="40" w:before="40"/>
            </w:pPr>
            <w:r>
              <w:rPr>
                <w:color w:val="111827"/>
                <w:sz w:val="180"/>
                <w:szCs w:val="180"/>
              </w:rPr>
              <w:t xml:space="preserve">Date</w:t>
            </w:r>
          </w:p>
        </w:tc>
        <w:tc>
          <w:tcPr>
            <w:tcMar>
              <w:top w:type="dxa" w:w="28"/>
              <w:left w:type="dxa" w:w="72"/>
              <w:bottom w:type="dxa" w:w="28"/>
              <w:right w:type="dxa" w:w="72"/>
            </w:tcMar>
          </w:tcPr>
          <w:p>
            <w:pPr>
              <w:spacing w:after="40" w:before="40"/>
            </w:pPr>
            <w:r>
              <w:rPr>
                <w:color w:val="111827"/>
                <w:sz w:val="180"/>
                <w:szCs w:val="180"/>
              </w:rPr>
              <w:t xml:space="preserve">2026-05-21</w:t>
            </w:r>
          </w:p>
        </w:tc>
      </w:tr>
      <w:tr>
        <w:tc>
          <w:tcPr>
            <w:tcMar>
              <w:top w:type="dxa" w:w="28"/>
              <w:left w:type="dxa" w:w="72"/>
              <w:bottom w:type="dxa" w:w="28"/>
              <w:right w:type="dxa" w:w="72"/>
            </w:tcMar>
          </w:tcPr>
          <w:p>
            <w:pPr>
              <w:spacing w:after="40" w:before="40"/>
            </w:pPr>
            <w:r>
              <w:rPr>
                <w:color w:val="111827"/>
                <w:sz w:val="180"/>
                <w:szCs w:val="180"/>
              </w:rPr>
              <w:t xml:space="preserve">System</w:t>
            </w:r>
          </w:p>
        </w:tc>
        <w:tc>
          <w:tcPr>
            <w:tcMar>
              <w:top w:type="dxa" w:w="28"/>
              <w:left w:type="dxa" w:w="72"/>
              <w:bottom w:type="dxa" w:w="28"/>
              <w:right w:type="dxa" w:w="72"/>
            </w:tcMar>
          </w:tcPr>
          <w:p>
            <w:pPr>
              <w:spacing w:after="40" w:before="40"/>
            </w:pPr>
            <w:r>
              <w:rPr>
                <w:color w:val="111827"/>
                <w:sz w:val="180"/>
                <w:szCs w:val="180"/>
              </w:rPr>
              <w:t xml:space="preserve">Capalyst — Quality Management System</w:t>
            </w:r>
          </w:p>
        </w:tc>
      </w:tr>
      <w:tr>
        <w:tc>
          <w:tcPr>
            <w:tcMar>
              <w:top w:type="dxa" w:w="28"/>
              <w:left w:type="dxa" w:w="72"/>
              <w:bottom w:type="dxa" w:w="28"/>
              <w:right w:type="dxa" w:w="72"/>
            </w:tcMar>
          </w:tcPr>
          <w:p>
            <w:pPr>
              <w:spacing w:after="40" w:before="40"/>
            </w:pPr>
            <w:r>
              <w:rPr>
                <w:color w:val="111827"/>
                <w:sz w:val="180"/>
                <w:szCs w:val="180"/>
              </w:rPr>
              <w:t xml:space="preserve">Company</w:t>
            </w:r>
          </w:p>
        </w:tc>
        <w:tc>
          <w:tcPr>
            <w:tcMar>
              <w:top w:type="dxa" w:w="28"/>
              <w:left w:type="dxa" w:w="72"/>
              <w:bottom w:type="dxa" w:w="28"/>
              <w:right w:type="dxa" w:w="72"/>
            </w:tcMar>
          </w:tcPr>
          <w:p>
            <w:pPr>
              <w:spacing w:after="40" w:before="40"/>
            </w:pPr>
            <w:r>
              <w:rPr>
                <w:color w:val="111827"/>
                <w:sz w:val="180"/>
                <w:szCs w:val="180"/>
              </w:rPr>
              <w:t xml:space="preserve">CPT Pharma (Pty) Ltd</w:t>
            </w:r>
          </w:p>
        </w:tc>
      </w:tr>
      <w:tr>
        <w:tc>
          <w:tcPr>
            <w:tcMar>
              <w:top w:type="dxa" w:w="28"/>
              <w:left w:type="dxa" w:w="72"/>
              <w:bottom w:type="dxa" w:w="28"/>
              <w:right w:type="dxa" w:w="72"/>
            </w:tcMar>
          </w:tcPr>
          <w:p>
            <w:pPr>
              <w:spacing w:after="40" w:before="40"/>
            </w:pPr>
            <w:r>
              <w:rPr>
                <w:color w:val="111827"/>
                <w:sz w:val="180"/>
                <w:szCs w:val="180"/>
              </w:rPr>
              <w:t xml:space="preserve">Prepared by</w:t>
            </w:r>
          </w:p>
        </w:tc>
        <w:tc>
          <w:tcPr>
            <w:tcMar>
              <w:top w:type="dxa" w:w="28"/>
              <w:left w:type="dxa" w:w="72"/>
              <w:bottom w:type="dxa" w:w="28"/>
              <w:right w:type="dxa" w:w="72"/>
            </w:tcMar>
          </w:tcPr>
          <w:p>
            <w:pPr>
              <w:spacing w:after="40" w:before="40"/>
            </w:pPr>
            <w:r>
              <w:rPr>
                <w:color w:val="111827"/>
                <w:sz w:val="180"/>
                <w:szCs w:val="180"/>
              </w:rPr>
              <w:t xml:space="preserve">Validation Team</w:t>
            </w:r>
          </w:p>
        </w:tc>
      </w:tr>
      <w:tr>
        <w:tc>
          <w:tcPr>
            <w:tcMar>
              <w:top w:type="dxa" w:w="28"/>
              <w:left w:type="dxa" w:w="72"/>
              <w:bottom w:type="dxa" w:w="28"/>
              <w:right w:type="dxa" w:w="72"/>
            </w:tcMar>
          </w:tcPr>
          <w:p>
            <w:pPr>
              <w:spacing w:after="40" w:before="40"/>
            </w:pPr>
            <w:r>
              <w:rPr>
                <w:color w:val="111827"/>
                <w:sz w:val="180"/>
                <w:szCs w:val="180"/>
              </w:rPr>
              <w:t xml:space="preserve">Classification</w:t>
            </w:r>
          </w:p>
        </w:tc>
        <w:tc>
          <w:tcPr>
            <w:tcMar>
              <w:top w:type="dxa" w:w="28"/>
              <w:left w:type="dxa" w:w="72"/>
              <w:bottom w:type="dxa" w:w="28"/>
              <w:right w:type="dxa" w:w="72"/>
            </w:tcMar>
          </w:tcPr>
          <w:p>
            <w:pPr>
              <w:spacing w:after="40" w:before="40"/>
            </w:pPr>
            <w:r>
              <w:rPr>
                <w:color w:val="111827"/>
                <w:sz w:val="180"/>
                <w:szCs w:val="180"/>
              </w:rPr>
              <w:t xml:space="preserve">Confidential</w:t>
            </w:r>
          </w:p>
        </w:tc>
      </w:tr>
    </w:tbl>
    <w:p/>
    <w:p>
      <w:pPr>
        <w:pStyle w:val="Heading1"/>
        <w:spacing w:after="120" w:before="280"/>
        <w:rPr>
          <w:b/>
          <w:bCs/>
          <w:color w:val="1B2A4A"/>
          <w:sz w:val="280"/>
          <w:szCs w:val="280"/>
        </w:rPr>
      </w:pPr>
      <w:r>
        <w:t xml:space="preserve">1. Introduction</w:t>
      </w:r>
    </w:p>
    <w:p>
      <w:pPr>
        <w:spacing w:after="100"/>
      </w:pPr>
      <w:r>
        <w:rPr>
          <w:color w:val="111827"/>
          <w:sz w:val="200"/>
          <w:szCs w:val="200"/>
        </w:rPr>
        <w:t xml:space="preserve">This Validation Plan defines the strategy, scope, responsibilities, and acceptance criteria for the Computerised System Validation of the Capalyst QMS at CPT Pharma (Pty) Ltd. It is prepared in accordance with EU GMP Annex 11, PIC/S PI 011-3, GAMP 5 (Second Edition), and 21 CFR Part 11.</w:t>
      </w:r>
    </w:p>
    <w:p/>
    <w:p>
      <w:pPr>
        <w:pStyle w:val="Heading2"/>
        <w:spacing w:after="80" w:before="200"/>
        <w:rPr>
          <w:b/>
          <w:bCs/>
          <w:color w:val="1B2A4A"/>
          <w:sz w:val="240"/>
          <w:szCs w:val="240"/>
        </w:rPr>
      </w:pPr>
      <w:r>
        <w:t xml:space="preserve">1.1 Validation Objectives</w:t>
      </w:r>
    </w:p>
    <w:p>
      <w:pPr>
        <w:pStyle w:val="ListParagraph"/>
        <w:numPr>
          <w:ilvl w:val="0"/>
          <w:numId w:val="1"/>
        </w:numPr>
        <w:spacing w:after="60"/>
        <w:rPr>
          <w:color w:val="111827"/>
          <w:sz w:val="200"/>
          <w:szCs w:val="200"/>
        </w:rPr>
      </w:pPr>
      <w:r>
        <w:t xml:space="preserve">Demonstrate that the Capalyst QMS is fit for intended GxP use</w:t>
      </w:r>
    </w:p>
    <w:p>
      <w:pPr>
        <w:pStyle w:val="ListParagraph"/>
        <w:numPr>
          <w:ilvl w:val="0"/>
          <w:numId w:val="1"/>
        </w:numPr>
        <w:spacing w:after="60"/>
        <w:rPr>
          <w:color w:val="111827"/>
          <w:sz w:val="200"/>
          <w:szCs w:val="200"/>
        </w:rPr>
      </w:pPr>
      <w:r>
        <w:t xml:space="preserve">Ensure the system reliably and consistently performs all functions specified in the URS</w:t>
      </w:r>
    </w:p>
    <w:p>
      <w:pPr>
        <w:pStyle w:val="ListParagraph"/>
        <w:numPr>
          <w:ilvl w:val="0"/>
          <w:numId w:val="1"/>
        </w:numPr>
        <w:spacing w:after="60"/>
        <w:rPr>
          <w:color w:val="111827"/>
          <w:sz w:val="200"/>
          <w:szCs w:val="200"/>
        </w:rPr>
      </w:pPr>
      <w:r>
        <w:t xml:space="preserve">Confirm compliance with 21 CFR Part 11 and EU GMP Annex 11 electronic records and audit trail requirements</w:t>
      </w:r>
    </w:p>
    <w:p>
      <w:pPr>
        <w:pStyle w:val="ListParagraph"/>
        <w:numPr>
          <w:ilvl w:val="0"/>
          <w:numId w:val="1"/>
        </w:numPr>
        <w:spacing w:after="60"/>
        <w:rPr>
          <w:color w:val="111827"/>
          <w:sz w:val="200"/>
          <w:szCs w:val="200"/>
        </w:rPr>
      </w:pPr>
      <w:r>
        <w:t xml:space="preserve">Provide documented evidence sufficient for regulatory inspection</w:t>
      </w:r>
    </w:p>
    <w:p/>
    <w:p>
      <w:pPr>
        <w:pStyle w:val="Heading1"/>
        <w:spacing w:after="120" w:before="280"/>
        <w:rPr>
          <w:b/>
          <w:bCs/>
          <w:color w:val="1B2A4A"/>
          <w:sz w:val="280"/>
          <w:szCs w:val="280"/>
        </w:rPr>
      </w:pPr>
      <w:r>
        <w:t xml:space="preserve">2. Validation Scope</w:t>
      </w:r>
    </w:p>
    <w:p>
      <w:pPr>
        <w:pStyle w:val="Heading2"/>
        <w:spacing w:after="80" w:before="200"/>
        <w:rPr>
          <w:b/>
          <w:bCs/>
          <w:color w:val="1B2A4A"/>
          <w:sz w:val="240"/>
          <w:szCs w:val="240"/>
        </w:rPr>
      </w:pPr>
      <w:r>
        <w:t xml:space="preserve">2.1 In Scope</w:t>
      </w:r>
    </w:p>
    <w:p>
      <w:pPr>
        <w:pStyle w:val="ListParagraph"/>
        <w:numPr>
          <w:ilvl w:val="0"/>
          <w:numId w:val="1"/>
        </w:numPr>
        <w:spacing w:after="60"/>
        <w:rPr>
          <w:color w:val="111827"/>
          <w:sz w:val="200"/>
          <w:szCs w:val="200"/>
        </w:rPr>
      </w:pPr>
      <w:r>
        <w:t xml:space="preserve">All five Capalyst QMS modules: Deviations, CAPA, Change Control, Risk Assessment, User Administration</w:t>
      </w:r>
    </w:p>
    <w:p>
      <w:pPr>
        <w:pStyle w:val="ListParagraph"/>
        <w:numPr>
          <w:ilvl w:val="0"/>
          <w:numId w:val="1"/>
        </w:numPr>
        <w:spacing w:after="60"/>
        <w:rPr>
          <w:color w:val="111827"/>
          <w:sz w:val="200"/>
          <w:szCs w:val="200"/>
        </w:rPr>
      </w:pPr>
      <w:r>
        <w:t xml:space="preserve">Dashboard KPI and reporting functions</w:t>
      </w:r>
    </w:p>
    <w:p>
      <w:pPr>
        <w:pStyle w:val="ListParagraph"/>
        <w:numPr>
          <w:ilvl w:val="0"/>
          <w:numId w:val="1"/>
        </w:numPr>
        <w:spacing w:after="60"/>
        <w:rPr>
          <w:color w:val="111827"/>
          <w:sz w:val="200"/>
          <w:szCs w:val="200"/>
        </w:rPr>
      </w:pPr>
      <w:r>
        <w:t xml:space="preserve">Role-based access control (Admin, QA, User)</w:t>
      </w:r>
    </w:p>
    <w:p>
      <w:pPr>
        <w:pStyle w:val="ListParagraph"/>
        <w:numPr>
          <w:ilvl w:val="0"/>
          <w:numId w:val="1"/>
        </w:numPr>
        <w:spacing w:after="60"/>
        <w:rPr>
          <w:color w:val="111827"/>
          <w:sz w:val="200"/>
          <w:szCs w:val="200"/>
        </w:rPr>
      </w:pPr>
      <w:r>
        <w:t xml:space="preserve">Audit trail — creation, immutability, and retrievability</w:t>
      </w:r>
    </w:p>
    <w:p>
      <w:pPr>
        <w:pStyle w:val="ListParagraph"/>
        <w:numPr>
          <w:ilvl w:val="0"/>
          <w:numId w:val="1"/>
        </w:numPr>
        <w:spacing w:after="60"/>
        <w:rPr>
          <w:color w:val="111827"/>
          <w:sz w:val="200"/>
          <w:szCs w:val="200"/>
        </w:rPr>
      </w:pPr>
      <w:r>
        <w:t xml:space="preserve">Workflow state transitions and approval controls</w:t>
      </w:r>
    </w:p>
    <w:p>
      <w:pPr>
        <w:pStyle w:val="ListParagraph"/>
        <w:numPr>
          <w:ilvl w:val="0"/>
          <w:numId w:val="1"/>
        </w:numPr>
        <w:spacing w:after="60"/>
        <w:rPr>
          <w:color w:val="111827"/>
          <w:sz w:val="200"/>
          <w:szCs w:val="200"/>
        </w:rPr>
      </w:pPr>
      <w:r>
        <w:t xml:space="preserve">21 CFR Part 11 / Annex 11 compliance attributes</w:t>
      </w:r>
    </w:p>
    <w:p>
      <w:pPr>
        <w:pStyle w:val="Heading2"/>
        <w:spacing w:after="80" w:before="200"/>
        <w:rPr>
          <w:b/>
          <w:bCs/>
          <w:color w:val="1B2A4A"/>
          <w:sz w:val="240"/>
          <w:szCs w:val="240"/>
        </w:rPr>
      </w:pPr>
      <w:r>
        <w:t xml:space="preserve">2.2 Out of Scope</w:t>
      </w:r>
    </w:p>
    <w:p>
      <w:pPr>
        <w:pStyle w:val="ListParagraph"/>
        <w:numPr>
          <w:ilvl w:val="0"/>
          <w:numId w:val="1"/>
        </w:numPr>
        <w:spacing w:after="60"/>
        <w:rPr>
          <w:color w:val="111827"/>
          <w:sz w:val="200"/>
          <w:szCs w:val="200"/>
        </w:rPr>
      </w:pPr>
      <w:r>
        <w:t xml:space="preserve">Underlying cloud hosting infrastructure (Replit platform internals)</w:t>
      </w:r>
    </w:p>
    <w:p>
      <w:pPr>
        <w:pStyle w:val="ListParagraph"/>
        <w:numPr>
          <w:ilvl w:val="0"/>
          <w:numId w:val="1"/>
        </w:numPr>
        <w:spacing w:after="60"/>
        <w:rPr>
          <w:color w:val="111827"/>
          <w:sz w:val="200"/>
          <w:szCs w:val="200"/>
        </w:rPr>
      </w:pPr>
      <w:r>
        <w:t xml:space="preserve">Network infrastructure and firewalls managed by the hosting provider</w:t>
      </w:r>
    </w:p>
    <w:p>
      <w:pPr>
        <w:pStyle w:val="ListParagraph"/>
        <w:numPr>
          <w:ilvl w:val="0"/>
          <w:numId w:val="1"/>
        </w:numPr>
        <w:spacing w:after="60"/>
        <w:rPr>
          <w:color w:val="111827"/>
          <w:sz w:val="200"/>
          <w:szCs w:val="200"/>
        </w:rPr>
      </w:pPr>
      <w:r>
        <w:t xml:space="preserve">Browser rendering differences (Chrome/Firefox/Edge cross-browser validated at one version each)</w:t>
      </w:r>
    </w:p>
    <w:p/>
    <w:p>
      <w:pPr>
        <w:pStyle w:val="Heading1"/>
        <w:spacing w:after="120" w:before="280"/>
        <w:rPr>
          <w:b/>
          <w:bCs/>
          <w:color w:val="1B2A4A"/>
          <w:sz w:val="280"/>
          <w:szCs w:val="280"/>
        </w:rPr>
      </w:pPr>
      <w:r>
        <w:t xml:space="preserve">3. Regulatory References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c>
          <w:tcPr>
            <w:shd w:fill="1B2A4A" w:val="clear"/>
            <w:tcMar>
              <w:top w:type="dxa" w:w="28"/>
              <w:left w:type="dxa" w:w="72"/>
              <w:bottom w:type="dxa" w:w="28"/>
              <w:right w:type="dxa" w:w="72"/>
            </w:tcMar>
          </w:tcPr>
          <w:p>
            <w:pPr>
              <w:spacing w:after="40" w:before="40"/>
            </w:pPr>
            <w:r>
              <w:rPr>
                <w:b/>
                <w:bCs/>
                <w:color w:val="FFFFFF"/>
                <w:sz w:val="180"/>
                <w:szCs w:val="180"/>
              </w:rPr>
              <w:t xml:space="preserve">Reference</w:t>
            </w:r>
          </w:p>
        </w:tc>
        <w:tc>
          <w:tcPr>
            <w:shd w:fill="1B2A4A" w:val="clear"/>
            <w:tcMar>
              <w:top w:type="dxa" w:w="28"/>
              <w:left w:type="dxa" w:w="72"/>
              <w:bottom w:type="dxa" w:w="28"/>
              <w:right w:type="dxa" w:w="72"/>
            </w:tcMar>
          </w:tcPr>
          <w:p>
            <w:pPr>
              <w:spacing w:after="40" w:before="40"/>
            </w:pPr>
            <w:r>
              <w:rPr>
                <w:b/>
                <w:bCs/>
                <w:color w:val="FFFFFF"/>
                <w:sz w:val="180"/>
                <w:szCs w:val="180"/>
              </w:rPr>
              <w:t xml:space="preserve">Title</w:t>
            </w:r>
          </w:p>
        </w:tc>
      </w:tr>
      <w:tr>
        <w:tc>
          <w:tcPr>
            <w:tcMar>
              <w:top w:type="dxa" w:w="28"/>
              <w:left w:type="dxa" w:w="72"/>
              <w:bottom w:type="dxa" w:w="28"/>
              <w:right w:type="dxa" w:w="72"/>
            </w:tcMar>
          </w:tcPr>
          <w:p>
            <w:pPr>
              <w:spacing w:after="40" w:before="40"/>
            </w:pPr>
            <w:r>
              <w:rPr>
                <w:color w:val="111827"/>
                <w:sz w:val="180"/>
                <w:szCs w:val="180"/>
              </w:rPr>
              <w:t xml:space="preserve">EU GMP Annex 11</w:t>
            </w:r>
          </w:p>
        </w:tc>
        <w:tc>
          <w:tcPr>
            <w:tcMar>
              <w:top w:type="dxa" w:w="28"/>
              <w:left w:type="dxa" w:w="72"/>
              <w:bottom w:type="dxa" w:w="28"/>
              <w:right w:type="dxa" w:w="72"/>
            </w:tcMar>
          </w:tcPr>
          <w:p>
            <w:pPr>
              <w:spacing w:after="40" w:before="40"/>
            </w:pPr>
            <w:r>
              <w:rPr>
                <w:color w:val="111827"/>
                <w:sz w:val="180"/>
                <w:szCs w:val="180"/>
              </w:rPr>
              <w:t xml:space="preserve">Computerised Systems</w:t>
            </w:r>
          </w:p>
        </w:tc>
      </w:tr>
      <w:tr>
        <w:tc>
          <w:tcPr>
            <w:tcMar>
              <w:top w:type="dxa" w:w="28"/>
              <w:left w:type="dxa" w:w="72"/>
              <w:bottom w:type="dxa" w:w="28"/>
              <w:right w:type="dxa" w:w="72"/>
            </w:tcMar>
          </w:tcPr>
          <w:p>
            <w:pPr>
              <w:spacing w:after="40" w:before="40"/>
            </w:pPr>
            <w:r>
              <w:rPr>
                <w:color w:val="111827"/>
                <w:sz w:val="180"/>
                <w:szCs w:val="180"/>
              </w:rPr>
              <w:t xml:space="preserve">21 CFR Part 11</w:t>
            </w:r>
          </w:p>
        </w:tc>
        <w:tc>
          <w:tcPr>
            <w:tcMar>
              <w:top w:type="dxa" w:w="28"/>
              <w:left w:type="dxa" w:w="72"/>
              <w:bottom w:type="dxa" w:w="28"/>
              <w:right w:type="dxa" w:w="72"/>
            </w:tcMar>
          </w:tcPr>
          <w:p>
            <w:pPr>
              <w:spacing w:after="40" w:before="40"/>
            </w:pPr>
            <w:r>
              <w:rPr>
                <w:color w:val="111827"/>
                <w:sz w:val="180"/>
                <w:szCs w:val="180"/>
              </w:rPr>
              <w:t xml:space="preserve">Electronic Records; Electronic Signatures</w:t>
            </w:r>
          </w:p>
        </w:tc>
      </w:tr>
      <w:tr>
        <w:tc>
          <w:tcPr>
            <w:tcMar>
              <w:top w:type="dxa" w:w="28"/>
              <w:left w:type="dxa" w:w="72"/>
              <w:bottom w:type="dxa" w:w="28"/>
              <w:right w:type="dxa" w:w="72"/>
            </w:tcMar>
          </w:tcPr>
          <w:p>
            <w:pPr>
              <w:spacing w:after="40" w:before="40"/>
            </w:pPr>
            <w:r>
              <w:rPr>
                <w:color w:val="111827"/>
                <w:sz w:val="180"/>
                <w:szCs w:val="180"/>
              </w:rPr>
              <w:t xml:space="preserve">PIC/S PI 011-3</w:t>
            </w:r>
          </w:p>
        </w:tc>
        <w:tc>
          <w:tcPr>
            <w:tcMar>
              <w:top w:type="dxa" w:w="28"/>
              <w:left w:type="dxa" w:w="72"/>
              <w:bottom w:type="dxa" w:w="28"/>
              <w:right w:type="dxa" w:w="72"/>
            </w:tcMar>
          </w:tcPr>
          <w:p>
            <w:pPr>
              <w:spacing w:after="40" w:before="40"/>
            </w:pPr>
            <w:r>
              <w:rPr>
                <w:color w:val="111827"/>
                <w:sz w:val="180"/>
                <w:szCs w:val="180"/>
              </w:rPr>
              <w:t xml:space="preserve">Good Practices for Computerised Systems in Regulated GxP Environments</w:t>
            </w:r>
          </w:p>
        </w:tc>
      </w:tr>
      <w:tr>
        <w:tc>
          <w:tcPr>
            <w:tcMar>
              <w:top w:type="dxa" w:w="28"/>
              <w:left w:type="dxa" w:w="72"/>
              <w:bottom w:type="dxa" w:w="28"/>
              <w:right w:type="dxa" w:w="72"/>
            </w:tcMar>
          </w:tcPr>
          <w:p>
            <w:pPr>
              <w:spacing w:after="40" w:before="40"/>
            </w:pPr>
            <w:r>
              <w:rPr>
                <w:color w:val="111827"/>
                <w:sz w:val="180"/>
                <w:szCs w:val="180"/>
              </w:rPr>
              <w:t xml:space="preserve">GAMP 5 (2nd Ed.)</w:t>
            </w:r>
          </w:p>
        </w:tc>
        <w:tc>
          <w:tcPr>
            <w:tcMar>
              <w:top w:type="dxa" w:w="28"/>
              <w:left w:type="dxa" w:w="72"/>
              <w:bottom w:type="dxa" w:w="28"/>
              <w:right w:type="dxa" w:w="72"/>
            </w:tcMar>
          </w:tcPr>
          <w:p>
            <w:pPr>
              <w:spacing w:after="40" w:before="40"/>
            </w:pPr>
            <w:r>
              <w:rPr>
                <w:color w:val="111827"/>
                <w:sz w:val="180"/>
                <w:szCs w:val="180"/>
              </w:rPr>
              <w:t xml:space="preserve">A Risk-Based Approach to Compliant GxP Computerized Systems</w:t>
            </w:r>
          </w:p>
        </w:tc>
      </w:tr>
      <w:tr>
        <w:tc>
          <w:tcPr>
            <w:tcMar>
              <w:top w:type="dxa" w:w="28"/>
              <w:left w:type="dxa" w:w="72"/>
              <w:bottom w:type="dxa" w:w="28"/>
              <w:right w:type="dxa" w:w="72"/>
            </w:tcMar>
          </w:tcPr>
          <w:p>
            <w:pPr>
              <w:spacing w:after="40" w:before="40"/>
            </w:pPr>
            <w:r>
              <w:rPr>
                <w:color w:val="111827"/>
                <w:sz w:val="180"/>
                <w:szCs w:val="180"/>
              </w:rPr>
              <w:t xml:space="preserve">ICH Q9 (R1)</w:t>
            </w:r>
          </w:p>
        </w:tc>
        <w:tc>
          <w:tcPr>
            <w:tcMar>
              <w:top w:type="dxa" w:w="28"/>
              <w:left w:type="dxa" w:w="72"/>
              <w:bottom w:type="dxa" w:w="28"/>
              <w:right w:type="dxa" w:w="72"/>
            </w:tcMar>
          </w:tcPr>
          <w:p>
            <w:pPr>
              <w:spacing w:after="40" w:before="40"/>
            </w:pPr>
            <w:r>
              <w:rPr>
                <w:color w:val="111827"/>
                <w:sz w:val="180"/>
                <w:szCs w:val="180"/>
              </w:rPr>
              <w:t xml:space="preserve">Quality Risk Management</w:t>
            </w:r>
          </w:p>
        </w:tc>
      </w:tr>
      <w:tr>
        <w:tc>
          <w:tcPr>
            <w:tcMar>
              <w:top w:type="dxa" w:w="28"/>
              <w:left w:type="dxa" w:w="72"/>
              <w:bottom w:type="dxa" w:w="28"/>
              <w:right w:type="dxa" w:w="72"/>
            </w:tcMar>
          </w:tcPr>
          <w:p>
            <w:pPr>
              <w:spacing w:after="40" w:before="40"/>
            </w:pPr>
            <w:r>
              <w:rPr>
                <w:color w:val="111827"/>
                <w:sz w:val="180"/>
                <w:szCs w:val="180"/>
              </w:rPr>
              <w:t xml:space="preserve">ICH Q10</w:t>
            </w:r>
          </w:p>
        </w:tc>
        <w:tc>
          <w:tcPr>
            <w:tcMar>
              <w:top w:type="dxa" w:w="28"/>
              <w:left w:type="dxa" w:w="72"/>
              <w:bottom w:type="dxa" w:w="28"/>
              <w:right w:type="dxa" w:w="72"/>
            </w:tcMar>
          </w:tcPr>
          <w:p>
            <w:pPr>
              <w:spacing w:after="40" w:before="40"/>
            </w:pPr>
            <w:r>
              <w:rPr>
                <w:color w:val="111827"/>
                <w:sz w:val="180"/>
                <w:szCs w:val="180"/>
              </w:rPr>
              <w:t xml:space="preserve">Pharmaceutical Quality System</w:t>
            </w:r>
          </w:p>
        </w:tc>
      </w:tr>
    </w:tbl>
    <w:p/>
    <w:p>
      <w:pPr>
        <w:pStyle w:val="Heading1"/>
        <w:spacing w:after="120" w:before="280"/>
        <w:rPr>
          <w:b/>
          <w:bCs/>
          <w:color w:val="1B2A4A"/>
          <w:sz w:val="280"/>
          <w:szCs w:val="280"/>
        </w:rPr>
      </w:pPr>
      <w:r>
        <w:t xml:space="preserve">4. Validation Approach</w:t>
      </w:r>
    </w:p>
    <w:p>
      <w:pPr>
        <w:pStyle w:val="Heading2"/>
        <w:spacing w:after="80" w:before="200"/>
        <w:rPr>
          <w:b/>
          <w:bCs/>
          <w:color w:val="1B2A4A"/>
          <w:sz w:val="240"/>
          <w:szCs w:val="240"/>
        </w:rPr>
      </w:pPr>
      <w:r>
        <w:t xml:space="preserve">4.1 Risk-Based Approach</w:t>
      </w:r>
    </w:p>
    <w:p>
      <w:pPr>
        <w:spacing w:after="100"/>
      </w:pPr>
      <w:r>
        <w:rPr>
          <w:color w:val="111827"/>
          <w:sz w:val="200"/>
          <w:szCs w:val="200"/>
        </w:rPr>
        <w:t xml:space="preserve">Validation testing effort is prioritised based on GxP risk. All critical requirements (Must) are tested with at least one positive and one negative test case. Non-critical requirements (Should) are tested where feasible within the project timeline.</w:t>
      </w:r>
    </w:p>
    <w:p>
      <w:pPr>
        <w:pStyle w:val="Heading2"/>
        <w:spacing w:after="80" w:before="200"/>
        <w:rPr>
          <w:b/>
          <w:bCs/>
          <w:color w:val="1B2A4A"/>
          <w:sz w:val="240"/>
          <w:szCs w:val="240"/>
        </w:rPr>
      </w:pPr>
      <w:r>
        <w:t xml:space="preserve">4.2 Traceability Matrix</w:t>
      </w:r>
    </w:p>
    <w:p>
      <w:pPr>
        <w:spacing w:after="100"/>
      </w:pPr>
      <w:r>
        <w:rPr>
          <w:color w:val="111827"/>
          <w:sz w:val="200"/>
          <w:szCs w:val="200"/>
        </w:rPr>
        <w:t xml:space="preserve">A Requirements Traceability Matrix (RTM) maps each URS requirement to one or more test scripts, ensuring complete test coverage. The RTM is maintained as part of the Test Report (CPT-VL-ISVP-TR Capalyst-001).</w:t>
      </w:r>
    </w:p>
    <w:p>
      <w:pPr>
        <w:pStyle w:val="Heading2"/>
        <w:spacing w:after="80" w:before="200"/>
        <w:rPr>
          <w:b/>
          <w:bCs/>
          <w:color w:val="1B2A4A"/>
          <w:sz w:val="240"/>
          <w:szCs w:val="240"/>
        </w:rPr>
      </w:pPr>
      <w:r>
        <w:t xml:space="preserve">4.3 Test Environments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50"/>
      </w:tblGrid>
      <w:tr>
        <w:tc>
          <w:tcPr>
            <w:shd w:fill="1B2A4A" w:val="clear"/>
            <w:tcMar>
              <w:top w:type="dxa" w:w="28"/>
              <w:left w:type="dxa" w:w="72"/>
              <w:bottom w:type="dxa" w:w="28"/>
              <w:right w:type="dxa" w:w="72"/>
            </w:tcMar>
          </w:tcPr>
          <w:p>
            <w:pPr>
              <w:spacing w:after="40" w:before="40"/>
            </w:pPr>
            <w:r>
              <w:rPr>
                <w:b/>
                <w:bCs/>
                <w:color w:val="FFFFFF"/>
                <w:sz w:val="180"/>
                <w:szCs w:val="180"/>
              </w:rPr>
              <w:t xml:space="preserve">Environment</w:t>
            </w:r>
          </w:p>
        </w:tc>
        <w:tc>
          <w:tcPr>
            <w:shd w:fill="1B2A4A" w:val="clear"/>
            <w:tcMar>
              <w:top w:type="dxa" w:w="28"/>
              <w:left w:type="dxa" w:w="72"/>
              <w:bottom w:type="dxa" w:w="28"/>
              <w:right w:type="dxa" w:w="72"/>
            </w:tcMar>
          </w:tcPr>
          <w:p>
            <w:pPr>
              <w:spacing w:after="40" w:before="40"/>
            </w:pPr>
            <w:r>
              <w:rPr>
                <w:b/>
                <w:bCs/>
                <w:color w:val="FFFFFF"/>
                <w:sz w:val="180"/>
                <w:szCs w:val="180"/>
              </w:rPr>
              <w:t xml:space="preserve">Purpose</w:t>
            </w:r>
          </w:p>
        </w:tc>
        <w:tc>
          <w:tcPr>
            <w:shd w:fill="1B2A4A" w:val="clear"/>
            <w:tcMar>
              <w:top w:type="dxa" w:w="28"/>
              <w:left w:type="dxa" w:w="72"/>
              <w:bottom w:type="dxa" w:w="28"/>
              <w:right w:type="dxa" w:w="72"/>
            </w:tcMar>
          </w:tcPr>
          <w:p>
            <w:pPr>
              <w:spacing w:after="40" w:before="40"/>
            </w:pPr>
            <w:r>
              <w:rPr>
                <w:b/>
                <w:bCs/>
                <w:color w:val="FFFFFF"/>
                <w:sz w:val="180"/>
                <w:szCs w:val="180"/>
              </w:rPr>
              <w:t xml:space="preserve">Data</w:t>
            </w:r>
          </w:p>
        </w:tc>
      </w:tr>
      <w:tr>
        <w:tc>
          <w:tcPr>
            <w:tcMar>
              <w:top w:type="dxa" w:w="28"/>
              <w:left w:type="dxa" w:w="72"/>
              <w:bottom w:type="dxa" w:w="28"/>
              <w:right w:type="dxa" w:w="72"/>
            </w:tcMar>
          </w:tcPr>
          <w:p>
            <w:pPr>
              <w:spacing w:after="40" w:before="40"/>
            </w:pPr>
            <w:r>
              <w:rPr>
                <w:color w:val="111827"/>
                <w:sz w:val="180"/>
                <w:szCs w:val="180"/>
              </w:rPr>
              <w:t xml:space="preserve">Validation (VAL)</w:t>
            </w:r>
          </w:p>
        </w:tc>
        <w:tc>
          <w:tcPr>
            <w:tcMar>
              <w:top w:type="dxa" w:w="28"/>
              <w:left w:type="dxa" w:w="72"/>
              <w:bottom w:type="dxa" w:w="28"/>
              <w:right w:type="dxa" w:w="72"/>
            </w:tcMar>
          </w:tcPr>
          <w:p>
            <w:pPr>
              <w:spacing w:after="40" w:before="40"/>
            </w:pPr>
            <w:r>
              <w:rPr>
                <w:color w:val="111827"/>
                <w:sz w:val="180"/>
                <w:szCs w:val="180"/>
              </w:rPr>
              <w:t xml:space="preserve">Execution of all IQ, OQ, and PQ test scripts</w:t>
            </w:r>
          </w:p>
        </w:tc>
        <w:tc>
          <w:tcPr>
            <w:tcMar>
              <w:top w:type="dxa" w:w="28"/>
              <w:left w:type="dxa" w:w="72"/>
              <w:bottom w:type="dxa" w:w="28"/>
              <w:right w:type="dxa" w:w="72"/>
            </w:tcMar>
          </w:tcPr>
          <w:p>
            <w:pPr>
              <w:spacing w:after="40" w:before="40"/>
            </w:pPr>
            <w:r>
              <w:rPr>
                <w:color w:val="111827"/>
                <w:sz w:val="180"/>
                <w:szCs w:val="180"/>
              </w:rPr>
              <w:t xml:space="preserve">Seeded test data only — no live production data</w:t>
            </w:r>
          </w:p>
        </w:tc>
      </w:tr>
      <w:tr>
        <w:tc>
          <w:tcPr>
            <w:tcMar>
              <w:top w:type="dxa" w:w="28"/>
              <w:left w:type="dxa" w:w="72"/>
              <w:bottom w:type="dxa" w:w="28"/>
              <w:right w:type="dxa" w:w="72"/>
            </w:tcMar>
          </w:tcPr>
          <w:p>
            <w:pPr>
              <w:spacing w:after="40" w:before="40"/>
            </w:pPr>
            <w:r>
              <w:rPr>
                <w:color w:val="111827"/>
                <w:sz w:val="180"/>
                <w:szCs w:val="180"/>
              </w:rPr>
              <w:t xml:space="preserve">Production (PROD)</w:t>
            </w:r>
          </w:p>
        </w:tc>
        <w:tc>
          <w:tcPr>
            <w:tcMar>
              <w:top w:type="dxa" w:w="28"/>
              <w:left w:type="dxa" w:w="72"/>
              <w:bottom w:type="dxa" w:w="28"/>
              <w:right w:type="dxa" w:w="72"/>
            </w:tcMar>
          </w:tcPr>
          <w:p>
            <w:pPr>
              <w:spacing w:after="40" w:before="40"/>
            </w:pPr>
            <w:r>
              <w:rPr>
                <w:color w:val="111827"/>
                <w:sz w:val="180"/>
                <w:szCs w:val="180"/>
              </w:rPr>
              <w:t xml:space="preserve">Operational system post-validation</w:t>
            </w:r>
          </w:p>
        </w:tc>
        <w:tc>
          <w:tcPr>
            <w:tcMar>
              <w:top w:type="dxa" w:w="28"/>
              <w:left w:type="dxa" w:w="72"/>
              <w:bottom w:type="dxa" w:w="28"/>
              <w:right w:type="dxa" w:w="72"/>
            </w:tcMar>
          </w:tcPr>
          <w:p>
            <w:pPr>
              <w:spacing w:after="40" w:before="40"/>
            </w:pPr>
            <w:r>
              <w:rPr>
                <w:color w:val="111827"/>
                <w:sz w:val="180"/>
                <w:szCs w:val="180"/>
              </w:rPr>
              <w:t xml:space="preserve">Live CPT Pharma quality records</w:t>
            </w:r>
          </w:p>
        </w:tc>
      </w:tr>
    </w:tbl>
    <w:p/>
    <w:p>
      <w:pPr>
        <w:pStyle w:val="Heading2"/>
        <w:spacing w:after="80" w:before="200"/>
        <w:rPr>
          <w:b/>
          <w:bCs/>
          <w:color w:val="1B2A4A"/>
          <w:sz w:val="240"/>
          <w:szCs w:val="240"/>
        </w:rPr>
      </w:pPr>
      <w:r>
        <w:t xml:space="preserve">4.4 Test Types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50"/>
      </w:tblGrid>
      <w:tr>
        <w:tc>
          <w:tcPr>
            <w:shd w:fill="1B2A4A" w:val="clear"/>
            <w:tcMar>
              <w:top w:type="dxa" w:w="28"/>
              <w:left w:type="dxa" w:w="72"/>
              <w:bottom w:type="dxa" w:w="28"/>
              <w:right w:type="dxa" w:w="72"/>
            </w:tcMar>
          </w:tcPr>
          <w:p>
            <w:pPr>
              <w:spacing w:after="40" w:before="40"/>
            </w:pPr>
            <w:r>
              <w:rPr>
                <w:b/>
                <w:bCs/>
                <w:color w:val="FFFFFF"/>
                <w:sz w:val="180"/>
                <w:szCs w:val="180"/>
              </w:rPr>
              <w:t xml:space="preserve">Test Type</w:t>
            </w:r>
          </w:p>
        </w:tc>
        <w:tc>
          <w:tcPr>
            <w:shd w:fill="1B2A4A" w:val="clear"/>
            <w:tcMar>
              <w:top w:type="dxa" w:w="28"/>
              <w:left w:type="dxa" w:w="72"/>
              <w:bottom w:type="dxa" w:w="28"/>
              <w:right w:type="dxa" w:w="72"/>
            </w:tcMar>
          </w:tcPr>
          <w:p>
            <w:pPr>
              <w:spacing w:after="40" w:before="40"/>
            </w:pPr>
            <w:r>
              <w:rPr>
                <w:b/>
                <w:bCs/>
                <w:color w:val="FFFFFF"/>
                <w:sz w:val="180"/>
                <w:szCs w:val="180"/>
              </w:rPr>
              <w:t xml:space="preserve">Description</w:t>
            </w:r>
          </w:p>
        </w:tc>
        <w:tc>
          <w:tcPr>
            <w:shd w:fill="1B2A4A" w:val="clear"/>
            <w:tcMar>
              <w:top w:type="dxa" w:w="28"/>
              <w:left w:type="dxa" w:w="72"/>
              <w:bottom w:type="dxa" w:w="28"/>
              <w:right w:type="dxa" w:w="72"/>
            </w:tcMar>
          </w:tcPr>
          <w:p>
            <w:pPr>
              <w:spacing w:after="40" w:before="40"/>
            </w:pPr>
            <w:r>
              <w:rPr>
                <w:b/>
                <w:bCs/>
                <w:color w:val="FFFFFF"/>
                <w:sz w:val="180"/>
                <w:szCs w:val="180"/>
              </w:rPr>
              <w:t xml:space="preserve">Qualification Phase</w:t>
            </w:r>
          </w:p>
        </w:tc>
      </w:tr>
      <w:tr>
        <w:tc>
          <w:tcPr>
            <w:tcMar>
              <w:top w:type="dxa" w:w="28"/>
              <w:left w:type="dxa" w:w="72"/>
              <w:bottom w:type="dxa" w:w="28"/>
              <w:right w:type="dxa" w:w="72"/>
            </w:tcMar>
          </w:tcPr>
          <w:p>
            <w:pPr>
              <w:spacing w:after="40" w:before="40"/>
            </w:pPr>
            <w:r>
              <w:rPr>
                <w:color w:val="111827"/>
                <w:sz w:val="180"/>
                <w:szCs w:val="180"/>
              </w:rPr>
              <w:t xml:space="preserve">Installation Qualification (IQ)</w:t>
            </w:r>
          </w:p>
        </w:tc>
        <w:tc>
          <w:tcPr>
            <w:tcMar>
              <w:top w:type="dxa" w:w="28"/>
              <w:left w:type="dxa" w:w="72"/>
              <w:bottom w:type="dxa" w:w="28"/>
              <w:right w:type="dxa" w:w="72"/>
            </w:tcMar>
          </w:tcPr>
          <w:p>
            <w:pPr>
              <w:spacing w:after="40" w:before="40"/>
            </w:pPr>
            <w:r>
              <w:rPr>
                <w:color w:val="111827"/>
                <w:sz w:val="180"/>
                <w:szCs w:val="180"/>
              </w:rPr>
              <w:t xml:space="preserve">Verify system is correctly installed, configured, and documented</w:t>
            </w:r>
          </w:p>
        </w:tc>
        <w:tc>
          <w:tcPr>
            <w:tcMar>
              <w:top w:type="dxa" w:w="28"/>
              <w:left w:type="dxa" w:w="72"/>
              <w:bottom w:type="dxa" w:w="28"/>
              <w:right w:type="dxa" w:w="72"/>
            </w:tcMar>
          </w:tcPr>
          <w:p>
            <w:pPr>
              <w:spacing w:after="40" w:before="40"/>
            </w:pPr>
            <w:r>
              <w:rPr>
                <w:color w:val="111827"/>
                <w:sz w:val="180"/>
                <w:szCs w:val="180"/>
              </w:rPr>
              <w:t xml:space="preserve">IQ</w:t>
            </w:r>
          </w:p>
        </w:tc>
      </w:tr>
      <w:tr>
        <w:tc>
          <w:tcPr>
            <w:tcMar>
              <w:top w:type="dxa" w:w="28"/>
              <w:left w:type="dxa" w:w="72"/>
              <w:bottom w:type="dxa" w:w="28"/>
              <w:right w:type="dxa" w:w="72"/>
            </w:tcMar>
          </w:tcPr>
          <w:p>
            <w:pPr>
              <w:spacing w:after="40" w:before="40"/>
            </w:pPr>
            <w:r>
              <w:rPr>
                <w:color w:val="111827"/>
                <w:sz w:val="180"/>
                <w:szCs w:val="180"/>
              </w:rPr>
              <w:t xml:space="preserve">Operational Qualification (OQ)</w:t>
            </w:r>
          </w:p>
        </w:tc>
        <w:tc>
          <w:tcPr>
            <w:tcMar>
              <w:top w:type="dxa" w:w="28"/>
              <w:left w:type="dxa" w:w="72"/>
              <w:bottom w:type="dxa" w:w="28"/>
              <w:right w:type="dxa" w:w="72"/>
            </w:tcMar>
          </w:tcPr>
          <w:p>
            <w:pPr>
              <w:spacing w:after="40" w:before="40"/>
            </w:pPr>
            <w:r>
              <w:rPr>
                <w:color w:val="111827"/>
                <w:sz w:val="180"/>
                <w:szCs w:val="180"/>
              </w:rPr>
              <w:t xml:space="preserve">Verify each system function performs as specified in the URS under normal and boundary conditions</w:t>
            </w:r>
          </w:p>
        </w:tc>
        <w:tc>
          <w:tcPr>
            <w:tcMar>
              <w:top w:type="dxa" w:w="28"/>
              <w:left w:type="dxa" w:w="72"/>
              <w:bottom w:type="dxa" w:w="28"/>
              <w:right w:type="dxa" w:w="72"/>
            </w:tcMar>
          </w:tcPr>
          <w:p>
            <w:pPr>
              <w:spacing w:after="40" w:before="40"/>
            </w:pPr>
            <w:r>
              <w:rPr>
                <w:color w:val="111827"/>
                <w:sz w:val="180"/>
                <w:szCs w:val="180"/>
              </w:rPr>
              <w:t xml:space="preserve">OQ</w:t>
            </w:r>
          </w:p>
        </w:tc>
      </w:tr>
      <w:tr>
        <w:tc>
          <w:tcPr>
            <w:tcMar>
              <w:top w:type="dxa" w:w="28"/>
              <w:left w:type="dxa" w:w="72"/>
              <w:bottom w:type="dxa" w:w="28"/>
              <w:right w:type="dxa" w:w="72"/>
            </w:tcMar>
          </w:tcPr>
          <w:p>
            <w:pPr>
              <w:spacing w:after="40" w:before="40"/>
            </w:pPr>
            <w:r>
              <w:rPr>
                <w:color w:val="111827"/>
                <w:sz w:val="180"/>
                <w:szCs w:val="180"/>
              </w:rPr>
              <w:t xml:space="preserve">Performance Qualification (PQ)</w:t>
            </w:r>
          </w:p>
        </w:tc>
        <w:tc>
          <w:tcPr>
            <w:tcMar>
              <w:top w:type="dxa" w:w="28"/>
              <w:left w:type="dxa" w:w="72"/>
              <w:bottom w:type="dxa" w:w="28"/>
              <w:right w:type="dxa" w:w="72"/>
            </w:tcMar>
          </w:tcPr>
          <w:p>
            <w:pPr>
              <w:spacing w:after="40" w:before="40"/>
            </w:pPr>
            <w:r>
              <w:rPr>
                <w:color w:val="111827"/>
                <w:sz w:val="180"/>
                <w:szCs w:val="180"/>
              </w:rPr>
              <w:t xml:space="preserve">Verify system performs reliably under conditions representative of actual use</w:t>
            </w:r>
          </w:p>
        </w:tc>
        <w:tc>
          <w:tcPr>
            <w:tcMar>
              <w:top w:type="dxa" w:w="28"/>
              <w:left w:type="dxa" w:w="72"/>
              <w:bottom w:type="dxa" w:w="28"/>
              <w:right w:type="dxa" w:w="72"/>
            </w:tcMar>
          </w:tcPr>
          <w:p>
            <w:pPr>
              <w:spacing w:after="40" w:before="40"/>
            </w:pPr>
            <w:r>
              <w:rPr>
                <w:color w:val="111827"/>
                <w:sz w:val="180"/>
                <w:szCs w:val="180"/>
              </w:rPr>
              <w:t xml:space="preserve">PQ</w:t>
            </w:r>
          </w:p>
        </w:tc>
      </w:tr>
      <w:tr>
        <w:tc>
          <w:tcPr>
            <w:tcMar>
              <w:top w:type="dxa" w:w="28"/>
              <w:left w:type="dxa" w:w="72"/>
              <w:bottom w:type="dxa" w:w="28"/>
              <w:right w:type="dxa" w:w="72"/>
            </w:tcMar>
          </w:tcPr>
          <w:p>
            <w:pPr>
              <w:spacing w:after="40" w:before="40"/>
            </w:pPr>
            <w:r>
              <w:rPr>
                <w:color w:val="111827"/>
                <w:sz w:val="180"/>
                <w:szCs w:val="180"/>
              </w:rPr>
              <w:t xml:space="preserve">Security / Access Control</w:t>
            </w:r>
          </w:p>
        </w:tc>
        <w:tc>
          <w:tcPr>
            <w:tcMar>
              <w:top w:type="dxa" w:w="28"/>
              <w:left w:type="dxa" w:w="72"/>
              <w:bottom w:type="dxa" w:w="28"/>
              <w:right w:type="dxa" w:w="72"/>
            </w:tcMar>
          </w:tcPr>
          <w:p>
            <w:pPr>
              <w:spacing w:after="40" w:before="40"/>
            </w:pPr>
            <w:r>
              <w:rPr>
                <w:color w:val="111827"/>
                <w:sz w:val="180"/>
                <w:szCs w:val="180"/>
              </w:rPr>
              <w:t xml:space="preserve">Verify RBAC prevents unauthorised access to functions and data</w:t>
            </w:r>
          </w:p>
        </w:tc>
        <w:tc>
          <w:tcPr>
            <w:tcMar>
              <w:top w:type="dxa" w:w="28"/>
              <w:left w:type="dxa" w:w="72"/>
              <w:bottom w:type="dxa" w:w="28"/>
              <w:right w:type="dxa" w:w="72"/>
            </w:tcMar>
          </w:tcPr>
          <w:p>
            <w:pPr>
              <w:spacing w:after="40" w:before="40"/>
            </w:pPr>
            <w:r>
              <w:rPr>
                <w:color w:val="111827"/>
                <w:sz w:val="180"/>
                <w:szCs w:val="180"/>
              </w:rPr>
              <w:t xml:space="preserve">OQ</w:t>
            </w:r>
          </w:p>
        </w:tc>
      </w:tr>
      <w:tr>
        <w:tc>
          <w:tcPr>
            <w:tcMar>
              <w:top w:type="dxa" w:w="28"/>
              <w:left w:type="dxa" w:w="72"/>
              <w:bottom w:type="dxa" w:w="28"/>
              <w:right w:type="dxa" w:w="72"/>
            </w:tcMar>
          </w:tcPr>
          <w:p>
            <w:pPr>
              <w:spacing w:after="40" w:before="40"/>
            </w:pPr>
            <w:r>
              <w:rPr>
                <w:color w:val="111827"/>
                <w:sz w:val="180"/>
                <w:szCs w:val="180"/>
              </w:rPr>
              <w:t xml:space="preserve">Audit Trail</w:t>
            </w:r>
          </w:p>
        </w:tc>
        <w:tc>
          <w:tcPr>
            <w:tcMar>
              <w:top w:type="dxa" w:w="28"/>
              <w:left w:type="dxa" w:w="72"/>
              <w:bottom w:type="dxa" w:w="28"/>
              <w:right w:type="dxa" w:w="72"/>
            </w:tcMar>
          </w:tcPr>
          <w:p>
            <w:pPr>
              <w:spacing w:after="40" w:before="40"/>
            </w:pPr>
            <w:r>
              <w:rPr>
                <w:color w:val="111827"/>
                <w:sz w:val="180"/>
                <w:szCs w:val="180"/>
              </w:rPr>
              <w:t xml:space="preserve">Verify audit trail captures all required fields and cannot be modified</w:t>
            </w:r>
          </w:p>
        </w:tc>
        <w:tc>
          <w:tcPr>
            <w:tcMar>
              <w:top w:type="dxa" w:w="28"/>
              <w:left w:type="dxa" w:w="72"/>
              <w:bottom w:type="dxa" w:w="28"/>
              <w:right w:type="dxa" w:w="72"/>
            </w:tcMar>
          </w:tcPr>
          <w:p>
            <w:pPr>
              <w:spacing w:after="40" w:before="40"/>
            </w:pPr>
            <w:r>
              <w:rPr>
                <w:color w:val="111827"/>
                <w:sz w:val="180"/>
                <w:szCs w:val="180"/>
              </w:rPr>
              <w:t xml:space="preserve">OQ</w:t>
            </w:r>
          </w:p>
        </w:tc>
      </w:tr>
      <w:tr>
        <w:tc>
          <w:tcPr>
            <w:tcMar>
              <w:top w:type="dxa" w:w="28"/>
              <w:left w:type="dxa" w:w="72"/>
              <w:bottom w:type="dxa" w:w="28"/>
              <w:right w:type="dxa" w:w="72"/>
            </w:tcMar>
          </w:tcPr>
          <w:p>
            <w:pPr>
              <w:spacing w:after="40" w:before="40"/>
            </w:pPr>
            <w:r>
              <w:rPr>
                <w:color w:val="111827"/>
                <w:sz w:val="180"/>
                <w:szCs w:val="180"/>
              </w:rPr>
              <w:t xml:space="preserve">Negative Testing</w:t>
            </w:r>
          </w:p>
        </w:tc>
        <w:tc>
          <w:tcPr>
            <w:tcMar>
              <w:top w:type="dxa" w:w="28"/>
              <w:left w:type="dxa" w:w="72"/>
              <w:bottom w:type="dxa" w:w="28"/>
              <w:right w:type="dxa" w:w="72"/>
            </w:tcMar>
          </w:tcPr>
          <w:p>
            <w:pPr>
              <w:spacing w:after="40" w:before="40"/>
            </w:pPr>
            <w:r>
              <w:rPr>
                <w:color w:val="111827"/>
                <w:sz w:val="180"/>
                <w:szCs w:val="180"/>
              </w:rPr>
              <w:t xml:space="preserve">Verify system handles invalid inputs and unauthorised actions appropriately</w:t>
            </w:r>
          </w:p>
        </w:tc>
        <w:tc>
          <w:tcPr>
            <w:tcMar>
              <w:top w:type="dxa" w:w="28"/>
              <w:left w:type="dxa" w:w="72"/>
              <w:bottom w:type="dxa" w:w="28"/>
              <w:right w:type="dxa" w:w="72"/>
            </w:tcMar>
          </w:tcPr>
          <w:p>
            <w:pPr>
              <w:spacing w:after="40" w:before="40"/>
            </w:pPr>
            <w:r>
              <w:rPr>
                <w:color w:val="111827"/>
                <w:sz w:val="180"/>
                <w:szCs w:val="180"/>
              </w:rPr>
              <w:t xml:space="preserve">OQ</w:t>
            </w:r>
          </w:p>
        </w:tc>
      </w:tr>
    </w:tbl>
    <w:p/>
    <w:p>
      <w:pPr>
        <w:pStyle w:val="Heading1"/>
        <w:spacing w:after="120" w:before="280"/>
        <w:rPr>
          <w:b/>
          <w:bCs/>
          <w:color w:val="1B2A4A"/>
          <w:sz w:val="280"/>
          <w:szCs w:val="280"/>
        </w:rPr>
      </w:pPr>
      <w:r>
        <w:t xml:space="preserve">5. Acceptance Criteria</w:t>
      </w:r>
    </w:p>
    <w:p>
      <w:pPr>
        <w:pStyle w:val="ListParagraph"/>
        <w:numPr>
          <w:ilvl w:val="0"/>
          <w:numId w:val="1"/>
        </w:numPr>
        <w:spacing w:after="60"/>
        <w:rPr>
          <w:color w:val="111827"/>
          <w:sz w:val="200"/>
          <w:szCs w:val="200"/>
        </w:rPr>
      </w:pPr>
      <w:r>
        <w:t xml:space="preserve">All Must-priority requirements have at least one passing test case</w:t>
      </w:r>
    </w:p>
    <w:p>
      <w:pPr>
        <w:pStyle w:val="ListParagraph"/>
        <w:numPr>
          <w:ilvl w:val="0"/>
          <w:numId w:val="1"/>
        </w:numPr>
        <w:spacing w:after="60"/>
        <w:rPr>
          <w:color w:val="111827"/>
          <w:sz w:val="200"/>
          <w:szCs w:val="200"/>
        </w:rPr>
      </w:pPr>
      <w:r>
        <w:t xml:space="preserve">No Critical anomalies are open at the time of validation closure</w:t>
      </w:r>
    </w:p>
    <w:p>
      <w:pPr>
        <w:pStyle w:val="ListParagraph"/>
        <w:numPr>
          <w:ilvl w:val="0"/>
          <w:numId w:val="1"/>
        </w:numPr>
        <w:spacing w:after="60"/>
        <w:rPr>
          <w:color w:val="111827"/>
          <w:sz w:val="200"/>
          <w:szCs w:val="200"/>
        </w:rPr>
      </w:pPr>
      <w:r>
        <w:t xml:space="preserve">Major anomalies are either resolved or have an accepted risk/workaround approved by the BQR</w:t>
      </w:r>
    </w:p>
    <w:p>
      <w:pPr>
        <w:pStyle w:val="ListParagraph"/>
        <w:numPr>
          <w:ilvl w:val="0"/>
          <w:numId w:val="1"/>
        </w:numPr>
        <w:spacing w:after="60"/>
        <w:rPr>
          <w:color w:val="111827"/>
          <w:sz w:val="200"/>
          <w:szCs w:val="200"/>
        </w:rPr>
      </w:pPr>
      <w:r>
        <w:t xml:space="preserve">Audit trail captures all GxP-critical field changes</w:t>
      </w:r>
    </w:p>
    <w:p>
      <w:pPr>
        <w:pStyle w:val="ListParagraph"/>
        <w:numPr>
          <w:ilvl w:val="0"/>
          <w:numId w:val="1"/>
        </w:numPr>
        <w:spacing w:after="60"/>
        <w:rPr>
          <w:color w:val="111827"/>
          <w:sz w:val="200"/>
          <w:szCs w:val="200"/>
        </w:rPr>
      </w:pPr>
      <w:r>
        <w:t xml:space="preserve">RBAC prevents all unauthorised actions in negative test cases</w:t>
      </w:r>
    </w:p>
    <w:p>
      <w:pPr>
        <w:pStyle w:val="ListParagraph"/>
        <w:numPr>
          <w:ilvl w:val="0"/>
          <w:numId w:val="1"/>
        </w:numPr>
        <w:spacing w:after="60"/>
        <w:rPr>
          <w:color w:val="111827"/>
          <w:sz w:val="200"/>
          <w:szCs w:val="200"/>
        </w:rPr>
      </w:pPr>
      <w:r>
        <w:t xml:space="preserve">Validation Report is approved by the System Owner and BQR</w:t>
      </w:r>
    </w:p>
    <w:p/>
    <w:p>
      <w:pPr>
        <w:pStyle w:val="Heading1"/>
        <w:spacing w:after="120" w:before="280"/>
        <w:rPr>
          <w:b/>
          <w:bCs/>
          <w:color w:val="1B2A4A"/>
          <w:sz w:val="280"/>
          <w:szCs w:val="280"/>
        </w:rPr>
      </w:pPr>
      <w:r>
        <w:t xml:space="preserve">6. Anomaly Classification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3350"/>
      </w:tblGrid>
      <w:tr>
        <w:tc>
          <w:tcPr>
            <w:shd w:fill="1B2A4A" w:val="clear"/>
            <w:tcMar>
              <w:top w:type="dxa" w:w="28"/>
              <w:left w:type="dxa" w:w="72"/>
              <w:bottom w:type="dxa" w:w="28"/>
              <w:right w:type="dxa" w:w="72"/>
            </w:tcMar>
          </w:tcPr>
          <w:p>
            <w:pPr>
              <w:spacing w:after="40" w:before="40"/>
            </w:pPr>
            <w:r>
              <w:rPr>
                <w:b/>
                <w:bCs/>
                <w:color w:val="FFFFFF"/>
                <w:sz w:val="180"/>
                <w:szCs w:val="180"/>
              </w:rPr>
              <w:t xml:space="preserve">Severity</w:t>
            </w:r>
          </w:p>
        </w:tc>
        <w:tc>
          <w:tcPr>
            <w:shd w:fill="1B2A4A" w:val="clear"/>
            <w:tcMar>
              <w:top w:type="dxa" w:w="28"/>
              <w:left w:type="dxa" w:w="72"/>
              <w:bottom w:type="dxa" w:w="28"/>
              <w:right w:type="dxa" w:w="72"/>
            </w:tcMar>
          </w:tcPr>
          <w:p>
            <w:pPr>
              <w:spacing w:after="40" w:before="40"/>
            </w:pPr>
            <w:r>
              <w:rPr>
                <w:b/>
                <w:bCs/>
                <w:color w:val="FFFFFF"/>
                <w:sz w:val="180"/>
                <w:szCs w:val="180"/>
              </w:rPr>
              <w:t xml:space="preserve">Definition</w:t>
            </w:r>
          </w:p>
        </w:tc>
        <w:tc>
          <w:tcPr>
            <w:shd w:fill="1B2A4A" w:val="clear"/>
            <w:tcMar>
              <w:top w:type="dxa" w:w="28"/>
              <w:left w:type="dxa" w:w="72"/>
              <w:bottom w:type="dxa" w:w="28"/>
              <w:right w:type="dxa" w:w="72"/>
            </w:tcMar>
          </w:tcPr>
          <w:p>
            <w:pPr>
              <w:spacing w:after="40" w:before="40"/>
            </w:pPr>
            <w:r>
              <w:rPr>
                <w:b/>
                <w:bCs/>
                <w:color w:val="FFFFFF"/>
                <w:sz w:val="180"/>
                <w:szCs w:val="180"/>
              </w:rPr>
              <w:t xml:space="preserve">Resolution Requirement</w:t>
            </w:r>
          </w:p>
        </w:tc>
      </w:tr>
      <w:tr>
        <w:tc>
          <w:tcPr>
            <w:tcMar>
              <w:top w:type="dxa" w:w="28"/>
              <w:left w:type="dxa" w:w="72"/>
              <w:bottom w:type="dxa" w:w="28"/>
              <w:right w:type="dxa" w:w="72"/>
            </w:tcMar>
          </w:tcPr>
          <w:p>
            <w:pPr>
              <w:spacing w:after="40" w:before="40"/>
            </w:pPr>
            <w:r>
              <w:rPr>
                <w:color w:val="111827"/>
                <w:sz w:val="180"/>
                <w:szCs w:val="180"/>
              </w:rPr>
              <w:t xml:space="preserve">Critical</w:t>
            </w:r>
          </w:p>
        </w:tc>
        <w:tc>
          <w:tcPr>
            <w:tcMar>
              <w:top w:type="dxa" w:w="28"/>
              <w:left w:type="dxa" w:w="72"/>
              <w:bottom w:type="dxa" w:w="28"/>
              <w:right w:type="dxa" w:w="72"/>
            </w:tcMar>
          </w:tcPr>
          <w:p>
            <w:pPr>
              <w:spacing w:after="40" w:before="40"/>
            </w:pPr>
            <w:r>
              <w:rPr>
                <w:color w:val="111827"/>
                <w:sz w:val="180"/>
                <w:szCs w:val="180"/>
              </w:rPr>
              <w:t xml:space="preserve">Prevents regulatory compliance, patient safety risk, or data integrity failure</w:t>
            </w:r>
          </w:p>
        </w:tc>
        <w:tc>
          <w:tcPr>
            <w:tcMar>
              <w:top w:type="dxa" w:w="28"/>
              <w:left w:type="dxa" w:w="72"/>
              <w:bottom w:type="dxa" w:w="28"/>
              <w:right w:type="dxa" w:w="72"/>
            </w:tcMar>
          </w:tcPr>
          <w:p>
            <w:pPr>
              <w:spacing w:after="40" w:before="40"/>
            </w:pPr>
            <w:r>
              <w:rPr>
                <w:color w:val="111827"/>
                <w:sz w:val="180"/>
                <w:szCs w:val="180"/>
              </w:rPr>
              <w:t xml:space="preserve">Must be resolved before Authorization for Use</w:t>
            </w:r>
          </w:p>
        </w:tc>
      </w:tr>
      <w:tr>
        <w:tc>
          <w:tcPr>
            <w:tcMar>
              <w:top w:type="dxa" w:w="28"/>
              <w:left w:type="dxa" w:w="72"/>
              <w:bottom w:type="dxa" w:w="28"/>
              <w:right w:type="dxa" w:w="72"/>
            </w:tcMar>
          </w:tcPr>
          <w:p>
            <w:pPr>
              <w:spacing w:after="40" w:before="40"/>
            </w:pPr>
            <w:r>
              <w:rPr>
                <w:color w:val="111827"/>
                <w:sz w:val="180"/>
                <w:szCs w:val="180"/>
              </w:rPr>
              <w:t xml:space="preserve">Major</w:t>
            </w:r>
          </w:p>
        </w:tc>
        <w:tc>
          <w:tcPr>
            <w:tcMar>
              <w:top w:type="dxa" w:w="28"/>
              <w:left w:type="dxa" w:w="72"/>
              <w:bottom w:type="dxa" w:w="28"/>
              <w:right w:type="dxa" w:w="72"/>
            </w:tcMar>
          </w:tcPr>
          <w:p>
            <w:pPr>
              <w:spacing w:after="40" w:before="40"/>
            </w:pPr>
            <w:r>
              <w:rPr>
                <w:color w:val="111827"/>
                <w:sz w:val="180"/>
                <w:szCs w:val="180"/>
              </w:rPr>
              <w:t xml:space="preserve">Significant impact on GxP functionality; workaround not acceptable long-term</w:t>
            </w:r>
          </w:p>
        </w:tc>
        <w:tc>
          <w:tcPr>
            <w:tcMar>
              <w:top w:type="dxa" w:w="28"/>
              <w:left w:type="dxa" w:w="72"/>
              <w:bottom w:type="dxa" w:w="28"/>
              <w:right w:type="dxa" w:w="72"/>
            </w:tcMar>
          </w:tcPr>
          <w:p>
            <w:pPr>
              <w:spacing w:after="40" w:before="40"/>
            </w:pPr>
            <w:r>
              <w:rPr>
                <w:color w:val="111827"/>
                <w:sz w:val="180"/>
                <w:szCs w:val="180"/>
              </w:rPr>
              <w:t xml:space="preserve">Must be resolved or have approved deviation before closure</w:t>
            </w:r>
          </w:p>
        </w:tc>
      </w:tr>
      <w:tr>
        <w:tc>
          <w:tcPr>
            <w:tcMar>
              <w:top w:type="dxa" w:w="28"/>
              <w:left w:type="dxa" w:w="72"/>
              <w:bottom w:type="dxa" w:w="28"/>
              <w:right w:type="dxa" w:w="72"/>
            </w:tcMar>
          </w:tcPr>
          <w:p>
            <w:pPr>
              <w:spacing w:after="40" w:before="40"/>
            </w:pPr>
            <w:r>
              <w:rPr>
                <w:color w:val="111827"/>
                <w:sz w:val="180"/>
                <w:szCs w:val="180"/>
              </w:rPr>
              <w:t xml:space="preserve">Minor</w:t>
            </w:r>
          </w:p>
        </w:tc>
        <w:tc>
          <w:tcPr>
            <w:tcMar>
              <w:top w:type="dxa" w:w="28"/>
              <w:left w:type="dxa" w:w="72"/>
              <w:bottom w:type="dxa" w:w="28"/>
              <w:right w:type="dxa" w:w="72"/>
            </w:tcMar>
          </w:tcPr>
          <w:p>
            <w:pPr>
              <w:spacing w:after="40" w:before="40"/>
            </w:pPr>
            <w:r>
              <w:rPr>
                <w:color w:val="111827"/>
                <w:sz w:val="180"/>
                <w:szCs w:val="180"/>
              </w:rPr>
              <w:t xml:space="preserve">Limited impact; workaround acceptable; does not affect regulatory compliance</w:t>
            </w:r>
          </w:p>
        </w:tc>
        <w:tc>
          <w:tcPr>
            <w:tcMar>
              <w:top w:type="dxa" w:w="28"/>
              <w:left w:type="dxa" w:w="72"/>
              <w:bottom w:type="dxa" w:w="28"/>
              <w:right w:type="dxa" w:w="72"/>
            </w:tcMar>
          </w:tcPr>
          <w:p>
            <w:pPr>
              <w:spacing w:after="40" w:before="40"/>
            </w:pPr>
            <w:r>
              <w:rPr>
                <w:color w:val="111827"/>
                <w:sz w:val="180"/>
                <w:szCs w:val="180"/>
              </w:rPr>
              <w:t xml:space="preserve">Shall be documented; resolution planned</w:t>
            </w:r>
          </w:p>
        </w:tc>
      </w:tr>
      <w:tr>
        <w:tc>
          <w:tcPr>
            <w:tcMar>
              <w:top w:type="dxa" w:w="28"/>
              <w:left w:type="dxa" w:w="72"/>
              <w:bottom w:type="dxa" w:w="28"/>
              <w:right w:type="dxa" w:w="72"/>
            </w:tcMar>
          </w:tcPr>
          <w:p>
            <w:pPr>
              <w:spacing w:after="40" w:before="40"/>
            </w:pPr>
            <w:r>
              <w:rPr>
                <w:color w:val="111827"/>
                <w:sz w:val="180"/>
                <w:szCs w:val="180"/>
              </w:rPr>
              <w:t xml:space="preserve">Cosmetic</w:t>
            </w:r>
          </w:p>
        </w:tc>
        <w:tc>
          <w:tcPr>
            <w:tcMar>
              <w:top w:type="dxa" w:w="28"/>
              <w:left w:type="dxa" w:w="72"/>
              <w:bottom w:type="dxa" w:w="28"/>
              <w:right w:type="dxa" w:w="72"/>
            </w:tcMar>
          </w:tcPr>
          <w:p>
            <w:pPr>
              <w:spacing w:after="40" w:before="40"/>
            </w:pPr>
            <w:r>
              <w:rPr>
                <w:color w:val="111827"/>
                <w:sz w:val="180"/>
                <w:szCs w:val="180"/>
              </w:rPr>
              <w:t xml:space="preserve">Appearance or wording issues with no functional impact</w:t>
            </w:r>
          </w:p>
        </w:tc>
        <w:tc>
          <w:tcPr>
            <w:tcMar>
              <w:top w:type="dxa" w:w="28"/>
              <w:left w:type="dxa" w:w="72"/>
              <w:bottom w:type="dxa" w:w="28"/>
              <w:right w:type="dxa" w:w="72"/>
            </w:tcMar>
          </w:tcPr>
          <w:p>
            <w:pPr>
              <w:spacing w:after="40" w:before="40"/>
            </w:pPr>
            <w:r>
              <w:rPr>
                <w:color w:val="111827"/>
                <w:sz w:val="180"/>
                <w:szCs w:val="180"/>
              </w:rPr>
              <w:t xml:space="preserve">Noted; optional resolution</w:t>
            </w:r>
          </w:p>
        </w:tc>
      </w:tr>
    </w:tbl>
    <w:p/>
    <w:p>
      <w:pPr>
        <w:pStyle w:val="Heading1"/>
        <w:spacing w:after="120" w:before="280"/>
        <w:rPr>
          <w:b/>
          <w:bCs/>
          <w:color w:val="1B2A4A"/>
          <w:sz w:val="280"/>
          <w:szCs w:val="280"/>
        </w:rPr>
      </w:pPr>
      <w:r>
        <w:t xml:space="preserve">7. Responsibilities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50"/>
      </w:tblGrid>
      <w:tr>
        <w:tc>
          <w:tcPr>
            <w:shd w:fill="1B2A4A" w:val="clear"/>
            <w:tcMar>
              <w:top w:type="dxa" w:w="28"/>
              <w:left w:type="dxa" w:w="72"/>
              <w:bottom w:type="dxa" w:w="28"/>
              <w:right w:type="dxa" w:w="72"/>
            </w:tcMar>
          </w:tcPr>
          <w:p>
            <w:pPr>
              <w:spacing w:after="40" w:before="40"/>
            </w:pPr>
            <w:r>
              <w:rPr>
                <w:b/>
                <w:bCs/>
                <w:color w:val="FFFFFF"/>
                <w:sz w:val="180"/>
                <w:szCs w:val="180"/>
              </w:rPr>
              <w:t xml:space="preserve">Activity</w:t>
            </w:r>
          </w:p>
        </w:tc>
        <w:tc>
          <w:tcPr>
            <w:shd w:fill="1B2A4A" w:val="clear"/>
            <w:tcMar>
              <w:top w:type="dxa" w:w="28"/>
              <w:left w:type="dxa" w:w="72"/>
              <w:bottom w:type="dxa" w:w="28"/>
              <w:right w:type="dxa" w:w="72"/>
            </w:tcMar>
          </w:tcPr>
          <w:p>
            <w:pPr>
              <w:spacing w:after="40" w:before="40"/>
            </w:pPr>
            <w:r>
              <w:rPr>
                <w:b/>
                <w:bCs/>
                <w:color w:val="FFFFFF"/>
                <w:sz w:val="180"/>
                <w:szCs w:val="180"/>
              </w:rPr>
              <w:t xml:space="preserve">Primary</w:t>
            </w:r>
          </w:p>
        </w:tc>
        <w:tc>
          <w:tcPr>
            <w:shd w:fill="1B2A4A" w:val="clear"/>
            <w:tcMar>
              <w:top w:type="dxa" w:w="28"/>
              <w:left w:type="dxa" w:w="72"/>
              <w:bottom w:type="dxa" w:w="28"/>
              <w:right w:type="dxa" w:w="72"/>
            </w:tcMar>
          </w:tcPr>
          <w:p>
            <w:pPr>
              <w:spacing w:after="40" w:before="40"/>
            </w:pPr>
            <w:r>
              <w:rPr>
                <w:b/>
                <w:bCs/>
                <w:color w:val="FFFFFF"/>
                <w:sz w:val="180"/>
                <w:szCs w:val="180"/>
              </w:rPr>
              <w:t xml:space="preserve">Support / Review</w:t>
            </w:r>
          </w:p>
        </w:tc>
      </w:tr>
      <w:tr>
        <w:tc>
          <w:tcPr>
            <w:tcMar>
              <w:top w:type="dxa" w:w="28"/>
              <w:left w:type="dxa" w:w="72"/>
              <w:bottom w:type="dxa" w:w="28"/>
              <w:right w:type="dxa" w:w="72"/>
            </w:tcMar>
          </w:tcPr>
          <w:p>
            <w:pPr>
              <w:spacing w:after="40" w:before="40"/>
            </w:pPr>
            <w:r>
              <w:rPr>
                <w:color w:val="111827"/>
                <w:sz w:val="180"/>
                <w:szCs w:val="180"/>
              </w:rPr>
              <w:t xml:space="preserve">Author validation documents</w:t>
            </w:r>
          </w:p>
        </w:tc>
        <w:tc>
          <w:tcPr>
            <w:tcMar>
              <w:top w:type="dxa" w:w="28"/>
              <w:left w:type="dxa" w:w="72"/>
              <w:bottom w:type="dxa" w:w="28"/>
              <w:right w:type="dxa" w:w="72"/>
            </w:tcMar>
          </w:tcPr>
          <w:p>
            <w:pPr>
              <w:spacing w:after="40" w:before="40"/>
            </w:pPr>
            <w:r>
              <w:rPr>
                <w:color w:val="111827"/>
                <w:sz w:val="180"/>
                <w:szCs w:val="180"/>
              </w:rPr>
              <w:t xml:space="preserve">Validation Expert</w:t>
            </w:r>
          </w:p>
        </w:tc>
        <w:tc>
          <w:tcPr>
            <w:tcMar>
              <w:top w:type="dxa" w:w="28"/>
              <w:left w:type="dxa" w:w="72"/>
              <w:bottom w:type="dxa" w:w="28"/>
              <w:right w:type="dxa" w:w="72"/>
            </w:tcMar>
          </w:tcPr>
          <w:p>
            <w:pPr>
              <w:spacing w:after="40" w:before="40"/>
            </w:pPr>
            <w:r>
              <w:rPr>
                <w:color w:val="111827"/>
                <w:sz w:val="180"/>
                <w:szCs w:val="180"/>
              </w:rPr>
              <w:t xml:space="preserve">BQR</w:t>
            </w:r>
          </w:p>
        </w:tc>
      </w:tr>
      <w:tr>
        <w:tc>
          <w:tcPr>
            <w:tcMar>
              <w:top w:type="dxa" w:w="28"/>
              <w:left w:type="dxa" w:w="72"/>
              <w:bottom w:type="dxa" w:w="28"/>
              <w:right w:type="dxa" w:w="72"/>
            </w:tcMar>
          </w:tcPr>
          <w:p>
            <w:pPr>
              <w:spacing w:after="40" w:before="40"/>
            </w:pPr>
            <w:r>
              <w:rPr>
                <w:color w:val="111827"/>
                <w:sz w:val="180"/>
                <w:szCs w:val="180"/>
              </w:rPr>
              <w:t xml:space="preserve">Review and approve validation documents</w:t>
            </w:r>
          </w:p>
        </w:tc>
        <w:tc>
          <w:tcPr>
            <w:tcMar>
              <w:top w:type="dxa" w:w="28"/>
              <w:left w:type="dxa" w:w="72"/>
              <w:bottom w:type="dxa" w:w="28"/>
              <w:right w:type="dxa" w:w="72"/>
            </w:tcMar>
          </w:tcPr>
          <w:p>
            <w:pPr>
              <w:spacing w:after="40" w:before="40"/>
            </w:pPr>
            <w:r>
              <w:rPr>
                <w:color w:val="111827"/>
                <w:sz w:val="180"/>
                <w:szCs w:val="180"/>
              </w:rPr>
              <w:t xml:space="preserve">BQR / System Owner</w:t>
            </w:r>
          </w:p>
        </w:tc>
        <w:tc>
          <w:tcPr>
            <w:tcMar>
              <w:top w:type="dxa" w:w="28"/>
              <w:left w:type="dxa" w:w="72"/>
              <w:bottom w:type="dxa" w:w="28"/>
              <w:right w:type="dxa" w:w="72"/>
            </w:tcMar>
          </w:tcPr>
          <w:p>
            <w:pPr>
              <w:spacing w:after="40" w:before="40"/>
            </w:pPr>
            <w:r>
              <w:rPr>
                <w:color w:val="111827"/>
                <w:sz w:val="180"/>
                <w:szCs w:val="180"/>
              </w:rPr>
              <w:t xml:space="preserve">Validation Expert</w:t>
            </w:r>
          </w:p>
        </w:tc>
      </w:tr>
      <w:tr>
        <w:tc>
          <w:tcPr>
            <w:tcMar>
              <w:top w:type="dxa" w:w="28"/>
              <w:left w:type="dxa" w:w="72"/>
              <w:bottom w:type="dxa" w:w="28"/>
              <w:right w:type="dxa" w:w="72"/>
            </w:tcMar>
          </w:tcPr>
          <w:p>
            <w:pPr>
              <w:spacing w:after="40" w:before="40"/>
            </w:pPr>
            <w:r>
              <w:rPr>
                <w:color w:val="111827"/>
                <w:sz w:val="180"/>
                <w:szCs w:val="180"/>
              </w:rPr>
              <w:t xml:space="preserve">Author and execute test scripts</w:t>
            </w:r>
          </w:p>
        </w:tc>
        <w:tc>
          <w:tcPr>
            <w:tcMar>
              <w:top w:type="dxa" w:w="28"/>
              <w:left w:type="dxa" w:w="72"/>
              <w:bottom w:type="dxa" w:w="28"/>
              <w:right w:type="dxa" w:w="72"/>
            </w:tcMar>
          </w:tcPr>
          <w:p>
            <w:pPr>
              <w:spacing w:after="40" w:before="40"/>
            </w:pPr>
            <w:r>
              <w:rPr>
                <w:color w:val="111827"/>
                <w:sz w:val="180"/>
                <w:szCs w:val="180"/>
              </w:rPr>
              <w:t xml:space="preserve">Validation Expert</w:t>
            </w:r>
          </w:p>
        </w:tc>
        <w:tc>
          <w:tcPr>
            <w:tcMar>
              <w:top w:type="dxa" w:w="28"/>
              <w:left w:type="dxa" w:w="72"/>
              <w:bottom w:type="dxa" w:w="28"/>
              <w:right w:type="dxa" w:w="72"/>
            </w:tcMar>
          </w:tcPr>
          <w:p>
            <w:pPr>
              <w:spacing w:after="40" w:before="40"/>
            </w:pPr>
            <w:r>
              <w:rPr>
                <w:color w:val="111827"/>
                <w:sz w:val="180"/>
                <w:szCs w:val="180"/>
              </w:rPr>
              <w:t xml:space="preserve">BQR / End User Representative</w:t>
            </w:r>
          </w:p>
        </w:tc>
      </w:tr>
      <w:tr>
        <w:tc>
          <w:tcPr>
            <w:tcMar>
              <w:top w:type="dxa" w:w="28"/>
              <w:left w:type="dxa" w:w="72"/>
              <w:bottom w:type="dxa" w:w="28"/>
              <w:right w:type="dxa" w:w="72"/>
            </w:tcMar>
          </w:tcPr>
          <w:p>
            <w:pPr>
              <w:spacing w:after="40" w:before="40"/>
            </w:pPr>
            <w:r>
              <w:rPr>
                <w:color w:val="111827"/>
                <w:sz w:val="180"/>
                <w:szCs w:val="180"/>
              </w:rPr>
              <w:t xml:space="preserve">Record and classify anomalies</w:t>
            </w:r>
          </w:p>
        </w:tc>
        <w:tc>
          <w:tcPr>
            <w:tcMar>
              <w:top w:type="dxa" w:w="28"/>
              <w:left w:type="dxa" w:w="72"/>
              <w:bottom w:type="dxa" w:w="28"/>
              <w:right w:type="dxa" w:w="72"/>
            </w:tcMar>
          </w:tcPr>
          <w:p>
            <w:pPr>
              <w:spacing w:after="40" w:before="40"/>
            </w:pPr>
            <w:r>
              <w:rPr>
                <w:color w:val="111827"/>
                <w:sz w:val="180"/>
                <w:szCs w:val="180"/>
              </w:rPr>
              <w:t xml:space="preserve">Test Executor</w:t>
            </w:r>
          </w:p>
        </w:tc>
        <w:tc>
          <w:tcPr>
            <w:tcMar>
              <w:top w:type="dxa" w:w="28"/>
              <w:left w:type="dxa" w:w="72"/>
              <w:bottom w:type="dxa" w:w="28"/>
              <w:right w:type="dxa" w:w="72"/>
            </w:tcMar>
          </w:tcPr>
          <w:p>
            <w:pPr>
              <w:spacing w:after="40" w:before="40"/>
            </w:pPr>
            <w:r>
              <w:rPr>
                <w:color w:val="111827"/>
                <w:sz w:val="180"/>
                <w:szCs w:val="180"/>
              </w:rPr>
              <w:t xml:space="preserve">BQR</w:t>
            </w:r>
          </w:p>
        </w:tc>
      </w:tr>
      <w:tr>
        <w:tc>
          <w:tcPr>
            <w:tcMar>
              <w:top w:type="dxa" w:w="28"/>
              <w:left w:type="dxa" w:w="72"/>
              <w:bottom w:type="dxa" w:w="28"/>
              <w:right w:type="dxa" w:w="72"/>
            </w:tcMar>
          </w:tcPr>
          <w:p>
            <w:pPr>
              <w:spacing w:after="40" w:before="40"/>
            </w:pPr>
            <w:r>
              <w:rPr>
                <w:color w:val="111827"/>
                <w:sz w:val="180"/>
                <w:szCs w:val="180"/>
              </w:rPr>
              <w:t xml:space="preserve">Resolve anomalies</w:t>
            </w:r>
          </w:p>
        </w:tc>
        <w:tc>
          <w:tcPr>
            <w:tcMar>
              <w:top w:type="dxa" w:w="28"/>
              <w:left w:type="dxa" w:w="72"/>
              <w:bottom w:type="dxa" w:w="28"/>
              <w:right w:type="dxa" w:w="72"/>
            </w:tcMar>
          </w:tcPr>
          <w:p>
            <w:pPr>
              <w:spacing w:after="40" w:before="40"/>
            </w:pPr>
            <w:r>
              <w:rPr>
                <w:color w:val="111827"/>
                <w:sz w:val="180"/>
                <w:szCs w:val="180"/>
              </w:rPr>
              <w:t xml:space="preserve">PTC / Development team</w:t>
            </w:r>
          </w:p>
        </w:tc>
        <w:tc>
          <w:tcPr>
            <w:tcMar>
              <w:top w:type="dxa" w:w="28"/>
              <w:left w:type="dxa" w:w="72"/>
              <w:bottom w:type="dxa" w:w="28"/>
              <w:right w:type="dxa" w:w="72"/>
            </w:tcMar>
          </w:tcPr>
          <w:p>
            <w:pPr>
              <w:spacing w:after="40" w:before="40"/>
            </w:pPr>
            <w:r>
              <w:rPr>
                <w:color w:val="111827"/>
                <w:sz w:val="180"/>
                <w:szCs w:val="180"/>
              </w:rPr>
              <w:t xml:space="preserve">Validation Expert</w:t>
            </w:r>
          </w:p>
        </w:tc>
      </w:tr>
      <w:tr>
        <w:tc>
          <w:tcPr>
            <w:tcMar>
              <w:top w:type="dxa" w:w="28"/>
              <w:left w:type="dxa" w:w="72"/>
              <w:bottom w:type="dxa" w:w="28"/>
              <w:right w:type="dxa" w:w="72"/>
            </w:tcMar>
          </w:tcPr>
          <w:p>
            <w:pPr>
              <w:spacing w:after="40" w:before="40"/>
            </w:pPr>
            <w:r>
              <w:rPr>
                <w:color w:val="111827"/>
                <w:sz w:val="180"/>
                <w:szCs w:val="180"/>
              </w:rPr>
              <w:t xml:space="preserve">Re-test after anomaly resolution</w:t>
            </w:r>
          </w:p>
        </w:tc>
        <w:tc>
          <w:tcPr>
            <w:tcMar>
              <w:top w:type="dxa" w:w="28"/>
              <w:left w:type="dxa" w:w="72"/>
              <w:bottom w:type="dxa" w:w="28"/>
              <w:right w:type="dxa" w:w="72"/>
            </w:tcMar>
          </w:tcPr>
          <w:p>
            <w:pPr>
              <w:spacing w:after="40" w:before="40"/>
            </w:pPr>
            <w:r>
              <w:rPr>
                <w:color w:val="111827"/>
                <w:sz w:val="180"/>
                <w:szCs w:val="180"/>
              </w:rPr>
              <w:t xml:space="preserve">Validation Expert</w:t>
            </w:r>
          </w:p>
        </w:tc>
        <w:tc>
          <w:tcPr>
            <w:tcMar>
              <w:top w:type="dxa" w:w="28"/>
              <w:left w:type="dxa" w:w="72"/>
              <w:bottom w:type="dxa" w:w="28"/>
              <w:right w:type="dxa" w:w="72"/>
            </w:tcMar>
          </w:tcPr>
          <w:p>
            <w:pPr>
              <w:spacing w:after="40" w:before="40"/>
            </w:pPr>
            <w:r>
              <w:rPr>
                <w:color w:val="111827"/>
                <w:sz w:val="180"/>
                <w:szCs w:val="180"/>
              </w:rPr>
              <w:t xml:space="preserve">BQR</w:t>
            </w:r>
          </w:p>
        </w:tc>
      </w:tr>
      <w:tr>
        <w:tc>
          <w:tcPr>
            <w:tcMar>
              <w:top w:type="dxa" w:w="28"/>
              <w:left w:type="dxa" w:w="72"/>
              <w:bottom w:type="dxa" w:w="28"/>
              <w:right w:type="dxa" w:w="72"/>
            </w:tcMar>
          </w:tcPr>
          <w:p>
            <w:pPr>
              <w:spacing w:after="40" w:before="40"/>
            </w:pPr>
            <w:r>
              <w:rPr>
                <w:color w:val="111827"/>
                <w:sz w:val="180"/>
                <w:szCs w:val="180"/>
              </w:rPr>
              <w:t xml:space="preserve">Approve Validation Report and AFU</w:t>
            </w:r>
          </w:p>
        </w:tc>
        <w:tc>
          <w:tcPr>
            <w:tcMar>
              <w:top w:type="dxa" w:w="28"/>
              <w:left w:type="dxa" w:w="72"/>
              <w:bottom w:type="dxa" w:w="28"/>
              <w:right w:type="dxa" w:w="72"/>
            </w:tcMar>
          </w:tcPr>
          <w:p>
            <w:pPr>
              <w:spacing w:after="40" w:before="40"/>
            </w:pPr>
            <w:r>
              <w:rPr>
                <w:color w:val="111827"/>
                <w:sz w:val="180"/>
                <w:szCs w:val="180"/>
              </w:rPr>
              <w:t xml:space="preserve">System Owner / BQR</w:t>
            </w:r>
          </w:p>
        </w:tc>
        <w:tc>
          <w:tcPr>
            <w:tcMar>
              <w:top w:type="dxa" w:w="28"/>
              <w:left w:type="dxa" w:w="72"/>
              <w:bottom w:type="dxa" w:w="28"/>
              <w:right w:type="dxa" w:w="72"/>
            </w:tcMar>
          </w:tcPr>
          <w:p>
            <w:pPr>
              <w:spacing w:after="40" w:before="40"/>
            </w:pPr>
            <w:r>
              <w:rPr>
                <w:color w:val="111827"/>
                <w:sz w:val="180"/>
                <w:szCs w:val="180"/>
              </w:rPr>
              <w:t xml:space="preserve">Validation Expert</w:t>
            </w:r>
          </w:p>
        </w:tc>
      </w:tr>
    </w:tbl>
    <w:p/>
    <w:p>
      <w:pPr>
        <w:pStyle w:val="Heading1"/>
        <w:spacing w:after="120" w:before="280"/>
        <w:rPr>
          <w:b/>
          <w:bCs/>
          <w:color w:val="1B2A4A"/>
          <w:sz w:val="280"/>
          <w:szCs w:val="280"/>
        </w:rPr>
      </w:pPr>
      <w:r>
        <w:t xml:space="preserve">8. Validation Deliverables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00"/>
        <w:gridCol w:w="3350"/>
        <w:gridCol w:w="2500"/>
      </w:tblGrid>
      <w:tr>
        <w:tc>
          <w:tcPr>
            <w:shd w:fill="1B2A4A" w:val="clear"/>
            <w:tcMar>
              <w:top w:type="dxa" w:w="28"/>
              <w:left w:type="dxa" w:w="72"/>
              <w:bottom w:type="dxa" w:w="28"/>
              <w:right w:type="dxa" w:w="72"/>
            </w:tcMar>
          </w:tcPr>
          <w:p>
            <w:pPr>
              <w:spacing w:after="40" w:before="40"/>
            </w:pPr>
            <w:r>
              <w:rPr>
                <w:b/>
                <w:bCs/>
                <w:color w:val="FFFFFF"/>
                <w:sz w:val="180"/>
                <w:szCs w:val="180"/>
              </w:rPr>
              <w:t xml:space="preserve">Deliverable</w:t>
            </w:r>
          </w:p>
        </w:tc>
        <w:tc>
          <w:tcPr>
            <w:shd w:fill="1B2A4A" w:val="clear"/>
            <w:tcMar>
              <w:top w:type="dxa" w:w="28"/>
              <w:left w:type="dxa" w:w="72"/>
              <w:bottom w:type="dxa" w:w="28"/>
              <w:right w:type="dxa" w:w="72"/>
            </w:tcMar>
          </w:tcPr>
          <w:p>
            <w:pPr>
              <w:spacing w:after="40" w:before="40"/>
            </w:pPr>
            <w:r>
              <w:rPr>
                <w:b/>
                <w:bCs/>
                <w:color w:val="FFFFFF"/>
                <w:sz w:val="180"/>
                <w:szCs w:val="180"/>
              </w:rPr>
              <w:t xml:space="preserve">Document Number</w:t>
            </w:r>
          </w:p>
        </w:tc>
        <w:tc>
          <w:tcPr>
            <w:shd w:fill="1B2A4A" w:val="clear"/>
            <w:tcMar>
              <w:top w:type="dxa" w:w="28"/>
              <w:left w:type="dxa" w:w="72"/>
              <w:bottom w:type="dxa" w:w="28"/>
              <w:right w:type="dxa" w:w="72"/>
            </w:tcMar>
          </w:tcPr>
          <w:p>
            <w:pPr>
              <w:spacing w:after="40" w:before="40"/>
            </w:pPr>
            <w:r>
              <w:rPr>
                <w:b/>
                <w:bCs/>
                <w:color w:val="FFFFFF"/>
                <w:sz w:val="180"/>
                <w:szCs w:val="180"/>
              </w:rPr>
              <w:t xml:space="preserve">Owner</w:t>
            </w:r>
          </w:p>
        </w:tc>
      </w:tr>
      <w:tr>
        <w:tc>
          <w:tcPr>
            <w:tcMar>
              <w:top w:type="dxa" w:w="28"/>
              <w:left w:type="dxa" w:w="72"/>
              <w:bottom w:type="dxa" w:w="28"/>
              <w:right w:type="dxa" w:w="72"/>
            </w:tcMar>
          </w:tcPr>
          <w:p>
            <w:pPr>
              <w:spacing w:after="40" w:before="40"/>
            </w:pPr>
            <w:r>
              <w:rPr>
                <w:color w:val="111827"/>
                <w:sz w:val="180"/>
                <w:szCs w:val="180"/>
              </w:rPr>
              <w:t xml:space="preserve">Project Plan</w:t>
            </w:r>
          </w:p>
        </w:tc>
        <w:tc>
          <w:tcPr>
            <w:tcMar>
              <w:top w:type="dxa" w:w="28"/>
              <w:left w:type="dxa" w:w="72"/>
              <w:bottom w:type="dxa" w:w="28"/>
              <w:right w:type="dxa" w:w="72"/>
            </w:tcMar>
          </w:tcPr>
          <w:p>
            <w:pPr>
              <w:spacing w:after="40" w:before="40"/>
            </w:pPr>
            <w:r>
              <w:rPr>
                <w:color w:val="111827"/>
                <w:sz w:val="180"/>
                <w:szCs w:val="180"/>
              </w:rPr>
              <w:t xml:space="preserve">CPT-VL-ISVP-PP Capalyst-001</w:t>
            </w:r>
          </w:p>
        </w:tc>
        <w:tc>
          <w:tcPr>
            <w:tcMar>
              <w:top w:type="dxa" w:w="28"/>
              <w:left w:type="dxa" w:w="72"/>
              <w:bottom w:type="dxa" w:w="28"/>
              <w:right w:type="dxa" w:w="72"/>
            </w:tcMar>
          </w:tcPr>
          <w:p>
            <w:pPr>
              <w:spacing w:after="40" w:before="40"/>
            </w:pPr>
            <w:r>
              <w:rPr>
                <w:color w:val="111827"/>
                <w:sz w:val="180"/>
                <w:szCs w:val="180"/>
              </w:rPr>
              <w:t xml:space="preserve">PM</w:t>
            </w:r>
          </w:p>
        </w:tc>
      </w:tr>
      <w:tr>
        <w:tc>
          <w:tcPr>
            <w:tcMar>
              <w:top w:type="dxa" w:w="28"/>
              <w:left w:type="dxa" w:w="72"/>
              <w:bottom w:type="dxa" w:w="28"/>
              <w:right w:type="dxa" w:w="72"/>
            </w:tcMar>
          </w:tcPr>
          <w:p>
            <w:pPr>
              <w:spacing w:after="40" w:before="40"/>
            </w:pPr>
            <w:r>
              <w:rPr>
                <w:color w:val="111827"/>
                <w:sz w:val="180"/>
                <w:szCs w:val="180"/>
              </w:rPr>
              <w:t xml:space="preserve">System Criticality Assessment</w:t>
            </w:r>
          </w:p>
        </w:tc>
        <w:tc>
          <w:tcPr>
            <w:tcMar>
              <w:top w:type="dxa" w:w="28"/>
              <w:left w:type="dxa" w:w="72"/>
              <w:bottom w:type="dxa" w:w="28"/>
              <w:right w:type="dxa" w:w="72"/>
            </w:tcMar>
          </w:tcPr>
          <w:p>
            <w:pPr>
              <w:spacing w:after="40" w:before="40"/>
            </w:pPr>
            <w:r>
              <w:rPr>
                <w:color w:val="111827"/>
                <w:sz w:val="180"/>
                <w:szCs w:val="180"/>
              </w:rPr>
              <w:t xml:space="preserve">CPT-VL-ISVP-SCA Capalyst-001</w:t>
            </w:r>
          </w:p>
        </w:tc>
        <w:tc>
          <w:tcPr>
            <w:tcMar>
              <w:top w:type="dxa" w:w="28"/>
              <w:left w:type="dxa" w:w="72"/>
              <w:bottom w:type="dxa" w:w="28"/>
              <w:right w:type="dxa" w:w="72"/>
            </w:tcMar>
          </w:tcPr>
          <w:p>
            <w:pPr>
              <w:spacing w:after="40" w:before="40"/>
            </w:pPr>
            <w:r>
              <w:rPr>
                <w:color w:val="111827"/>
                <w:sz w:val="180"/>
                <w:szCs w:val="180"/>
              </w:rPr>
              <w:t xml:space="preserve">VE</w:t>
            </w:r>
          </w:p>
        </w:tc>
      </w:tr>
      <w:tr>
        <w:tc>
          <w:tcPr>
            <w:tcMar>
              <w:top w:type="dxa" w:w="28"/>
              <w:left w:type="dxa" w:w="72"/>
              <w:bottom w:type="dxa" w:w="28"/>
              <w:right w:type="dxa" w:w="72"/>
            </w:tcMar>
          </w:tcPr>
          <w:p>
            <w:pPr>
              <w:spacing w:after="40" w:before="40"/>
            </w:pPr>
            <w:r>
              <w:rPr>
                <w:color w:val="111827"/>
                <w:sz w:val="180"/>
                <w:szCs w:val="180"/>
              </w:rPr>
              <w:t xml:space="preserve">User Requirements Specification</w:t>
            </w:r>
          </w:p>
        </w:tc>
        <w:tc>
          <w:tcPr>
            <w:tcMar>
              <w:top w:type="dxa" w:w="28"/>
              <w:left w:type="dxa" w:w="72"/>
              <w:bottom w:type="dxa" w:w="28"/>
              <w:right w:type="dxa" w:w="72"/>
            </w:tcMar>
          </w:tcPr>
          <w:p>
            <w:pPr>
              <w:spacing w:after="40" w:before="40"/>
            </w:pPr>
            <w:r>
              <w:rPr>
                <w:color w:val="111827"/>
                <w:sz w:val="180"/>
                <w:szCs w:val="180"/>
              </w:rPr>
              <w:t xml:space="preserve">CPT-VL-ISVP-UR Capalyst-001</w:t>
            </w:r>
          </w:p>
        </w:tc>
        <w:tc>
          <w:tcPr>
            <w:tcMar>
              <w:top w:type="dxa" w:w="28"/>
              <w:left w:type="dxa" w:w="72"/>
              <w:bottom w:type="dxa" w:w="28"/>
              <w:right w:type="dxa" w:w="72"/>
            </w:tcMar>
          </w:tcPr>
          <w:p>
            <w:pPr>
              <w:spacing w:after="40" w:before="40"/>
            </w:pPr>
            <w:r>
              <w:rPr>
                <w:color w:val="111827"/>
                <w:sz w:val="180"/>
                <w:szCs w:val="180"/>
              </w:rPr>
              <w:t xml:space="preserve">VE</w:t>
            </w:r>
          </w:p>
        </w:tc>
      </w:tr>
      <w:tr>
        <w:tc>
          <w:tcPr>
            <w:tcMar>
              <w:top w:type="dxa" w:w="28"/>
              <w:left w:type="dxa" w:w="72"/>
              <w:bottom w:type="dxa" w:w="28"/>
              <w:right w:type="dxa" w:w="72"/>
            </w:tcMar>
          </w:tcPr>
          <w:p>
            <w:pPr>
              <w:spacing w:after="40" w:before="40"/>
            </w:pPr>
            <w:r>
              <w:rPr>
                <w:color w:val="111827"/>
                <w:sz w:val="180"/>
                <w:szCs w:val="180"/>
              </w:rPr>
              <w:t xml:space="preserve">Validation Plan</w:t>
            </w:r>
          </w:p>
        </w:tc>
        <w:tc>
          <w:tcPr>
            <w:tcMar>
              <w:top w:type="dxa" w:w="28"/>
              <w:left w:type="dxa" w:w="72"/>
              <w:bottom w:type="dxa" w:w="28"/>
              <w:right w:type="dxa" w:w="72"/>
            </w:tcMar>
          </w:tcPr>
          <w:p>
            <w:pPr>
              <w:spacing w:after="40" w:before="40"/>
            </w:pPr>
            <w:r>
              <w:rPr>
                <w:color w:val="111827"/>
                <w:sz w:val="180"/>
                <w:szCs w:val="180"/>
              </w:rPr>
              <w:t xml:space="preserve">CPT-VL-ISVP-VP Capalyst-001</w:t>
            </w:r>
          </w:p>
        </w:tc>
        <w:tc>
          <w:tcPr>
            <w:tcMar>
              <w:top w:type="dxa" w:w="28"/>
              <w:left w:type="dxa" w:w="72"/>
              <w:bottom w:type="dxa" w:w="28"/>
              <w:right w:type="dxa" w:w="72"/>
            </w:tcMar>
          </w:tcPr>
          <w:p>
            <w:pPr>
              <w:spacing w:after="40" w:before="40"/>
            </w:pPr>
            <w:r>
              <w:rPr>
                <w:color w:val="111827"/>
                <w:sz w:val="180"/>
                <w:szCs w:val="180"/>
              </w:rPr>
              <w:t xml:space="preserve">VE</w:t>
            </w:r>
          </w:p>
        </w:tc>
      </w:tr>
      <w:tr>
        <w:tc>
          <w:tcPr>
            <w:tcMar>
              <w:top w:type="dxa" w:w="28"/>
              <w:left w:type="dxa" w:w="72"/>
              <w:bottom w:type="dxa" w:w="28"/>
              <w:right w:type="dxa" w:w="72"/>
            </w:tcMar>
          </w:tcPr>
          <w:p>
            <w:pPr>
              <w:spacing w:after="40" w:before="40"/>
            </w:pPr>
            <w:r>
              <w:rPr>
                <w:color w:val="111827"/>
                <w:sz w:val="180"/>
                <w:szCs w:val="180"/>
              </w:rPr>
              <w:t xml:space="preserve">Architecture Specification</w:t>
            </w:r>
          </w:p>
        </w:tc>
        <w:tc>
          <w:tcPr>
            <w:tcMar>
              <w:top w:type="dxa" w:w="28"/>
              <w:left w:type="dxa" w:w="72"/>
              <w:bottom w:type="dxa" w:w="28"/>
              <w:right w:type="dxa" w:w="72"/>
            </w:tcMar>
          </w:tcPr>
          <w:p>
            <w:pPr>
              <w:spacing w:after="40" w:before="40"/>
            </w:pPr>
            <w:r>
              <w:rPr>
                <w:color w:val="111827"/>
                <w:sz w:val="180"/>
                <w:szCs w:val="180"/>
              </w:rPr>
              <w:t xml:space="preserve">CPT-VL-ISVP-ArS Capalyst-001</w:t>
            </w:r>
          </w:p>
        </w:tc>
        <w:tc>
          <w:tcPr>
            <w:tcMar>
              <w:top w:type="dxa" w:w="28"/>
              <w:left w:type="dxa" w:w="72"/>
              <w:bottom w:type="dxa" w:w="28"/>
              <w:right w:type="dxa" w:w="72"/>
            </w:tcMar>
          </w:tcPr>
          <w:p>
            <w:pPr>
              <w:spacing w:after="40" w:before="40"/>
            </w:pPr>
            <w:r>
              <w:rPr>
                <w:color w:val="111827"/>
                <w:sz w:val="180"/>
                <w:szCs w:val="180"/>
              </w:rPr>
              <w:t xml:space="preserve">IE</w:t>
            </w:r>
          </w:p>
        </w:tc>
      </w:tr>
      <w:tr>
        <w:tc>
          <w:tcPr>
            <w:tcMar>
              <w:top w:type="dxa" w:w="28"/>
              <w:left w:type="dxa" w:w="72"/>
              <w:bottom w:type="dxa" w:w="28"/>
              <w:right w:type="dxa" w:w="72"/>
            </w:tcMar>
          </w:tcPr>
          <w:p>
            <w:pPr>
              <w:spacing w:after="40" w:before="40"/>
            </w:pPr>
            <w:r>
              <w:rPr>
                <w:color w:val="111827"/>
                <w:sz w:val="180"/>
                <w:szCs w:val="180"/>
              </w:rPr>
              <w:t xml:space="preserve">Data Migration Plan</w:t>
            </w:r>
          </w:p>
        </w:tc>
        <w:tc>
          <w:tcPr>
            <w:tcMar>
              <w:top w:type="dxa" w:w="28"/>
              <w:left w:type="dxa" w:w="72"/>
              <w:bottom w:type="dxa" w:w="28"/>
              <w:right w:type="dxa" w:w="72"/>
            </w:tcMar>
          </w:tcPr>
          <w:p>
            <w:pPr>
              <w:spacing w:after="40" w:before="40"/>
            </w:pPr>
            <w:r>
              <w:rPr>
                <w:color w:val="111827"/>
                <w:sz w:val="180"/>
                <w:szCs w:val="180"/>
              </w:rPr>
              <w:t xml:space="preserve">CPT-VL-ISVP-DMP Capalyst-001</w:t>
            </w:r>
          </w:p>
        </w:tc>
        <w:tc>
          <w:tcPr>
            <w:tcMar>
              <w:top w:type="dxa" w:w="28"/>
              <w:left w:type="dxa" w:w="72"/>
              <w:bottom w:type="dxa" w:w="28"/>
              <w:right w:type="dxa" w:w="72"/>
            </w:tcMar>
          </w:tcPr>
          <w:p>
            <w:pPr>
              <w:spacing w:after="40" w:before="40"/>
            </w:pPr>
            <w:r>
              <w:rPr>
                <w:color w:val="111827"/>
                <w:sz w:val="180"/>
                <w:szCs w:val="180"/>
              </w:rPr>
              <w:t xml:space="preserve">VE</w:t>
            </w:r>
          </w:p>
        </w:tc>
      </w:tr>
      <w:tr>
        <w:tc>
          <w:tcPr>
            <w:tcMar>
              <w:top w:type="dxa" w:w="28"/>
              <w:left w:type="dxa" w:w="72"/>
              <w:bottom w:type="dxa" w:w="28"/>
              <w:right w:type="dxa" w:w="72"/>
            </w:tcMar>
          </w:tcPr>
          <w:p>
            <w:pPr>
              <w:spacing w:after="40" w:before="40"/>
            </w:pPr>
            <w:r>
              <w:rPr>
                <w:color w:val="111827"/>
                <w:sz w:val="180"/>
                <w:szCs w:val="180"/>
              </w:rPr>
              <w:t xml:space="preserve">Installation Qualification</w:t>
            </w:r>
          </w:p>
        </w:tc>
        <w:tc>
          <w:tcPr>
            <w:tcMar>
              <w:top w:type="dxa" w:w="28"/>
              <w:left w:type="dxa" w:w="72"/>
              <w:bottom w:type="dxa" w:w="28"/>
              <w:right w:type="dxa" w:w="72"/>
            </w:tcMar>
          </w:tcPr>
          <w:p>
            <w:pPr>
              <w:spacing w:after="40" w:before="40"/>
            </w:pPr>
            <w:r>
              <w:rPr>
                <w:color w:val="111827"/>
                <w:sz w:val="180"/>
                <w:szCs w:val="180"/>
              </w:rPr>
              <w:t xml:space="preserve">CPT-VL-ISVP-IQ Capalyst-001</w:t>
            </w:r>
          </w:p>
        </w:tc>
        <w:tc>
          <w:tcPr>
            <w:tcMar>
              <w:top w:type="dxa" w:w="28"/>
              <w:left w:type="dxa" w:w="72"/>
              <w:bottom w:type="dxa" w:w="28"/>
              <w:right w:type="dxa" w:w="72"/>
            </w:tcMar>
          </w:tcPr>
          <w:p>
            <w:pPr>
              <w:spacing w:after="40" w:before="40"/>
            </w:pPr>
            <w:r>
              <w:rPr>
                <w:color w:val="111827"/>
                <w:sz w:val="180"/>
                <w:szCs w:val="180"/>
              </w:rPr>
              <w:t xml:space="preserve">VE / IE</w:t>
            </w:r>
          </w:p>
        </w:tc>
      </w:tr>
      <w:tr>
        <w:tc>
          <w:tcPr>
            <w:tcMar>
              <w:top w:type="dxa" w:w="28"/>
              <w:left w:type="dxa" w:w="72"/>
              <w:bottom w:type="dxa" w:w="28"/>
              <w:right w:type="dxa" w:w="72"/>
            </w:tcMar>
          </w:tcPr>
          <w:p>
            <w:pPr>
              <w:spacing w:after="40" w:before="40"/>
            </w:pPr>
            <w:r>
              <w:rPr>
                <w:color w:val="111827"/>
                <w:sz w:val="180"/>
                <w:szCs w:val="180"/>
              </w:rPr>
              <w:t xml:space="preserve">IAOM</w:t>
            </w:r>
          </w:p>
        </w:tc>
        <w:tc>
          <w:tcPr>
            <w:tcMar>
              <w:top w:type="dxa" w:w="28"/>
              <w:left w:type="dxa" w:w="72"/>
              <w:bottom w:type="dxa" w:w="28"/>
              <w:right w:type="dxa" w:w="72"/>
            </w:tcMar>
          </w:tcPr>
          <w:p>
            <w:pPr>
              <w:spacing w:after="40" w:before="40"/>
            </w:pPr>
            <w:r>
              <w:rPr>
                <w:color w:val="111827"/>
                <w:sz w:val="180"/>
                <w:szCs w:val="180"/>
              </w:rPr>
              <w:t xml:space="preserve">CPT-VL-ISVP-IAOM Capalyst-001</w:t>
            </w:r>
          </w:p>
        </w:tc>
        <w:tc>
          <w:tcPr>
            <w:tcMar>
              <w:top w:type="dxa" w:w="28"/>
              <w:left w:type="dxa" w:w="72"/>
              <w:bottom w:type="dxa" w:w="28"/>
              <w:right w:type="dxa" w:w="72"/>
            </w:tcMar>
          </w:tcPr>
          <w:p>
            <w:pPr>
              <w:spacing w:after="40" w:before="40"/>
            </w:pPr>
            <w:r>
              <w:rPr>
                <w:color w:val="111827"/>
                <w:sz w:val="180"/>
                <w:szCs w:val="180"/>
              </w:rPr>
              <w:t xml:space="preserve">IE</w:t>
            </w:r>
          </w:p>
        </w:tc>
      </w:tr>
      <w:tr>
        <w:tc>
          <w:tcPr>
            <w:tcMar>
              <w:top w:type="dxa" w:w="28"/>
              <w:left w:type="dxa" w:w="72"/>
              <w:bottom w:type="dxa" w:w="28"/>
              <w:right w:type="dxa" w:w="72"/>
            </w:tcMar>
          </w:tcPr>
          <w:p>
            <w:pPr>
              <w:spacing w:after="40" w:before="40"/>
            </w:pPr>
            <w:r>
              <w:rPr>
                <w:color w:val="111827"/>
                <w:sz w:val="180"/>
                <w:szCs w:val="180"/>
              </w:rPr>
              <w:t xml:space="preserve">Test Report</w:t>
            </w:r>
          </w:p>
        </w:tc>
        <w:tc>
          <w:tcPr>
            <w:tcMar>
              <w:top w:type="dxa" w:w="28"/>
              <w:left w:type="dxa" w:w="72"/>
              <w:bottom w:type="dxa" w:w="28"/>
              <w:right w:type="dxa" w:w="72"/>
            </w:tcMar>
          </w:tcPr>
          <w:p>
            <w:pPr>
              <w:spacing w:after="40" w:before="40"/>
            </w:pPr>
            <w:r>
              <w:rPr>
                <w:color w:val="111827"/>
                <w:sz w:val="180"/>
                <w:szCs w:val="180"/>
              </w:rPr>
              <w:t xml:space="preserve">CPT-VL-ISVP-TR Capalyst-001</w:t>
            </w:r>
          </w:p>
        </w:tc>
        <w:tc>
          <w:tcPr>
            <w:tcMar>
              <w:top w:type="dxa" w:w="28"/>
              <w:left w:type="dxa" w:w="72"/>
              <w:bottom w:type="dxa" w:w="28"/>
              <w:right w:type="dxa" w:w="72"/>
            </w:tcMar>
          </w:tcPr>
          <w:p>
            <w:pPr>
              <w:spacing w:after="40" w:before="40"/>
            </w:pPr>
            <w:r>
              <w:rPr>
                <w:color w:val="111827"/>
                <w:sz w:val="180"/>
                <w:szCs w:val="180"/>
              </w:rPr>
              <w:t xml:space="preserve">VE</w:t>
            </w:r>
          </w:p>
        </w:tc>
      </w:tr>
      <w:tr>
        <w:tc>
          <w:tcPr>
            <w:tcMar>
              <w:top w:type="dxa" w:w="28"/>
              <w:left w:type="dxa" w:w="72"/>
              <w:bottom w:type="dxa" w:w="28"/>
              <w:right w:type="dxa" w:w="72"/>
            </w:tcMar>
          </w:tcPr>
          <w:p>
            <w:pPr>
              <w:spacing w:after="40" w:before="40"/>
            </w:pPr>
            <w:r>
              <w:rPr>
                <w:color w:val="111827"/>
                <w:sz w:val="180"/>
                <w:szCs w:val="180"/>
              </w:rPr>
              <w:t xml:space="preserve">Database Comparison</w:t>
            </w:r>
          </w:p>
        </w:tc>
        <w:tc>
          <w:tcPr>
            <w:tcMar>
              <w:top w:type="dxa" w:w="28"/>
              <w:left w:type="dxa" w:w="72"/>
              <w:bottom w:type="dxa" w:w="28"/>
              <w:right w:type="dxa" w:w="72"/>
            </w:tcMar>
          </w:tcPr>
          <w:p>
            <w:pPr>
              <w:spacing w:after="40" w:before="40"/>
            </w:pPr>
            <w:r>
              <w:rPr>
                <w:color w:val="111827"/>
                <w:sz w:val="180"/>
                <w:szCs w:val="180"/>
              </w:rPr>
              <w:t xml:space="preserve">CPT-VL-ISVP-DBC Capalyst-001</w:t>
            </w:r>
          </w:p>
        </w:tc>
        <w:tc>
          <w:tcPr>
            <w:tcMar>
              <w:top w:type="dxa" w:w="28"/>
              <w:left w:type="dxa" w:w="72"/>
              <w:bottom w:type="dxa" w:w="28"/>
              <w:right w:type="dxa" w:w="72"/>
            </w:tcMar>
          </w:tcPr>
          <w:p>
            <w:pPr>
              <w:spacing w:after="40" w:before="40"/>
            </w:pPr>
            <w:r>
              <w:rPr>
                <w:color w:val="111827"/>
                <w:sz w:val="180"/>
                <w:szCs w:val="180"/>
              </w:rPr>
              <w:t xml:space="preserve">VE / IE</w:t>
            </w:r>
          </w:p>
        </w:tc>
      </w:tr>
      <w:tr>
        <w:tc>
          <w:tcPr>
            <w:tcMar>
              <w:top w:type="dxa" w:w="28"/>
              <w:left w:type="dxa" w:w="72"/>
              <w:bottom w:type="dxa" w:w="28"/>
              <w:right w:type="dxa" w:w="72"/>
            </w:tcMar>
          </w:tcPr>
          <w:p>
            <w:pPr>
              <w:spacing w:after="40" w:before="40"/>
            </w:pPr>
            <w:r>
              <w:rPr>
                <w:color w:val="111827"/>
                <w:sz w:val="180"/>
                <w:szCs w:val="180"/>
              </w:rPr>
              <w:t xml:space="preserve">Authorization for Use</w:t>
            </w:r>
          </w:p>
        </w:tc>
        <w:tc>
          <w:tcPr>
            <w:tcMar>
              <w:top w:type="dxa" w:w="28"/>
              <w:left w:type="dxa" w:w="72"/>
              <w:bottom w:type="dxa" w:w="28"/>
              <w:right w:type="dxa" w:w="72"/>
            </w:tcMar>
          </w:tcPr>
          <w:p>
            <w:pPr>
              <w:spacing w:after="40" w:before="40"/>
            </w:pPr>
            <w:r>
              <w:rPr>
                <w:color w:val="111827"/>
                <w:sz w:val="180"/>
                <w:szCs w:val="180"/>
              </w:rPr>
              <w:t xml:space="preserve">CPT-VL-ISVP-AFU Capalyst-001</w:t>
            </w:r>
          </w:p>
        </w:tc>
        <w:tc>
          <w:tcPr>
            <w:tcMar>
              <w:top w:type="dxa" w:w="28"/>
              <w:left w:type="dxa" w:w="72"/>
              <w:bottom w:type="dxa" w:w="28"/>
              <w:right w:type="dxa" w:w="72"/>
            </w:tcMar>
          </w:tcPr>
          <w:p>
            <w:pPr>
              <w:spacing w:after="40" w:before="40"/>
            </w:pPr>
            <w:r>
              <w:rPr>
                <w:color w:val="111827"/>
                <w:sz w:val="180"/>
                <w:szCs w:val="180"/>
              </w:rPr>
              <w:t xml:space="preserve">SO / BQR</w:t>
            </w:r>
          </w:p>
        </w:tc>
      </w:tr>
      <w:tr>
        <w:tc>
          <w:tcPr>
            <w:tcMar>
              <w:top w:type="dxa" w:w="28"/>
              <w:left w:type="dxa" w:w="72"/>
              <w:bottom w:type="dxa" w:w="28"/>
              <w:right w:type="dxa" w:w="72"/>
            </w:tcMar>
          </w:tcPr>
          <w:p>
            <w:pPr>
              <w:spacing w:after="40" w:before="40"/>
            </w:pPr>
            <w:r>
              <w:rPr>
                <w:color w:val="111827"/>
                <w:sz w:val="180"/>
                <w:szCs w:val="180"/>
              </w:rPr>
              <w:t xml:space="preserve">Validation Report</w:t>
            </w:r>
          </w:p>
        </w:tc>
        <w:tc>
          <w:tcPr>
            <w:tcMar>
              <w:top w:type="dxa" w:w="28"/>
              <w:left w:type="dxa" w:w="72"/>
              <w:bottom w:type="dxa" w:w="28"/>
              <w:right w:type="dxa" w:w="72"/>
            </w:tcMar>
          </w:tcPr>
          <w:p>
            <w:pPr>
              <w:spacing w:after="40" w:before="40"/>
            </w:pPr>
            <w:r>
              <w:rPr>
                <w:color w:val="111827"/>
                <w:sz w:val="180"/>
                <w:szCs w:val="180"/>
              </w:rPr>
              <w:t xml:space="preserve">CPT-VL-ISVP-VR Capalyst-001</w:t>
            </w:r>
          </w:p>
        </w:tc>
        <w:tc>
          <w:tcPr>
            <w:tcMar>
              <w:top w:type="dxa" w:w="28"/>
              <w:left w:type="dxa" w:w="72"/>
              <w:bottom w:type="dxa" w:w="28"/>
              <w:right w:type="dxa" w:w="72"/>
            </w:tcMar>
          </w:tcPr>
          <w:p>
            <w:pPr>
              <w:spacing w:after="40" w:before="40"/>
            </w:pPr>
            <w:r>
              <w:rPr>
                <w:color w:val="111827"/>
                <w:sz w:val="180"/>
                <w:szCs w:val="180"/>
              </w:rPr>
              <w:t xml:space="preserve">VE</w:t>
            </w:r>
          </w:p>
        </w:tc>
      </w:tr>
    </w:tbl>
    <w:p/>
    <w:p>
      <w:pPr>
        <w:pStyle w:val="Heading1"/>
        <w:spacing w:after="120" w:before="280"/>
        <w:rPr>
          <w:b/>
          <w:bCs/>
          <w:color w:val="1B2A4A"/>
          <w:sz w:val="280"/>
          <w:szCs w:val="280"/>
        </w:rPr>
      </w:pPr>
      <w:r>
        <w:t xml:space="preserve">9. Approval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1850"/>
      </w:tblGrid>
      <w:tr>
        <w:tc>
          <w:tcPr>
            <w:shd w:fill="1B2A4A" w:val="clear"/>
            <w:tcMar>
              <w:top w:type="dxa" w:w="28"/>
              <w:left w:type="dxa" w:w="72"/>
              <w:bottom w:type="dxa" w:w="28"/>
              <w:right w:type="dxa" w:w="72"/>
            </w:tcMar>
          </w:tcPr>
          <w:p>
            <w:pPr>
              <w:spacing w:after="40" w:before="40"/>
            </w:pPr>
            <w:r>
              <w:rPr>
                <w:b/>
                <w:bCs/>
                <w:color w:val="FFFFFF"/>
                <w:sz w:val="180"/>
                <w:szCs w:val="180"/>
              </w:rPr>
              <w:t xml:space="preserve">Role</w:t>
            </w:r>
          </w:p>
        </w:tc>
        <w:tc>
          <w:tcPr>
            <w:shd w:fill="1B2A4A" w:val="clear"/>
            <w:tcMar>
              <w:top w:type="dxa" w:w="28"/>
              <w:left w:type="dxa" w:w="72"/>
              <w:bottom w:type="dxa" w:w="28"/>
              <w:right w:type="dxa" w:w="72"/>
            </w:tcMar>
          </w:tcPr>
          <w:p>
            <w:pPr>
              <w:spacing w:after="40" w:before="40"/>
            </w:pPr>
            <w:r>
              <w:rPr>
                <w:b/>
                <w:bCs/>
                <w:color w:val="FFFFFF"/>
                <w:sz w:val="180"/>
                <w:szCs w:val="180"/>
              </w:rPr>
              <w:t xml:space="preserve">Name</w:t>
            </w:r>
          </w:p>
        </w:tc>
        <w:tc>
          <w:tcPr>
            <w:shd w:fill="1B2A4A" w:val="clear"/>
            <w:tcMar>
              <w:top w:type="dxa" w:w="28"/>
              <w:left w:type="dxa" w:w="72"/>
              <w:bottom w:type="dxa" w:w="28"/>
              <w:right w:type="dxa" w:w="72"/>
            </w:tcMar>
          </w:tcPr>
          <w:p>
            <w:pPr>
              <w:spacing w:after="40" w:before="40"/>
            </w:pPr>
            <w:r>
              <w:rPr>
                <w:b/>
                <w:bCs/>
                <w:color w:val="FFFFFF"/>
                <w:sz w:val="180"/>
                <w:szCs w:val="180"/>
              </w:rPr>
              <w:t xml:space="preserve">Signature</w:t>
            </w:r>
          </w:p>
        </w:tc>
        <w:tc>
          <w:tcPr>
            <w:shd w:fill="1B2A4A" w:val="clear"/>
            <w:tcMar>
              <w:top w:type="dxa" w:w="28"/>
              <w:left w:type="dxa" w:w="72"/>
              <w:bottom w:type="dxa" w:w="28"/>
              <w:right w:type="dxa" w:w="72"/>
            </w:tcMar>
          </w:tcPr>
          <w:p>
            <w:pPr>
              <w:spacing w:after="40" w:before="40"/>
            </w:pPr>
            <w:r>
              <w:rPr>
                <w:b/>
                <w:bCs/>
                <w:color w:val="FFFFFF"/>
                <w:sz w:val="180"/>
                <w:szCs w:val="180"/>
              </w:rPr>
              <w:t xml:space="preserve">Date</w:t>
            </w:r>
          </w:p>
        </w:tc>
      </w:tr>
      <w:tr>
        <w:tc>
          <w:tcPr>
            <w:tcMar>
              <w:left w:type="dxa" w:w="72"/>
              <w:right w:type="dxa" w:w="72"/>
            </w:tcMar>
          </w:tcPr>
          <w:p>
            <w:pPr>
              <w:spacing w:after="360" w:before="40"/>
            </w:pPr>
            <w:r>
              <w:rPr>
                <w:color w:val="111827"/>
                <w:sz w:val="180"/>
                <w:szCs w:val="180"/>
              </w:rPr>
              <w:t xml:space="preserve">System Owner</w:t>
            </w:r>
          </w:p>
        </w:tc>
        <w:tc>
          <w:tcPr>
            <w:tcMar>
              <w:left w:type="dxa" w:w="72"/>
              <w:right w:type="dxa" w:w="72"/>
            </w:tcMar>
          </w:tcPr>
          <w:p>
            <w:pPr>
              <w:spacing w:after="360" w:before="40"/>
            </w:pPr>
            <w:r>
              <w:rPr>
                <w:color w:val="111827"/>
                <w:sz w:val="180"/>
                <w:szCs w:val="180"/>
              </w:rPr>
              <w:t xml:space="preserve">Hannes van der Berg</w:t>
            </w:r>
          </w:p>
        </w:tc>
        <w:tc>
          <w:tcPr>
            <w:tcMar>
              <w:left w:type="dxa" w:w="72"/>
              <w:right w:type="dxa" w:w="72"/>
            </w:tcMar>
          </w:tcPr>
          <w:p>
            <w:pPr>
              <w:spacing w:after="360" w:before="40"/>
            </w:pPr>
            <w:r>
              <w:rPr>
                <w:color w:val="111827"/>
                <w:sz w:val="180"/>
                <w:szCs w:val="180"/>
              </w:rPr>
              <w:t xml:space="preserve"/>
            </w:r>
          </w:p>
        </w:tc>
        <w:tc>
          <w:tcPr>
            <w:tcMar>
              <w:left w:type="dxa" w:w="72"/>
              <w:right w:type="dxa" w:w="72"/>
            </w:tcMar>
          </w:tcPr>
          <w:p>
            <w:pPr>
              <w:spacing w:after="360" w:before="40"/>
            </w:pPr>
            <w:r>
              <w:rPr>
                <w:color w:val="111827"/>
                <w:sz w:val="180"/>
                <w:szCs w:val="180"/>
              </w:rPr>
              <w:t xml:space="preserve"/>
            </w:r>
          </w:p>
        </w:tc>
      </w:tr>
      <w:tr>
        <w:tc>
          <w:tcPr>
            <w:tcMar>
              <w:left w:type="dxa" w:w="72"/>
              <w:right w:type="dxa" w:w="72"/>
            </w:tcMar>
          </w:tcPr>
          <w:p>
            <w:pPr>
              <w:spacing w:after="360" w:before="40"/>
            </w:pPr>
            <w:r>
              <w:rPr>
                <w:color w:val="111827"/>
                <w:sz w:val="180"/>
                <w:szCs w:val="180"/>
              </w:rPr>
              <w:t xml:space="preserve">Business Quality Representative</w:t>
            </w:r>
          </w:p>
        </w:tc>
        <w:tc>
          <w:tcPr>
            <w:tcMar>
              <w:left w:type="dxa" w:w="72"/>
              <w:right w:type="dxa" w:w="72"/>
            </w:tcMar>
          </w:tcPr>
          <w:p>
            <w:pPr>
              <w:spacing w:after="360" w:before="40"/>
            </w:pPr>
            <w:r>
              <w:rPr>
                <w:color w:val="111827"/>
                <w:sz w:val="180"/>
                <w:szCs w:val="180"/>
              </w:rPr>
              <w:t xml:space="preserve">Monique Leblanc</w:t>
            </w:r>
          </w:p>
        </w:tc>
        <w:tc>
          <w:tcPr>
            <w:tcMar>
              <w:left w:type="dxa" w:w="72"/>
              <w:right w:type="dxa" w:w="72"/>
            </w:tcMar>
          </w:tcPr>
          <w:p>
            <w:pPr>
              <w:spacing w:after="360" w:before="40"/>
            </w:pPr>
            <w:r>
              <w:rPr>
                <w:color w:val="111827"/>
                <w:sz w:val="180"/>
                <w:szCs w:val="180"/>
              </w:rPr>
              <w:t xml:space="preserve"/>
            </w:r>
          </w:p>
        </w:tc>
        <w:tc>
          <w:tcPr>
            <w:tcMar>
              <w:left w:type="dxa" w:w="72"/>
              <w:right w:type="dxa" w:w="72"/>
            </w:tcMar>
          </w:tcPr>
          <w:p>
            <w:pPr>
              <w:spacing w:after="360" w:before="40"/>
            </w:pPr>
            <w:r>
              <w:rPr>
                <w:color w:val="111827"/>
                <w:sz w:val="180"/>
                <w:szCs w:val="180"/>
              </w:rPr>
              <w:t xml:space="preserve"/>
            </w:r>
          </w:p>
        </w:tc>
      </w:tr>
      <w:tr>
        <w:tc>
          <w:tcPr>
            <w:tcMar>
              <w:left w:type="dxa" w:w="72"/>
              <w:right w:type="dxa" w:w="72"/>
            </w:tcMar>
          </w:tcPr>
          <w:p>
            <w:pPr>
              <w:spacing w:after="360" w:before="40"/>
            </w:pPr>
            <w:r>
              <w:rPr>
                <w:color w:val="111827"/>
                <w:sz w:val="180"/>
                <w:szCs w:val="180"/>
              </w:rPr>
              <w:t xml:space="preserve">Validation Expert</w:t>
            </w:r>
          </w:p>
        </w:tc>
        <w:tc>
          <w:tcPr>
            <w:tcMar>
              <w:left w:type="dxa" w:w="72"/>
              <w:right w:type="dxa" w:w="72"/>
            </w:tcMar>
          </w:tcPr>
          <w:p>
            <w:pPr>
              <w:spacing w:after="360" w:before="40"/>
            </w:pPr>
            <w:r>
              <w:rPr>
                <w:color w:val="111827"/>
                <w:sz w:val="180"/>
                <w:szCs w:val="180"/>
              </w:rPr>
              <w:t xml:space="preserve">TBD</w:t>
            </w:r>
          </w:p>
        </w:tc>
        <w:tc>
          <w:tcPr>
            <w:tcMar>
              <w:left w:type="dxa" w:w="72"/>
              <w:right w:type="dxa" w:w="72"/>
            </w:tcMar>
          </w:tcPr>
          <w:p>
            <w:pPr>
              <w:spacing w:after="360" w:before="40"/>
            </w:pPr>
            <w:r>
              <w:rPr>
                <w:color w:val="111827"/>
                <w:sz w:val="180"/>
                <w:szCs w:val="180"/>
              </w:rPr>
              <w:t xml:space="preserve"/>
            </w:r>
          </w:p>
        </w:tc>
        <w:tc>
          <w:tcPr>
            <w:tcMar>
              <w:left w:type="dxa" w:w="72"/>
              <w:right w:type="dxa" w:w="72"/>
            </w:tcMar>
          </w:tcPr>
          <w:p>
            <w:pPr>
              <w:spacing w:after="360" w:before="40"/>
            </w:pPr>
            <w:r>
              <w:rPr>
                <w:color w:val="111827"/>
                <w:sz w:val="180"/>
                <w:szCs w:val="180"/>
              </w:rPr>
              <w:t xml:space="preserve"/>
            </w:r>
          </w:p>
        </w:tc>
      </w:tr>
    </w:tbl>
    <w:p/>
    <w:p>
      <w:pPr>
        <w:pStyle w:val="Heading2"/>
        <w:spacing w:after="80" w:before="200"/>
        <w:rPr>
          <w:b/>
          <w:bCs/>
          <w:color w:val="1B2A4A"/>
          <w:sz w:val="240"/>
          <w:szCs w:val="240"/>
        </w:rPr>
      </w:pPr>
      <w:r>
        <w:t xml:space="preserve">Document Change History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4750"/>
        <w:gridCol w:w="1600"/>
      </w:tblGrid>
      <w:tr>
        <w:tc>
          <w:tcPr>
            <w:shd w:fill="1B2A4A" w:val="clear"/>
            <w:tcMar>
              <w:top w:type="dxa" w:w="28"/>
              <w:left w:type="dxa" w:w="72"/>
              <w:bottom w:type="dxa" w:w="28"/>
              <w:right w:type="dxa" w:w="72"/>
            </w:tcMar>
          </w:tcPr>
          <w:p>
            <w:pPr>
              <w:spacing w:after="40" w:before="40"/>
            </w:pPr>
            <w:r>
              <w:rPr>
                <w:b/>
                <w:bCs/>
                <w:color w:val="FFFFFF"/>
                <w:sz w:val="180"/>
                <w:szCs w:val="180"/>
              </w:rPr>
              <w:t xml:space="preserve">Version</w:t>
            </w:r>
          </w:p>
        </w:tc>
        <w:tc>
          <w:tcPr>
            <w:shd w:fill="1B2A4A" w:val="clear"/>
            <w:tcMar>
              <w:top w:type="dxa" w:w="28"/>
              <w:left w:type="dxa" w:w="72"/>
              <w:bottom w:type="dxa" w:w="28"/>
              <w:right w:type="dxa" w:w="72"/>
            </w:tcMar>
          </w:tcPr>
          <w:p>
            <w:pPr>
              <w:spacing w:after="40" w:before="40"/>
            </w:pPr>
            <w:r>
              <w:rPr>
                <w:b/>
                <w:bCs/>
                <w:color w:val="FFFFFF"/>
                <w:sz w:val="180"/>
                <w:szCs w:val="180"/>
              </w:rPr>
              <w:t xml:space="preserve">Date</w:t>
            </w:r>
          </w:p>
        </w:tc>
        <w:tc>
          <w:tcPr>
            <w:shd w:fill="1B2A4A" w:val="clear"/>
            <w:tcMar>
              <w:top w:type="dxa" w:w="28"/>
              <w:left w:type="dxa" w:w="72"/>
              <w:bottom w:type="dxa" w:w="28"/>
              <w:right w:type="dxa" w:w="72"/>
            </w:tcMar>
          </w:tcPr>
          <w:p>
            <w:pPr>
              <w:spacing w:after="40" w:before="40"/>
            </w:pPr>
            <w:r>
              <w:rPr>
                <w:b/>
                <w:bCs/>
                <w:color w:val="FFFFFF"/>
                <w:sz w:val="180"/>
                <w:szCs w:val="180"/>
              </w:rPr>
              <w:t xml:space="preserve">Description</w:t>
            </w:r>
          </w:p>
        </w:tc>
        <w:tc>
          <w:tcPr>
            <w:shd w:fill="1B2A4A" w:val="clear"/>
            <w:tcMar>
              <w:top w:type="dxa" w:w="28"/>
              <w:left w:type="dxa" w:w="72"/>
              <w:bottom w:type="dxa" w:w="28"/>
              <w:right w:type="dxa" w:w="72"/>
            </w:tcMar>
          </w:tcPr>
          <w:p>
            <w:pPr>
              <w:spacing w:after="40" w:before="40"/>
            </w:pPr>
            <w:r>
              <w:rPr>
                <w:b/>
                <w:bCs/>
                <w:color w:val="FFFFFF"/>
                <w:sz w:val="180"/>
                <w:szCs w:val="180"/>
              </w:rPr>
              <w:t xml:space="preserve">Author</w:t>
            </w:r>
          </w:p>
        </w:tc>
      </w:tr>
      <w:tr>
        <w:tc>
          <w:tcPr>
            <w:tcMar>
              <w:top w:type="dxa" w:w="28"/>
              <w:left w:type="dxa" w:w="72"/>
              <w:bottom w:type="dxa" w:w="28"/>
              <w:right w:type="dxa" w:w="72"/>
            </w:tcMar>
          </w:tcPr>
          <w:p>
            <w:pPr>
              <w:spacing w:after="40" w:before="40"/>
            </w:pPr>
            <w:r>
              <w:rPr>
                <w:color w:val="111827"/>
                <w:sz w:val="180"/>
                <w:szCs w:val="180"/>
              </w:rPr>
              <w:t xml:space="preserve">1.0</w:t>
            </w:r>
          </w:p>
        </w:tc>
        <w:tc>
          <w:tcPr>
            <w:tcMar>
              <w:top w:type="dxa" w:w="28"/>
              <w:left w:type="dxa" w:w="72"/>
              <w:bottom w:type="dxa" w:w="28"/>
              <w:right w:type="dxa" w:w="72"/>
            </w:tcMar>
          </w:tcPr>
          <w:p>
            <w:pPr>
              <w:spacing w:after="40" w:before="40"/>
            </w:pPr>
            <w:r>
              <w:rPr>
                <w:color w:val="111827"/>
                <w:sz w:val="180"/>
                <w:szCs w:val="180"/>
              </w:rPr>
              <w:t xml:space="preserve">2026-05-21</w:t>
            </w:r>
          </w:p>
        </w:tc>
        <w:tc>
          <w:tcPr>
            <w:tcMar>
              <w:top w:type="dxa" w:w="28"/>
              <w:left w:type="dxa" w:w="72"/>
              <w:bottom w:type="dxa" w:w="28"/>
              <w:right w:type="dxa" w:w="72"/>
            </w:tcMar>
          </w:tcPr>
          <w:p>
            <w:pPr>
              <w:spacing w:after="40" w:before="40"/>
            </w:pPr>
            <w:r>
              <w:rPr>
                <w:color w:val="111827"/>
                <w:sz w:val="180"/>
                <w:szCs w:val="180"/>
              </w:rPr>
              <w:t xml:space="preserve">Initial approved version</w:t>
            </w:r>
          </w:p>
        </w:tc>
        <w:tc>
          <w:tcPr>
            <w:tcMar>
              <w:top w:type="dxa" w:w="28"/>
              <w:left w:type="dxa" w:w="72"/>
              <w:bottom w:type="dxa" w:w="28"/>
              <w:right w:type="dxa" w:w="72"/>
            </w:tcMar>
          </w:tcPr>
          <w:p>
            <w:pPr>
              <w:spacing w:after="40" w:before="40"/>
            </w:pPr>
            <w:r>
              <w:rPr>
                <w:color w:val="111827"/>
                <w:sz w:val="180"/>
                <w:szCs w:val="180"/>
              </w:rPr>
              <w:t xml:space="preserve">Validation Team</w:t>
            </w:r>
          </w:p>
        </w:tc>
      </w:tr>
    </w:tbl>
    <w:p/>
    <w:sectPr>
      <w:headerReference w:type="default" r:id="rId7"/>
      <w:footerReference w:type="default" r:id="rId8"/>
      <w:pgSz w:w="11906" w:h="16838" w:orient="portrait"/>
      <w:pgMar w:top="1440" w:right="1727"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374151"/>
        <w:sz w:val="160"/>
        <w:szCs w:val="160"/>
      </w:rPr>
      <w:t xml:space="preserve">Confidential — CPT Pharma (Pty) Ltd     Page </w:t>
    </w:r>
    <w:r>
      <w:rPr>
        <w:color w:val="374151"/>
        <w:sz w:val="160"/>
        <w:szCs w:val="160"/>
      </w:rPr>
      <w:fldChar w:fldCharType="begin"/>
      <w:instrText xml:space="preserve">PAGE</w:instrText>
      <w:fldChar w:fldCharType="separate"/>
      <w:fldChar w:fldCharType="end"/>
    </w:r>
    <w:r>
      <w:rPr>
        <w:color w:val="374151"/>
        <w:sz w:val="160"/>
        <w:szCs w:val="160"/>
      </w:rPr>
      <w:t xml:space="preserve"> of </w:t>
    </w:r>
    <w:r>
      <w:rPr>
        <w:color w:val="374151"/>
        <w:sz w:val="160"/>
        <w:szCs w:val="16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00"/>
      <w:gridCol w:w="2850"/>
      <w:gridCol w:w="3000"/>
    </w:tblGrid>
    <w:tr>
      <w:tc>
        <w:p>
          <w:r>
            <w:rPr>
              <w:b/>
              <w:bCs/>
              <w:color w:val="1B2A4A"/>
              <w:sz w:val="160"/>
              <w:szCs w:val="160"/>
            </w:rPr>
            <w:t xml:space="preserve">CPT Pharma (Pty) Ltd  |  Capalyst QMS CSV</w:t>
          </w:r>
        </w:p>
      </w:tc>
      <w:tc>
        <w:p>
          <w:pPr>
            <w:jc w:val="center"/>
          </w:pPr>
          <w:r>
            <w:rPr>
              <w:color w:val="374151"/>
              <w:sz w:val="160"/>
              <w:szCs w:val="160"/>
            </w:rPr>
            <w:t xml:space="preserve">CPT-VL-ISVP-VP Capalyst-001</w:t>
          </w:r>
        </w:p>
      </w:tc>
      <w:tc>
        <w:p>
          <w:pPr>
            <w:jc w:val="right"/>
          </w:pPr>
          <w:r>
            <w:rPr>
              <w:color w:val="374151"/>
              <w:sz w:val="160"/>
              <w:szCs w:val="160"/>
            </w:rPr>
            <w:t xml:space="preserve">04_CPT-VL-ISVP-VP_Capalyst-001_Validation_Plan</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2026-06-26T04:56:27.422Z</dcterms:created>
  <dcterms:modified xsi:type="dcterms:W3CDTF">2026-06-26T04:56:27.422Z</dcterms:modified>
</cp:coreProperties>
</file>

<file path=docProps/custom.xml><?xml version="1.0" encoding="utf-8"?>
<Properties xmlns="http://schemas.openxmlformats.org/officeDocument/2006/custom-properties" xmlns:vt="http://schemas.openxmlformats.org/officeDocument/2006/docPropsVTypes"/>
</file>