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jc w:val="center"/>
      </w:pPr>
      <w:r>
        <w:rPr>
          <w:b/>
          <w:bCs/>
          <w:color w:val="1B2A4A"/>
          <w:sz w:val="400"/>
          <w:szCs w:val="400"/>
        </w:rPr>
        <w:t xml:space="preserve">CPT Pharma (Pty) Ltd</w:t>
      </w:r>
    </w:p>
    <w:p>
      <w:pPr>
        <w:spacing w:after="600"/>
        <w:jc w:val="center"/>
      </w:pPr>
      <w:r>
        <w:rPr>
          <w:color w:val="374151"/>
          <w:sz w:val="280"/>
          <w:szCs w:val="280"/>
        </w:rPr>
        <w:t xml:space="preserve">Computerised System Validation</w:t>
      </w:r>
    </w:p>
    <w:p>
      <w:pPr>
        <w:spacing w:after="240"/>
        <w:jc w:val="center"/>
      </w:pPr>
      <w:r>
        <w:rPr>
          <w:b/>
          <w:bCs/>
          <w:color w:val="1B2A4A"/>
          <w:sz w:val="440"/>
          <w:szCs w:val="440"/>
        </w:rPr>
        <w:t xml:space="preserve">Architecture Specification</w:t>
      </w:r>
    </w:p>
    <w:p>
      <w:pPr>
        <w:spacing w:after="600"/>
        <w:jc w:val="center"/>
      </w:pPr>
      <w:r>
        <w:rPr>
          <w:b/>
          <w:bCs/>
          <w:color w:val="2563EB"/>
          <w:sz w:val="280"/>
          <w:szCs w:val="280"/>
        </w:rPr>
        <w:t xml:space="preserve">Capalyst QMS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Field</w:t>
            </w:r>
          </w:p>
        </w:tc>
        <w:tc>
          <w:tcPr>
            <w:shd w:fill="1B2A4A" w:val="clear"/>
            <w:tcMar>
              <w:top w:type="dxa" w:w="28"/>
              <w:left w:type="dxa" w:w="72"/>
              <w:bottom w:type="dxa" w:w="28"/>
              <w:right w:type="dxa" w:w="72"/>
            </w:tcMar>
          </w:tcPr>
          <w:p>
            <w:pPr>
              <w:spacing w:after="40" w:before="40"/>
            </w:pPr>
            <w:r>
              <w:rPr>
                <w:b/>
                <w:bCs/>
                <w:color w:val="FFFFFF"/>
                <w:sz w:val="180"/>
                <w:szCs w:val="180"/>
              </w:rPr>
              <w:t xml:space="preserve">Value</w:t>
            </w:r>
          </w:p>
        </w:tc>
      </w:tr>
      <w:tr>
        <w:tc>
          <w:tcPr>
            <w:tcMar>
              <w:top w:type="dxa" w:w="28"/>
              <w:left w:type="dxa" w:w="72"/>
              <w:bottom w:type="dxa" w:w="28"/>
              <w:right w:type="dxa" w:w="72"/>
            </w:tcMar>
          </w:tcPr>
          <w:p>
            <w:pPr>
              <w:spacing w:after="40" w:before="40"/>
            </w:pPr>
            <w:r>
              <w:rPr>
                <w:color w:val="111827"/>
                <w:sz w:val="180"/>
                <w:szCs w:val="180"/>
              </w:rPr>
              <w:t xml:space="preserve">Document Number</w:t>
            </w:r>
          </w:p>
        </w:tc>
        <w:tc>
          <w:tcPr>
            <w:tcMar>
              <w:top w:type="dxa" w:w="28"/>
              <w:left w:type="dxa" w:w="72"/>
              <w:bottom w:type="dxa" w:w="28"/>
              <w:right w:type="dxa" w:w="72"/>
            </w:tcMar>
          </w:tcPr>
          <w:p>
            <w:pPr>
              <w:spacing w:after="40" w:before="40"/>
            </w:pPr>
            <w:r>
              <w:rPr>
                <w:color w:val="111827"/>
                <w:sz w:val="180"/>
                <w:szCs w:val="180"/>
              </w:rPr>
              <w:t xml:space="preserve">CPT-VL-ISVP-ArS Capalyst-001</w:t>
            </w:r>
          </w:p>
        </w:tc>
      </w:tr>
      <w:tr>
        <w:tc>
          <w:tcPr>
            <w:tcMar>
              <w:top w:type="dxa" w:w="28"/>
              <w:left w:type="dxa" w:w="72"/>
              <w:bottom w:type="dxa" w:w="28"/>
              <w:right w:type="dxa" w:w="72"/>
            </w:tcMar>
          </w:tcPr>
          <w:p>
            <w:pPr>
              <w:spacing w:after="40" w:before="40"/>
            </w:pPr>
            <w:r>
              <w:rPr>
                <w:color w:val="111827"/>
                <w:sz w:val="180"/>
                <w:szCs w:val="180"/>
              </w:rPr>
              <w:t xml:space="preserve">Version</w:t>
            </w:r>
          </w:p>
        </w:tc>
        <w:tc>
          <w:tcPr>
            <w:tcMar>
              <w:top w:type="dxa" w:w="28"/>
              <w:left w:type="dxa" w:w="72"/>
              <w:bottom w:type="dxa" w:w="28"/>
              <w:right w:type="dxa" w:w="72"/>
            </w:tcMar>
          </w:tcPr>
          <w:p>
            <w:pPr>
              <w:spacing w:after="40" w:before="40"/>
            </w:pPr>
            <w:r>
              <w:rPr>
                <w:color w:val="111827"/>
                <w:sz w:val="180"/>
                <w:szCs w:val="180"/>
              </w:rPr>
              <w:t xml:space="preserve">1.0</w:t>
            </w:r>
          </w:p>
        </w:tc>
      </w:tr>
      <w:tr>
        <w:tc>
          <w:tcPr>
            <w:tcMar>
              <w:top w:type="dxa" w:w="28"/>
              <w:left w:type="dxa" w:w="72"/>
              <w:bottom w:type="dxa" w:w="28"/>
              <w:right w:type="dxa" w:w="72"/>
            </w:tcMar>
          </w:tcPr>
          <w:p>
            <w:pPr>
              <w:spacing w:after="40" w:before="40"/>
            </w:pPr>
            <w:r>
              <w:rPr>
                <w:color w:val="111827"/>
                <w:sz w:val="180"/>
                <w:szCs w:val="180"/>
              </w:rPr>
              <w:t xml:space="preserve">Status</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Date</w:t>
            </w:r>
          </w:p>
        </w:tc>
        <w:tc>
          <w:tcPr>
            <w:tcMar>
              <w:top w:type="dxa" w:w="28"/>
              <w:left w:type="dxa" w:w="72"/>
              <w:bottom w:type="dxa" w:w="28"/>
              <w:right w:type="dxa" w:w="72"/>
            </w:tcMar>
          </w:tcPr>
          <w:p>
            <w:pPr>
              <w:spacing w:after="40" w:before="40"/>
            </w:pPr>
            <w:r>
              <w:rPr>
                <w:color w:val="111827"/>
                <w:sz w:val="180"/>
                <w:szCs w:val="180"/>
              </w:rPr>
              <w:t xml:space="preserve">2026-05-28</w:t>
            </w:r>
          </w:p>
        </w:tc>
      </w:tr>
      <w:tr>
        <w:tc>
          <w:tcPr>
            <w:tcMar>
              <w:top w:type="dxa" w:w="28"/>
              <w:left w:type="dxa" w:w="72"/>
              <w:bottom w:type="dxa" w:w="28"/>
              <w:right w:type="dxa" w:w="72"/>
            </w:tcMar>
          </w:tcPr>
          <w:p>
            <w:pPr>
              <w:spacing w:after="40" w:before="40"/>
            </w:pPr>
            <w:r>
              <w:rPr>
                <w:color w:val="111827"/>
                <w:sz w:val="180"/>
                <w:szCs w:val="180"/>
              </w:rPr>
              <w:t xml:space="preserve">System</w:t>
            </w:r>
          </w:p>
        </w:tc>
        <w:tc>
          <w:tcPr>
            <w:tcMar>
              <w:top w:type="dxa" w:w="28"/>
              <w:left w:type="dxa" w:w="72"/>
              <w:bottom w:type="dxa" w:w="28"/>
              <w:right w:type="dxa" w:w="72"/>
            </w:tcMar>
          </w:tcPr>
          <w:p>
            <w:pPr>
              <w:spacing w:after="40" w:before="40"/>
            </w:pPr>
            <w:r>
              <w:rPr>
                <w:color w:val="111827"/>
                <w:sz w:val="180"/>
                <w:szCs w:val="180"/>
              </w:rPr>
              <w:t xml:space="preserve">Capalyst — Quality Management System</w:t>
            </w:r>
          </w:p>
        </w:tc>
      </w:tr>
      <w:tr>
        <w:tc>
          <w:tcPr>
            <w:tcMar>
              <w:top w:type="dxa" w:w="28"/>
              <w:left w:type="dxa" w:w="72"/>
              <w:bottom w:type="dxa" w:w="28"/>
              <w:right w:type="dxa" w:w="72"/>
            </w:tcMar>
          </w:tcPr>
          <w:p>
            <w:pPr>
              <w:spacing w:after="40" w:before="40"/>
            </w:pPr>
            <w:r>
              <w:rPr>
                <w:color w:val="111827"/>
                <w:sz w:val="180"/>
                <w:szCs w:val="180"/>
              </w:rPr>
              <w:t xml:space="preserve">Company</w:t>
            </w:r>
          </w:p>
        </w:tc>
        <w:tc>
          <w:tcPr>
            <w:tcMar>
              <w:top w:type="dxa" w:w="28"/>
              <w:left w:type="dxa" w:w="72"/>
              <w:bottom w:type="dxa" w:w="28"/>
              <w:right w:type="dxa" w:w="72"/>
            </w:tcMar>
          </w:tcPr>
          <w:p>
            <w:pPr>
              <w:spacing w:after="40" w:before="40"/>
            </w:pPr>
            <w:r>
              <w:rPr>
                <w:color w:val="111827"/>
                <w:sz w:val="180"/>
                <w:szCs w:val="180"/>
              </w:rPr>
              <w:t xml:space="preserve">CPT Pharma (Pty) Ltd</w:t>
            </w:r>
          </w:p>
        </w:tc>
      </w:tr>
      <w:tr>
        <w:tc>
          <w:tcPr>
            <w:tcMar>
              <w:top w:type="dxa" w:w="28"/>
              <w:left w:type="dxa" w:w="72"/>
              <w:bottom w:type="dxa" w:w="28"/>
              <w:right w:type="dxa" w:w="72"/>
            </w:tcMar>
          </w:tcPr>
          <w:p>
            <w:pPr>
              <w:spacing w:after="40" w:before="40"/>
            </w:pPr>
            <w:r>
              <w:rPr>
                <w:color w:val="111827"/>
                <w:sz w:val="180"/>
                <w:szCs w:val="180"/>
              </w:rPr>
              <w:t xml:space="preserve">Prepared by</w:t>
            </w:r>
          </w:p>
        </w:tc>
        <w:tc>
          <w:tcPr>
            <w:tcMar>
              <w:top w:type="dxa" w:w="28"/>
              <w:left w:type="dxa" w:w="72"/>
              <w:bottom w:type="dxa" w:w="28"/>
              <w:right w:type="dxa" w:w="72"/>
            </w:tcMar>
          </w:tcPr>
          <w:p>
            <w:pPr>
              <w:spacing w:after="40" w:before="40"/>
            </w:pPr>
            <w:r>
              <w:rPr>
                <w:color w:val="111827"/>
                <w:sz w:val="180"/>
                <w:szCs w:val="180"/>
              </w:rPr>
              <w:t xml:space="preserve">Validation Team</w:t>
            </w:r>
          </w:p>
        </w:tc>
      </w:tr>
      <w:tr>
        <w:tc>
          <w:tcPr>
            <w:tcMar>
              <w:top w:type="dxa" w:w="28"/>
              <w:left w:type="dxa" w:w="72"/>
              <w:bottom w:type="dxa" w:w="28"/>
              <w:right w:type="dxa" w:w="72"/>
            </w:tcMar>
          </w:tcPr>
          <w:p>
            <w:pPr>
              <w:spacing w:after="40" w:before="40"/>
            </w:pPr>
            <w:r>
              <w:rPr>
                <w:color w:val="111827"/>
                <w:sz w:val="180"/>
                <w:szCs w:val="180"/>
              </w:rPr>
              <w:t xml:space="preserve">Classification</w:t>
            </w:r>
          </w:p>
        </w:tc>
        <w:tc>
          <w:tcPr>
            <w:tcMar>
              <w:top w:type="dxa" w:w="28"/>
              <w:left w:type="dxa" w:w="72"/>
              <w:bottom w:type="dxa" w:w="28"/>
              <w:right w:type="dxa" w:w="72"/>
            </w:tcMar>
          </w:tcPr>
          <w:p>
            <w:pPr>
              <w:spacing w:after="40" w:before="40"/>
            </w:pPr>
            <w:r>
              <w:rPr>
                <w:color w:val="111827"/>
                <w:sz w:val="180"/>
                <w:szCs w:val="180"/>
              </w:rPr>
              <w:t xml:space="preserve">Confidential</w:t>
            </w:r>
          </w:p>
        </w:tc>
      </w:tr>
    </w:tbl>
    <w:p/>
    <w:p>
      <w:pPr>
        <w:pStyle w:val="Heading1"/>
        <w:spacing w:after="120" w:before="280"/>
        <w:rPr>
          <w:b/>
          <w:bCs/>
          <w:color w:val="1B2A4A"/>
          <w:sz w:val="280"/>
          <w:szCs w:val="280"/>
        </w:rPr>
      </w:pPr>
      <w:r>
        <w:t xml:space="preserve">1. Introduction</w:t>
      </w:r>
    </w:p>
    <w:p>
      <w:pPr>
        <w:spacing w:after="100"/>
      </w:pPr>
      <w:r>
        <w:rPr>
          <w:color w:val="111827"/>
          <w:sz w:val="200"/>
          <w:szCs w:val="200"/>
        </w:rPr>
        <w:t xml:space="preserve">This Architecture Specification describes the technical architecture of the Capalyst QMS, including all software components, their relationships, data flows, security controls, and infrastructure configuration. It provides the technical baseline for IQ execution and ongoing change management.</w:t>
      </w:r>
    </w:p>
    <w:p/>
    <w:p>
      <w:pPr>
        <w:pStyle w:val="Heading1"/>
        <w:spacing w:after="120" w:before="280"/>
        <w:rPr>
          <w:b/>
          <w:bCs/>
          <w:color w:val="1B2A4A"/>
          <w:sz w:val="280"/>
          <w:szCs w:val="280"/>
        </w:rPr>
      </w:pPr>
      <w:r>
        <w:t xml:space="preserve">2. System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Component</w:t>
            </w:r>
          </w:p>
        </w:tc>
        <w:tc>
          <w:tcPr>
            <w:shd w:fill="1B2A4A" w:val="clear"/>
            <w:tcMar>
              <w:top w:type="dxa" w:w="28"/>
              <w:left w:type="dxa" w:w="72"/>
              <w:bottom w:type="dxa" w:w="28"/>
              <w:right w:type="dxa" w:w="72"/>
            </w:tcMar>
          </w:tcPr>
          <w:p>
            <w:pPr>
              <w:spacing w:after="40" w:before="40"/>
            </w:pPr>
            <w:r>
              <w:rPr>
                <w:b/>
                <w:bCs/>
                <w:color w:val="FFFFFF"/>
                <w:sz w:val="180"/>
                <w:szCs w:val="180"/>
              </w:rPr>
              <w:t xml:space="preserve">Technology</w:t>
            </w:r>
          </w:p>
        </w:tc>
        <w:tc>
          <w:tcPr>
            <w:shd w:fill="1B2A4A" w:val="clear"/>
            <w:tcMar>
              <w:top w:type="dxa" w:w="28"/>
              <w:left w:type="dxa" w:w="72"/>
              <w:bottom w:type="dxa" w:w="28"/>
              <w:right w:type="dxa" w:w="72"/>
            </w:tcMar>
          </w:tcPr>
          <w:p>
            <w:pPr>
              <w:spacing w:after="40" w:before="40"/>
            </w:pPr>
            <w:r>
              <w:rPr>
                <w:b/>
                <w:bCs/>
                <w:color w:val="FFFFFF"/>
                <w:sz w:val="180"/>
                <w:szCs w:val="180"/>
              </w:rPr>
              <w:t xml:space="preserve">Version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r>
      <w:tr>
        <w:tc>
          <w:tcPr>
            <w:tcMar>
              <w:top w:type="dxa" w:w="28"/>
              <w:left w:type="dxa" w:w="72"/>
              <w:bottom w:type="dxa" w:w="28"/>
              <w:right w:type="dxa" w:w="72"/>
            </w:tcMar>
          </w:tcPr>
          <w:p>
            <w:pPr>
              <w:spacing w:after="40" w:before="40"/>
            </w:pPr>
            <w:r>
              <w:rPr>
                <w:color w:val="111827"/>
                <w:sz w:val="180"/>
                <w:szCs w:val="180"/>
              </w:rPr>
              <w:t xml:space="preserve">Frontend Application</w:t>
            </w:r>
          </w:p>
        </w:tc>
        <w:tc>
          <w:tcPr>
            <w:tcMar>
              <w:top w:type="dxa" w:w="28"/>
              <w:left w:type="dxa" w:w="72"/>
              <w:bottom w:type="dxa" w:w="28"/>
              <w:right w:type="dxa" w:w="72"/>
            </w:tcMar>
          </w:tcPr>
          <w:p>
            <w:pPr>
              <w:spacing w:after="40" w:before="40"/>
            </w:pPr>
            <w:r>
              <w:rPr>
                <w:color w:val="111827"/>
                <w:sz w:val="180"/>
                <w:szCs w:val="180"/>
              </w:rPr>
              <w:t xml:space="preserve">React + Vite + Tailwind CSS + shadcn/ui</w:t>
            </w:r>
          </w:p>
        </w:tc>
        <w:tc>
          <w:tcPr>
            <w:tcMar>
              <w:top w:type="dxa" w:w="28"/>
              <w:left w:type="dxa" w:w="72"/>
              <w:bottom w:type="dxa" w:w="28"/>
              <w:right w:type="dxa" w:w="72"/>
            </w:tcMar>
          </w:tcPr>
          <w:p>
            <w:pPr>
              <w:spacing w:after="40" w:before="40"/>
            </w:pPr>
            <w:r>
              <w:rPr>
                <w:color w:val="111827"/>
                <w:sz w:val="180"/>
                <w:szCs w:val="180"/>
              </w:rPr>
              <w:t xml:space="preserve">React 19 / Vite 6</w:t>
            </w:r>
          </w:p>
        </w:tc>
        <w:tc>
          <w:tcPr>
            <w:tcMar>
              <w:top w:type="dxa" w:w="28"/>
              <w:left w:type="dxa" w:w="72"/>
              <w:bottom w:type="dxa" w:w="28"/>
              <w:right w:type="dxa" w:w="72"/>
            </w:tcMar>
          </w:tcPr>
          <w:p>
            <w:pPr>
              <w:spacing w:after="40" w:before="40"/>
            </w:pPr>
            <w:r>
              <w:rPr>
                <w:color w:val="111827"/>
                <w:sz w:val="180"/>
                <w:szCs w:val="180"/>
              </w:rPr>
              <w:t xml:space="preserve">Browser-based UI delivered as a single-page application</w:t>
            </w:r>
          </w:p>
        </w:tc>
      </w:tr>
      <w:tr>
        <w:tc>
          <w:tcPr>
            <w:tcMar>
              <w:top w:type="dxa" w:w="28"/>
              <w:left w:type="dxa" w:w="72"/>
              <w:bottom w:type="dxa" w:w="28"/>
              <w:right w:type="dxa" w:w="72"/>
            </w:tcMar>
          </w:tcPr>
          <w:p>
            <w:pPr>
              <w:spacing w:after="40" w:before="40"/>
            </w:pPr>
            <w:r>
              <w:rPr>
                <w:color w:val="111827"/>
                <w:sz w:val="180"/>
                <w:szCs w:val="180"/>
              </w:rPr>
              <w:t xml:space="preserve">API Server</w:t>
            </w:r>
          </w:p>
        </w:tc>
        <w:tc>
          <w:tcPr>
            <w:tcMar>
              <w:top w:type="dxa" w:w="28"/>
              <w:left w:type="dxa" w:w="72"/>
              <w:bottom w:type="dxa" w:w="28"/>
              <w:right w:type="dxa" w:w="72"/>
            </w:tcMar>
          </w:tcPr>
          <w:p>
            <w:pPr>
              <w:spacing w:after="40" w:before="40"/>
            </w:pPr>
            <w:r>
              <w:rPr>
                <w:color w:val="111827"/>
                <w:sz w:val="180"/>
                <w:szCs w:val="180"/>
              </w:rPr>
              <w:t xml:space="preserve">Express.js on Node.js</w:t>
            </w:r>
          </w:p>
        </w:tc>
        <w:tc>
          <w:tcPr>
            <w:tcMar>
              <w:top w:type="dxa" w:w="28"/>
              <w:left w:type="dxa" w:w="72"/>
              <w:bottom w:type="dxa" w:w="28"/>
              <w:right w:type="dxa" w:w="72"/>
            </w:tcMar>
          </w:tcPr>
          <w:p>
            <w:pPr>
              <w:spacing w:after="40" w:before="40"/>
            </w:pPr>
            <w:r>
              <w:rPr>
                <w:color w:val="111827"/>
                <w:sz w:val="180"/>
                <w:szCs w:val="180"/>
              </w:rPr>
              <w:t xml:space="preserve">Express 5 / Node.js 24</w:t>
            </w:r>
          </w:p>
        </w:tc>
        <w:tc>
          <w:tcPr>
            <w:tcMar>
              <w:top w:type="dxa" w:w="28"/>
              <w:left w:type="dxa" w:w="72"/>
              <w:bottom w:type="dxa" w:w="28"/>
              <w:right w:type="dxa" w:w="72"/>
            </w:tcMar>
          </w:tcPr>
          <w:p>
            <w:pPr>
              <w:spacing w:after="40" w:before="40"/>
            </w:pPr>
            <w:r>
              <w:rPr>
                <w:color w:val="111827"/>
                <w:sz w:val="180"/>
                <w:szCs w:val="180"/>
              </w:rPr>
              <w:t xml:space="preserve">RESTful API server; handles all business logic and database access</w:t>
            </w:r>
          </w:p>
        </w:tc>
      </w:tr>
      <w:tr>
        <w:tc>
          <w:tcPr>
            <w:tcMar>
              <w:top w:type="dxa" w:w="28"/>
              <w:left w:type="dxa" w:w="72"/>
              <w:bottom w:type="dxa" w:w="28"/>
              <w:right w:type="dxa" w:w="72"/>
            </w:tcMar>
          </w:tcPr>
          <w:p>
            <w:pPr>
              <w:spacing w:after="40" w:before="40"/>
            </w:pPr>
            <w:r>
              <w:rPr>
                <w:color w:val="111827"/>
                <w:sz w:val="180"/>
                <w:szCs w:val="180"/>
              </w:rPr>
              <w:t xml:space="preserve">Database</w:t>
            </w:r>
          </w:p>
        </w:tc>
        <w:tc>
          <w:tcPr>
            <w:tcMar>
              <w:top w:type="dxa" w:w="28"/>
              <w:left w:type="dxa" w:w="72"/>
              <w:bottom w:type="dxa" w:w="28"/>
              <w:right w:type="dxa" w:w="72"/>
            </w:tcMar>
          </w:tcPr>
          <w:p>
            <w:pPr>
              <w:spacing w:after="40" w:before="40"/>
            </w:pPr>
            <w:r>
              <w:rPr>
                <w:color w:val="111827"/>
                <w:sz w:val="180"/>
                <w:szCs w:val="180"/>
              </w:rPr>
              <w:t xml:space="preserve">PostgreSQL</w:t>
            </w:r>
          </w:p>
        </w:tc>
        <w:tc>
          <w:tcPr>
            <w:tcMar>
              <w:top w:type="dxa" w:w="28"/>
              <w:left w:type="dxa" w:w="72"/>
              <w:bottom w:type="dxa" w:w="28"/>
              <w:right w:type="dxa" w:w="72"/>
            </w:tcMar>
          </w:tcPr>
          <w:p>
            <w:pPr>
              <w:spacing w:after="40" w:before="40"/>
            </w:pPr>
            <w:r>
              <w:rPr>
                <w:color w:val="111827"/>
                <w:sz w:val="180"/>
                <w:szCs w:val="180"/>
              </w:rPr>
              <w:t xml:space="preserve">16.x</w:t>
            </w:r>
          </w:p>
        </w:tc>
        <w:tc>
          <w:tcPr>
            <w:tcMar>
              <w:top w:type="dxa" w:w="28"/>
              <w:left w:type="dxa" w:w="72"/>
              <w:bottom w:type="dxa" w:w="28"/>
              <w:right w:type="dxa" w:w="72"/>
            </w:tcMar>
          </w:tcPr>
          <w:p>
            <w:pPr>
              <w:spacing w:after="40" w:before="40"/>
            </w:pPr>
            <w:r>
              <w:rPr>
                <w:color w:val="111827"/>
                <w:sz w:val="180"/>
                <w:szCs w:val="180"/>
              </w:rPr>
              <w:t xml:space="preserve">Relational database for all system data; hosted on cloud platform</w:t>
            </w:r>
          </w:p>
        </w:tc>
      </w:tr>
      <w:tr>
        <w:tc>
          <w:tcPr>
            <w:tcMar>
              <w:top w:type="dxa" w:w="28"/>
              <w:left w:type="dxa" w:w="72"/>
              <w:bottom w:type="dxa" w:w="28"/>
              <w:right w:type="dxa" w:w="72"/>
            </w:tcMar>
          </w:tcPr>
          <w:p>
            <w:pPr>
              <w:spacing w:after="40" w:before="40"/>
            </w:pPr>
            <w:r>
              <w:rPr>
                <w:color w:val="111827"/>
                <w:sz w:val="180"/>
                <w:szCs w:val="180"/>
              </w:rPr>
              <w:t xml:space="preserve">ORM Layer</w:t>
            </w:r>
          </w:p>
        </w:tc>
        <w:tc>
          <w:tcPr>
            <w:tcMar>
              <w:top w:type="dxa" w:w="28"/>
              <w:left w:type="dxa" w:w="72"/>
              <w:bottom w:type="dxa" w:w="28"/>
              <w:right w:type="dxa" w:w="72"/>
            </w:tcMar>
          </w:tcPr>
          <w:p>
            <w:pPr>
              <w:spacing w:after="40" w:before="40"/>
            </w:pPr>
            <w:r>
              <w:rPr>
                <w:color w:val="111827"/>
                <w:sz w:val="180"/>
                <w:szCs w:val="180"/>
              </w:rPr>
              <w:t xml:space="preserve">Drizzle ORM</w:t>
            </w:r>
          </w:p>
        </w:tc>
        <w:tc>
          <w:tcPr>
            <w:tcMar>
              <w:top w:type="dxa" w:w="28"/>
              <w:left w:type="dxa" w:w="72"/>
              <w:bottom w:type="dxa" w:w="28"/>
              <w:right w:type="dxa" w:w="72"/>
            </w:tcMar>
          </w:tcPr>
          <w:p>
            <w:pPr>
              <w:spacing w:after="40" w:before="40"/>
            </w:pPr>
            <w:r>
              <w:rPr>
                <w:color w:val="111827"/>
                <w:sz w:val="180"/>
                <w:szCs w:val="180"/>
              </w:rPr>
              <w:t xml:space="preserve">0.41.x</w:t>
            </w:r>
          </w:p>
        </w:tc>
        <w:tc>
          <w:tcPr>
            <w:tcMar>
              <w:top w:type="dxa" w:w="28"/>
              <w:left w:type="dxa" w:w="72"/>
              <w:bottom w:type="dxa" w:w="28"/>
              <w:right w:type="dxa" w:w="72"/>
            </w:tcMar>
          </w:tcPr>
          <w:p>
            <w:pPr>
              <w:spacing w:after="40" w:before="40"/>
            </w:pPr>
            <w:r>
              <w:rPr>
                <w:color w:val="111827"/>
                <w:sz w:val="180"/>
                <w:szCs w:val="180"/>
              </w:rPr>
              <w:t xml:space="preserve">Type-safe SQL query builder and schema management</w:t>
            </w:r>
          </w:p>
        </w:tc>
      </w:tr>
      <w:tr>
        <w:tc>
          <w:tcPr>
            <w:tcMar>
              <w:top w:type="dxa" w:w="28"/>
              <w:left w:type="dxa" w:w="72"/>
              <w:bottom w:type="dxa" w:w="28"/>
              <w:right w:type="dxa" w:w="72"/>
            </w:tcMar>
          </w:tcPr>
          <w:p>
            <w:pPr>
              <w:spacing w:after="40" w:before="40"/>
            </w:pPr>
            <w:r>
              <w:rPr>
                <w:color w:val="111827"/>
                <w:sz w:val="180"/>
                <w:szCs w:val="180"/>
              </w:rPr>
              <w:t xml:space="preserve">API Contract</w:t>
            </w:r>
          </w:p>
        </w:tc>
        <w:tc>
          <w:tcPr>
            <w:tcMar>
              <w:top w:type="dxa" w:w="28"/>
              <w:left w:type="dxa" w:w="72"/>
              <w:bottom w:type="dxa" w:w="28"/>
              <w:right w:type="dxa" w:w="72"/>
            </w:tcMar>
          </w:tcPr>
          <w:p>
            <w:pPr>
              <w:spacing w:after="40" w:before="40"/>
            </w:pPr>
            <w:r>
              <w:rPr>
                <w:color w:val="111827"/>
                <w:sz w:val="180"/>
                <w:szCs w:val="180"/>
              </w:rPr>
              <w:t xml:space="preserve">OpenAPI 3.0 specification</w:t>
            </w:r>
          </w:p>
        </w:tc>
        <w:tc>
          <w:tcPr>
            <w:tcMar>
              <w:top w:type="dxa" w:w="28"/>
              <w:left w:type="dxa" w:w="72"/>
              <w:bottom w:type="dxa" w:w="28"/>
              <w:right w:type="dxa" w:w="72"/>
            </w:tcMar>
          </w:tcPr>
          <w:p>
            <w:pPr>
              <w:spacing w:after="40" w:before="40"/>
            </w:pPr>
            <w:r>
              <w:rPr>
                <w:color w:val="111827"/>
                <w:sz w:val="180"/>
                <w:szCs w:val="180"/>
              </w:rPr>
              <w:t xml:space="preserve">3.0.0</w:t>
            </w:r>
          </w:p>
        </w:tc>
        <w:tc>
          <w:tcPr>
            <w:tcMar>
              <w:top w:type="dxa" w:w="28"/>
              <w:left w:type="dxa" w:w="72"/>
              <w:bottom w:type="dxa" w:w="28"/>
              <w:right w:type="dxa" w:w="72"/>
            </w:tcMar>
          </w:tcPr>
          <w:p>
            <w:pPr>
              <w:spacing w:after="40" w:before="40"/>
            </w:pPr>
            <w:r>
              <w:rPr>
                <w:color w:val="111827"/>
                <w:sz w:val="180"/>
                <w:szCs w:val="180"/>
              </w:rPr>
              <w:t xml:space="preserve">Contract-first API design; Orval generates typed React Query hooks</w:t>
            </w:r>
          </w:p>
        </w:tc>
      </w:tr>
      <w:tr>
        <w:tc>
          <w:tcPr>
            <w:tcMar>
              <w:top w:type="dxa" w:w="28"/>
              <w:left w:type="dxa" w:w="72"/>
              <w:bottom w:type="dxa" w:w="28"/>
              <w:right w:type="dxa" w:w="72"/>
            </w:tcMar>
          </w:tcPr>
          <w:p>
            <w:pPr>
              <w:spacing w:after="40" w:before="40"/>
            </w:pPr>
            <w:r>
              <w:rPr>
                <w:color w:val="111827"/>
                <w:sz w:val="180"/>
                <w:szCs w:val="180"/>
              </w:rPr>
              <w:t xml:space="preserve">Session Management</w:t>
            </w:r>
          </w:p>
        </w:tc>
        <w:tc>
          <w:tcPr>
            <w:tcMar>
              <w:top w:type="dxa" w:w="28"/>
              <w:left w:type="dxa" w:w="72"/>
              <w:bottom w:type="dxa" w:w="28"/>
              <w:right w:type="dxa" w:w="72"/>
            </w:tcMar>
          </w:tcPr>
          <w:p>
            <w:pPr>
              <w:spacing w:after="40" w:before="40"/>
            </w:pPr>
            <w:r>
              <w:rPr>
                <w:color w:val="111827"/>
                <w:sz w:val="180"/>
                <w:szCs w:val="180"/>
              </w:rPr>
              <w:t xml:space="preserve">express-session</w:t>
            </w:r>
          </w:p>
        </w:tc>
        <w:tc>
          <w:tcPr>
            <w:tcMar>
              <w:top w:type="dxa" w:w="28"/>
              <w:left w:type="dxa" w:w="72"/>
              <w:bottom w:type="dxa" w:w="28"/>
              <w:right w:type="dxa" w:w="72"/>
            </w:tcMar>
          </w:tcPr>
          <w:p>
            <w:pPr>
              <w:spacing w:after="40" w:before="40"/>
            </w:pPr>
            <w:r>
              <w:rPr>
                <w:color w:val="111827"/>
                <w:sz w:val="180"/>
                <w:szCs w:val="180"/>
              </w:rPr>
              <w:t xml:space="preserve">1.18.x</w:t>
            </w:r>
          </w:p>
        </w:tc>
        <w:tc>
          <w:tcPr>
            <w:tcMar>
              <w:top w:type="dxa" w:w="28"/>
              <w:left w:type="dxa" w:w="72"/>
              <w:bottom w:type="dxa" w:w="28"/>
              <w:right w:type="dxa" w:w="72"/>
            </w:tcMar>
          </w:tcPr>
          <w:p>
            <w:pPr>
              <w:spacing w:after="40" w:before="40"/>
            </w:pPr>
            <w:r>
              <w:rPr>
                <w:color w:val="111827"/>
                <w:sz w:val="180"/>
                <w:szCs w:val="180"/>
              </w:rPr>
              <w:t xml:space="preserve">Server-side session storage; session secret via environment variable</w:t>
            </w:r>
          </w:p>
        </w:tc>
      </w:tr>
      <w:tr>
        <w:tc>
          <w:tcPr>
            <w:tcMar>
              <w:top w:type="dxa" w:w="28"/>
              <w:left w:type="dxa" w:w="72"/>
              <w:bottom w:type="dxa" w:w="28"/>
              <w:right w:type="dxa" w:w="72"/>
            </w:tcMar>
          </w:tcPr>
          <w:p>
            <w:pPr>
              <w:spacing w:after="40" w:before="40"/>
            </w:pPr>
            <w:r>
              <w:rPr>
                <w:color w:val="111827"/>
                <w:sz w:val="180"/>
                <w:szCs w:val="180"/>
              </w:rPr>
              <w:t xml:space="preserve">Build Tool</w:t>
            </w:r>
          </w:p>
        </w:tc>
        <w:tc>
          <w:tcPr>
            <w:tcMar>
              <w:top w:type="dxa" w:w="28"/>
              <w:left w:type="dxa" w:w="72"/>
              <w:bottom w:type="dxa" w:w="28"/>
              <w:right w:type="dxa" w:w="72"/>
            </w:tcMar>
          </w:tcPr>
          <w:p>
            <w:pPr>
              <w:spacing w:after="40" w:before="40"/>
            </w:pPr>
            <w:r>
              <w:rPr>
                <w:color w:val="111827"/>
                <w:sz w:val="180"/>
                <w:szCs w:val="180"/>
              </w:rPr>
              <w:t xml:space="preserve">esbuild</w:t>
            </w:r>
          </w:p>
        </w:tc>
        <w:tc>
          <w:tcPr>
            <w:tcMar>
              <w:top w:type="dxa" w:w="28"/>
              <w:left w:type="dxa" w:w="72"/>
              <w:bottom w:type="dxa" w:w="28"/>
              <w:right w:type="dxa" w:w="72"/>
            </w:tcMar>
          </w:tcPr>
          <w:p>
            <w:pPr>
              <w:spacing w:after="40" w:before="40"/>
            </w:pPr>
            <w:r>
              <w:rPr>
                <w:color w:val="111827"/>
                <w:sz w:val="180"/>
                <w:szCs w:val="180"/>
              </w:rPr>
              <w:t xml:space="preserve">Latest</w:t>
            </w:r>
          </w:p>
        </w:tc>
        <w:tc>
          <w:tcPr>
            <w:tcMar>
              <w:top w:type="dxa" w:w="28"/>
              <w:left w:type="dxa" w:w="72"/>
              <w:bottom w:type="dxa" w:w="28"/>
              <w:right w:type="dxa" w:w="72"/>
            </w:tcMar>
          </w:tcPr>
          <w:p>
            <w:pPr>
              <w:spacing w:after="40" w:before="40"/>
            </w:pPr>
            <w:r>
              <w:rPr>
                <w:color w:val="111827"/>
                <w:sz w:val="180"/>
                <w:szCs w:val="180"/>
              </w:rPr>
              <w:t xml:space="preserve">API server bundled to CommonJS for production deployment</w:t>
            </w:r>
          </w:p>
        </w:tc>
      </w:tr>
      <w:tr>
        <w:tc>
          <w:tcPr>
            <w:tcMar>
              <w:top w:type="dxa" w:w="28"/>
              <w:left w:type="dxa" w:w="72"/>
              <w:bottom w:type="dxa" w:w="28"/>
              <w:right w:type="dxa" w:w="72"/>
            </w:tcMar>
          </w:tcPr>
          <w:p>
            <w:pPr>
              <w:spacing w:after="40" w:before="40"/>
            </w:pPr>
            <w:r>
              <w:rPr>
                <w:color w:val="111827"/>
                <w:sz w:val="180"/>
                <w:szCs w:val="180"/>
              </w:rPr>
              <w:t xml:space="preserve">Hosting Platform</w:t>
            </w:r>
          </w:p>
        </w:tc>
        <w:tc>
          <w:tcPr>
            <w:tcMar>
              <w:top w:type="dxa" w:w="28"/>
              <w:left w:type="dxa" w:w="72"/>
              <w:bottom w:type="dxa" w:w="28"/>
              <w:right w:type="dxa" w:w="72"/>
            </w:tcMar>
          </w:tcPr>
          <w:p>
            <w:pPr>
              <w:spacing w:after="40" w:before="40"/>
            </w:pPr>
            <w:r>
              <w:rPr>
                <w:color w:val="111827"/>
                <w:sz w:val="180"/>
                <w:szCs w:val="180"/>
              </w:rPr>
              <w:t xml:space="preserve">Replit Cloud</w:t>
            </w:r>
          </w:p>
        </w:tc>
        <w:tc>
          <w:tcPr>
            <w:tcMar>
              <w:top w:type="dxa" w:w="28"/>
              <w:left w:type="dxa" w:w="72"/>
              <w:bottom w:type="dxa" w:w="28"/>
              <w:right w:type="dxa" w:w="72"/>
            </w:tcMar>
          </w:tcPr>
          <w:p>
            <w:pPr>
              <w:spacing w:after="40" w:before="40"/>
            </w:pPr>
            <w:r>
              <w:rPr>
                <w:color w:val="111827"/>
                <w:sz w:val="180"/>
                <w:szCs w:val="180"/>
              </w:rPr>
              <w:t xml:space="preserve">N/A</w:t>
            </w:r>
          </w:p>
        </w:tc>
        <w:tc>
          <w:tcPr>
            <w:tcMar>
              <w:top w:type="dxa" w:w="28"/>
              <w:left w:type="dxa" w:w="72"/>
              <w:bottom w:type="dxa" w:w="28"/>
              <w:right w:type="dxa" w:w="72"/>
            </w:tcMar>
          </w:tcPr>
          <w:p>
            <w:pPr>
              <w:spacing w:after="40" w:before="40"/>
            </w:pPr>
            <w:r>
              <w:rPr>
                <w:color w:val="111827"/>
                <w:sz w:val="180"/>
                <w:szCs w:val="180"/>
              </w:rPr>
              <w:t xml:space="preserve">Container-based cloud hosting; HTTPS enforced at proxy layer</w:t>
            </w:r>
          </w:p>
        </w:tc>
      </w:tr>
    </w:tbl>
    <w:p/>
    <w:p>
      <w:pPr>
        <w:pStyle w:val="Heading1"/>
        <w:spacing w:after="120" w:before="280"/>
        <w:rPr>
          <w:b/>
          <w:bCs/>
          <w:color w:val="1B2A4A"/>
          <w:sz w:val="280"/>
          <w:szCs w:val="280"/>
        </w:rPr>
      </w:pPr>
      <w:r>
        <w:t xml:space="preserve">3. Architecture Layers</w:t>
      </w:r>
    </w:p>
    <w:p>
      <w:pPr>
        <w:pStyle w:val="Heading2"/>
        <w:spacing w:after="80" w:before="200"/>
        <w:rPr>
          <w:b/>
          <w:bCs/>
          <w:color w:val="1B2A4A"/>
          <w:sz w:val="240"/>
          <w:szCs w:val="240"/>
        </w:rPr>
      </w:pPr>
      <w:r>
        <w:t xml:space="preserve">3.1 Presentation Layer</w:t>
      </w:r>
    </w:p>
    <w:p>
      <w:pPr>
        <w:spacing w:after="100"/>
      </w:pPr>
      <w:r>
        <w:rPr>
          <w:color w:val="111827"/>
          <w:sz w:val="200"/>
          <w:szCs w:val="200"/>
        </w:rPr>
        <w:t xml:space="preserve">The frontend is a React 19 single-page application built with Vite. All UI components are from the shadcn/ui library (Radix UI primitives + Tailwind CSS). Client-side routing is handled by Wouter. Data fetching uses React Query with typed hooks generated by Orval from the OpenAPI specification. The frontend communicates exclusively with the API server via the shared reverse proxy.</w:t>
      </w:r>
    </w:p>
    <w:p>
      <w:pPr>
        <w:pStyle w:val="Heading2"/>
        <w:spacing w:after="80" w:before="200"/>
        <w:rPr>
          <w:b/>
          <w:bCs/>
          <w:color w:val="1B2A4A"/>
          <w:sz w:val="240"/>
          <w:szCs w:val="240"/>
        </w:rPr>
      </w:pPr>
      <w:r>
        <w:t xml:space="preserve">3.2 API Layer</w:t>
      </w:r>
    </w:p>
    <w:p>
      <w:pPr>
        <w:spacing w:after="100"/>
      </w:pPr>
      <w:r>
        <w:rPr>
          <w:color w:val="111827"/>
          <w:sz w:val="200"/>
          <w:szCs w:val="200"/>
        </w:rPr>
        <w:t xml:space="preserve">The Express 5 API server exposes RESTful endpoints following the OpenAPI contract. All request bodies and responses are validated using Zod schemas generated from the OpenAPI spec via Orval / drizzle-zod. Route handlers use the pino logger via req.log. The server enforces authentication (session check) on all protected routes and role-based access control at the handler level.</w:t>
      </w:r>
    </w:p>
    <w:p>
      <w:pPr>
        <w:pStyle w:val="Heading2"/>
        <w:spacing w:after="80" w:before="200"/>
        <w:rPr>
          <w:b/>
          <w:bCs/>
          <w:color w:val="1B2A4A"/>
          <w:sz w:val="240"/>
          <w:szCs w:val="240"/>
        </w:rPr>
      </w:pPr>
      <w:r>
        <w:t xml:space="preserve">3.3 Data Layer</w:t>
      </w:r>
    </w:p>
    <w:p>
      <w:pPr>
        <w:spacing w:after="100"/>
      </w:pPr>
      <w:r>
        <w:rPr>
          <w:color w:val="111827"/>
          <w:sz w:val="200"/>
          <w:szCs w:val="200"/>
        </w:rPr>
        <w:t xml:space="preserve">PostgreSQL 16 serves as the system of record. All database interactions use Drizzle ORM. Schema is defined in lib/db/src/schema/ with separate files per domain (deviations, capa, changecontrol, risk-assessments, fmea-entries, users, audit). Date columns use date mode 'string' for YYYY-MM-DD calendar values; timestamps use the timestamp type for instants. isOverdue is computed at query time — not stored — based on dueDate &lt; today AND status != Closed.</w:t>
      </w:r>
    </w:p>
    <w:p/>
    <w:p>
      <w:pPr>
        <w:pStyle w:val="Heading1"/>
        <w:spacing w:after="120" w:before="280"/>
        <w:rPr>
          <w:b/>
          <w:bCs/>
          <w:color w:val="1B2A4A"/>
          <w:sz w:val="280"/>
          <w:szCs w:val="280"/>
        </w:rPr>
      </w:pPr>
      <w:r>
        <w:t xml:space="preserve">4. Data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8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Step</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r>
      <w:tr>
        <w:tc>
          <w:tcPr>
            <w:tcMar>
              <w:top w:type="dxa" w:w="28"/>
              <w:left w:type="dxa" w:w="72"/>
              <w:bottom w:type="dxa" w:w="28"/>
              <w:right w:type="dxa" w:w="72"/>
            </w:tcMar>
          </w:tcPr>
          <w:p>
            <w:pPr>
              <w:spacing w:after="40" w:before="40"/>
            </w:pPr>
            <w:r>
              <w:rPr>
                <w:color w:val="111827"/>
                <w:sz w:val="180"/>
                <w:szCs w:val="180"/>
              </w:rPr>
              <w:t xml:space="preserve">1</w:t>
            </w:r>
          </w:p>
        </w:tc>
        <w:tc>
          <w:tcPr>
            <w:tcMar>
              <w:top w:type="dxa" w:w="28"/>
              <w:left w:type="dxa" w:w="72"/>
              <w:bottom w:type="dxa" w:w="28"/>
              <w:right w:type="dxa" w:w="72"/>
            </w:tcMar>
          </w:tcPr>
          <w:p>
            <w:pPr>
              <w:spacing w:after="40" w:before="40"/>
            </w:pPr>
            <w:r>
              <w:rPr>
                <w:color w:val="111827"/>
                <w:sz w:val="180"/>
                <w:szCs w:val="180"/>
              </w:rPr>
              <w:t xml:space="preserve">User authenticates via login form (POST /api/auth/login) — credentials validated against users table; session established</w:t>
            </w:r>
          </w:p>
        </w:tc>
      </w:tr>
      <w:tr>
        <w:tc>
          <w:tcPr>
            <w:tcMar>
              <w:top w:type="dxa" w:w="28"/>
              <w:left w:type="dxa" w:w="72"/>
              <w:bottom w:type="dxa" w:w="28"/>
              <w:right w:type="dxa" w:w="72"/>
            </w:tcMar>
          </w:tcPr>
          <w:p>
            <w:pPr>
              <w:spacing w:after="40" w:before="40"/>
            </w:pPr>
            <w:r>
              <w:rPr>
                <w:color w:val="111827"/>
                <w:sz w:val="180"/>
                <w:szCs w:val="180"/>
              </w:rPr>
              <w:t xml:space="preserve">2</w:t>
            </w:r>
          </w:p>
        </w:tc>
        <w:tc>
          <w:tcPr>
            <w:tcMar>
              <w:top w:type="dxa" w:w="28"/>
              <w:left w:type="dxa" w:w="72"/>
              <w:bottom w:type="dxa" w:w="28"/>
              <w:right w:type="dxa" w:w="72"/>
            </w:tcMar>
          </w:tcPr>
          <w:p>
            <w:pPr>
              <w:spacing w:after="40" w:before="40"/>
            </w:pPr>
            <w:r>
              <w:rPr>
                <w:color w:val="111827"/>
                <w:sz w:val="180"/>
                <w:szCs w:val="180"/>
              </w:rPr>
              <w:t xml:space="preserve">Browser sends requests to shared proxy at HTTPS domain; proxy routes /api/* to the Express API server</w:t>
            </w:r>
          </w:p>
        </w:tc>
      </w:tr>
      <w:tr>
        <w:tc>
          <w:tcPr>
            <w:tcMar>
              <w:top w:type="dxa" w:w="28"/>
              <w:left w:type="dxa" w:w="72"/>
              <w:bottom w:type="dxa" w:w="28"/>
              <w:right w:type="dxa" w:w="72"/>
            </w:tcMar>
          </w:tcPr>
          <w:p>
            <w:pPr>
              <w:spacing w:after="40" w:before="40"/>
            </w:pPr>
            <w:r>
              <w:rPr>
                <w:color w:val="111827"/>
                <w:sz w:val="180"/>
                <w:szCs w:val="180"/>
              </w:rPr>
              <w:t xml:space="preserve">3</w:t>
            </w:r>
          </w:p>
        </w:tc>
        <w:tc>
          <w:tcPr>
            <w:tcMar>
              <w:top w:type="dxa" w:w="28"/>
              <w:left w:type="dxa" w:w="72"/>
              <w:bottom w:type="dxa" w:w="28"/>
              <w:right w:type="dxa" w:w="72"/>
            </w:tcMar>
          </w:tcPr>
          <w:p>
            <w:pPr>
              <w:spacing w:after="40" w:before="40"/>
            </w:pPr>
            <w:r>
              <w:rPr>
                <w:color w:val="111827"/>
                <w:sz w:val="180"/>
                <w:szCs w:val="180"/>
              </w:rPr>
              <w:t xml:space="preserve">API server validates session; checks role; validates request body with Zod schema; executes Drizzle ORM query</w:t>
            </w:r>
          </w:p>
        </w:tc>
      </w:tr>
      <w:tr>
        <w:tc>
          <w:tcPr>
            <w:tcMar>
              <w:top w:type="dxa" w:w="28"/>
              <w:left w:type="dxa" w:w="72"/>
              <w:bottom w:type="dxa" w:w="28"/>
              <w:right w:type="dxa" w:w="72"/>
            </w:tcMar>
          </w:tcPr>
          <w:p>
            <w:pPr>
              <w:spacing w:after="40" w:before="40"/>
            </w:pPr>
            <w:r>
              <w:rPr>
                <w:color w:val="111827"/>
                <w:sz w:val="180"/>
                <w:szCs w:val="180"/>
              </w:rPr>
              <w:t xml:space="preserve">4</w:t>
            </w:r>
          </w:p>
        </w:tc>
        <w:tc>
          <w:tcPr>
            <w:tcMar>
              <w:top w:type="dxa" w:w="28"/>
              <w:left w:type="dxa" w:w="72"/>
              <w:bottom w:type="dxa" w:w="28"/>
              <w:right w:type="dxa" w:w="72"/>
            </w:tcMar>
          </w:tcPr>
          <w:p>
            <w:pPr>
              <w:spacing w:after="40" w:before="40"/>
            </w:pPr>
            <w:r>
              <w:rPr>
                <w:color w:val="111827"/>
                <w:sz w:val="180"/>
                <w:szCs w:val="180"/>
              </w:rPr>
              <w:t xml:space="preserve">Database returns result; API serialises to JSON; response validated against Zod output schema</w:t>
            </w:r>
          </w:p>
        </w:tc>
      </w:tr>
      <w:tr>
        <w:tc>
          <w:tcPr>
            <w:tcMar>
              <w:top w:type="dxa" w:w="28"/>
              <w:left w:type="dxa" w:w="72"/>
              <w:bottom w:type="dxa" w:w="28"/>
              <w:right w:type="dxa" w:w="72"/>
            </w:tcMar>
          </w:tcPr>
          <w:p>
            <w:pPr>
              <w:spacing w:after="40" w:before="40"/>
            </w:pPr>
            <w:r>
              <w:rPr>
                <w:color w:val="111827"/>
                <w:sz w:val="180"/>
                <w:szCs w:val="180"/>
              </w:rPr>
              <w:t xml:space="preserve">5</w:t>
            </w:r>
          </w:p>
        </w:tc>
        <w:tc>
          <w:tcPr>
            <w:tcMar>
              <w:top w:type="dxa" w:w="28"/>
              <w:left w:type="dxa" w:w="72"/>
              <w:bottom w:type="dxa" w:w="28"/>
              <w:right w:type="dxa" w:w="72"/>
            </w:tcMar>
          </w:tcPr>
          <w:p>
            <w:pPr>
              <w:spacing w:after="40" w:before="40"/>
            </w:pPr>
            <w:r>
              <w:rPr>
                <w:color w:val="111827"/>
                <w:sz w:val="180"/>
                <w:szCs w:val="180"/>
              </w:rPr>
              <w:t xml:space="preserve">Frontend React Query hook receives response; updates UI state; rerenders affected components</w:t>
            </w:r>
          </w:p>
        </w:tc>
      </w:tr>
      <w:tr>
        <w:tc>
          <w:tcPr>
            <w:tcMar>
              <w:top w:type="dxa" w:w="28"/>
              <w:left w:type="dxa" w:w="72"/>
              <w:bottom w:type="dxa" w:w="28"/>
              <w:right w:type="dxa" w:w="72"/>
            </w:tcMar>
          </w:tcPr>
          <w:p>
            <w:pPr>
              <w:spacing w:after="40" w:before="40"/>
            </w:pPr>
            <w:r>
              <w:rPr>
                <w:color w:val="111827"/>
                <w:sz w:val="180"/>
                <w:szCs w:val="180"/>
              </w:rPr>
              <w:t xml:space="preserve">6</w:t>
            </w:r>
          </w:p>
        </w:tc>
        <w:tc>
          <w:tcPr>
            <w:tcMar>
              <w:top w:type="dxa" w:w="28"/>
              <w:left w:type="dxa" w:w="72"/>
              <w:bottom w:type="dxa" w:w="28"/>
              <w:right w:type="dxa" w:w="72"/>
            </w:tcMar>
          </w:tcPr>
          <w:p>
            <w:pPr>
              <w:spacing w:after="40" w:before="40"/>
            </w:pPr>
            <w:r>
              <w:rPr>
                <w:color w:val="111827"/>
                <w:sz w:val="180"/>
                <w:szCs w:val="180"/>
              </w:rPr>
              <w:t xml:space="preserve">All data mutations (create, update, status change) are accompanied by an audit log entry inserted atomically in the same database transaction</w:t>
            </w:r>
          </w:p>
        </w:tc>
      </w:tr>
    </w:tbl>
    <w:p/>
    <w:p>
      <w:pPr>
        <w:pStyle w:val="Heading1"/>
        <w:spacing w:after="120" w:before="280"/>
        <w:rPr>
          <w:b/>
          <w:bCs/>
          <w:color w:val="1B2A4A"/>
          <w:sz w:val="280"/>
          <w:szCs w:val="280"/>
        </w:rPr>
      </w:pPr>
      <w:r>
        <w:t xml:space="preserve">5. Security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Control</w:t>
            </w:r>
          </w:p>
        </w:tc>
        <w:tc>
          <w:tcPr>
            <w:shd w:fill="1B2A4A" w:val="clear"/>
            <w:tcMar>
              <w:top w:type="dxa" w:w="28"/>
              <w:left w:type="dxa" w:w="72"/>
              <w:bottom w:type="dxa" w:w="28"/>
              <w:right w:type="dxa" w:w="72"/>
            </w:tcMar>
          </w:tcPr>
          <w:p>
            <w:pPr>
              <w:spacing w:after="40" w:before="40"/>
            </w:pPr>
            <w:r>
              <w:rPr>
                <w:b/>
                <w:bCs/>
                <w:color w:val="FFFFFF"/>
                <w:sz w:val="180"/>
                <w:szCs w:val="180"/>
              </w:rPr>
              <w:t xml:space="preserve">Mechanism</w:t>
            </w:r>
          </w:p>
        </w:tc>
        <w:tc>
          <w:tcPr>
            <w:shd w:fill="1B2A4A" w:val="clear"/>
            <w:tcMar>
              <w:top w:type="dxa" w:w="28"/>
              <w:left w:type="dxa" w:w="72"/>
              <w:bottom w:type="dxa" w:w="28"/>
              <w:right w:type="dxa" w:w="72"/>
            </w:tcMar>
          </w:tcPr>
          <w:p>
            <w:pPr>
              <w:spacing w:after="40" w:before="40"/>
            </w:pPr>
            <w:r>
              <w:rPr>
                <w:b/>
                <w:bCs/>
                <w:color w:val="FFFFFF"/>
                <w:sz w:val="180"/>
                <w:szCs w:val="180"/>
              </w:rPr>
              <w:t xml:space="preserve">Location</w:t>
            </w:r>
          </w:p>
        </w:tc>
      </w:tr>
      <w:tr>
        <w:tc>
          <w:tcPr>
            <w:tcMar>
              <w:top w:type="dxa" w:w="28"/>
              <w:left w:type="dxa" w:w="72"/>
              <w:bottom w:type="dxa" w:w="28"/>
              <w:right w:type="dxa" w:w="72"/>
            </w:tcMar>
          </w:tcPr>
          <w:p>
            <w:pPr>
              <w:spacing w:after="40" w:before="40"/>
            </w:pPr>
            <w:r>
              <w:rPr>
                <w:color w:val="111827"/>
                <w:sz w:val="180"/>
                <w:szCs w:val="180"/>
              </w:rPr>
              <w:t xml:space="preserve">Transport encryption</w:t>
            </w:r>
          </w:p>
        </w:tc>
        <w:tc>
          <w:tcPr>
            <w:tcMar>
              <w:top w:type="dxa" w:w="28"/>
              <w:left w:type="dxa" w:w="72"/>
              <w:bottom w:type="dxa" w:w="28"/>
              <w:right w:type="dxa" w:w="72"/>
            </w:tcMar>
          </w:tcPr>
          <w:p>
            <w:pPr>
              <w:spacing w:after="40" w:before="40"/>
            </w:pPr>
            <w:r>
              <w:rPr>
                <w:color w:val="111827"/>
                <w:sz w:val="180"/>
                <w:szCs w:val="180"/>
              </w:rPr>
              <w:t xml:space="preserve">HTTPS / TLS 1.2+ enforced at reverse proxy</w:t>
            </w:r>
          </w:p>
        </w:tc>
        <w:tc>
          <w:tcPr>
            <w:tcMar>
              <w:top w:type="dxa" w:w="28"/>
              <w:left w:type="dxa" w:w="72"/>
              <w:bottom w:type="dxa" w:w="28"/>
              <w:right w:type="dxa" w:w="72"/>
            </w:tcMar>
          </w:tcPr>
          <w:p>
            <w:pPr>
              <w:spacing w:after="40" w:before="40"/>
            </w:pPr>
            <w:r>
              <w:rPr>
                <w:color w:val="111827"/>
                <w:sz w:val="180"/>
                <w:szCs w:val="180"/>
              </w:rPr>
              <w:t xml:space="preserve">Hosting platform proxy</w:t>
            </w:r>
          </w:p>
        </w:tc>
      </w:tr>
      <w:tr>
        <w:tc>
          <w:tcPr>
            <w:tcMar>
              <w:top w:type="dxa" w:w="28"/>
              <w:left w:type="dxa" w:w="72"/>
              <w:bottom w:type="dxa" w:w="28"/>
              <w:right w:type="dxa" w:w="72"/>
            </w:tcMar>
          </w:tcPr>
          <w:p>
            <w:pPr>
              <w:spacing w:after="40" w:before="40"/>
            </w:pPr>
            <w:r>
              <w:rPr>
                <w:color w:val="111827"/>
                <w:sz w:val="180"/>
                <w:szCs w:val="180"/>
              </w:rPr>
              <w:t xml:space="preserve">Authentication</w:t>
            </w:r>
          </w:p>
        </w:tc>
        <w:tc>
          <w:tcPr>
            <w:tcMar>
              <w:top w:type="dxa" w:w="28"/>
              <w:left w:type="dxa" w:w="72"/>
              <w:bottom w:type="dxa" w:w="28"/>
              <w:right w:type="dxa" w:w="72"/>
            </w:tcMar>
          </w:tcPr>
          <w:p>
            <w:pPr>
              <w:spacing w:after="40" w:before="40"/>
            </w:pPr>
            <w:r>
              <w:rPr>
                <w:color w:val="111827"/>
                <w:sz w:val="180"/>
                <w:szCs w:val="180"/>
              </w:rPr>
              <w:t xml:space="preserve">Username + bcrypt-hashed password; server-side session (SESSION_SECRET env var)</w:t>
            </w:r>
          </w:p>
        </w:tc>
        <w:tc>
          <w:tcPr>
            <w:tcMar>
              <w:top w:type="dxa" w:w="28"/>
              <w:left w:type="dxa" w:w="72"/>
              <w:bottom w:type="dxa" w:w="28"/>
              <w:right w:type="dxa" w:w="72"/>
            </w:tcMar>
          </w:tcPr>
          <w:p>
            <w:pPr>
              <w:spacing w:after="40" w:before="40"/>
            </w:pPr>
            <w:r>
              <w:rPr>
                <w:color w:val="111827"/>
                <w:sz w:val="180"/>
                <w:szCs w:val="180"/>
              </w:rPr>
              <w:t xml:space="preserve">API server — auth routes</w:t>
            </w:r>
          </w:p>
        </w:tc>
      </w:tr>
      <w:tr>
        <w:tc>
          <w:tcPr>
            <w:tcMar>
              <w:top w:type="dxa" w:w="28"/>
              <w:left w:type="dxa" w:w="72"/>
              <w:bottom w:type="dxa" w:w="28"/>
              <w:right w:type="dxa" w:w="72"/>
            </w:tcMar>
          </w:tcPr>
          <w:p>
            <w:pPr>
              <w:spacing w:after="40" w:before="40"/>
            </w:pPr>
            <w:r>
              <w:rPr>
                <w:color w:val="111827"/>
                <w:sz w:val="180"/>
                <w:szCs w:val="180"/>
              </w:rPr>
              <w:t xml:space="preserve">Session security</w:t>
            </w:r>
          </w:p>
        </w:tc>
        <w:tc>
          <w:tcPr>
            <w:tcMar>
              <w:top w:type="dxa" w:w="28"/>
              <w:left w:type="dxa" w:w="72"/>
              <w:bottom w:type="dxa" w:w="28"/>
              <w:right w:type="dxa" w:w="72"/>
            </w:tcMar>
          </w:tcPr>
          <w:p>
            <w:pPr>
              <w:spacing w:after="40" w:before="40"/>
            </w:pPr>
            <w:r>
              <w:rPr>
                <w:color w:val="111827"/>
                <w:sz w:val="180"/>
                <w:szCs w:val="180"/>
              </w:rPr>
              <w:t xml:space="preserve">HTTPOnly session cookie; sameSite = lax; secure flag in production</w:t>
            </w:r>
          </w:p>
        </w:tc>
        <w:tc>
          <w:tcPr>
            <w:tcMar>
              <w:top w:type="dxa" w:w="28"/>
              <w:left w:type="dxa" w:w="72"/>
              <w:bottom w:type="dxa" w:w="28"/>
              <w:right w:type="dxa" w:w="72"/>
            </w:tcMar>
          </w:tcPr>
          <w:p>
            <w:pPr>
              <w:spacing w:after="40" w:before="40"/>
            </w:pPr>
            <w:r>
              <w:rPr>
                <w:color w:val="111827"/>
                <w:sz w:val="180"/>
                <w:szCs w:val="180"/>
              </w:rPr>
              <w:t xml:space="preserve">express-session configuration</w:t>
            </w:r>
          </w:p>
        </w:tc>
      </w:tr>
      <w:tr>
        <w:tc>
          <w:tcPr>
            <w:tcMar>
              <w:top w:type="dxa" w:w="28"/>
              <w:left w:type="dxa" w:w="72"/>
              <w:bottom w:type="dxa" w:w="28"/>
              <w:right w:type="dxa" w:w="72"/>
            </w:tcMar>
          </w:tcPr>
          <w:p>
            <w:pPr>
              <w:spacing w:after="40" w:before="40"/>
            </w:pPr>
            <w:r>
              <w:rPr>
                <w:color w:val="111827"/>
                <w:sz w:val="180"/>
                <w:szCs w:val="180"/>
              </w:rPr>
              <w:t xml:space="preserve">Authorisation (RBAC)</w:t>
            </w:r>
          </w:p>
        </w:tc>
        <w:tc>
          <w:tcPr>
            <w:tcMar>
              <w:top w:type="dxa" w:w="28"/>
              <w:left w:type="dxa" w:w="72"/>
              <w:bottom w:type="dxa" w:w="28"/>
              <w:right w:type="dxa" w:w="72"/>
            </w:tcMar>
          </w:tcPr>
          <w:p>
            <w:pPr>
              <w:spacing w:after="40" w:before="40"/>
            </w:pPr>
            <w:r>
              <w:rPr>
                <w:color w:val="111827"/>
                <w:sz w:val="180"/>
                <w:szCs w:val="180"/>
              </w:rPr>
              <w:t xml:space="preserve">Role checked in each route handler; QA-only and Admin-only guards enforced</w:t>
            </w:r>
          </w:p>
        </w:tc>
        <w:tc>
          <w:tcPr>
            <w:tcMar>
              <w:top w:type="dxa" w:w="28"/>
              <w:left w:type="dxa" w:w="72"/>
              <w:bottom w:type="dxa" w:w="28"/>
              <w:right w:type="dxa" w:w="72"/>
            </w:tcMar>
          </w:tcPr>
          <w:p>
            <w:pPr>
              <w:spacing w:after="40" w:before="40"/>
            </w:pPr>
            <w:r>
              <w:rPr>
                <w:color w:val="111827"/>
                <w:sz w:val="180"/>
                <w:szCs w:val="180"/>
              </w:rPr>
              <w:t xml:space="preserve">API server — route handlers</w:t>
            </w:r>
          </w:p>
        </w:tc>
      </w:tr>
      <w:tr>
        <w:tc>
          <w:tcPr>
            <w:tcMar>
              <w:top w:type="dxa" w:w="28"/>
              <w:left w:type="dxa" w:w="72"/>
              <w:bottom w:type="dxa" w:w="28"/>
              <w:right w:type="dxa" w:w="72"/>
            </w:tcMar>
          </w:tcPr>
          <w:p>
            <w:pPr>
              <w:spacing w:after="40" w:before="40"/>
            </w:pPr>
            <w:r>
              <w:rPr>
                <w:color w:val="111827"/>
                <w:sz w:val="180"/>
                <w:szCs w:val="180"/>
              </w:rPr>
              <w:t xml:space="preserve">Input validation</w:t>
            </w:r>
          </w:p>
        </w:tc>
        <w:tc>
          <w:tcPr>
            <w:tcMar>
              <w:top w:type="dxa" w:w="28"/>
              <w:left w:type="dxa" w:w="72"/>
              <w:bottom w:type="dxa" w:w="28"/>
              <w:right w:type="dxa" w:w="72"/>
            </w:tcMar>
          </w:tcPr>
          <w:p>
            <w:pPr>
              <w:spacing w:after="40" w:before="40"/>
            </w:pPr>
            <w:r>
              <w:rPr>
                <w:color w:val="111827"/>
                <w:sz w:val="180"/>
                <w:szCs w:val="180"/>
              </w:rPr>
              <w:t xml:space="preserve">Zod schema validation on all request bodies; parameterised SQL via Drizzle ORM (no raw SQL injection risk)</w:t>
            </w:r>
          </w:p>
        </w:tc>
        <w:tc>
          <w:tcPr>
            <w:tcMar>
              <w:top w:type="dxa" w:w="28"/>
              <w:left w:type="dxa" w:w="72"/>
              <w:bottom w:type="dxa" w:w="28"/>
              <w:right w:type="dxa" w:w="72"/>
            </w:tcMar>
          </w:tcPr>
          <w:p>
            <w:pPr>
              <w:spacing w:after="40" w:before="40"/>
            </w:pPr>
            <w:r>
              <w:rPr>
                <w:color w:val="111827"/>
                <w:sz w:val="180"/>
                <w:szCs w:val="180"/>
              </w:rPr>
              <w:t xml:space="preserve">API server — Zod + Drizzle</w:t>
            </w:r>
          </w:p>
        </w:tc>
      </w:tr>
      <w:tr>
        <w:tc>
          <w:tcPr>
            <w:tcMar>
              <w:top w:type="dxa" w:w="28"/>
              <w:left w:type="dxa" w:w="72"/>
              <w:bottom w:type="dxa" w:w="28"/>
              <w:right w:type="dxa" w:w="72"/>
            </w:tcMar>
          </w:tcPr>
          <w:p>
            <w:pPr>
              <w:spacing w:after="40" w:before="40"/>
            </w:pPr>
            <w:r>
              <w:rPr>
                <w:color w:val="111827"/>
                <w:sz w:val="180"/>
                <w:szCs w:val="180"/>
              </w:rPr>
              <w:t xml:space="preserve">Audit trail</w:t>
            </w:r>
          </w:p>
        </w:tc>
        <w:tc>
          <w:tcPr>
            <w:tcMar>
              <w:top w:type="dxa" w:w="28"/>
              <w:left w:type="dxa" w:w="72"/>
              <w:bottom w:type="dxa" w:w="28"/>
              <w:right w:type="dxa" w:w="72"/>
            </w:tcMar>
          </w:tcPr>
          <w:p>
            <w:pPr>
              <w:spacing w:after="40" w:before="40"/>
            </w:pPr>
            <w:r>
              <w:rPr>
                <w:color w:val="111827"/>
                <w:sz w:val="180"/>
                <w:szCs w:val="180"/>
              </w:rPr>
              <w:t xml:space="preserve">Immutable audit log written in same DB transaction as the data change; no delete/update of audit rows</w:t>
            </w:r>
          </w:p>
        </w:tc>
        <w:tc>
          <w:tcPr>
            <w:tcMar>
              <w:top w:type="dxa" w:w="28"/>
              <w:left w:type="dxa" w:w="72"/>
              <w:bottom w:type="dxa" w:w="28"/>
              <w:right w:type="dxa" w:w="72"/>
            </w:tcMar>
          </w:tcPr>
          <w:p>
            <w:pPr>
              <w:spacing w:after="40" w:before="40"/>
            </w:pPr>
            <w:r>
              <w:rPr>
                <w:color w:val="111827"/>
                <w:sz w:val="180"/>
                <w:szCs w:val="180"/>
              </w:rPr>
              <w:t xml:space="preserve">Database — audit table</w:t>
            </w:r>
          </w:p>
        </w:tc>
      </w:tr>
      <w:tr>
        <w:tc>
          <w:tcPr>
            <w:tcMar>
              <w:top w:type="dxa" w:w="28"/>
              <w:left w:type="dxa" w:w="72"/>
              <w:bottom w:type="dxa" w:w="28"/>
              <w:right w:type="dxa" w:w="72"/>
            </w:tcMar>
          </w:tcPr>
          <w:p>
            <w:pPr>
              <w:spacing w:after="40" w:before="40"/>
            </w:pPr>
            <w:r>
              <w:rPr>
                <w:color w:val="111827"/>
                <w:sz w:val="180"/>
                <w:szCs w:val="180"/>
              </w:rPr>
              <w:t xml:space="preserve">Secrets management</w:t>
            </w:r>
          </w:p>
        </w:tc>
        <w:tc>
          <w:tcPr>
            <w:tcMar>
              <w:top w:type="dxa" w:w="28"/>
              <w:left w:type="dxa" w:w="72"/>
              <w:bottom w:type="dxa" w:w="28"/>
              <w:right w:type="dxa" w:w="72"/>
            </w:tcMar>
          </w:tcPr>
          <w:p>
            <w:pPr>
              <w:spacing w:after="40" w:before="40"/>
            </w:pPr>
            <w:r>
              <w:rPr>
                <w:color w:val="111827"/>
                <w:sz w:val="180"/>
                <w:szCs w:val="180"/>
              </w:rPr>
              <w:t xml:space="preserve">DATABASE_URL and SESSION_SECRET stored as platform environment secrets — never in source code</w:t>
            </w:r>
          </w:p>
        </w:tc>
        <w:tc>
          <w:tcPr>
            <w:tcMar>
              <w:top w:type="dxa" w:w="28"/>
              <w:left w:type="dxa" w:w="72"/>
              <w:bottom w:type="dxa" w:w="28"/>
              <w:right w:type="dxa" w:w="72"/>
            </w:tcMar>
          </w:tcPr>
          <w:p>
            <w:pPr>
              <w:spacing w:after="40" w:before="40"/>
            </w:pPr>
            <w:r>
              <w:rPr>
                <w:color w:val="111827"/>
                <w:sz w:val="180"/>
                <w:szCs w:val="180"/>
              </w:rPr>
              <w:t xml:space="preserve">Hosting platform env vars</w:t>
            </w:r>
          </w:p>
        </w:tc>
      </w:tr>
    </w:tbl>
    <w:p/>
    <w:p>
      <w:pPr>
        <w:pStyle w:val="Heading1"/>
        <w:spacing w:after="120" w:before="280"/>
        <w:rPr>
          <w:b/>
          <w:bCs/>
          <w:color w:val="1B2A4A"/>
          <w:sz w:val="280"/>
          <w:szCs w:val="280"/>
        </w:rPr>
      </w:pPr>
      <w:r>
        <w:t xml:space="preserve">6. URL Structure and Routing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Path Prefix</w:t>
            </w:r>
          </w:p>
        </w:tc>
        <w:tc>
          <w:tcPr>
            <w:shd w:fill="1B2A4A" w:val="clear"/>
            <w:tcMar>
              <w:top w:type="dxa" w:w="28"/>
              <w:left w:type="dxa" w:w="72"/>
              <w:bottom w:type="dxa" w:w="28"/>
              <w:right w:type="dxa" w:w="72"/>
            </w:tcMar>
          </w:tcPr>
          <w:p>
            <w:pPr>
              <w:spacing w:after="40" w:before="40"/>
            </w:pPr>
            <w:r>
              <w:rPr>
                <w:b/>
                <w:bCs/>
                <w:color w:val="FFFFFF"/>
                <w:sz w:val="180"/>
                <w:szCs w:val="180"/>
              </w:rPr>
              <w:t xml:space="preserve">Handled By</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r>
      <w:tr>
        <w:tc>
          <w:tcPr>
            <w:tcMar>
              <w:top w:type="dxa" w:w="28"/>
              <w:left w:type="dxa" w:w="72"/>
              <w:bottom w:type="dxa" w:w="28"/>
              <w:right w:type="dxa" w:w="72"/>
            </w:tcMar>
          </w:tcPr>
          <w:p>
            <w:pPr>
              <w:spacing w:after="40" w:before="40"/>
            </w:pPr>
            <w:r>
              <w:rPr>
                <w:color w:val="111827"/>
                <w:sz w:val="180"/>
                <w:szCs w:val="180"/>
              </w:rPr>
              <w:t xml:space="preserve">/</w:t>
            </w:r>
          </w:p>
        </w:tc>
        <w:tc>
          <w:tcPr>
            <w:tcMar>
              <w:top w:type="dxa" w:w="28"/>
              <w:left w:type="dxa" w:w="72"/>
              <w:bottom w:type="dxa" w:w="28"/>
              <w:right w:type="dxa" w:w="72"/>
            </w:tcMar>
          </w:tcPr>
          <w:p>
            <w:pPr>
              <w:spacing w:after="40" w:before="40"/>
            </w:pPr>
            <w:r>
              <w:rPr>
                <w:color w:val="111827"/>
                <w:sz w:val="180"/>
                <w:szCs w:val="180"/>
              </w:rPr>
              <w:t xml:space="preserve">Frontend (Vite)</w:t>
            </w:r>
          </w:p>
        </w:tc>
        <w:tc>
          <w:tcPr>
            <w:tcMar>
              <w:top w:type="dxa" w:w="28"/>
              <w:left w:type="dxa" w:w="72"/>
              <w:bottom w:type="dxa" w:w="28"/>
              <w:right w:type="dxa" w:w="72"/>
            </w:tcMar>
          </w:tcPr>
          <w:p>
            <w:pPr>
              <w:spacing w:after="40" w:before="40"/>
            </w:pPr>
            <w:r>
              <w:rPr>
                <w:color w:val="111827"/>
                <w:sz w:val="180"/>
                <w:szCs w:val="180"/>
              </w:rPr>
              <w:t xml:space="preserve">QMS single-page application root</w:t>
            </w:r>
          </w:p>
        </w:tc>
      </w:tr>
      <w:tr>
        <w:tc>
          <w:tcPr>
            <w:tcMar>
              <w:top w:type="dxa" w:w="28"/>
              <w:left w:type="dxa" w:w="72"/>
              <w:bottom w:type="dxa" w:w="28"/>
              <w:right w:type="dxa" w:w="72"/>
            </w:tcMar>
          </w:tcPr>
          <w:p>
            <w:pPr>
              <w:spacing w:after="40" w:before="40"/>
            </w:pPr>
            <w:r>
              <w:rPr>
                <w:color w:val="111827"/>
                <w:sz w:val="180"/>
                <w:szCs w:val="180"/>
              </w:rPr>
              <w:t xml:space="preserve">/api</w:t>
            </w:r>
          </w:p>
        </w:tc>
        <w:tc>
          <w:tcPr>
            <w:tcMar>
              <w:top w:type="dxa" w:w="28"/>
              <w:left w:type="dxa" w:w="72"/>
              <w:bottom w:type="dxa" w:w="28"/>
              <w:right w:type="dxa" w:w="72"/>
            </w:tcMar>
          </w:tcPr>
          <w:p>
            <w:pPr>
              <w:spacing w:after="40" w:before="40"/>
            </w:pPr>
            <w:r>
              <w:rPr>
                <w:color w:val="111827"/>
                <w:sz w:val="180"/>
                <w:szCs w:val="180"/>
              </w:rPr>
              <w:t xml:space="preserve">API Server (Express)</w:t>
            </w:r>
          </w:p>
        </w:tc>
        <w:tc>
          <w:tcPr>
            <w:tcMar>
              <w:top w:type="dxa" w:w="28"/>
              <w:left w:type="dxa" w:w="72"/>
              <w:bottom w:type="dxa" w:w="28"/>
              <w:right w:type="dxa" w:w="72"/>
            </w:tcMar>
          </w:tcPr>
          <w:p>
            <w:pPr>
              <w:spacing w:after="40" w:before="40"/>
            </w:pPr>
            <w:r>
              <w:rPr>
                <w:color w:val="111827"/>
                <w:sz w:val="180"/>
                <w:szCs w:val="180"/>
              </w:rPr>
              <w:t xml:space="preserve">All REST API endpoints</w:t>
            </w:r>
          </w:p>
        </w:tc>
      </w:tr>
      <w:tr>
        <w:tc>
          <w:tcPr>
            <w:tcMar>
              <w:top w:type="dxa" w:w="28"/>
              <w:left w:type="dxa" w:w="72"/>
              <w:bottom w:type="dxa" w:w="28"/>
              <w:right w:type="dxa" w:w="72"/>
            </w:tcMar>
          </w:tcPr>
          <w:p>
            <w:pPr>
              <w:spacing w:after="40" w:before="40"/>
            </w:pPr>
            <w:r>
              <w:rPr>
                <w:color w:val="111827"/>
                <w:sz w:val="180"/>
                <w:szCs w:val="180"/>
              </w:rPr>
              <w:t xml:space="preserve">/api/healthz</w:t>
            </w:r>
          </w:p>
        </w:tc>
        <w:tc>
          <w:tcPr>
            <w:tcMar>
              <w:top w:type="dxa" w:w="28"/>
              <w:left w:type="dxa" w:w="72"/>
              <w:bottom w:type="dxa" w:w="28"/>
              <w:right w:type="dxa" w:w="72"/>
            </w:tcMar>
          </w:tcPr>
          <w:p>
            <w:pPr>
              <w:spacing w:after="40" w:before="40"/>
            </w:pPr>
            <w:r>
              <w:rPr>
                <w:color w:val="111827"/>
                <w:sz w:val="180"/>
                <w:szCs w:val="180"/>
              </w:rPr>
              <w:t xml:space="preserve">API Server</w:t>
            </w:r>
          </w:p>
        </w:tc>
        <w:tc>
          <w:tcPr>
            <w:tcMar>
              <w:top w:type="dxa" w:w="28"/>
              <w:left w:type="dxa" w:w="72"/>
              <w:bottom w:type="dxa" w:w="28"/>
              <w:right w:type="dxa" w:w="72"/>
            </w:tcMar>
          </w:tcPr>
          <w:p>
            <w:pPr>
              <w:spacing w:after="40" w:before="40"/>
            </w:pPr>
            <w:r>
              <w:rPr>
                <w:color w:val="111827"/>
                <w:sz w:val="180"/>
                <w:szCs w:val="180"/>
              </w:rPr>
              <w:t xml:space="preserve">Health check endpoint (no auth required)</w:t>
            </w:r>
          </w:p>
        </w:tc>
      </w:tr>
      <w:tr>
        <w:tc>
          <w:tcPr>
            <w:tcMar>
              <w:top w:type="dxa" w:w="28"/>
              <w:left w:type="dxa" w:w="72"/>
              <w:bottom w:type="dxa" w:w="28"/>
              <w:right w:type="dxa" w:w="72"/>
            </w:tcMar>
          </w:tcPr>
          <w:p>
            <w:pPr>
              <w:spacing w:after="40" w:before="40"/>
            </w:pPr>
            <w:r>
              <w:rPr>
                <w:color w:val="111827"/>
                <w:sz w:val="180"/>
                <w:szCs w:val="180"/>
              </w:rPr>
              <w:t xml:space="preserve">/api/auth/*</w:t>
            </w:r>
          </w:p>
        </w:tc>
        <w:tc>
          <w:tcPr>
            <w:tcMar>
              <w:top w:type="dxa" w:w="28"/>
              <w:left w:type="dxa" w:w="72"/>
              <w:bottom w:type="dxa" w:w="28"/>
              <w:right w:type="dxa" w:w="72"/>
            </w:tcMar>
          </w:tcPr>
          <w:p>
            <w:pPr>
              <w:spacing w:after="40" w:before="40"/>
            </w:pPr>
            <w:r>
              <w:rPr>
                <w:color w:val="111827"/>
                <w:sz w:val="180"/>
                <w:szCs w:val="180"/>
              </w:rPr>
              <w:t xml:space="preserve">API Server — auth routes</w:t>
            </w:r>
          </w:p>
        </w:tc>
        <w:tc>
          <w:tcPr>
            <w:tcMar>
              <w:top w:type="dxa" w:w="28"/>
              <w:left w:type="dxa" w:w="72"/>
              <w:bottom w:type="dxa" w:w="28"/>
              <w:right w:type="dxa" w:w="72"/>
            </w:tcMar>
          </w:tcPr>
          <w:p>
            <w:pPr>
              <w:spacing w:after="40" w:before="40"/>
            </w:pPr>
            <w:r>
              <w:rPr>
                <w:color w:val="111827"/>
                <w:sz w:val="180"/>
                <w:szCs w:val="180"/>
              </w:rPr>
              <w:t xml:space="preserve">Login, logout, session check</w:t>
            </w:r>
          </w:p>
        </w:tc>
      </w:tr>
      <w:tr>
        <w:tc>
          <w:tcPr>
            <w:tcMar>
              <w:top w:type="dxa" w:w="28"/>
              <w:left w:type="dxa" w:w="72"/>
              <w:bottom w:type="dxa" w:w="28"/>
              <w:right w:type="dxa" w:w="72"/>
            </w:tcMar>
          </w:tcPr>
          <w:p>
            <w:pPr>
              <w:spacing w:after="40" w:before="40"/>
            </w:pPr>
            <w:r>
              <w:rPr>
                <w:color w:val="111827"/>
                <w:sz w:val="180"/>
                <w:szCs w:val="180"/>
              </w:rPr>
              <w:t xml:space="preserve">/api/deviations/*</w:t>
            </w:r>
          </w:p>
        </w:tc>
        <w:tc>
          <w:tcPr>
            <w:tcMar>
              <w:top w:type="dxa" w:w="28"/>
              <w:left w:type="dxa" w:w="72"/>
              <w:bottom w:type="dxa" w:w="28"/>
              <w:right w:type="dxa" w:w="72"/>
            </w:tcMar>
          </w:tcPr>
          <w:p>
            <w:pPr>
              <w:spacing w:after="40" w:before="40"/>
            </w:pPr>
            <w:r>
              <w:rPr>
                <w:color w:val="111827"/>
                <w:sz w:val="180"/>
                <w:szCs w:val="180"/>
              </w:rPr>
              <w:t xml:space="preserve">API Server — deviations routes</w:t>
            </w:r>
          </w:p>
        </w:tc>
        <w:tc>
          <w:tcPr>
            <w:tcMar>
              <w:top w:type="dxa" w:w="28"/>
              <w:left w:type="dxa" w:w="72"/>
              <w:bottom w:type="dxa" w:w="28"/>
              <w:right w:type="dxa" w:w="72"/>
            </w:tcMar>
          </w:tcPr>
          <w:p>
            <w:pPr>
              <w:spacing w:after="40" w:before="40"/>
            </w:pPr>
            <w:r>
              <w:rPr>
                <w:color w:val="111827"/>
                <w:sz w:val="180"/>
                <w:szCs w:val="180"/>
              </w:rPr>
              <w:t xml:space="preserve">Deviation CRUD and workflow</w:t>
            </w:r>
          </w:p>
        </w:tc>
      </w:tr>
      <w:tr>
        <w:tc>
          <w:tcPr>
            <w:tcMar>
              <w:top w:type="dxa" w:w="28"/>
              <w:left w:type="dxa" w:w="72"/>
              <w:bottom w:type="dxa" w:w="28"/>
              <w:right w:type="dxa" w:w="72"/>
            </w:tcMar>
          </w:tcPr>
          <w:p>
            <w:pPr>
              <w:spacing w:after="40" w:before="40"/>
            </w:pPr>
            <w:r>
              <w:rPr>
                <w:color w:val="111827"/>
                <w:sz w:val="180"/>
                <w:szCs w:val="180"/>
              </w:rPr>
              <w:t xml:space="preserve">/api/capa/*</w:t>
            </w:r>
          </w:p>
        </w:tc>
        <w:tc>
          <w:tcPr>
            <w:tcMar>
              <w:top w:type="dxa" w:w="28"/>
              <w:left w:type="dxa" w:w="72"/>
              <w:bottom w:type="dxa" w:w="28"/>
              <w:right w:type="dxa" w:w="72"/>
            </w:tcMar>
          </w:tcPr>
          <w:p>
            <w:pPr>
              <w:spacing w:after="40" w:before="40"/>
            </w:pPr>
            <w:r>
              <w:rPr>
                <w:color w:val="111827"/>
                <w:sz w:val="180"/>
                <w:szCs w:val="180"/>
              </w:rPr>
              <w:t xml:space="preserve">API Server — capa routes</w:t>
            </w:r>
          </w:p>
        </w:tc>
        <w:tc>
          <w:tcPr>
            <w:tcMar>
              <w:top w:type="dxa" w:w="28"/>
              <w:left w:type="dxa" w:w="72"/>
              <w:bottom w:type="dxa" w:w="28"/>
              <w:right w:type="dxa" w:w="72"/>
            </w:tcMar>
          </w:tcPr>
          <w:p>
            <w:pPr>
              <w:spacing w:after="40" w:before="40"/>
            </w:pPr>
            <w:r>
              <w:rPr>
                <w:color w:val="111827"/>
                <w:sz w:val="180"/>
                <w:szCs w:val="180"/>
              </w:rPr>
              <w:t xml:space="preserve">CAPA CRUD, workflow, efficacy review</w:t>
            </w:r>
          </w:p>
        </w:tc>
      </w:tr>
      <w:tr>
        <w:tc>
          <w:tcPr>
            <w:tcMar>
              <w:top w:type="dxa" w:w="28"/>
              <w:left w:type="dxa" w:w="72"/>
              <w:bottom w:type="dxa" w:w="28"/>
              <w:right w:type="dxa" w:w="72"/>
            </w:tcMar>
          </w:tcPr>
          <w:p>
            <w:pPr>
              <w:spacing w:after="40" w:before="40"/>
            </w:pPr>
            <w:r>
              <w:rPr>
                <w:color w:val="111827"/>
                <w:sz w:val="180"/>
                <w:szCs w:val="180"/>
              </w:rPr>
              <w:t xml:space="preserve">/api/change-controls/*</w:t>
            </w:r>
          </w:p>
        </w:tc>
        <w:tc>
          <w:tcPr>
            <w:tcMar>
              <w:top w:type="dxa" w:w="28"/>
              <w:left w:type="dxa" w:w="72"/>
              <w:bottom w:type="dxa" w:w="28"/>
              <w:right w:type="dxa" w:w="72"/>
            </w:tcMar>
          </w:tcPr>
          <w:p>
            <w:pPr>
              <w:spacing w:after="40" w:before="40"/>
            </w:pPr>
            <w:r>
              <w:rPr>
                <w:color w:val="111827"/>
                <w:sz w:val="180"/>
                <w:szCs w:val="180"/>
              </w:rPr>
              <w:t xml:space="preserve">API Server — changecontrol routes</w:t>
            </w:r>
          </w:p>
        </w:tc>
        <w:tc>
          <w:tcPr>
            <w:tcMar>
              <w:top w:type="dxa" w:w="28"/>
              <w:left w:type="dxa" w:w="72"/>
              <w:bottom w:type="dxa" w:w="28"/>
              <w:right w:type="dxa" w:w="72"/>
            </w:tcMar>
          </w:tcPr>
          <w:p>
            <w:pPr>
              <w:spacing w:after="40" w:before="40"/>
            </w:pPr>
            <w:r>
              <w:rPr>
                <w:color w:val="111827"/>
                <w:sz w:val="180"/>
                <w:szCs w:val="180"/>
              </w:rPr>
              <w:t xml:space="preserve">Change control CRUD and approval workflow</w:t>
            </w:r>
          </w:p>
        </w:tc>
      </w:tr>
      <w:tr>
        <w:tc>
          <w:tcPr>
            <w:tcMar>
              <w:top w:type="dxa" w:w="28"/>
              <w:left w:type="dxa" w:w="72"/>
              <w:bottom w:type="dxa" w:w="28"/>
              <w:right w:type="dxa" w:w="72"/>
            </w:tcMar>
          </w:tcPr>
          <w:p>
            <w:pPr>
              <w:spacing w:after="40" w:before="40"/>
            </w:pPr>
            <w:r>
              <w:rPr>
                <w:color w:val="111827"/>
                <w:sz w:val="180"/>
                <w:szCs w:val="180"/>
              </w:rPr>
              <w:t xml:space="preserve">/api/risk-assessments/*</w:t>
            </w:r>
          </w:p>
        </w:tc>
        <w:tc>
          <w:tcPr>
            <w:tcMar>
              <w:top w:type="dxa" w:w="28"/>
              <w:left w:type="dxa" w:w="72"/>
              <w:bottom w:type="dxa" w:w="28"/>
              <w:right w:type="dxa" w:w="72"/>
            </w:tcMar>
          </w:tcPr>
          <w:p>
            <w:pPr>
              <w:spacing w:after="40" w:before="40"/>
            </w:pPr>
            <w:r>
              <w:rPr>
                <w:color w:val="111827"/>
                <w:sz w:val="180"/>
                <w:szCs w:val="180"/>
              </w:rPr>
              <w:t xml:space="preserve">API Server — risk-assessment routes</w:t>
            </w:r>
          </w:p>
        </w:tc>
        <w:tc>
          <w:tcPr>
            <w:tcMar>
              <w:top w:type="dxa" w:w="28"/>
              <w:left w:type="dxa" w:w="72"/>
              <w:bottom w:type="dxa" w:w="28"/>
              <w:right w:type="dxa" w:w="72"/>
            </w:tcMar>
          </w:tcPr>
          <w:p>
            <w:pPr>
              <w:spacing w:after="40" w:before="40"/>
            </w:pPr>
            <w:r>
              <w:rPr>
                <w:color w:val="111827"/>
                <w:sz w:val="180"/>
                <w:szCs w:val="180"/>
              </w:rPr>
              <w:t xml:space="preserve">FMEA CRUD, workflow, entries, team</w:t>
            </w:r>
          </w:p>
        </w:tc>
      </w:tr>
      <w:tr>
        <w:tc>
          <w:tcPr>
            <w:tcMar>
              <w:top w:type="dxa" w:w="28"/>
              <w:left w:type="dxa" w:w="72"/>
              <w:bottom w:type="dxa" w:w="28"/>
              <w:right w:type="dxa" w:w="72"/>
            </w:tcMar>
          </w:tcPr>
          <w:p>
            <w:pPr>
              <w:spacing w:after="40" w:before="40"/>
            </w:pPr>
            <w:r>
              <w:rPr>
                <w:color w:val="111827"/>
                <w:sz w:val="180"/>
                <w:szCs w:val="180"/>
              </w:rPr>
              <w:t xml:space="preserve">/api/notifications</w:t>
            </w:r>
          </w:p>
        </w:tc>
        <w:tc>
          <w:tcPr>
            <w:tcMar>
              <w:top w:type="dxa" w:w="28"/>
              <w:left w:type="dxa" w:w="72"/>
              <w:bottom w:type="dxa" w:w="28"/>
              <w:right w:type="dxa" w:w="72"/>
            </w:tcMar>
          </w:tcPr>
          <w:p>
            <w:pPr>
              <w:spacing w:after="40" w:before="40"/>
            </w:pPr>
            <w:r>
              <w:rPr>
                <w:color w:val="111827"/>
                <w:sz w:val="180"/>
                <w:szCs w:val="180"/>
              </w:rPr>
              <w:t xml:space="preserve">API Server — notifications routes</w:t>
            </w:r>
          </w:p>
        </w:tc>
        <w:tc>
          <w:tcPr>
            <w:tcMar>
              <w:top w:type="dxa" w:w="28"/>
              <w:left w:type="dxa" w:w="72"/>
              <w:bottom w:type="dxa" w:w="28"/>
              <w:right w:type="dxa" w:w="72"/>
            </w:tcMar>
          </w:tcPr>
          <w:p>
            <w:pPr>
              <w:spacing w:after="40" w:before="40"/>
            </w:pPr>
            <w:r>
              <w:rPr>
                <w:color w:val="111827"/>
                <w:sz w:val="180"/>
                <w:szCs w:val="180"/>
              </w:rPr>
              <w:t xml:space="preserve">Pending workflow actions for current user</w:t>
            </w:r>
          </w:p>
        </w:tc>
      </w:tr>
      <w:tr>
        <w:tc>
          <w:tcPr>
            <w:tcMar>
              <w:top w:type="dxa" w:w="28"/>
              <w:left w:type="dxa" w:w="72"/>
              <w:bottom w:type="dxa" w:w="28"/>
              <w:right w:type="dxa" w:w="72"/>
            </w:tcMar>
          </w:tcPr>
          <w:p>
            <w:pPr>
              <w:spacing w:after="40" w:before="40"/>
            </w:pPr>
            <w:r>
              <w:rPr>
                <w:color w:val="111827"/>
                <w:sz w:val="180"/>
                <w:szCs w:val="180"/>
              </w:rPr>
              <w:t xml:space="preserve">/api/audit</w:t>
            </w:r>
          </w:p>
        </w:tc>
        <w:tc>
          <w:tcPr>
            <w:tcMar>
              <w:top w:type="dxa" w:w="28"/>
              <w:left w:type="dxa" w:w="72"/>
              <w:bottom w:type="dxa" w:w="28"/>
              <w:right w:type="dxa" w:w="72"/>
            </w:tcMar>
          </w:tcPr>
          <w:p>
            <w:pPr>
              <w:spacing w:after="40" w:before="40"/>
            </w:pPr>
            <w:r>
              <w:rPr>
                <w:color w:val="111827"/>
                <w:sz w:val="180"/>
                <w:szCs w:val="180"/>
              </w:rPr>
              <w:t xml:space="preserve">API Server — audit routes</w:t>
            </w:r>
          </w:p>
        </w:tc>
        <w:tc>
          <w:tcPr>
            <w:tcMar>
              <w:top w:type="dxa" w:w="28"/>
              <w:left w:type="dxa" w:w="72"/>
              <w:bottom w:type="dxa" w:w="28"/>
              <w:right w:type="dxa" w:w="72"/>
            </w:tcMar>
          </w:tcPr>
          <w:p>
            <w:pPr>
              <w:spacing w:after="40" w:before="40"/>
            </w:pPr>
            <w:r>
              <w:rPr>
                <w:color w:val="111827"/>
                <w:sz w:val="180"/>
                <w:szCs w:val="180"/>
              </w:rPr>
              <w:t xml:space="preserve">Audit trail query</w:t>
            </w:r>
          </w:p>
        </w:tc>
      </w:tr>
    </w:tbl>
    <w:p/>
    <w:p>
      <w:pPr>
        <w:pStyle w:val="Heading1"/>
        <w:spacing w:after="120" w:before="280"/>
        <w:rPr>
          <w:b/>
          <w:bCs/>
          <w:color w:val="1B2A4A"/>
          <w:sz w:val="280"/>
          <w:szCs w:val="280"/>
        </w:rPr>
      </w:pPr>
      <w:r>
        <w:t xml:space="preserve">7. Database Schema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Table</w:t>
            </w:r>
          </w:p>
        </w:tc>
        <w:tc>
          <w:tcPr>
            <w:shd w:fill="1B2A4A" w:val="clear"/>
            <w:tcMar>
              <w:top w:type="dxa" w:w="28"/>
              <w:left w:type="dxa" w:w="72"/>
              <w:bottom w:type="dxa" w:w="28"/>
              <w:right w:type="dxa" w:w="72"/>
            </w:tcMar>
          </w:tcPr>
          <w:p>
            <w:pPr>
              <w:spacing w:after="40" w:before="40"/>
            </w:pPr>
            <w:r>
              <w:rPr>
                <w:b/>
                <w:bCs/>
                <w:color w:val="FFFFFF"/>
                <w:sz w:val="180"/>
                <w:szCs w:val="180"/>
              </w:rPr>
              <w:t xml:space="preserve">Purpose</w:t>
            </w:r>
          </w:p>
        </w:tc>
        <w:tc>
          <w:tcPr>
            <w:shd w:fill="1B2A4A" w:val="clear"/>
            <w:tcMar>
              <w:top w:type="dxa" w:w="28"/>
              <w:left w:type="dxa" w:w="72"/>
              <w:bottom w:type="dxa" w:w="28"/>
              <w:right w:type="dxa" w:w="72"/>
            </w:tcMar>
          </w:tcPr>
          <w:p>
            <w:pPr>
              <w:spacing w:after="40" w:before="40"/>
            </w:pPr>
            <w:r>
              <w:rPr>
                <w:b/>
                <w:bCs/>
                <w:color w:val="FFFFFF"/>
                <w:sz w:val="180"/>
                <w:szCs w:val="180"/>
              </w:rPr>
              <w:t xml:space="preserve">Key Fields</w:t>
            </w:r>
          </w:p>
        </w:tc>
      </w:tr>
      <w:tr>
        <w:tc>
          <w:tcPr>
            <w:tcMar>
              <w:top w:type="dxa" w:w="28"/>
              <w:left w:type="dxa" w:w="72"/>
              <w:bottom w:type="dxa" w:w="28"/>
              <w:right w:type="dxa" w:w="72"/>
            </w:tcMar>
          </w:tcPr>
          <w:p>
            <w:pPr>
              <w:spacing w:after="40" w:before="40"/>
            </w:pPr>
            <w:r>
              <w:rPr>
                <w:color w:val="111827"/>
                <w:sz w:val="180"/>
                <w:szCs w:val="180"/>
              </w:rPr>
              <w:t xml:space="preserve">users</w:t>
            </w:r>
          </w:p>
        </w:tc>
        <w:tc>
          <w:tcPr>
            <w:tcMar>
              <w:top w:type="dxa" w:w="28"/>
              <w:left w:type="dxa" w:w="72"/>
              <w:bottom w:type="dxa" w:w="28"/>
              <w:right w:type="dxa" w:w="72"/>
            </w:tcMar>
          </w:tcPr>
          <w:p>
            <w:pPr>
              <w:spacing w:after="40" w:before="40"/>
            </w:pPr>
            <w:r>
              <w:rPr>
                <w:color w:val="111827"/>
                <w:sz w:val="180"/>
                <w:szCs w:val="180"/>
              </w:rPr>
              <w:t xml:space="preserve">System user accounts and roles</w:t>
            </w:r>
          </w:p>
        </w:tc>
        <w:tc>
          <w:tcPr>
            <w:tcMar>
              <w:top w:type="dxa" w:w="28"/>
              <w:left w:type="dxa" w:w="72"/>
              <w:bottom w:type="dxa" w:w="28"/>
              <w:right w:type="dxa" w:w="72"/>
            </w:tcMar>
          </w:tcPr>
          <w:p>
            <w:pPr>
              <w:spacing w:after="40" w:before="40"/>
            </w:pPr>
            <w:r>
              <w:rPr>
                <w:color w:val="111827"/>
                <w:sz w:val="180"/>
                <w:szCs w:val="180"/>
              </w:rPr>
              <w:t xml:space="preserve">id, email, name, passwordHash, role, isActive</w:t>
            </w:r>
          </w:p>
        </w:tc>
      </w:tr>
      <w:tr>
        <w:tc>
          <w:tcPr>
            <w:tcMar>
              <w:top w:type="dxa" w:w="28"/>
              <w:left w:type="dxa" w:w="72"/>
              <w:bottom w:type="dxa" w:w="28"/>
              <w:right w:type="dxa" w:w="72"/>
            </w:tcMar>
          </w:tcPr>
          <w:p>
            <w:pPr>
              <w:spacing w:after="40" w:before="40"/>
            </w:pPr>
            <w:r>
              <w:rPr>
                <w:color w:val="111827"/>
                <w:sz w:val="180"/>
                <w:szCs w:val="180"/>
              </w:rPr>
              <w:t xml:space="preserve">deviations</w:t>
            </w:r>
          </w:p>
        </w:tc>
        <w:tc>
          <w:tcPr>
            <w:tcMar>
              <w:top w:type="dxa" w:w="28"/>
              <w:left w:type="dxa" w:w="72"/>
              <w:bottom w:type="dxa" w:w="28"/>
              <w:right w:type="dxa" w:w="72"/>
            </w:tcMar>
          </w:tcPr>
          <w:p>
            <w:pPr>
              <w:spacing w:after="40" w:before="40"/>
            </w:pPr>
            <w:r>
              <w:rPr>
                <w:color w:val="111827"/>
                <w:sz w:val="180"/>
                <w:szCs w:val="180"/>
              </w:rPr>
              <w:t xml:space="preserve">Deviation records</w:t>
            </w:r>
          </w:p>
        </w:tc>
        <w:tc>
          <w:tcPr>
            <w:tcMar>
              <w:top w:type="dxa" w:w="28"/>
              <w:left w:type="dxa" w:w="72"/>
              <w:bottom w:type="dxa" w:w="28"/>
              <w:right w:type="dxa" w:w="72"/>
            </w:tcMar>
          </w:tcPr>
          <w:p>
            <w:pPr>
              <w:spacing w:after="40" w:before="40"/>
            </w:pPr>
            <w:r>
              <w:rPr>
                <w:color w:val="111827"/>
                <w:sz w:val="180"/>
                <w:szCs w:val="180"/>
              </w:rPr>
              <w:t xml:space="preserve">id, deviationNumber, title, status, area, severity, dueDate, workflowStatus</w:t>
            </w:r>
          </w:p>
        </w:tc>
      </w:tr>
      <w:tr>
        <w:tc>
          <w:tcPr>
            <w:tcMar>
              <w:top w:type="dxa" w:w="28"/>
              <w:left w:type="dxa" w:w="72"/>
              <w:bottom w:type="dxa" w:w="28"/>
              <w:right w:type="dxa" w:w="72"/>
            </w:tcMar>
          </w:tcPr>
          <w:p>
            <w:pPr>
              <w:spacing w:after="40" w:before="40"/>
            </w:pPr>
            <w:r>
              <w:rPr>
                <w:color w:val="111827"/>
                <w:sz w:val="180"/>
                <w:szCs w:val="180"/>
              </w:rPr>
              <w:t xml:space="preserve">capa</w:t>
            </w:r>
          </w:p>
        </w:tc>
        <w:tc>
          <w:tcPr>
            <w:tcMar>
              <w:top w:type="dxa" w:w="28"/>
              <w:left w:type="dxa" w:w="72"/>
              <w:bottom w:type="dxa" w:w="28"/>
              <w:right w:type="dxa" w:w="72"/>
            </w:tcMar>
          </w:tcPr>
          <w:p>
            <w:pPr>
              <w:spacing w:after="40" w:before="40"/>
            </w:pPr>
            <w:r>
              <w:rPr>
                <w:color w:val="111827"/>
                <w:sz w:val="180"/>
                <w:szCs w:val="180"/>
              </w:rPr>
              <w:t xml:space="preserve">CAPA records</w:t>
            </w:r>
          </w:p>
        </w:tc>
        <w:tc>
          <w:tcPr>
            <w:tcMar>
              <w:top w:type="dxa" w:w="28"/>
              <w:left w:type="dxa" w:w="72"/>
              <w:bottom w:type="dxa" w:w="28"/>
              <w:right w:type="dxa" w:w="72"/>
            </w:tcMar>
          </w:tcPr>
          <w:p>
            <w:pPr>
              <w:spacing w:after="40" w:before="40"/>
            </w:pPr>
            <w:r>
              <w:rPr>
                <w:color w:val="111827"/>
                <w:sz w:val="180"/>
                <w:szCs w:val="180"/>
              </w:rPr>
              <w:t xml:space="preserve">id, capaNumber, title, status, workflowStatus, rootCauseCategory, dueDate</w:t>
            </w:r>
          </w:p>
        </w:tc>
      </w:tr>
      <w:tr>
        <w:tc>
          <w:tcPr>
            <w:tcMar>
              <w:top w:type="dxa" w:w="28"/>
              <w:left w:type="dxa" w:w="72"/>
              <w:bottom w:type="dxa" w:w="28"/>
              <w:right w:type="dxa" w:w="72"/>
            </w:tcMar>
          </w:tcPr>
          <w:p>
            <w:pPr>
              <w:spacing w:after="40" w:before="40"/>
            </w:pPr>
            <w:r>
              <w:rPr>
                <w:color w:val="111827"/>
                <w:sz w:val="180"/>
                <w:szCs w:val="180"/>
              </w:rPr>
              <w:t xml:space="preserve">efficacy_reviews</w:t>
            </w:r>
          </w:p>
        </w:tc>
        <w:tc>
          <w:tcPr>
            <w:tcMar>
              <w:top w:type="dxa" w:w="28"/>
              <w:left w:type="dxa" w:w="72"/>
              <w:bottom w:type="dxa" w:w="28"/>
              <w:right w:type="dxa" w:w="72"/>
            </w:tcMar>
          </w:tcPr>
          <w:p>
            <w:pPr>
              <w:spacing w:after="40" w:before="40"/>
            </w:pPr>
            <w:r>
              <w:rPr>
                <w:color w:val="111827"/>
                <w:sz w:val="180"/>
                <w:szCs w:val="180"/>
              </w:rPr>
              <w:t xml:space="preserve">CAPA efficacy review results</w:t>
            </w:r>
          </w:p>
        </w:tc>
        <w:tc>
          <w:tcPr>
            <w:tcMar>
              <w:top w:type="dxa" w:w="28"/>
              <w:left w:type="dxa" w:w="72"/>
              <w:bottom w:type="dxa" w:w="28"/>
              <w:right w:type="dxa" w:w="72"/>
            </w:tcMar>
          </w:tcPr>
          <w:p>
            <w:pPr>
              <w:spacing w:after="40" w:before="40"/>
            </w:pPr>
            <w:r>
              <w:rPr>
                <w:color w:val="111827"/>
                <w:sz w:val="180"/>
                <w:szCs w:val="180"/>
              </w:rPr>
              <w:t xml:space="preserve">id, capaId, conclusion, reviewDate, reviewedBy</w:t>
            </w:r>
          </w:p>
        </w:tc>
      </w:tr>
      <w:tr>
        <w:tc>
          <w:tcPr>
            <w:tcMar>
              <w:top w:type="dxa" w:w="28"/>
              <w:left w:type="dxa" w:w="72"/>
              <w:bottom w:type="dxa" w:w="28"/>
              <w:right w:type="dxa" w:w="72"/>
            </w:tcMar>
          </w:tcPr>
          <w:p>
            <w:pPr>
              <w:spacing w:after="40" w:before="40"/>
            </w:pPr>
            <w:r>
              <w:rPr>
                <w:color w:val="111827"/>
                <w:sz w:val="180"/>
                <w:szCs w:val="180"/>
              </w:rPr>
              <w:t xml:space="preserve">change_controls</w:t>
            </w:r>
          </w:p>
        </w:tc>
        <w:tc>
          <w:tcPr>
            <w:tcMar>
              <w:top w:type="dxa" w:w="28"/>
              <w:left w:type="dxa" w:w="72"/>
              <w:bottom w:type="dxa" w:w="28"/>
              <w:right w:type="dxa" w:w="72"/>
            </w:tcMar>
          </w:tcPr>
          <w:p>
            <w:pPr>
              <w:spacing w:after="40" w:before="40"/>
            </w:pPr>
            <w:r>
              <w:rPr>
                <w:color w:val="111827"/>
                <w:sz w:val="180"/>
                <w:szCs w:val="180"/>
              </w:rPr>
              <w:t xml:space="preserve">Change control records</w:t>
            </w:r>
          </w:p>
        </w:tc>
        <w:tc>
          <w:tcPr>
            <w:tcMar>
              <w:top w:type="dxa" w:w="28"/>
              <w:left w:type="dxa" w:w="72"/>
              <w:bottom w:type="dxa" w:w="28"/>
              <w:right w:type="dxa" w:w="72"/>
            </w:tcMar>
          </w:tcPr>
          <w:p>
            <w:pPr>
              <w:spacing w:after="40" w:before="40"/>
            </w:pPr>
            <w:r>
              <w:rPr>
                <w:color w:val="111827"/>
                <w:sz w:val="180"/>
                <w:szCs w:val="180"/>
              </w:rPr>
              <w:t xml:space="preserve">id, changeControlNumber, title, status, changeType, riskClassification</w:t>
            </w:r>
          </w:p>
        </w:tc>
      </w:tr>
      <w:tr>
        <w:tc>
          <w:tcPr>
            <w:tcMar>
              <w:top w:type="dxa" w:w="28"/>
              <w:left w:type="dxa" w:w="72"/>
              <w:bottom w:type="dxa" w:w="28"/>
              <w:right w:type="dxa" w:w="72"/>
            </w:tcMar>
          </w:tcPr>
          <w:p>
            <w:pPr>
              <w:spacing w:after="40" w:before="40"/>
            </w:pPr>
            <w:r>
              <w:rPr>
                <w:color w:val="111827"/>
                <w:sz w:val="180"/>
                <w:szCs w:val="180"/>
              </w:rPr>
              <w:t xml:space="preserve">risk_assessments</w:t>
            </w:r>
          </w:p>
        </w:tc>
        <w:tc>
          <w:tcPr>
            <w:tcMar>
              <w:top w:type="dxa" w:w="28"/>
              <w:left w:type="dxa" w:w="72"/>
              <w:bottom w:type="dxa" w:w="28"/>
              <w:right w:type="dxa" w:w="72"/>
            </w:tcMar>
          </w:tcPr>
          <w:p>
            <w:pPr>
              <w:spacing w:after="40" w:before="40"/>
            </w:pPr>
            <w:r>
              <w:rPr>
                <w:color w:val="111827"/>
                <w:sz w:val="180"/>
                <w:szCs w:val="180"/>
              </w:rPr>
              <w:t xml:space="preserve">FMEA risk assessment headers</w:t>
            </w:r>
          </w:p>
        </w:tc>
        <w:tc>
          <w:tcPr>
            <w:tcMar>
              <w:top w:type="dxa" w:w="28"/>
              <w:left w:type="dxa" w:w="72"/>
              <w:bottom w:type="dxa" w:w="28"/>
              <w:right w:type="dxa" w:w="72"/>
            </w:tcMar>
          </w:tcPr>
          <w:p>
            <w:pPr>
              <w:spacing w:after="40" w:before="40"/>
            </w:pPr>
            <w:r>
              <w:rPr>
                <w:color w:val="111827"/>
                <w:sz w:val="180"/>
                <w:szCs w:val="180"/>
              </w:rPr>
              <w:t xml:space="preserve">id, raNumber, title, status, workflowStatus, standard</w:t>
            </w:r>
          </w:p>
        </w:tc>
      </w:tr>
      <w:tr>
        <w:tc>
          <w:tcPr>
            <w:tcMar>
              <w:top w:type="dxa" w:w="28"/>
              <w:left w:type="dxa" w:w="72"/>
              <w:bottom w:type="dxa" w:w="28"/>
              <w:right w:type="dxa" w:w="72"/>
            </w:tcMar>
          </w:tcPr>
          <w:p>
            <w:pPr>
              <w:spacing w:after="40" w:before="40"/>
            </w:pPr>
            <w:r>
              <w:rPr>
                <w:color w:val="111827"/>
                <w:sz w:val="180"/>
                <w:szCs w:val="180"/>
              </w:rPr>
              <w:t xml:space="preserve">fmea_entries</w:t>
            </w:r>
          </w:p>
        </w:tc>
        <w:tc>
          <w:tcPr>
            <w:tcMar>
              <w:top w:type="dxa" w:w="28"/>
              <w:left w:type="dxa" w:w="72"/>
              <w:bottom w:type="dxa" w:w="28"/>
              <w:right w:type="dxa" w:w="72"/>
            </w:tcMar>
          </w:tcPr>
          <w:p>
            <w:pPr>
              <w:spacing w:after="40" w:before="40"/>
            </w:pPr>
            <w:r>
              <w:rPr>
                <w:color w:val="111827"/>
                <w:sz w:val="180"/>
                <w:szCs w:val="180"/>
              </w:rPr>
              <w:t xml:space="preserve">Individual FMEA worksheet rows</w:t>
            </w:r>
          </w:p>
        </w:tc>
        <w:tc>
          <w:tcPr>
            <w:tcMar>
              <w:top w:type="dxa" w:w="28"/>
              <w:left w:type="dxa" w:w="72"/>
              <w:bottom w:type="dxa" w:w="28"/>
              <w:right w:type="dxa" w:w="72"/>
            </w:tcMar>
          </w:tcPr>
          <w:p>
            <w:pPr>
              <w:spacing w:after="40" w:before="40"/>
            </w:pPr>
            <w:r>
              <w:rPr>
                <w:color w:val="111827"/>
                <w:sz w:val="180"/>
                <w:szCs w:val="180"/>
              </w:rPr>
              <w:t xml:space="preserve">id, raId, processStep, failureMode, severity, occurrence, detectability, rpn</w:t>
            </w:r>
          </w:p>
        </w:tc>
      </w:tr>
      <w:tr>
        <w:tc>
          <w:tcPr>
            <w:tcMar>
              <w:top w:type="dxa" w:w="28"/>
              <w:left w:type="dxa" w:w="72"/>
              <w:bottom w:type="dxa" w:w="28"/>
              <w:right w:type="dxa" w:w="72"/>
            </w:tcMar>
          </w:tcPr>
          <w:p>
            <w:pPr>
              <w:spacing w:after="40" w:before="40"/>
            </w:pPr>
            <w:r>
              <w:rPr>
                <w:color w:val="111827"/>
                <w:sz w:val="180"/>
                <w:szCs w:val="180"/>
              </w:rPr>
              <w:t xml:space="preserve">audit_log</w:t>
            </w:r>
          </w:p>
        </w:tc>
        <w:tc>
          <w:tcPr>
            <w:tcMar>
              <w:top w:type="dxa" w:w="28"/>
              <w:left w:type="dxa" w:w="72"/>
              <w:bottom w:type="dxa" w:w="28"/>
              <w:right w:type="dxa" w:w="72"/>
            </w:tcMar>
          </w:tcPr>
          <w:p>
            <w:pPr>
              <w:spacing w:after="40" w:before="40"/>
            </w:pPr>
            <w:r>
              <w:rPr>
                <w:color w:val="111827"/>
                <w:sz w:val="180"/>
                <w:szCs w:val="180"/>
              </w:rPr>
              <w:t xml:space="preserve">Immutable audit trail</w:t>
            </w:r>
          </w:p>
        </w:tc>
        <w:tc>
          <w:tcPr>
            <w:tcMar>
              <w:top w:type="dxa" w:w="28"/>
              <w:left w:type="dxa" w:w="72"/>
              <w:bottom w:type="dxa" w:w="28"/>
              <w:right w:type="dxa" w:w="72"/>
            </w:tcMar>
          </w:tcPr>
          <w:p>
            <w:pPr>
              <w:spacing w:after="40" w:before="40"/>
            </w:pPr>
            <w:r>
              <w:rPr>
                <w:color w:val="111827"/>
                <w:sz w:val="180"/>
                <w:szCs w:val="180"/>
              </w:rPr>
              <w:t xml:space="preserve">id, tableName, recordId, field, oldValue, newValue, changedBy, changedAt</w:t>
            </w:r>
          </w:p>
        </w:tc>
      </w:tr>
      <w:tr>
        <w:tc>
          <w:tcPr>
            <w:tcMar>
              <w:top w:type="dxa" w:w="28"/>
              <w:left w:type="dxa" w:w="72"/>
              <w:bottom w:type="dxa" w:w="28"/>
              <w:right w:type="dxa" w:w="72"/>
            </w:tcMar>
          </w:tcPr>
          <w:p>
            <w:pPr>
              <w:spacing w:after="40" w:before="40"/>
            </w:pPr>
            <w:r>
              <w:rPr>
                <w:color w:val="111827"/>
                <w:sz w:val="180"/>
                <w:szCs w:val="180"/>
              </w:rPr>
              <w:t xml:space="preserve">notifications</w:t>
            </w:r>
          </w:p>
        </w:tc>
        <w:tc>
          <w:tcPr>
            <w:tcMar>
              <w:top w:type="dxa" w:w="28"/>
              <w:left w:type="dxa" w:w="72"/>
              <w:bottom w:type="dxa" w:w="28"/>
              <w:right w:type="dxa" w:w="72"/>
            </w:tcMar>
          </w:tcPr>
          <w:p>
            <w:pPr>
              <w:spacing w:after="40" w:before="40"/>
            </w:pPr>
            <w:r>
              <w:rPr>
                <w:color w:val="111827"/>
                <w:sz w:val="180"/>
                <w:szCs w:val="180"/>
              </w:rPr>
              <w:t xml:space="preserve">Workflow action notifications</w:t>
            </w:r>
          </w:p>
        </w:tc>
        <w:tc>
          <w:tcPr>
            <w:tcMar>
              <w:top w:type="dxa" w:w="28"/>
              <w:left w:type="dxa" w:w="72"/>
              <w:bottom w:type="dxa" w:w="28"/>
              <w:right w:type="dxa" w:w="72"/>
            </w:tcMar>
          </w:tcPr>
          <w:p>
            <w:pPr>
              <w:spacing w:after="40" w:before="40"/>
            </w:pPr>
            <w:r>
              <w:rPr>
                <w:color w:val="111827"/>
                <w:sz w:val="180"/>
                <w:szCs w:val="180"/>
              </w:rPr>
              <w:t xml:space="preserve">id, userId, type, message, relatedRecord, isRead</w:t>
            </w:r>
          </w:p>
        </w:tc>
      </w:tr>
    </w:tbl>
    <w:p/>
    <w:p>
      <w:pPr>
        <w:pStyle w:val="Heading1"/>
        <w:spacing w:after="120" w:before="280"/>
        <w:rPr>
          <w:b/>
          <w:bCs/>
          <w:color w:val="1B2A4A"/>
          <w:sz w:val="280"/>
          <w:szCs w:val="280"/>
        </w:rPr>
      </w:pPr>
      <w:r>
        <w:t xml:space="preserve">8. Approval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c>
          <w:tcPr>
            <w:shd w:fill="1B2A4A" w:val="clear"/>
            <w:tcMar>
              <w:top w:type="dxa" w:w="28"/>
              <w:left w:type="dxa" w:w="72"/>
              <w:bottom w:type="dxa" w:w="28"/>
              <w:right w:type="dxa" w:w="72"/>
            </w:tcMar>
          </w:tcPr>
          <w:p>
            <w:pPr>
              <w:spacing w:after="40" w:before="40"/>
            </w:pPr>
            <w:r>
              <w:rPr>
                <w:b/>
                <w:bCs/>
                <w:color w:val="FFFFFF"/>
                <w:sz w:val="180"/>
                <w:szCs w:val="180"/>
              </w:rPr>
              <w:t xml:space="preserve">Name</w:t>
            </w:r>
          </w:p>
        </w:tc>
        <w:tc>
          <w:tcPr>
            <w:shd w:fill="1B2A4A" w:val="clear"/>
            <w:tcMar>
              <w:top w:type="dxa" w:w="28"/>
              <w:left w:type="dxa" w:w="72"/>
              <w:bottom w:type="dxa" w:w="28"/>
              <w:right w:type="dxa" w:w="72"/>
            </w:tcMar>
          </w:tcPr>
          <w:p>
            <w:pPr>
              <w:spacing w:after="40" w:before="40"/>
            </w:pPr>
            <w:r>
              <w:rPr>
                <w:b/>
                <w:bCs/>
                <w:color w:val="FFFFFF"/>
                <w:sz w:val="180"/>
                <w:szCs w:val="180"/>
              </w:rPr>
              <w:t xml:space="preserve">Signature</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r>
      <w:tr>
        <w:tc>
          <w:tcPr>
            <w:tcMar>
              <w:left w:type="dxa" w:w="72"/>
              <w:right w:type="dxa" w:w="72"/>
            </w:tcMar>
          </w:tcPr>
          <w:p>
            <w:pPr>
              <w:spacing w:after="360" w:before="40"/>
            </w:pPr>
            <w:r>
              <w:rPr>
                <w:color w:val="111827"/>
                <w:sz w:val="180"/>
                <w:szCs w:val="180"/>
              </w:rPr>
              <w:t xml:space="preserve">System Owner</w:t>
            </w:r>
          </w:p>
        </w:tc>
        <w:tc>
          <w:tcPr>
            <w:tcMar>
              <w:left w:type="dxa" w:w="72"/>
              <w:right w:type="dxa" w:w="72"/>
            </w:tcMar>
          </w:tcPr>
          <w:p>
            <w:pPr>
              <w:spacing w:after="360" w:before="40"/>
            </w:pPr>
            <w:r>
              <w:rPr>
                <w:color w:val="111827"/>
                <w:sz w:val="180"/>
                <w:szCs w:val="180"/>
              </w:rPr>
              <w:t xml:space="preserve">Hannes van der Berg</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Infrastructure Expert / Technical Lead</w:t>
            </w:r>
          </w:p>
        </w:tc>
        <w:tc>
          <w:tcPr>
            <w:tcMar>
              <w:left w:type="dxa" w:w="72"/>
              <w:right w:type="dxa" w:w="72"/>
            </w:tcMar>
          </w:tcPr>
          <w:p>
            <w:pPr>
              <w:spacing w:after="360" w:before="40"/>
            </w:pPr>
            <w:r>
              <w:rPr>
                <w:color w:val="111827"/>
                <w:sz w:val="180"/>
                <w:szCs w:val="180"/>
              </w:rPr>
              <w:t xml:space="preserve">TBD</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Validation Expert</w:t>
            </w:r>
          </w:p>
        </w:tc>
        <w:tc>
          <w:tcPr>
            <w:tcMar>
              <w:left w:type="dxa" w:w="72"/>
              <w:right w:type="dxa" w:w="72"/>
            </w:tcMar>
          </w:tcPr>
          <w:p>
            <w:pPr>
              <w:spacing w:after="360" w:before="40"/>
            </w:pPr>
            <w:r>
              <w:rPr>
                <w:color w:val="111827"/>
                <w:sz w:val="180"/>
                <w:szCs w:val="180"/>
              </w:rPr>
              <w:t xml:space="preserve">TBD</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bl>
    <w:p/>
    <w:p>
      <w:pPr>
        <w:pStyle w:val="Heading2"/>
        <w:spacing w:after="80" w:before="200"/>
        <w:rPr>
          <w:b/>
          <w:bCs/>
          <w:color w:val="1B2A4A"/>
          <w:sz w:val="240"/>
          <w:szCs w:val="240"/>
        </w:rPr>
      </w:pPr>
      <w:r>
        <w:t xml:space="preserve">Document Change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750"/>
        <w:gridCol w:w="1600"/>
      </w:tblGrid>
      <w:tr>
        <w:tc>
          <w:tcPr>
            <w:shd w:fill="1B2A4A" w:val="clear"/>
            <w:tcMar>
              <w:top w:type="dxa" w:w="28"/>
              <w:left w:type="dxa" w:w="72"/>
              <w:bottom w:type="dxa" w:w="28"/>
              <w:right w:type="dxa" w:w="72"/>
            </w:tcMar>
          </w:tcPr>
          <w:p>
            <w:pPr>
              <w:spacing w:after="40" w:before="40"/>
            </w:pPr>
            <w:r>
              <w:rPr>
                <w:b/>
                <w:bCs/>
                <w:color w:val="FFFFFF"/>
                <w:sz w:val="180"/>
                <w:szCs w:val="180"/>
              </w:rPr>
              <w:t xml:space="preserve">Version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Author</w:t>
            </w:r>
          </w:p>
        </w:tc>
      </w:tr>
      <w:tr>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2026-05-28</w:t>
            </w:r>
          </w:p>
        </w:tc>
        <w:tc>
          <w:tcPr>
            <w:tcMar>
              <w:top w:type="dxa" w:w="28"/>
              <w:left w:type="dxa" w:w="72"/>
              <w:bottom w:type="dxa" w:w="28"/>
              <w:right w:type="dxa" w:w="72"/>
            </w:tcMar>
          </w:tcPr>
          <w:p>
            <w:pPr>
              <w:spacing w:after="40" w:before="40"/>
            </w:pPr>
            <w:r>
              <w:rPr>
                <w:color w:val="111827"/>
                <w:sz w:val="180"/>
                <w:szCs w:val="180"/>
              </w:rPr>
              <w:t xml:space="preserve">Initial approved version</w:t>
            </w:r>
          </w:p>
        </w:tc>
        <w:tc>
          <w:tcPr>
            <w:tcMar>
              <w:top w:type="dxa" w:w="28"/>
              <w:left w:type="dxa" w:w="72"/>
              <w:bottom w:type="dxa" w:w="28"/>
              <w:right w:type="dxa" w:w="72"/>
            </w:tcMar>
          </w:tcPr>
          <w:p>
            <w:pPr>
              <w:spacing w:after="40" w:before="40"/>
            </w:pPr>
            <w:r>
              <w:rPr>
                <w:color w:val="111827"/>
                <w:sz w:val="180"/>
                <w:szCs w:val="180"/>
              </w:rPr>
              <w:t xml:space="preserve">Validation Team</w:t>
            </w:r>
          </w:p>
        </w:tc>
      </w:tr>
    </w:tbl>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74151"/>
        <w:sz w:val="160"/>
        <w:szCs w:val="160"/>
      </w:rPr>
      <w:t xml:space="preserve">Confidential — CPT Pharma (Pty) Ltd     Page </w:t>
    </w:r>
    <w:r>
      <w:rPr>
        <w:color w:val="374151"/>
        <w:sz w:val="160"/>
        <w:szCs w:val="160"/>
      </w:rPr>
      <w:fldChar w:fldCharType="begin"/>
      <w:instrText xml:space="preserve">PAGE</w:instrText>
      <w:fldChar w:fldCharType="separate"/>
      <w:fldChar w:fldCharType="end"/>
    </w:r>
    <w:r>
      <w:rPr>
        <w:color w:val="374151"/>
        <w:sz w:val="160"/>
        <w:szCs w:val="160"/>
      </w:rPr>
      <w:t xml:space="preserve"> of </w:t>
    </w:r>
    <w:r>
      <w:rPr>
        <w:color w:val="374151"/>
        <w:sz w:val="160"/>
        <w:szCs w:val="16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2850"/>
      <w:gridCol w:w="3000"/>
    </w:tblGrid>
    <w:tr>
      <w:tc>
        <w:p>
          <w:r>
            <w:rPr>
              <w:b/>
              <w:bCs/>
              <w:color w:val="1B2A4A"/>
              <w:sz w:val="160"/>
              <w:szCs w:val="160"/>
            </w:rPr>
            <w:t xml:space="preserve">CPT Pharma (Pty) Ltd  |  Capalyst QMS CSV</w:t>
          </w:r>
        </w:p>
      </w:tc>
      <w:tc>
        <w:p>
          <w:pPr>
            <w:jc w:val="center"/>
          </w:pPr>
          <w:r>
            <w:rPr>
              <w:color w:val="374151"/>
              <w:sz w:val="160"/>
              <w:szCs w:val="160"/>
            </w:rPr>
            <w:t xml:space="preserve">CPT-VL-ISVP-ArS Capalyst-001</w:t>
          </w:r>
        </w:p>
      </w:tc>
      <w:tc>
        <w:p>
          <w:pPr>
            <w:jc w:val="right"/>
          </w:pPr>
          <w:r>
            <w:rPr>
              <w:color w:val="374151"/>
              <w:sz w:val="160"/>
              <w:szCs w:val="160"/>
            </w:rPr>
            <w:t xml:space="preserve">05_CPT-VL-ISVP-ArS_Capalyst-001_Architecture_Specification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2026-06-26T04:56:27.439Z</dcterms:created>
  <dcterms:modified xsi:type="dcterms:W3CDTF">2026-06-26T04:56:27.439Z</dcterms:modified>
</cp:coreProperties>
</file>

<file path=docProps/custom.xml><?xml version="1.0" encoding="utf-8"?>
<Properties xmlns="http://schemas.openxmlformats.org/officeDocument/2006/custom-properties" xmlns:vt="http://schemas.openxmlformats.org/officeDocument/2006/docPropsVTypes"/>
</file>