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120"/>
        <w:jc w:val="center"/>
      </w:pPr>
      <w:r>
        <w:rPr>
          <w:b/>
          <w:bCs/>
          <w:color w:val="1B2A4A"/>
          <w:sz w:val="400"/>
          <w:szCs w:val="400"/>
        </w:rPr>
        <w:t xml:space="preserve">CPT Pharma (Pty) Ltd</w:t>
      </w:r>
    </w:p>
    <w:p>
      <w:pPr>
        <w:spacing w:after="600"/>
        <w:jc w:val="center"/>
      </w:pPr>
      <w:r>
        <w:rPr>
          <w:color w:val="374151"/>
          <w:sz w:val="280"/>
          <w:szCs w:val="280"/>
        </w:rPr>
        <w:t xml:space="preserve">Computerised System Validation</w:t>
      </w:r>
    </w:p>
    <w:p>
      <w:pPr>
        <w:spacing w:after="240"/>
        <w:jc w:val="center"/>
      </w:pPr>
      <w:r>
        <w:rPr>
          <w:b/>
          <w:bCs/>
          <w:color w:val="1B2A4A"/>
          <w:sz w:val="440"/>
          <w:szCs w:val="440"/>
        </w:rPr>
        <w:t xml:space="preserve">Data Migration Plan</w:t>
      </w:r>
    </w:p>
    <w:p>
      <w:pPr>
        <w:spacing w:after="600"/>
        <w:jc w:val="center"/>
      </w:pPr>
      <w:r>
        <w:rPr>
          <w:b/>
          <w:bCs/>
          <w:color w:val="2563EB"/>
          <w:sz w:val="280"/>
          <w:szCs w:val="280"/>
        </w:rPr>
        <w:t xml:space="preserve">Capalyst QMS</w:t>
      </w:r>
    </w:p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Field</w:t>
            </w:r>
          </w:p>
        </w:tc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Value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Document Number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CPT-VL-ISVP-DMP Capalyst-001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Version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1.0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Status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Approved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Date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2026-05-28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System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Capalyst — Quality Management System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Company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CPT Pharma (Pty) Ltd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Prepared by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Validation Team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Classification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Confidential</w:t>
            </w:r>
          </w:p>
        </w:tc>
      </w:tr>
    </w:tbl>
    <w:p/>
    <w:p>
      <w:pPr>
        <w:pStyle w:val="Heading1"/>
        <w:spacing w:after="120" w:before="280"/>
        <w:rPr>
          <w:b/>
          <w:bCs/>
          <w:color w:val="1B2A4A"/>
          <w:sz w:val="280"/>
          <w:szCs w:val="280"/>
        </w:rPr>
      </w:pPr>
      <w:r>
        <w:t xml:space="preserve">1. Introduction</w:t>
      </w:r>
    </w:p>
    <w:p>
      <w:pPr>
        <w:spacing w:after="100"/>
      </w:pPr>
      <w:r>
        <w:rPr>
          <w:color w:val="111827"/>
          <w:sz w:val="200"/>
          <w:szCs w:val="200"/>
        </w:rPr>
        <w:t xml:space="preserve">This Data Migration Plan describes the approach for migrating historical quality records from CPT Pharma's existing paper-based and/or legacy electronic systems into the Capalyst QMS. It defines migration scope, data mapping, validation of migrated data, acceptance criteria, and responsibilities.</w:t>
      </w:r>
    </w:p>
    <w:p/>
    <w:p>
      <w:pPr>
        <w:pStyle w:val="Heading1"/>
        <w:spacing w:after="120" w:before="280"/>
        <w:rPr>
          <w:b/>
          <w:bCs/>
          <w:color w:val="1B2A4A"/>
          <w:sz w:val="280"/>
          <w:szCs w:val="280"/>
        </w:rPr>
      </w:pPr>
      <w:r>
        <w:t xml:space="preserve">2. Migration Context</w:t>
      </w:r>
    </w:p>
    <w:p>
      <w:pPr>
        <w:pStyle w:val="Heading2"/>
        <w:spacing w:after="80" w:before="200"/>
        <w:rPr>
          <w:b/>
          <w:bCs/>
          <w:color w:val="1B2A4A"/>
          <w:sz w:val="240"/>
          <w:szCs w:val="240"/>
        </w:rPr>
      </w:pPr>
      <w:r>
        <w:t xml:space="preserve">2.1 Source System</w:t>
      </w:r>
    </w:p>
    <w:p>
      <w:pPr>
        <w:spacing w:after="100"/>
      </w:pPr>
      <w:r>
        <w:rPr>
          <w:color w:val="111827"/>
          <w:sz w:val="200"/>
          <w:szCs w:val="200"/>
        </w:rPr>
        <w:t xml:space="preserve">Current state: CPT Pharma manages quality records (deviations, CAPA, change control logs) via a combination of paper-based forms and Microsoft Excel/Word documents stored on a shared file server. No structured relational database exists for these records.</w:t>
      </w:r>
    </w:p>
    <w:p>
      <w:pPr>
        <w:pStyle w:val="Heading2"/>
        <w:spacing w:after="80" w:before="200"/>
        <w:rPr>
          <w:b/>
          <w:bCs/>
          <w:color w:val="1B2A4A"/>
          <w:sz w:val="240"/>
          <w:szCs w:val="240"/>
        </w:rPr>
      </w:pPr>
      <w:r>
        <w:t xml:space="preserve">2.2 Target System</w:t>
      </w:r>
    </w:p>
    <w:p>
      <w:pPr>
        <w:spacing w:after="100"/>
      </w:pPr>
      <w:r>
        <w:rPr>
          <w:color w:val="111827"/>
          <w:sz w:val="200"/>
          <w:szCs w:val="200"/>
        </w:rPr>
        <w:t xml:space="preserve">Target: Capalyst QMS — PostgreSQL database as described in CPT-VL-ISVP-ArS Capalyst-001.</w:t>
      </w:r>
    </w:p>
    <w:p>
      <w:pPr>
        <w:pStyle w:val="Heading2"/>
        <w:spacing w:after="80" w:before="200"/>
        <w:rPr>
          <w:b/>
          <w:bCs/>
          <w:color w:val="1B2A4A"/>
          <w:sz w:val="240"/>
          <w:szCs w:val="240"/>
        </w:rPr>
      </w:pPr>
      <w:r>
        <w:t xml:space="preserve">2.3 Migration Scope Decision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50"/>
      </w:tblGrid>
      <w:tr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Data Category</w:t>
            </w:r>
          </w:p>
        </w:tc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Migrate?</w:t>
            </w:r>
          </w:p>
        </w:tc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Rationale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Open Deviations (status: Open / Under Investigation / Pending QA Review)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Active quality records must be available in Capalyst at go-live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Closed Deviations (last 2 years)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 — as read-only archive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Regulatory retention requirement; closed records are archived and locked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Open CAPAs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Active CAPAs must continue in Capalyst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Closed CAPAs (last 2 years)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 — as read-only archive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Regulatory retention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Open Change Controls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Active CC records required at go-live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Historical Change Controls (&gt;2 years old, closed)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No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Retained in legacy paper/electronic archive per document retention SOP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Risk Assessments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No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All risk assessments to be created fresh in Capalyst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User Accounts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YES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Active users migrated; inactive users excluded</w:t>
            </w:r>
          </w:p>
        </w:tc>
      </w:tr>
    </w:tbl>
    <w:p/>
    <w:p>
      <w:pPr>
        <w:pStyle w:val="Heading1"/>
        <w:spacing w:after="120" w:before="280"/>
        <w:rPr>
          <w:b/>
          <w:bCs/>
          <w:color w:val="1B2A4A"/>
          <w:sz w:val="280"/>
          <w:szCs w:val="280"/>
        </w:rPr>
      </w:pPr>
      <w:r>
        <w:t xml:space="preserve">3. Data Mapping</w:t>
      </w:r>
    </w:p>
    <w:p>
      <w:pPr>
        <w:pStyle w:val="Heading2"/>
        <w:spacing w:after="80" w:before="200"/>
        <w:rPr>
          <w:b/>
          <w:bCs/>
          <w:color w:val="1B2A4A"/>
          <w:sz w:val="240"/>
          <w:szCs w:val="240"/>
        </w:rPr>
      </w:pPr>
      <w:r>
        <w:t xml:space="preserve">3.1 Deviation Mapping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50"/>
      </w:tblGrid>
      <w:tr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Source Field (Excel/Paper)</w:t>
            </w:r>
          </w:p>
        </w:tc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Target Field (Capalyst DB)</w:t>
            </w:r>
          </w:p>
        </w:tc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Transformation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Deviation Reference No.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deviations.deviationNumber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Direct copy; prefix DEV- added if missing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Description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deviations.description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Direct copy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Area / Department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deviations.area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Map to controlled vocabulary list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Date Detected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deviations.detectionDate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Convert to ISO 8601 (YYYY-MM-DD)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Status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deviations.status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Map: Open → Open; Closed → Closed; In Investigation → Under Investigation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Severity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deviations.severity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Map: High/Medium/Low → Critical/Major/Minor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Assigned To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deviations.assignedInvestigator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Map to Capalyst user ID; default to System Owner if unmapped</w:t>
            </w:r>
          </w:p>
        </w:tc>
      </w:tr>
    </w:tbl>
    <w:p/>
    <w:p>
      <w:pPr>
        <w:pStyle w:val="Heading2"/>
        <w:spacing w:after="80" w:before="200"/>
        <w:rPr>
          <w:b/>
          <w:bCs/>
          <w:color w:val="1B2A4A"/>
          <w:sz w:val="240"/>
          <w:szCs w:val="240"/>
        </w:rPr>
      </w:pPr>
      <w:r>
        <w:t xml:space="preserve">3.2 CAPA Mapping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50"/>
      </w:tblGrid>
      <w:tr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Source Field</w:t>
            </w:r>
          </w:p>
        </w:tc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Target Field</w:t>
            </w:r>
          </w:p>
        </w:tc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Transformation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CAPA Reference No.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capa.capaNumber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Direct copy; prefix CAPA- added if missing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Title / Description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capa.title / description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Split if single field; truncate title to 200 chars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Root Cause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capa.rootCauseCategory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Map to controlled list; 'Other' for unmapped values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Due Date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capa.dueDate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Convert to ISO 8601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Status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capa.status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Map source statuses to Capalyst workflow states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Linked Deviation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capa.deviationId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Match by deviation number; null if no match</w:t>
            </w:r>
          </w:p>
        </w:tc>
      </w:tr>
    </w:tbl>
    <w:p/>
    <w:p>
      <w:pPr>
        <w:pStyle w:val="Heading1"/>
        <w:spacing w:after="120" w:before="280"/>
        <w:rPr>
          <w:b/>
          <w:bCs/>
          <w:color w:val="1B2A4A"/>
          <w:sz w:val="280"/>
          <w:szCs w:val="280"/>
        </w:rPr>
      </w:pPr>
      <w:r>
        <w:t xml:space="preserve">4. Migration Process</w:t>
      </w:r>
    </w:p>
    <w:p>
      <w:pPr>
        <w:pStyle w:val="Heading2"/>
        <w:spacing w:after="80" w:before="200"/>
        <w:rPr>
          <w:b/>
          <w:bCs/>
          <w:color w:val="1B2A4A"/>
          <w:sz w:val="240"/>
          <w:szCs w:val="240"/>
        </w:rPr>
      </w:pPr>
      <w:r>
        <w:t xml:space="preserve">4.1 Migration Steps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800"/>
        <w:gridCol w:w="3550"/>
      </w:tblGrid>
      <w:tr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Step</w:t>
            </w:r>
          </w:p>
        </w:tc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Activity</w:t>
            </w:r>
          </w:p>
        </w:tc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Owner</w:t>
            </w:r>
          </w:p>
        </w:tc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Verification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1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Extract source data to structured CSV/Excel template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BQR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Source record count confirmed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2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Data cleansing — correct encoding, date formats, status mapping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VE / PTC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Cleansing log reviewed by BQR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3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Load data into Validation environment using migration scripts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PTC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Row counts match; no DB errors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4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Validate migrated data (sample check 100% open records, 10% closed)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VE / BQR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Validation checklist signed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5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BQR and System Owner approve migration results in VAL environment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SO / BQR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Signed approval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6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Execute migration to Production environment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PTC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Production row counts verified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7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Post-migration spot check in Production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BQR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10 random records verified</w:t>
            </w:r>
          </w:p>
        </w:tc>
      </w:tr>
    </w:tbl>
    <w:p/>
    <w:p>
      <w:pPr>
        <w:pStyle w:val="Heading1"/>
        <w:spacing w:after="120" w:before="280"/>
        <w:rPr>
          <w:b/>
          <w:bCs/>
          <w:color w:val="1B2A4A"/>
          <w:sz w:val="280"/>
          <w:szCs w:val="280"/>
        </w:rPr>
      </w:pPr>
      <w:r>
        <w:t xml:space="preserve">5. Acceptance Criteria</w:t>
      </w:r>
    </w:p>
    <w:p>
      <w:pPr>
        <w:pStyle w:val="ListParagraph"/>
        <w:numPr>
          <w:ilvl w:val="0"/>
          <w:numId w:val="1"/>
        </w:numPr>
        <w:spacing w:after="60"/>
        <w:rPr>
          <w:color w:val="111827"/>
          <w:sz w:val="200"/>
          <w:szCs w:val="200"/>
        </w:rPr>
      </w:pPr>
      <w:r>
        <w:t xml:space="preserve">All open quality records present in source are present in Capalyst after migration</w:t>
      </w:r>
    </w:p>
    <w:p>
      <w:pPr>
        <w:pStyle w:val="ListParagraph"/>
        <w:numPr>
          <w:ilvl w:val="0"/>
          <w:numId w:val="1"/>
        </w:numPr>
        <w:spacing w:after="60"/>
        <w:rPr>
          <w:color w:val="111827"/>
          <w:sz w:val="200"/>
          <w:szCs w:val="200"/>
        </w:rPr>
      </w:pPr>
      <w:r>
        <w:t xml:space="preserve">Row counts in target match source counts (tolerance: 0%)</w:t>
      </w:r>
    </w:p>
    <w:p>
      <w:pPr>
        <w:pStyle w:val="ListParagraph"/>
        <w:numPr>
          <w:ilvl w:val="0"/>
          <w:numId w:val="1"/>
        </w:numPr>
        <w:spacing w:after="60"/>
        <w:rPr>
          <w:color w:val="111827"/>
          <w:sz w:val="200"/>
          <w:szCs w:val="200"/>
        </w:rPr>
      </w:pPr>
      <w:r>
        <w:t xml:space="preserve">100% of open records spot-checked and confirmed accurate</w:t>
      </w:r>
    </w:p>
    <w:p>
      <w:pPr>
        <w:pStyle w:val="ListParagraph"/>
        <w:numPr>
          <w:ilvl w:val="0"/>
          <w:numId w:val="1"/>
        </w:numPr>
        <w:spacing w:after="60"/>
        <w:rPr>
          <w:color w:val="111827"/>
          <w:sz w:val="200"/>
          <w:szCs w:val="200"/>
        </w:rPr>
      </w:pPr>
      <w:r>
        <w:t xml:space="preserve">Minimum 10% random sample of closed/archived records verified</w:t>
      </w:r>
    </w:p>
    <w:p>
      <w:pPr>
        <w:pStyle w:val="ListParagraph"/>
        <w:numPr>
          <w:ilvl w:val="0"/>
          <w:numId w:val="1"/>
        </w:numPr>
        <w:spacing w:after="60"/>
        <w:rPr>
          <w:color w:val="111827"/>
          <w:sz w:val="200"/>
          <w:szCs w:val="200"/>
        </w:rPr>
      </w:pPr>
      <w:r>
        <w:t xml:space="preserve">No data truncation or encoding errors in any record</w:t>
      </w:r>
    </w:p>
    <w:p>
      <w:pPr>
        <w:pStyle w:val="ListParagraph"/>
        <w:numPr>
          <w:ilvl w:val="0"/>
          <w:numId w:val="1"/>
        </w:numPr>
        <w:spacing w:after="60"/>
        <w:rPr>
          <w:color w:val="111827"/>
          <w:sz w:val="200"/>
          <w:szCs w:val="200"/>
        </w:rPr>
      </w:pPr>
      <w:r>
        <w:t xml:space="preserve">Migrated closed records are marked as read-only in Capalyst (status = Closed, locked)</w:t>
      </w:r>
    </w:p>
    <w:p>
      <w:pPr>
        <w:pStyle w:val="ListParagraph"/>
        <w:numPr>
          <w:ilvl w:val="0"/>
          <w:numId w:val="1"/>
        </w:numPr>
        <w:spacing w:after="60"/>
        <w:rPr>
          <w:color w:val="111827"/>
          <w:sz w:val="200"/>
          <w:szCs w:val="200"/>
        </w:rPr>
      </w:pPr>
      <w:r>
        <w:t xml:space="preserve">Migration approved by System Owner and BQR before Production go-live</w:t>
      </w:r>
    </w:p>
    <w:p/>
    <w:p>
      <w:pPr>
        <w:pStyle w:val="Heading1"/>
        <w:spacing w:after="120" w:before="280"/>
        <w:rPr>
          <w:b/>
          <w:bCs/>
          <w:color w:val="1B2A4A"/>
          <w:sz w:val="280"/>
          <w:szCs w:val="280"/>
        </w:rPr>
      </w:pPr>
      <w:r>
        <w:t xml:space="preserve">6. Rollback Plan</w:t>
      </w:r>
    </w:p>
    <w:p>
      <w:pPr>
        <w:spacing w:after="100"/>
      </w:pPr>
      <w:r>
        <w:rPr>
          <w:color w:val="111827"/>
          <w:sz w:val="200"/>
          <w:szCs w:val="200"/>
        </w:rPr>
        <w:t xml:space="preserve">If migration fails acceptance criteria: the Production database is restored from the pre-migration backup. Legacy systems remain the system of record. A root cause analysis of the migration failure is performed before re-attempting. No go-live occurs until migration is accepted.</w:t>
      </w:r>
    </w:p>
    <w:p/>
    <w:p>
      <w:pPr>
        <w:pStyle w:val="Heading1"/>
        <w:spacing w:after="120" w:before="280"/>
        <w:rPr>
          <w:b/>
          <w:bCs/>
          <w:color w:val="1B2A4A"/>
          <w:sz w:val="280"/>
          <w:szCs w:val="280"/>
        </w:rPr>
      </w:pPr>
      <w:r>
        <w:t xml:space="preserve">7. Approval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1850"/>
      </w:tblGrid>
      <w:tr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Role</w:t>
            </w:r>
          </w:p>
        </w:tc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Name</w:t>
            </w:r>
          </w:p>
        </w:tc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Signature</w:t>
            </w:r>
          </w:p>
        </w:tc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Date</w:t>
            </w:r>
          </w:p>
        </w:tc>
      </w:tr>
      <w:tr>
        <w:tc>
          <w:tcPr>
            <w:tcMar>
              <w:left w:type="dxa" w:w="72"/>
              <w:right w:type="dxa" w:w="72"/>
            </w:tcMar>
          </w:tcPr>
          <w:p>
            <w:pPr>
              <w:spacing w:after="360" w:before="40"/>
            </w:pPr>
            <w:r>
              <w:rPr>
                <w:color w:val="111827"/>
                <w:sz w:val="180"/>
                <w:szCs w:val="180"/>
              </w:rPr>
              <w:t xml:space="preserve">System Owner</w:t>
            </w:r>
          </w:p>
        </w:tc>
        <w:tc>
          <w:tcPr>
            <w:tcMar>
              <w:left w:type="dxa" w:w="72"/>
              <w:right w:type="dxa" w:w="72"/>
            </w:tcMar>
          </w:tcPr>
          <w:p>
            <w:pPr>
              <w:spacing w:after="360" w:before="40"/>
            </w:pPr>
            <w:r>
              <w:rPr>
                <w:color w:val="111827"/>
                <w:sz w:val="180"/>
                <w:szCs w:val="180"/>
              </w:rPr>
              <w:t xml:space="preserve">Hannes van der Berg</w:t>
            </w:r>
          </w:p>
        </w:tc>
        <w:tc>
          <w:tcPr>
            <w:tcMar>
              <w:left w:type="dxa" w:w="72"/>
              <w:right w:type="dxa" w:w="72"/>
            </w:tcMar>
          </w:tcPr>
          <w:p>
            <w:pPr>
              <w:spacing w:after="360" w:before="40"/>
            </w:pPr>
            <w:r>
              <w:rPr>
                <w:color w:val="111827"/>
                <w:sz w:val="180"/>
                <w:szCs w:val="180"/>
              </w:rPr>
              <w:t xml:space="preserve"/>
            </w:r>
          </w:p>
        </w:tc>
        <w:tc>
          <w:tcPr>
            <w:tcMar>
              <w:left w:type="dxa" w:w="72"/>
              <w:right w:type="dxa" w:w="72"/>
            </w:tcMar>
          </w:tcPr>
          <w:p>
            <w:pPr>
              <w:spacing w:after="360" w:before="40"/>
            </w:pPr>
            <w:r>
              <w:rPr>
                <w:color w:val="111827"/>
                <w:sz w:val="180"/>
                <w:szCs w:val="180"/>
              </w:rPr>
              <w:t xml:space="preserve"/>
            </w:r>
          </w:p>
        </w:tc>
      </w:tr>
      <w:tr>
        <w:tc>
          <w:tcPr>
            <w:tcMar>
              <w:left w:type="dxa" w:w="72"/>
              <w:right w:type="dxa" w:w="72"/>
            </w:tcMar>
          </w:tcPr>
          <w:p>
            <w:pPr>
              <w:spacing w:after="360" w:before="40"/>
            </w:pPr>
            <w:r>
              <w:rPr>
                <w:color w:val="111827"/>
                <w:sz w:val="180"/>
                <w:szCs w:val="180"/>
              </w:rPr>
              <w:t xml:space="preserve">Business Quality Representative</w:t>
            </w:r>
          </w:p>
        </w:tc>
        <w:tc>
          <w:tcPr>
            <w:tcMar>
              <w:left w:type="dxa" w:w="72"/>
              <w:right w:type="dxa" w:w="72"/>
            </w:tcMar>
          </w:tcPr>
          <w:p>
            <w:pPr>
              <w:spacing w:after="360" w:before="40"/>
            </w:pPr>
            <w:r>
              <w:rPr>
                <w:color w:val="111827"/>
                <w:sz w:val="180"/>
                <w:szCs w:val="180"/>
              </w:rPr>
              <w:t xml:space="preserve">Monique Leblanc</w:t>
            </w:r>
          </w:p>
        </w:tc>
        <w:tc>
          <w:tcPr>
            <w:tcMar>
              <w:left w:type="dxa" w:w="72"/>
              <w:right w:type="dxa" w:w="72"/>
            </w:tcMar>
          </w:tcPr>
          <w:p>
            <w:pPr>
              <w:spacing w:after="360" w:before="40"/>
            </w:pPr>
            <w:r>
              <w:rPr>
                <w:color w:val="111827"/>
                <w:sz w:val="180"/>
                <w:szCs w:val="180"/>
              </w:rPr>
              <w:t xml:space="preserve"/>
            </w:r>
          </w:p>
        </w:tc>
        <w:tc>
          <w:tcPr>
            <w:tcMar>
              <w:left w:type="dxa" w:w="72"/>
              <w:right w:type="dxa" w:w="72"/>
            </w:tcMar>
          </w:tcPr>
          <w:p>
            <w:pPr>
              <w:spacing w:after="360" w:before="40"/>
            </w:pPr>
            <w:r>
              <w:rPr>
                <w:color w:val="111827"/>
                <w:sz w:val="180"/>
                <w:szCs w:val="180"/>
              </w:rPr>
              <w:t xml:space="preserve"/>
            </w:r>
          </w:p>
        </w:tc>
      </w:tr>
      <w:tr>
        <w:tc>
          <w:tcPr>
            <w:tcMar>
              <w:left w:type="dxa" w:w="72"/>
              <w:right w:type="dxa" w:w="72"/>
            </w:tcMar>
          </w:tcPr>
          <w:p>
            <w:pPr>
              <w:spacing w:after="360" w:before="40"/>
            </w:pPr>
            <w:r>
              <w:rPr>
                <w:color w:val="111827"/>
                <w:sz w:val="180"/>
                <w:szCs w:val="180"/>
              </w:rPr>
              <w:t xml:space="preserve">Validation Expert</w:t>
            </w:r>
          </w:p>
        </w:tc>
        <w:tc>
          <w:tcPr>
            <w:tcMar>
              <w:left w:type="dxa" w:w="72"/>
              <w:right w:type="dxa" w:w="72"/>
            </w:tcMar>
          </w:tcPr>
          <w:p>
            <w:pPr>
              <w:spacing w:after="360" w:before="40"/>
            </w:pPr>
            <w:r>
              <w:rPr>
                <w:color w:val="111827"/>
                <w:sz w:val="180"/>
                <w:szCs w:val="180"/>
              </w:rPr>
              <w:t xml:space="preserve">TBD</w:t>
            </w:r>
          </w:p>
        </w:tc>
        <w:tc>
          <w:tcPr>
            <w:tcMar>
              <w:left w:type="dxa" w:w="72"/>
              <w:right w:type="dxa" w:w="72"/>
            </w:tcMar>
          </w:tcPr>
          <w:p>
            <w:pPr>
              <w:spacing w:after="360" w:before="40"/>
            </w:pPr>
            <w:r>
              <w:rPr>
                <w:color w:val="111827"/>
                <w:sz w:val="180"/>
                <w:szCs w:val="180"/>
              </w:rPr>
              <w:t xml:space="preserve"/>
            </w:r>
          </w:p>
        </w:tc>
        <w:tc>
          <w:tcPr>
            <w:tcMar>
              <w:left w:type="dxa" w:w="72"/>
              <w:right w:type="dxa" w:w="72"/>
            </w:tcMar>
          </w:tcPr>
          <w:p>
            <w:pPr>
              <w:spacing w:after="360" w:before="40"/>
            </w:pPr>
            <w:r>
              <w:rPr>
                <w:color w:val="111827"/>
                <w:sz w:val="180"/>
                <w:szCs w:val="180"/>
              </w:rPr>
              <w:t xml:space="preserve"/>
            </w:r>
          </w:p>
        </w:tc>
      </w:tr>
    </w:tbl>
    <w:p/>
    <w:p>
      <w:pPr>
        <w:pStyle w:val="Heading2"/>
        <w:spacing w:after="80" w:before="200"/>
        <w:rPr>
          <w:b/>
          <w:bCs/>
          <w:color w:val="1B2A4A"/>
          <w:sz w:val="240"/>
          <w:szCs w:val="240"/>
        </w:rPr>
      </w:pPr>
      <w:r>
        <w:t xml:space="preserve">Document Change History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750"/>
        <w:gridCol w:w="1600"/>
      </w:tblGrid>
      <w:tr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Version</w:t>
            </w:r>
          </w:p>
        </w:tc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Date</w:t>
            </w:r>
          </w:p>
        </w:tc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Description</w:t>
            </w:r>
          </w:p>
        </w:tc>
        <w:tc>
          <w:tcPr>
            <w:shd w:fill="1B2A4A" w:val="clear"/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0"/>
                <w:szCs w:val="180"/>
              </w:rPr>
              <w:t xml:space="preserve">Author</w:t>
            </w:r>
          </w:p>
        </w:tc>
      </w:tr>
      <w:tr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1.0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2026-05-28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Initial approved version</w:t>
            </w:r>
          </w:p>
        </w:tc>
        <w:tc>
          <w:tcPr>
            <w:tcMar>
              <w:top w:type="dxa" w:w="28"/>
              <w:left w:type="dxa" w:w="72"/>
              <w:bottom w:type="dxa" w:w="28"/>
              <w:right w:type="dxa" w:w="72"/>
            </w:tcMar>
          </w:tcPr>
          <w:p>
            <w:pPr>
              <w:spacing w:after="40" w:before="40"/>
            </w:pPr>
            <w:r>
              <w:rPr>
                <w:color w:val="111827"/>
                <w:sz w:val="180"/>
                <w:szCs w:val="180"/>
              </w:rPr>
              <w:t xml:space="preserve">Validation Team</w:t>
            </w:r>
          </w:p>
        </w:tc>
      </w:tr>
    </w:tbl>
    <w:p/>
    <w:sectPr>
      <w:headerReference w:type="default" r:id="rId7"/>
      <w:foot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374151"/>
        <w:sz w:val="160"/>
        <w:szCs w:val="160"/>
      </w:rPr>
      <w:t xml:space="preserve">Confidential — CPT Pharma (Pty) Ltd     Page </w:t>
    </w:r>
    <w:r>
      <w:rPr>
        <w:color w:val="374151"/>
        <w:sz w:val="160"/>
        <w:szCs w:val="160"/>
      </w:rPr>
      <w:fldChar w:fldCharType="begin"/>
      <w:instrText xml:space="preserve">PAGE</w:instrText>
      <w:fldChar w:fldCharType="separate"/>
      <w:fldChar w:fldCharType="end"/>
    </w:r>
    <w:r>
      <w:rPr>
        <w:color w:val="374151"/>
        <w:sz w:val="160"/>
        <w:szCs w:val="160"/>
      </w:rPr>
      <w:t xml:space="preserve"> of </w:t>
    </w:r>
    <w:r>
      <w:rPr>
        <w:color w:val="374151"/>
        <w:sz w:val="160"/>
        <w:szCs w:val="16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5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500"/>
      <w:gridCol w:w="2850"/>
      <w:gridCol w:w="3000"/>
    </w:tblGrid>
    <w:tr>
      <w:tc>
        <w:p>
          <w:r>
            <w:rPr>
              <w:b/>
              <w:bCs/>
              <w:color w:val="1B2A4A"/>
              <w:sz w:val="160"/>
              <w:szCs w:val="160"/>
            </w:rPr>
            <w:t xml:space="preserve">CPT Pharma (Pty) Ltd  |  Capalyst QMS CSV</w:t>
          </w:r>
        </w:p>
      </w:tc>
      <w:tc>
        <w:p>
          <w:pPr>
            <w:jc w:val="center"/>
          </w:pPr>
          <w:r>
            <w:rPr>
              <w:color w:val="374151"/>
              <w:sz w:val="160"/>
              <w:szCs w:val="160"/>
            </w:rPr>
            <w:t xml:space="preserve">CPT-VL-ISVP-DMP Capalyst-001</w:t>
          </w:r>
        </w:p>
      </w:tc>
      <w:tc>
        <w:p>
          <w:pPr>
            <w:jc w:val="right"/>
          </w:pPr>
          <w:r>
            <w:rPr>
              <w:color w:val="374151"/>
              <w:sz w:val="160"/>
              <w:szCs w:val="160"/>
            </w:rPr>
            <w:t xml:space="preserve">06_CPT-VL-ISVP-DMP_Capalyst-001_Data_Migration_Plan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2026-06-26T04:56:27.463Z</dcterms:created>
  <dcterms:modified xsi:type="dcterms:W3CDTF">2026-06-26T04:56:27.463Z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