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Infrastructure &amp; Application Operations Manual</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CPT-VL-ISVP-IAOM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2026-06-04</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Infrastructure and Application Operations Manual (IAOM) describes the procedures for operating, monitoring, backing up, restoring, and maintaining the Capalyst QMS in the production environment. It is the reference document for system administrators and the IT operations team.</w:t>
      </w:r>
    </w:p>
    <w:p/>
    <w:p>
      <w:pPr>
        <w:pStyle w:val="Heading1"/>
        <w:spacing w:after="120" w:before="280"/>
        <w:rPr>
          <w:b/>
          <w:bCs/>
          <w:color w:val="1B2A4A"/>
          <w:sz w:val="280"/>
          <w:szCs w:val="280"/>
        </w:rPr>
      </w:pPr>
      <w:r>
        <w:t xml:space="preserve">2. System Description</w:t>
      </w:r>
    </w:p>
    <w:p>
      <w:pPr>
        <w:spacing w:after="100"/>
      </w:pPr>
      <w:r>
        <w:rPr>
          <w:color w:val="111827"/>
          <w:sz w:val="200"/>
          <w:szCs w:val="200"/>
        </w:rPr>
        <w:t xml:space="preserve">Refer to CPT-VL-ISVP-ArS Capalyst-001 for full architecture details. In summary: the Capalyst QMS is a three-tier web application consisting of a React frontend (Vite), an Express/Node.js API server, and a PostgreSQL database, hosted on the Replit cloud platform.</w:t>
      </w:r>
    </w:p>
    <w:p/>
    <w:p>
      <w:pPr>
        <w:pStyle w:val="Heading1"/>
        <w:spacing w:after="120" w:before="280"/>
        <w:rPr>
          <w:b/>
          <w:bCs/>
          <w:color w:val="1B2A4A"/>
          <w:sz w:val="280"/>
          <w:szCs w:val="280"/>
        </w:rPr>
      </w:pPr>
      <w:r>
        <w:t xml:space="preserve">3. Access and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Access Type</w:t>
            </w:r>
          </w:p>
        </w:tc>
        <w:tc>
          <w:tcPr>
            <w:shd w:fill="1B2A4A" w:val="clear"/>
            <w:tcMar>
              <w:top w:type="dxa" w:w="28"/>
              <w:left w:type="dxa" w:w="72"/>
              <w:bottom w:type="dxa" w:w="28"/>
              <w:right w:type="dxa" w:w="72"/>
            </w:tcMar>
          </w:tcPr>
          <w:p>
            <w:pPr>
              <w:spacing w:after="40" w:before="40"/>
            </w:pPr>
            <w:r>
              <w:rPr>
                <w:b/>
                <w:bCs/>
                <w:color w:val="FFFFFF"/>
                <w:sz w:val="180"/>
                <w:szCs w:val="180"/>
              </w:rPr>
              <w:t xml:space="preserve">Method</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Authorised Roles</w:t>
            </w:r>
          </w:p>
        </w:tc>
      </w:tr>
      <w:tr>
        <w:tc>
          <w:tcPr>
            <w:tcMar>
              <w:top w:type="dxa" w:w="28"/>
              <w:left w:type="dxa" w:w="72"/>
              <w:bottom w:type="dxa" w:w="28"/>
              <w:right w:type="dxa" w:w="72"/>
            </w:tcMar>
          </w:tcPr>
          <w:p>
            <w:pPr>
              <w:spacing w:after="40" w:before="40"/>
            </w:pPr>
            <w:r>
              <w:rPr>
                <w:color w:val="111827"/>
                <w:sz w:val="180"/>
                <w:szCs w:val="180"/>
              </w:rPr>
              <w:t xml:space="preserve">Application (end users)</w:t>
            </w:r>
          </w:p>
        </w:tc>
        <w:tc>
          <w:tcPr>
            <w:tcMar>
              <w:top w:type="dxa" w:w="28"/>
              <w:left w:type="dxa" w:w="72"/>
              <w:bottom w:type="dxa" w:w="28"/>
              <w:right w:type="dxa" w:w="72"/>
            </w:tcMar>
          </w:tcPr>
          <w:p>
            <w:pPr>
              <w:spacing w:after="40" w:before="40"/>
            </w:pPr>
            <w:r>
              <w:rPr>
                <w:color w:val="111827"/>
                <w:sz w:val="180"/>
                <w:szCs w:val="180"/>
              </w:rPr>
              <w:t xml:space="preserve">HTTPS browser access to production domain</w:t>
            </w:r>
          </w:p>
        </w:tc>
        <w:tc>
          <w:tcPr>
            <w:tcMar>
              <w:top w:type="dxa" w:w="28"/>
              <w:left w:type="dxa" w:w="72"/>
              <w:bottom w:type="dxa" w:w="28"/>
              <w:right w:type="dxa" w:w="72"/>
            </w:tcMar>
          </w:tcPr>
          <w:p>
            <w:pPr>
              <w:spacing w:after="40" w:before="40"/>
            </w:pPr>
            <w:r>
              <w:rPr>
                <w:color w:val="111827"/>
                <w:sz w:val="180"/>
                <w:szCs w:val="180"/>
              </w:rPr>
              <w:t xml:space="preserve">All active Capalyst users</w:t>
            </w:r>
          </w:p>
        </w:tc>
      </w:tr>
      <w:tr>
        <w:tc>
          <w:tcPr>
            <w:tcMar>
              <w:top w:type="dxa" w:w="28"/>
              <w:left w:type="dxa" w:w="72"/>
              <w:bottom w:type="dxa" w:w="28"/>
              <w:right w:type="dxa" w:w="72"/>
            </w:tcMar>
          </w:tcPr>
          <w:p>
            <w:pPr>
              <w:spacing w:after="40" w:before="40"/>
            </w:pPr>
            <w:r>
              <w:rPr>
                <w:color w:val="111827"/>
                <w:sz w:val="180"/>
                <w:szCs w:val="180"/>
              </w:rPr>
              <w:t xml:space="preserve">Admin user management</w:t>
            </w:r>
          </w:p>
        </w:tc>
        <w:tc>
          <w:tcPr>
            <w:tcMar>
              <w:top w:type="dxa" w:w="28"/>
              <w:left w:type="dxa" w:w="72"/>
              <w:bottom w:type="dxa" w:w="28"/>
              <w:right w:type="dxa" w:w="72"/>
            </w:tcMar>
          </w:tcPr>
          <w:p>
            <w:pPr>
              <w:spacing w:after="40" w:before="40"/>
            </w:pPr>
            <w:r>
              <w:rPr>
                <w:color w:val="111827"/>
                <w:sz w:val="180"/>
                <w:szCs w:val="180"/>
              </w:rPr>
              <w:t xml:space="preserve">Capalyst Admin role via application UI</w:t>
            </w:r>
          </w:p>
        </w:tc>
        <w:tc>
          <w:tcPr>
            <w:tcMar>
              <w:top w:type="dxa" w:w="28"/>
              <w:left w:type="dxa" w:w="72"/>
              <w:bottom w:type="dxa" w:w="28"/>
              <w:right w:type="dxa" w:w="72"/>
            </w:tcMar>
          </w:tcPr>
          <w:p>
            <w:pPr>
              <w:spacing w:after="40" w:before="40"/>
            </w:pPr>
            <w:r>
              <w:rPr>
                <w:color w:val="111827"/>
                <w:sz w:val="180"/>
                <w:szCs w:val="180"/>
              </w:rPr>
              <w:t xml:space="preserve">Admin role only</w:t>
            </w:r>
          </w:p>
        </w:tc>
      </w:tr>
      <w:tr>
        <w:tc>
          <w:tcPr>
            <w:tcMar>
              <w:top w:type="dxa" w:w="28"/>
              <w:left w:type="dxa" w:w="72"/>
              <w:bottom w:type="dxa" w:w="28"/>
              <w:right w:type="dxa" w:w="72"/>
            </w:tcMar>
          </w:tcPr>
          <w:p>
            <w:pPr>
              <w:spacing w:after="40" w:before="40"/>
            </w:pPr>
            <w:r>
              <w:rPr>
                <w:color w:val="111827"/>
                <w:sz w:val="180"/>
                <w:szCs w:val="180"/>
              </w:rPr>
              <w:t xml:space="preserve">Database (direct)</w:t>
            </w:r>
          </w:p>
        </w:tc>
        <w:tc>
          <w:tcPr>
            <w:tcMar>
              <w:top w:type="dxa" w:w="28"/>
              <w:left w:type="dxa" w:w="72"/>
              <w:bottom w:type="dxa" w:w="28"/>
              <w:right w:type="dxa" w:w="72"/>
            </w:tcMar>
          </w:tcPr>
          <w:p>
            <w:pPr>
              <w:spacing w:after="40" w:before="40"/>
            </w:pPr>
            <w:r>
              <w:rPr>
                <w:color w:val="111827"/>
                <w:sz w:val="180"/>
                <w:szCs w:val="180"/>
              </w:rPr>
              <w:t xml:space="preserve">Replit platform database console or DATABASE_URL connection string</w:t>
            </w:r>
          </w:p>
        </w:tc>
        <w:tc>
          <w:tcPr>
            <w:tcMar>
              <w:top w:type="dxa" w:w="28"/>
              <w:left w:type="dxa" w:w="72"/>
              <w:bottom w:type="dxa" w:w="28"/>
              <w:right w:type="dxa" w:w="72"/>
            </w:tcMar>
          </w:tcPr>
          <w:p>
            <w:pPr>
              <w:spacing w:after="40" w:before="40"/>
            </w:pPr>
            <w:r>
              <w:rPr>
                <w:color w:val="111827"/>
                <w:sz w:val="180"/>
                <w:szCs w:val="180"/>
              </w:rPr>
              <w:t xml:space="preserve">IT Admin / Platform Admin only</w:t>
            </w:r>
          </w:p>
        </w:tc>
      </w:tr>
      <w:tr>
        <w:tc>
          <w:tcPr>
            <w:tcMar>
              <w:top w:type="dxa" w:w="28"/>
              <w:left w:type="dxa" w:w="72"/>
              <w:bottom w:type="dxa" w:w="28"/>
              <w:right w:type="dxa" w:w="72"/>
            </w:tcMar>
          </w:tcPr>
          <w:p>
            <w:pPr>
              <w:spacing w:after="40" w:before="40"/>
            </w:pPr>
            <w:r>
              <w:rPr>
                <w:color w:val="111827"/>
                <w:sz w:val="180"/>
                <w:szCs w:val="180"/>
              </w:rPr>
              <w:t xml:space="preserve">Server logs</w:t>
            </w:r>
          </w:p>
        </w:tc>
        <w:tc>
          <w:tcPr>
            <w:tcMar>
              <w:top w:type="dxa" w:w="28"/>
              <w:left w:type="dxa" w:w="72"/>
              <w:bottom w:type="dxa" w:w="28"/>
              <w:right w:type="dxa" w:w="72"/>
            </w:tcMar>
          </w:tcPr>
          <w:p>
            <w:pPr>
              <w:spacing w:after="40" w:before="40"/>
            </w:pPr>
            <w:r>
              <w:rPr>
                <w:color w:val="111827"/>
                <w:sz w:val="180"/>
                <w:szCs w:val="180"/>
              </w:rPr>
              <w:t xml:space="preserve">Replit platform Repl logs console</w:t>
            </w:r>
          </w:p>
        </w:tc>
        <w:tc>
          <w:tcPr>
            <w:tcMar>
              <w:top w:type="dxa" w:w="28"/>
              <w:left w:type="dxa" w:w="72"/>
              <w:bottom w:type="dxa" w:w="28"/>
              <w:right w:type="dxa" w:w="72"/>
            </w:tcMar>
          </w:tcPr>
          <w:p>
            <w:pPr>
              <w:spacing w:after="40" w:before="40"/>
            </w:pPr>
            <w:r>
              <w:rPr>
                <w:color w:val="111827"/>
                <w:sz w:val="180"/>
                <w:szCs w:val="180"/>
              </w:rPr>
              <w:t xml:space="preserve">IT Admin / System Owner</w:t>
            </w:r>
          </w:p>
        </w:tc>
      </w:tr>
      <w:tr>
        <w:tc>
          <w:tcPr>
            <w:tcMar>
              <w:top w:type="dxa" w:w="28"/>
              <w:left w:type="dxa" w:w="72"/>
              <w:bottom w:type="dxa" w:w="28"/>
              <w:right w:type="dxa" w:w="72"/>
            </w:tcMar>
          </w:tcPr>
          <w:p>
            <w:pPr>
              <w:spacing w:after="40" w:before="40"/>
            </w:pPr>
            <w:r>
              <w:rPr>
                <w:color w:val="111827"/>
                <w:sz w:val="180"/>
                <w:szCs w:val="180"/>
              </w:rPr>
              <w:t xml:space="preserve">Environment secrets</w:t>
            </w:r>
          </w:p>
        </w:tc>
        <w:tc>
          <w:tcPr>
            <w:tcMar>
              <w:top w:type="dxa" w:w="28"/>
              <w:left w:type="dxa" w:w="72"/>
              <w:bottom w:type="dxa" w:w="28"/>
              <w:right w:type="dxa" w:w="72"/>
            </w:tcMar>
          </w:tcPr>
          <w:p>
            <w:pPr>
              <w:spacing w:after="40" w:before="40"/>
            </w:pPr>
            <w:r>
              <w:rPr>
                <w:color w:val="111827"/>
                <w:sz w:val="180"/>
                <w:szCs w:val="180"/>
              </w:rPr>
              <w:t xml:space="preserve">Replit platform Secrets manager</w:t>
            </w:r>
          </w:p>
        </w:tc>
        <w:tc>
          <w:tcPr>
            <w:tcMar>
              <w:top w:type="dxa" w:w="28"/>
              <w:left w:type="dxa" w:w="72"/>
              <w:bottom w:type="dxa" w:w="28"/>
              <w:right w:type="dxa" w:w="72"/>
            </w:tcMar>
          </w:tcPr>
          <w:p>
            <w:pPr>
              <w:spacing w:after="40" w:before="40"/>
            </w:pPr>
            <w:r>
              <w:rPr>
                <w:color w:val="111827"/>
                <w:sz w:val="180"/>
                <w:szCs w:val="180"/>
              </w:rPr>
              <w:t xml:space="preserve">IT Admin / Platform Admin only</w:t>
            </w:r>
          </w:p>
        </w:tc>
      </w:tr>
    </w:tbl>
    <w:p/>
    <w:p>
      <w:pPr>
        <w:pStyle w:val="Heading1"/>
        <w:spacing w:after="120" w:before="280"/>
        <w:rPr>
          <w:b/>
          <w:bCs/>
          <w:color w:val="1B2A4A"/>
          <w:sz w:val="280"/>
          <w:szCs w:val="280"/>
        </w:rPr>
      </w:pPr>
      <w:r>
        <w:t xml:space="preserve">4. Operational Procedures</w:t>
      </w:r>
    </w:p>
    <w:p>
      <w:pPr>
        <w:pStyle w:val="Heading2"/>
        <w:spacing w:after="80" w:before="200"/>
        <w:rPr>
          <w:b/>
          <w:bCs/>
          <w:color w:val="1B2A4A"/>
          <w:sz w:val="240"/>
          <w:szCs w:val="240"/>
        </w:rPr>
      </w:pPr>
      <w:r>
        <w:t xml:space="preserve">4.1 Starting and Stopping the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Action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Procedure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Notes</w:t>
            </w:r>
          </w:p>
        </w:tc>
      </w:tr>
      <w:tr>
        <w:tc>
          <w:tcPr>
            <w:tcMar>
              <w:top w:type="dxa" w:w="28"/>
              <w:left w:type="dxa" w:w="72"/>
              <w:bottom w:type="dxa" w:w="28"/>
              <w:right w:type="dxa" w:w="72"/>
            </w:tcMar>
          </w:tcPr>
          <w:p>
            <w:pPr>
              <w:spacing w:after="40" w:before="40"/>
            </w:pPr>
            <w:r>
              <w:rPr>
                <w:color w:val="111827"/>
                <w:sz w:val="180"/>
                <w:szCs w:val="180"/>
              </w:rPr>
              <w:t xml:space="preserve">Start API server</w:t>
            </w:r>
          </w:p>
        </w:tc>
        <w:tc>
          <w:tcPr>
            <w:tcMar>
              <w:top w:type="dxa" w:w="28"/>
              <w:left w:type="dxa" w:w="72"/>
              <w:bottom w:type="dxa" w:w="28"/>
              <w:right w:type="dxa" w:w="72"/>
            </w:tcMar>
          </w:tcPr>
          <w:p>
            <w:pPr>
              <w:spacing w:after="40" w:before="40"/>
            </w:pPr>
            <w:r>
              <w:rPr>
                <w:color w:val="111827"/>
                <w:sz w:val="180"/>
                <w:szCs w:val="180"/>
              </w:rPr>
              <w:t xml:space="preserve">Start workflow: 'artifacts/api-server: API Server' via Replit workflow panel</w:t>
            </w:r>
          </w:p>
        </w:tc>
        <w:tc>
          <w:tcPr>
            <w:tcMar>
              <w:top w:type="dxa" w:w="28"/>
              <w:left w:type="dxa" w:w="72"/>
              <w:bottom w:type="dxa" w:w="28"/>
              <w:right w:type="dxa" w:w="72"/>
            </w:tcMar>
          </w:tcPr>
          <w:p>
            <w:pPr>
              <w:spacing w:after="40" w:before="40"/>
            </w:pPr>
            <w:r>
              <w:rPr>
                <w:color w:val="111827"/>
                <w:sz w:val="180"/>
                <w:szCs w:val="180"/>
              </w:rPr>
              <w:t xml:space="preserve">Command: pnpm --filter @workspace/api-server run dev</w:t>
            </w:r>
          </w:p>
        </w:tc>
      </w:tr>
      <w:tr>
        <w:tc>
          <w:tcPr>
            <w:tcMar>
              <w:top w:type="dxa" w:w="28"/>
              <w:left w:type="dxa" w:w="72"/>
              <w:bottom w:type="dxa" w:w="28"/>
              <w:right w:type="dxa" w:w="72"/>
            </w:tcMar>
          </w:tcPr>
          <w:p>
            <w:pPr>
              <w:spacing w:after="40" w:before="40"/>
            </w:pPr>
            <w:r>
              <w:rPr>
                <w:color w:val="111827"/>
                <w:sz w:val="180"/>
                <w:szCs w:val="180"/>
              </w:rPr>
              <w:t xml:space="preserve">Start frontend</w:t>
            </w:r>
          </w:p>
        </w:tc>
        <w:tc>
          <w:tcPr>
            <w:tcMar>
              <w:top w:type="dxa" w:w="28"/>
              <w:left w:type="dxa" w:w="72"/>
              <w:bottom w:type="dxa" w:w="28"/>
              <w:right w:type="dxa" w:w="72"/>
            </w:tcMar>
          </w:tcPr>
          <w:p>
            <w:pPr>
              <w:spacing w:after="40" w:before="40"/>
            </w:pPr>
            <w:r>
              <w:rPr>
                <w:color w:val="111827"/>
                <w:sz w:val="180"/>
                <w:szCs w:val="180"/>
              </w:rPr>
              <w:t xml:space="preserve">Start workflow: 'artifacts/qms: web' via Replit workflow panel</w:t>
            </w:r>
          </w:p>
        </w:tc>
        <w:tc>
          <w:tcPr>
            <w:tcMar>
              <w:top w:type="dxa" w:w="28"/>
              <w:left w:type="dxa" w:w="72"/>
              <w:bottom w:type="dxa" w:w="28"/>
              <w:right w:type="dxa" w:w="72"/>
            </w:tcMar>
          </w:tcPr>
          <w:p>
            <w:pPr>
              <w:spacing w:after="40" w:before="40"/>
            </w:pPr>
            <w:r>
              <w:rPr>
                <w:color w:val="111827"/>
                <w:sz w:val="180"/>
                <w:szCs w:val="180"/>
              </w:rPr>
              <w:t xml:space="preserve">Command: pnpm --filter @workspace/qms run dev</w:t>
            </w:r>
          </w:p>
        </w:tc>
      </w:tr>
      <w:tr>
        <w:tc>
          <w:tcPr>
            <w:tcMar>
              <w:top w:type="dxa" w:w="28"/>
              <w:left w:type="dxa" w:w="72"/>
              <w:bottom w:type="dxa" w:w="28"/>
              <w:right w:type="dxa" w:w="72"/>
            </w:tcMar>
          </w:tcPr>
          <w:p>
            <w:pPr>
              <w:spacing w:after="40" w:before="40"/>
            </w:pPr>
            <w:r>
              <w:rPr>
                <w:color w:val="111827"/>
                <w:sz w:val="180"/>
                <w:szCs w:val="180"/>
              </w:rPr>
              <w:t xml:space="preserve">Restart (after update)</w:t>
            </w:r>
          </w:p>
        </w:tc>
        <w:tc>
          <w:tcPr>
            <w:tcMar>
              <w:top w:type="dxa" w:w="28"/>
              <w:left w:type="dxa" w:w="72"/>
              <w:bottom w:type="dxa" w:w="28"/>
              <w:right w:type="dxa" w:w="72"/>
            </w:tcMar>
          </w:tcPr>
          <w:p>
            <w:pPr>
              <w:spacing w:after="40" w:before="40"/>
            </w:pPr>
            <w:r>
              <w:rPr>
                <w:color w:val="111827"/>
                <w:sz w:val="180"/>
                <w:szCs w:val="180"/>
              </w:rPr>
              <w:t xml:space="preserve">Stop both workflows; run schema push if schema changed; restart both workflows</w:t>
            </w:r>
          </w:p>
        </w:tc>
        <w:tc>
          <w:tcPr>
            <w:tcMar>
              <w:top w:type="dxa" w:w="28"/>
              <w:left w:type="dxa" w:w="72"/>
              <w:bottom w:type="dxa" w:w="28"/>
              <w:right w:type="dxa" w:w="72"/>
            </w:tcMar>
          </w:tcPr>
          <w:p>
            <w:pPr>
              <w:spacing w:after="40" w:before="40"/>
            </w:pPr>
            <w:r>
              <w:rPr>
                <w:color w:val="111827"/>
                <w:sz w:val="180"/>
                <w:szCs w:val="180"/>
              </w:rPr>
              <w:t xml:space="preserve">Run pnpm --filter @workspace/db run push before restart if schema updated</w:t>
            </w:r>
          </w:p>
        </w:tc>
      </w:tr>
      <w:tr>
        <w:tc>
          <w:tcPr>
            <w:tcMar>
              <w:top w:type="dxa" w:w="28"/>
              <w:left w:type="dxa" w:w="72"/>
              <w:bottom w:type="dxa" w:w="28"/>
              <w:right w:type="dxa" w:w="72"/>
            </w:tcMar>
          </w:tcPr>
          <w:p>
            <w:pPr>
              <w:spacing w:after="40" w:before="40"/>
            </w:pPr>
            <w:r>
              <w:rPr>
                <w:color w:val="111827"/>
                <w:sz w:val="180"/>
                <w:szCs w:val="180"/>
              </w:rPr>
              <w:t xml:space="preserve">Stop application</w:t>
            </w:r>
          </w:p>
        </w:tc>
        <w:tc>
          <w:tcPr>
            <w:tcMar>
              <w:top w:type="dxa" w:w="28"/>
              <w:left w:type="dxa" w:w="72"/>
              <w:bottom w:type="dxa" w:w="28"/>
              <w:right w:type="dxa" w:w="72"/>
            </w:tcMar>
          </w:tcPr>
          <w:p>
            <w:pPr>
              <w:spacing w:after="40" w:before="40"/>
            </w:pPr>
            <w:r>
              <w:rPr>
                <w:color w:val="111827"/>
                <w:sz w:val="180"/>
                <w:szCs w:val="180"/>
              </w:rPr>
              <w:t xml:space="preserve">Stop both workflows via Replit workflow panel</w:t>
            </w:r>
          </w:p>
        </w:tc>
        <w:tc>
          <w:tcPr>
            <w:tcMar>
              <w:top w:type="dxa" w:w="28"/>
              <w:left w:type="dxa" w:w="72"/>
              <w:bottom w:type="dxa" w:w="28"/>
              <w:right w:type="dxa" w:w="72"/>
            </w:tcMar>
          </w:tcPr>
          <w:p>
            <w:pPr>
              <w:spacing w:after="40" w:before="40"/>
            </w:pPr>
            <w:r>
              <w:rPr>
                <w:color w:val="111827"/>
                <w:sz w:val="180"/>
                <w:szCs w:val="180"/>
              </w:rPr>
              <w:t xml:space="preserve">Database remains running independently</w:t>
            </w:r>
          </w:p>
        </w:tc>
      </w:tr>
    </w:tbl>
    <w:p/>
    <w:p>
      <w:pPr>
        <w:pStyle w:val="Heading2"/>
        <w:spacing w:after="80" w:before="200"/>
        <w:rPr>
          <w:b/>
          <w:bCs/>
          <w:color w:val="1B2A4A"/>
          <w:sz w:val="240"/>
          <w:szCs w:val="240"/>
        </w:rPr>
      </w:pPr>
      <w:r>
        <w:t xml:space="preserve">4.2 User Account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Task</w:t>
            </w:r>
          </w:p>
        </w:tc>
        <w:tc>
          <w:tcPr>
            <w:shd w:fill="1B2A4A" w:val="clear"/>
            <w:tcMar>
              <w:top w:type="dxa" w:w="28"/>
              <w:left w:type="dxa" w:w="72"/>
              <w:bottom w:type="dxa" w:w="28"/>
              <w:right w:type="dxa" w:w="72"/>
            </w:tcMar>
          </w:tcPr>
          <w:p>
            <w:pPr>
              <w:spacing w:after="40" w:before="40"/>
            </w:pPr>
            <w:r>
              <w:rPr>
                <w:b/>
                <w:bCs/>
                <w:color w:val="FFFFFF"/>
                <w:sz w:val="180"/>
                <w:szCs w:val="180"/>
              </w:rPr>
              <w:t xml:space="preserve">Procedure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 Required</w:t>
            </w:r>
          </w:p>
        </w:tc>
      </w:tr>
      <w:tr>
        <w:tc>
          <w:tcPr>
            <w:tcMar>
              <w:top w:type="dxa" w:w="28"/>
              <w:left w:type="dxa" w:w="72"/>
              <w:bottom w:type="dxa" w:w="28"/>
              <w:right w:type="dxa" w:w="72"/>
            </w:tcMar>
          </w:tcPr>
          <w:p>
            <w:pPr>
              <w:spacing w:after="40" w:before="40"/>
            </w:pPr>
            <w:r>
              <w:rPr>
                <w:color w:val="111827"/>
                <w:sz w:val="180"/>
                <w:szCs w:val="180"/>
              </w:rPr>
              <w:t xml:space="preserve">Add new user</w:t>
            </w:r>
          </w:p>
        </w:tc>
        <w:tc>
          <w:tcPr>
            <w:tcMar>
              <w:top w:type="dxa" w:w="28"/>
              <w:left w:type="dxa" w:w="72"/>
              <w:bottom w:type="dxa" w:w="28"/>
              <w:right w:type="dxa" w:w="72"/>
            </w:tcMar>
          </w:tcPr>
          <w:p>
            <w:pPr>
              <w:spacing w:after="40" w:before="40"/>
            </w:pPr>
            <w:r>
              <w:rPr>
                <w:color w:val="111827"/>
                <w:sz w:val="180"/>
                <w:szCs w:val="180"/>
              </w:rPr>
              <w:t xml:space="preserve">Navigate to Users module &gt; Add User dialog; enter name, email, role, temporary password</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Change user role</w:t>
            </w:r>
          </w:p>
        </w:tc>
        <w:tc>
          <w:tcPr>
            <w:tcMar>
              <w:top w:type="dxa" w:w="28"/>
              <w:left w:type="dxa" w:w="72"/>
              <w:bottom w:type="dxa" w:w="28"/>
              <w:right w:type="dxa" w:w="72"/>
            </w:tcMar>
          </w:tcPr>
          <w:p>
            <w:pPr>
              <w:spacing w:after="40" w:before="40"/>
            </w:pPr>
            <w:r>
              <w:rPr>
                <w:color w:val="111827"/>
                <w:sz w:val="180"/>
                <w:szCs w:val="180"/>
              </w:rPr>
              <w:t xml:space="preserve">Navigate to Users &gt; select user &gt; Change Role dialog</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Deactivate user</w:t>
            </w:r>
          </w:p>
        </w:tc>
        <w:tc>
          <w:tcPr>
            <w:tcMar>
              <w:top w:type="dxa" w:w="28"/>
              <w:left w:type="dxa" w:w="72"/>
              <w:bottom w:type="dxa" w:w="28"/>
              <w:right w:type="dxa" w:w="72"/>
            </w:tcMar>
          </w:tcPr>
          <w:p>
            <w:pPr>
              <w:spacing w:after="40" w:before="40"/>
            </w:pPr>
            <w:r>
              <w:rPr>
                <w:color w:val="111827"/>
                <w:sz w:val="180"/>
                <w:szCs w:val="180"/>
              </w:rPr>
              <w:t xml:space="preserve">Navigate to Users &gt; select user &gt; Deactivate account</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Reset password</w:t>
            </w:r>
          </w:p>
        </w:tc>
        <w:tc>
          <w:tcPr>
            <w:tcMar>
              <w:top w:type="dxa" w:w="28"/>
              <w:left w:type="dxa" w:w="72"/>
              <w:bottom w:type="dxa" w:w="28"/>
              <w:right w:type="dxa" w:w="72"/>
            </w:tcMar>
          </w:tcPr>
          <w:p>
            <w:pPr>
              <w:spacing w:after="40" w:before="40"/>
            </w:pPr>
            <w:r>
              <w:rPr>
                <w:color w:val="111827"/>
                <w:sz w:val="180"/>
                <w:szCs w:val="180"/>
              </w:rPr>
              <w:t xml:space="preserve">Currently: Admin must deactivate and recreate user account; planned: self-service password reset in v1.1</w:t>
            </w:r>
          </w:p>
        </w:tc>
        <w:tc>
          <w:tcPr>
            <w:tcMar>
              <w:top w:type="dxa" w:w="28"/>
              <w:left w:type="dxa" w:w="72"/>
              <w:bottom w:type="dxa" w:w="28"/>
              <w:right w:type="dxa" w:w="72"/>
            </w:tcMar>
          </w:tcPr>
          <w:p>
            <w:pPr>
              <w:spacing w:after="40" w:before="40"/>
            </w:pPr>
            <w:r>
              <w:rPr>
                <w:color w:val="111827"/>
                <w:sz w:val="180"/>
                <w:szCs w:val="180"/>
              </w:rPr>
              <w:t xml:space="preserve">Admin</w:t>
            </w:r>
          </w:p>
        </w:tc>
      </w:tr>
    </w:tbl>
    <w:p/>
    <w:p>
      <w:pPr>
        <w:pStyle w:val="Heading2"/>
        <w:spacing w:after="80" w:before="200"/>
        <w:rPr>
          <w:b/>
          <w:bCs/>
          <w:color w:val="1B2A4A"/>
          <w:sz w:val="240"/>
          <w:szCs w:val="240"/>
        </w:rPr>
      </w:pPr>
      <w:r>
        <w:t xml:space="preserve">4.3 Backup and Recovery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Item</w:t>
            </w:r>
          </w:p>
        </w:tc>
        <w:tc>
          <w:tcPr>
            <w:shd w:fill="1B2A4A" w:val="clear"/>
            <w:tcMar>
              <w:top w:type="dxa" w:w="28"/>
              <w:left w:type="dxa" w:w="72"/>
              <w:bottom w:type="dxa" w:w="28"/>
              <w:right w:type="dxa" w:w="72"/>
            </w:tcMar>
          </w:tcPr>
          <w:p>
            <w:pPr>
              <w:spacing w:after="40" w:before="40"/>
            </w:pPr>
            <w:r>
              <w:rPr>
                <w:b/>
                <w:bCs/>
                <w:color w:val="FFFFFF"/>
                <w:sz w:val="180"/>
                <w:szCs w:val="180"/>
              </w:rPr>
              <w:t xml:space="preserve">Procedure</w:t>
            </w:r>
          </w:p>
        </w:tc>
      </w:tr>
      <w:tr>
        <w:tc>
          <w:tcPr>
            <w:tcMar>
              <w:top w:type="dxa" w:w="28"/>
              <w:left w:type="dxa" w:w="72"/>
              <w:bottom w:type="dxa" w:w="28"/>
              <w:right w:type="dxa" w:w="72"/>
            </w:tcMar>
          </w:tcPr>
          <w:p>
            <w:pPr>
              <w:spacing w:after="40" w:before="40"/>
            </w:pPr>
            <w:r>
              <w:rPr>
                <w:color w:val="111827"/>
                <w:sz w:val="180"/>
                <w:szCs w:val="180"/>
              </w:rPr>
              <w:t xml:space="preserve">Database backup</w:t>
            </w:r>
          </w:p>
        </w:tc>
        <w:tc>
          <w:tcPr>
            <w:tcMar>
              <w:top w:type="dxa" w:w="28"/>
              <w:left w:type="dxa" w:w="72"/>
              <w:bottom w:type="dxa" w:w="28"/>
              <w:right w:type="dxa" w:w="72"/>
            </w:tcMar>
          </w:tcPr>
          <w:p>
            <w:pPr>
              <w:spacing w:after="40" w:before="40"/>
            </w:pPr>
            <w:r>
              <w:rPr>
                <w:color w:val="111827"/>
                <w:sz w:val="180"/>
                <w:szCs w:val="180"/>
              </w:rPr>
              <w:t xml:space="preserve">Replit PostgreSQL provides automated daily backups. Manual backup: execute pg_dump via DATABASE_URL connection string and store to secure off-platform location.</w:t>
            </w:r>
          </w:p>
        </w:tc>
      </w:tr>
      <w:tr>
        <w:tc>
          <w:tcPr>
            <w:tcMar>
              <w:top w:type="dxa" w:w="28"/>
              <w:left w:type="dxa" w:w="72"/>
              <w:bottom w:type="dxa" w:w="28"/>
              <w:right w:type="dxa" w:w="72"/>
            </w:tcMar>
          </w:tcPr>
          <w:p>
            <w:pPr>
              <w:spacing w:after="40" w:before="40"/>
            </w:pPr>
            <w:r>
              <w:rPr>
                <w:color w:val="111827"/>
                <w:sz w:val="180"/>
                <w:szCs w:val="180"/>
              </w:rPr>
              <w:t xml:space="preserve">Backup retention</w:t>
            </w:r>
          </w:p>
        </w:tc>
        <w:tc>
          <w:tcPr>
            <w:tcMar>
              <w:top w:type="dxa" w:w="28"/>
              <w:left w:type="dxa" w:w="72"/>
              <w:bottom w:type="dxa" w:w="28"/>
              <w:right w:type="dxa" w:w="72"/>
            </w:tcMar>
          </w:tcPr>
          <w:p>
            <w:pPr>
              <w:spacing w:after="40" w:before="40"/>
            </w:pPr>
            <w:r>
              <w:rPr>
                <w:color w:val="111827"/>
                <w:sz w:val="180"/>
                <w:szCs w:val="180"/>
              </w:rPr>
              <w:t xml:space="preserve">Minimum 30 days automated backups via Replit platform; manual backups retained per CPT Pharma data retention SOP</w:t>
            </w:r>
          </w:p>
        </w:tc>
      </w:tr>
      <w:tr>
        <w:tc>
          <w:tcPr>
            <w:tcMar>
              <w:top w:type="dxa" w:w="28"/>
              <w:left w:type="dxa" w:w="72"/>
              <w:bottom w:type="dxa" w:w="28"/>
              <w:right w:type="dxa" w:w="72"/>
            </w:tcMar>
          </w:tcPr>
          <w:p>
            <w:pPr>
              <w:spacing w:after="40" w:before="40"/>
            </w:pPr>
            <w:r>
              <w:rPr>
                <w:color w:val="111827"/>
                <w:sz w:val="180"/>
                <w:szCs w:val="180"/>
              </w:rPr>
              <w:t xml:space="preserve">Restore procedure</w:t>
            </w:r>
          </w:p>
        </w:tc>
        <w:tc>
          <w:tcPr>
            <w:tcMar>
              <w:top w:type="dxa" w:w="28"/>
              <w:left w:type="dxa" w:w="72"/>
              <w:bottom w:type="dxa" w:w="28"/>
              <w:right w:type="dxa" w:w="72"/>
            </w:tcMar>
          </w:tcPr>
          <w:p>
            <w:pPr>
              <w:spacing w:after="40" w:before="40"/>
            </w:pPr>
            <w:r>
              <w:rPr>
                <w:color w:val="111827"/>
                <w:sz w:val="180"/>
                <w:szCs w:val="180"/>
              </w:rPr>
              <w:t xml:space="preserve">Contact Replit support to restore from platform backup, OR: provision a new DB instance; restore pg_dump file using psql $DATABASE_URL &lt; backup.sql; restart application workflows</w:t>
            </w:r>
          </w:p>
        </w:tc>
      </w:tr>
      <w:tr>
        <w:tc>
          <w:tcPr>
            <w:tcMar>
              <w:top w:type="dxa" w:w="28"/>
              <w:left w:type="dxa" w:w="72"/>
              <w:bottom w:type="dxa" w:w="28"/>
              <w:right w:type="dxa" w:w="72"/>
            </w:tcMar>
          </w:tcPr>
          <w:p>
            <w:pPr>
              <w:spacing w:after="40" w:before="40"/>
            </w:pPr>
            <w:r>
              <w:rPr>
                <w:color w:val="111827"/>
                <w:sz w:val="180"/>
                <w:szCs w:val="180"/>
              </w:rPr>
              <w:t xml:space="preserve">Recovery time objective (RTO)</w:t>
            </w:r>
          </w:p>
        </w:tc>
        <w:tc>
          <w:tcPr>
            <w:tcMar>
              <w:top w:type="dxa" w:w="28"/>
              <w:left w:type="dxa" w:w="72"/>
              <w:bottom w:type="dxa" w:w="28"/>
              <w:right w:type="dxa" w:w="72"/>
            </w:tcMar>
          </w:tcPr>
          <w:p>
            <w:pPr>
              <w:spacing w:after="40" w:before="40"/>
            </w:pPr>
            <w:r>
              <w:rPr>
                <w:color w:val="111827"/>
                <w:sz w:val="180"/>
                <w:szCs w:val="180"/>
              </w:rPr>
              <w:t xml:space="preserve">4 hours — target time to restore from backup in the event of data loss</w:t>
            </w:r>
          </w:p>
        </w:tc>
      </w:tr>
      <w:tr>
        <w:tc>
          <w:tcPr>
            <w:tcMar>
              <w:top w:type="dxa" w:w="28"/>
              <w:left w:type="dxa" w:w="72"/>
              <w:bottom w:type="dxa" w:w="28"/>
              <w:right w:type="dxa" w:w="72"/>
            </w:tcMar>
          </w:tcPr>
          <w:p>
            <w:pPr>
              <w:spacing w:after="40" w:before="40"/>
            </w:pPr>
            <w:r>
              <w:rPr>
                <w:color w:val="111827"/>
                <w:sz w:val="180"/>
                <w:szCs w:val="180"/>
              </w:rPr>
              <w:t xml:space="preserve">Recovery point objective (RPO)</w:t>
            </w:r>
          </w:p>
        </w:tc>
        <w:tc>
          <w:tcPr>
            <w:tcMar>
              <w:top w:type="dxa" w:w="28"/>
              <w:left w:type="dxa" w:w="72"/>
              <w:bottom w:type="dxa" w:w="28"/>
              <w:right w:type="dxa" w:w="72"/>
            </w:tcMar>
          </w:tcPr>
          <w:p>
            <w:pPr>
              <w:spacing w:after="40" w:before="40"/>
            </w:pPr>
            <w:r>
              <w:rPr>
                <w:color w:val="111827"/>
                <w:sz w:val="180"/>
                <w:szCs w:val="180"/>
              </w:rPr>
              <w:t xml:space="preserve">24 hours — maximum acceptable data loss (one day's records)</w:t>
            </w:r>
          </w:p>
        </w:tc>
      </w:tr>
    </w:tbl>
    <w:p/>
    <w:p>
      <w:pPr>
        <w:pStyle w:val="Heading2"/>
        <w:spacing w:after="80" w:before="200"/>
        <w:rPr>
          <w:b/>
          <w:bCs/>
          <w:color w:val="1B2A4A"/>
          <w:sz w:val="240"/>
          <w:szCs w:val="240"/>
        </w:rPr>
      </w:pPr>
      <w:r>
        <w:t xml:space="preserve">4.4 Monitoring and Alerting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Monitor</w:t>
            </w:r>
          </w:p>
        </w:tc>
        <w:tc>
          <w:tcPr>
            <w:shd w:fill="1B2A4A" w:val="clear"/>
            <w:tcMar>
              <w:top w:type="dxa" w:w="28"/>
              <w:left w:type="dxa" w:w="72"/>
              <w:bottom w:type="dxa" w:w="28"/>
              <w:right w:type="dxa" w:w="72"/>
            </w:tcMar>
          </w:tcPr>
          <w:p>
            <w:pPr>
              <w:spacing w:after="40" w:before="40"/>
            </w:pPr>
            <w:r>
              <w:rPr>
                <w:b/>
                <w:bCs/>
                <w:color w:val="FFFFFF"/>
                <w:sz w:val="180"/>
                <w:szCs w:val="180"/>
              </w:rPr>
              <w:t xml:space="preserve">Method</w:t>
            </w:r>
          </w:p>
        </w:tc>
        <w:tc>
          <w:tcPr>
            <w:shd w:fill="1B2A4A" w:val="clear"/>
            <w:tcMar>
              <w:top w:type="dxa" w:w="28"/>
              <w:left w:type="dxa" w:w="72"/>
              <w:bottom w:type="dxa" w:w="28"/>
              <w:right w:type="dxa" w:w="72"/>
            </w:tcMar>
          </w:tcPr>
          <w:p>
            <w:pPr>
              <w:spacing w:after="40" w:before="40"/>
            </w:pPr>
            <w:r>
              <w:rPr>
                <w:b/>
                <w:bCs/>
                <w:color w:val="FFFFFF"/>
                <w:sz w:val="180"/>
                <w:szCs w:val="180"/>
              </w:rPr>
              <w:t xml:space="preserve">Frequency</w:t>
            </w:r>
          </w:p>
        </w:tc>
      </w:tr>
      <w:tr>
        <w:tc>
          <w:tcPr>
            <w:tcMar>
              <w:top w:type="dxa" w:w="28"/>
              <w:left w:type="dxa" w:w="72"/>
              <w:bottom w:type="dxa" w:w="28"/>
              <w:right w:type="dxa" w:w="72"/>
            </w:tcMar>
          </w:tcPr>
          <w:p>
            <w:pPr>
              <w:spacing w:after="40" w:before="40"/>
            </w:pPr>
            <w:r>
              <w:rPr>
                <w:color w:val="111827"/>
                <w:sz w:val="180"/>
                <w:szCs w:val="180"/>
              </w:rPr>
              <w:t xml:space="preserve">Application availability</w:t>
            </w:r>
          </w:p>
        </w:tc>
        <w:tc>
          <w:tcPr>
            <w:tcMar>
              <w:top w:type="dxa" w:w="28"/>
              <w:left w:type="dxa" w:w="72"/>
              <w:bottom w:type="dxa" w:w="28"/>
              <w:right w:type="dxa" w:w="72"/>
            </w:tcMar>
          </w:tcPr>
          <w:p>
            <w:pPr>
              <w:spacing w:after="40" w:before="40"/>
            </w:pPr>
            <w:r>
              <w:rPr>
                <w:color w:val="111827"/>
                <w:sz w:val="180"/>
                <w:szCs w:val="180"/>
              </w:rPr>
              <w:t xml:space="preserve">Health check: GET /api/healthz — expect HTTP 200 response</w:t>
            </w:r>
          </w:p>
        </w:tc>
        <w:tc>
          <w:tcPr>
            <w:tcMar>
              <w:top w:type="dxa" w:w="28"/>
              <w:left w:type="dxa" w:w="72"/>
              <w:bottom w:type="dxa" w:w="28"/>
              <w:right w:type="dxa" w:w="72"/>
            </w:tcMar>
          </w:tcPr>
          <w:p>
            <w:pPr>
              <w:spacing w:after="40" w:before="40"/>
            </w:pPr>
            <w:r>
              <w:rPr>
                <w:color w:val="111827"/>
                <w:sz w:val="180"/>
                <w:szCs w:val="180"/>
              </w:rPr>
              <w:t xml:space="preserve">Every 5 minutes (if external monitoring configured)</w:t>
            </w:r>
          </w:p>
        </w:tc>
      </w:tr>
      <w:tr>
        <w:tc>
          <w:tcPr>
            <w:tcMar>
              <w:top w:type="dxa" w:w="28"/>
              <w:left w:type="dxa" w:w="72"/>
              <w:bottom w:type="dxa" w:w="28"/>
              <w:right w:type="dxa" w:w="72"/>
            </w:tcMar>
          </w:tcPr>
          <w:p>
            <w:pPr>
              <w:spacing w:after="40" w:before="40"/>
            </w:pPr>
            <w:r>
              <w:rPr>
                <w:color w:val="111827"/>
                <w:sz w:val="180"/>
                <w:szCs w:val="180"/>
              </w:rPr>
              <w:t xml:space="preserve">Application logs</w:t>
            </w:r>
          </w:p>
        </w:tc>
        <w:tc>
          <w:tcPr>
            <w:tcMar>
              <w:top w:type="dxa" w:w="28"/>
              <w:left w:type="dxa" w:w="72"/>
              <w:bottom w:type="dxa" w:w="28"/>
              <w:right w:type="dxa" w:w="72"/>
            </w:tcMar>
          </w:tcPr>
          <w:p>
            <w:pPr>
              <w:spacing w:after="40" w:before="40"/>
            </w:pPr>
            <w:r>
              <w:rPr>
                <w:color w:val="111827"/>
                <w:sz w:val="180"/>
                <w:szCs w:val="180"/>
              </w:rPr>
              <w:t xml:space="preserve">Replit workflow console logs; pino structured JSON logging</w:t>
            </w:r>
          </w:p>
        </w:tc>
        <w:tc>
          <w:tcPr>
            <w:tcMar>
              <w:top w:type="dxa" w:w="28"/>
              <w:left w:type="dxa" w:w="72"/>
              <w:bottom w:type="dxa" w:w="28"/>
              <w:right w:type="dxa" w:w="72"/>
            </w:tcMar>
          </w:tcPr>
          <w:p>
            <w:pPr>
              <w:spacing w:after="40" w:before="40"/>
            </w:pPr>
            <w:r>
              <w:rPr>
                <w:color w:val="111827"/>
                <w:sz w:val="180"/>
                <w:szCs w:val="180"/>
              </w:rPr>
              <w:t xml:space="preserve">On-demand / incident response</w:t>
            </w:r>
          </w:p>
        </w:tc>
      </w:tr>
      <w:tr>
        <w:tc>
          <w:tcPr>
            <w:tcMar>
              <w:top w:type="dxa" w:w="28"/>
              <w:left w:type="dxa" w:w="72"/>
              <w:bottom w:type="dxa" w:w="28"/>
              <w:right w:type="dxa" w:w="72"/>
            </w:tcMar>
          </w:tcPr>
          <w:p>
            <w:pPr>
              <w:spacing w:after="40" w:before="40"/>
            </w:pPr>
            <w:r>
              <w:rPr>
                <w:color w:val="111827"/>
                <w:sz w:val="180"/>
                <w:szCs w:val="180"/>
              </w:rPr>
              <w:t xml:space="preserve">Database disk usage</w:t>
            </w:r>
          </w:p>
        </w:tc>
        <w:tc>
          <w:tcPr>
            <w:tcMar>
              <w:top w:type="dxa" w:w="28"/>
              <w:left w:type="dxa" w:w="72"/>
              <w:bottom w:type="dxa" w:w="28"/>
              <w:right w:type="dxa" w:w="72"/>
            </w:tcMar>
          </w:tcPr>
          <w:p>
            <w:pPr>
              <w:spacing w:after="40" w:before="40"/>
            </w:pPr>
            <w:r>
              <w:rPr>
                <w:color w:val="111827"/>
                <w:sz w:val="180"/>
                <w:szCs w:val="180"/>
              </w:rPr>
              <w:t xml:space="preserve">Replit platform database dashboard</w:t>
            </w:r>
          </w:p>
        </w:tc>
        <w:tc>
          <w:tcPr>
            <w:tcMar>
              <w:top w:type="dxa" w:w="28"/>
              <w:left w:type="dxa" w:w="72"/>
              <w:bottom w:type="dxa" w:w="28"/>
              <w:right w:type="dxa" w:w="72"/>
            </w:tcMar>
          </w:tcPr>
          <w:p>
            <w:pPr>
              <w:spacing w:after="40" w:before="40"/>
            </w:pPr>
            <w:r>
              <w:rPr>
                <w:color w:val="111827"/>
                <w:sz w:val="180"/>
                <w:szCs w:val="180"/>
              </w:rPr>
              <w:t xml:space="preserve">Weekly</w:t>
            </w:r>
          </w:p>
        </w:tc>
      </w:tr>
      <w:tr>
        <w:tc>
          <w:tcPr>
            <w:tcMar>
              <w:top w:type="dxa" w:w="28"/>
              <w:left w:type="dxa" w:w="72"/>
              <w:bottom w:type="dxa" w:w="28"/>
              <w:right w:type="dxa" w:w="72"/>
            </w:tcMar>
          </w:tcPr>
          <w:p>
            <w:pPr>
              <w:spacing w:after="40" w:before="40"/>
            </w:pPr>
            <w:r>
              <w:rPr>
                <w:color w:val="111827"/>
                <w:sz w:val="180"/>
                <w:szCs w:val="180"/>
              </w:rPr>
              <w:t xml:space="preserve">Overdue quality records</w:t>
            </w:r>
          </w:p>
        </w:tc>
        <w:tc>
          <w:tcPr>
            <w:tcMar>
              <w:top w:type="dxa" w:w="28"/>
              <w:left w:type="dxa" w:w="72"/>
              <w:bottom w:type="dxa" w:w="28"/>
              <w:right w:type="dxa" w:w="72"/>
            </w:tcMar>
          </w:tcPr>
          <w:p>
            <w:pPr>
              <w:spacing w:after="40" w:before="40"/>
            </w:pPr>
            <w:r>
              <w:rPr>
                <w:color w:val="111827"/>
                <w:sz w:val="180"/>
                <w:szCs w:val="180"/>
              </w:rPr>
              <w:t xml:space="preserve">Capalyst Dashboard — overdue deviation and CAPA counts</w:t>
            </w:r>
          </w:p>
        </w:tc>
        <w:tc>
          <w:tcPr>
            <w:tcMar>
              <w:top w:type="dxa" w:w="28"/>
              <w:left w:type="dxa" w:w="72"/>
              <w:bottom w:type="dxa" w:w="28"/>
              <w:right w:type="dxa" w:w="72"/>
            </w:tcMar>
          </w:tcPr>
          <w:p>
            <w:pPr>
              <w:spacing w:after="40" w:before="40"/>
            </w:pPr>
            <w:r>
              <w:rPr>
                <w:color w:val="111827"/>
                <w:sz w:val="180"/>
                <w:szCs w:val="180"/>
              </w:rPr>
              <w:t xml:space="preserve">Daily (business day)</w:t>
            </w:r>
          </w:p>
        </w:tc>
      </w:tr>
    </w:tbl>
    <w:p/>
    <w:p>
      <w:pPr>
        <w:pStyle w:val="Heading1"/>
        <w:spacing w:after="120" w:before="280"/>
        <w:rPr>
          <w:b/>
          <w:bCs/>
          <w:color w:val="1B2A4A"/>
          <w:sz w:val="280"/>
          <w:szCs w:val="280"/>
        </w:rPr>
      </w:pPr>
      <w:r>
        <w:t xml:space="preserve">5. Change Management</w:t>
      </w:r>
    </w:p>
    <w:p>
      <w:pPr>
        <w:spacing w:after="100"/>
      </w:pPr>
      <w:r>
        <w:rPr>
          <w:color w:val="111827"/>
          <w:sz w:val="200"/>
          <w:szCs w:val="200"/>
        </w:rPr>
        <w:t xml:space="preserve">All changes to the Capalyst QMS (configuration, software updates, schema changes) must be processed through CPT Pharma's change control procedure. Changes with GxP impact require validation activities per the validated state change management SOP. Version Release Notes reviews (CPT-VL-CVP format) are required for each software update.</w:t>
      </w:r>
    </w:p>
    <w:p/>
    <w:p>
      <w:pPr>
        <w:pStyle w:val="Heading2"/>
        <w:spacing w:after="80" w:before="200"/>
        <w:rPr>
          <w:b/>
          <w:bCs/>
          <w:color w:val="1B2A4A"/>
          <w:sz w:val="240"/>
          <w:szCs w:val="240"/>
        </w:rPr>
      </w:pPr>
      <w:r>
        <w:t xml:space="preserve">5.1 Schema Change Procedure</w:t>
      </w:r>
    </w:p>
    <w:p>
      <w:pPr>
        <w:pStyle w:val="ListParagraph"/>
        <w:numPr>
          <w:ilvl w:val="0"/>
          <w:numId w:val="1"/>
        </w:numPr>
        <w:spacing w:after="60"/>
        <w:rPr>
          <w:color w:val="111827"/>
          <w:sz w:val="200"/>
          <w:szCs w:val="200"/>
        </w:rPr>
      </w:pPr>
      <w:r>
        <w:t xml:space="preserve">Create or modify schema files in lib/db/src/schema/</w:t>
      </w:r>
    </w:p>
    <w:p>
      <w:pPr>
        <w:pStyle w:val="ListParagraph"/>
        <w:numPr>
          <w:ilvl w:val="0"/>
          <w:numId w:val="1"/>
        </w:numPr>
        <w:spacing w:after="60"/>
        <w:rPr>
          <w:color w:val="111827"/>
          <w:sz w:val="200"/>
          <w:szCs w:val="200"/>
        </w:rPr>
      </w:pPr>
      <w:r>
        <w:t xml:space="preserve">Run pnpm run typecheck:libs to verify no TS errors</w:t>
      </w:r>
    </w:p>
    <w:p>
      <w:pPr>
        <w:pStyle w:val="ListParagraph"/>
        <w:numPr>
          <w:ilvl w:val="0"/>
          <w:numId w:val="1"/>
        </w:numPr>
        <w:spacing w:after="60"/>
        <w:rPr>
          <w:color w:val="111827"/>
          <w:sz w:val="200"/>
          <w:szCs w:val="200"/>
        </w:rPr>
      </w:pPr>
      <w:r>
        <w:t xml:space="preserve">Apply to Validation environment: pnpm --filter @workspace/db run push</w:t>
      </w:r>
    </w:p>
    <w:p>
      <w:pPr>
        <w:pStyle w:val="ListParagraph"/>
        <w:numPr>
          <w:ilvl w:val="0"/>
          <w:numId w:val="1"/>
        </w:numPr>
        <w:spacing w:after="60"/>
        <w:rPr>
          <w:color w:val="111827"/>
          <w:sz w:val="200"/>
          <w:szCs w:val="200"/>
        </w:rPr>
      </w:pPr>
      <w:r>
        <w:t xml:space="preserve">Execute relevant IQ/OQ re-test scripts for affected modules</w:t>
      </w:r>
    </w:p>
    <w:p>
      <w:pPr>
        <w:pStyle w:val="ListParagraph"/>
        <w:numPr>
          <w:ilvl w:val="0"/>
          <w:numId w:val="1"/>
        </w:numPr>
        <w:spacing w:after="60"/>
        <w:rPr>
          <w:color w:val="111827"/>
          <w:sz w:val="200"/>
          <w:szCs w:val="200"/>
        </w:rPr>
      </w:pPr>
      <w:r>
        <w:t xml:space="preserve">Obtain BQR approval</w:t>
      </w:r>
    </w:p>
    <w:p>
      <w:pPr>
        <w:pStyle w:val="ListParagraph"/>
        <w:numPr>
          <w:ilvl w:val="0"/>
          <w:numId w:val="1"/>
        </w:numPr>
        <w:spacing w:after="60"/>
        <w:rPr>
          <w:color w:val="111827"/>
          <w:sz w:val="200"/>
          <w:szCs w:val="200"/>
        </w:rPr>
      </w:pPr>
      <w:r>
        <w:t xml:space="preserve">Apply to Production environment: pnpm --filter @workspace/db run push (PROD DATABASE_URL)</w:t>
      </w:r>
    </w:p>
    <w:p>
      <w:pPr>
        <w:pStyle w:val="ListParagraph"/>
        <w:numPr>
          <w:ilvl w:val="0"/>
          <w:numId w:val="1"/>
        </w:numPr>
        <w:spacing w:after="60"/>
        <w:rPr>
          <w:color w:val="111827"/>
          <w:sz w:val="200"/>
          <w:szCs w:val="200"/>
        </w:rPr>
      </w:pPr>
      <w:r>
        <w:t xml:space="preserve">Document in change control record and update Architecture Specification if required</w:t>
      </w:r>
    </w:p>
    <w:p/>
    <w:p>
      <w:pPr>
        <w:pStyle w:val="Heading1"/>
        <w:spacing w:after="120" w:before="280"/>
        <w:rPr>
          <w:b/>
          <w:bCs/>
          <w:color w:val="1B2A4A"/>
          <w:sz w:val="280"/>
          <w:szCs w:val="280"/>
        </w:rPr>
      </w:pPr>
      <w:r>
        <w:t xml:space="preserve">6. Periodic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Review Item</w:t>
            </w:r>
          </w:p>
        </w:tc>
        <w:tc>
          <w:tcPr>
            <w:shd w:fill="1B2A4A" w:val="clear"/>
            <w:tcMar>
              <w:top w:type="dxa" w:w="28"/>
              <w:left w:type="dxa" w:w="72"/>
              <w:bottom w:type="dxa" w:w="28"/>
              <w:right w:type="dxa" w:w="72"/>
            </w:tcMar>
          </w:tcPr>
          <w:p>
            <w:pPr>
              <w:spacing w:after="40" w:before="40"/>
            </w:pPr>
            <w:r>
              <w:rPr>
                <w:b/>
                <w:bCs/>
                <w:color w:val="FFFFFF"/>
                <w:sz w:val="180"/>
                <w:szCs w:val="180"/>
              </w:rPr>
              <w:t xml:space="preserve">Frequency</w:t>
            </w:r>
          </w:p>
        </w:tc>
        <w:tc>
          <w:tcPr>
            <w:shd w:fill="1B2A4A" w:val="clear"/>
            <w:tcMar>
              <w:top w:type="dxa" w:w="28"/>
              <w:left w:type="dxa" w:w="72"/>
              <w:bottom w:type="dxa" w:w="28"/>
              <w:right w:type="dxa" w:w="72"/>
            </w:tcMar>
          </w:tcPr>
          <w:p>
            <w:pPr>
              <w:spacing w:after="40" w:before="40"/>
            </w:pPr>
            <w:r>
              <w:rPr>
                <w:b/>
                <w:bCs/>
                <w:color w:val="FFFFFF"/>
                <w:sz w:val="180"/>
                <w:szCs w:val="180"/>
              </w:rPr>
              <w:t xml:space="preserve">Owner</w:t>
            </w:r>
          </w:p>
        </w:tc>
      </w:tr>
      <w:tr>
        <w:tc>
          <w:tcPr>
            <w:tcMar>
              <w:top w:type="dxa" w:w="28"/>
              <w:left w:type="dxa" w:w="72"/>
              <w:bottom w:type="dxa" w:w="28"/>
              <w:right w:type="dxa" w:w="72"/>
            </w:tcMar>
          </w:tcPr>
          <w:p>
            <w:pPr>
              <w:spacing w:after="40" w:before="40"/>
            </w:pPr>
            <w:r>
              <w:rPr>
                <w:color w:val="111827"/>
                <w:sz w:val="180"/>
                <w:szCs w:val="180"/>
              </w:rPr>
              <w:t xml:space="preserve">System availability and performance review</w:t>
            </w:r>
          </w:p>
        </w:tc>
        <w:tc>
          <w:tcPr>
            <w:tcMar>
              <w:top w:type="dxa" w:w="28"/>
              <w:left w:type="dxa" w:w="72"/>
              <w:bottom w:type="dxa" w:w="28"/>
              <w:right w:type="dxa" w:w="72"/>
            </w:tcMar>
          </w:tcPr>
          <w:p>
            <w:pPr>
              <w:spacing w:after="40" w:before="40"/>
            </w:pPr>
            <w:r>
              <w:rPr>
                <w:color w:val="111827"/>
                <w:sz w:val="180"/>
                <w:szCs w:val="180"/>
              </w:rPr>
              <w:t xml:space="preserve">Quarterly</w:t>
            </w:r>
          </w:p>
        </w:tc>
        <w:tc>
          <w:tcPr>
            <w:tcMar>
              <w:top w:type="dxa" w:w="28"/>
              <w:left w:type="dxa" w:w="72"/>
              <w:bottom w:type="dxa" w:w="28"/>
              <w:right w:type="dxa" w:w="72"/>
            </w:tcMar>
          </w:tcPr>
          <w:p>
            <w:pPr>
              <w:spacing w:after="40" w:before="40"/>
            </w:pPr>
            <w:r>
              <w:rPr>
                <w:color w:val="111827"/>
                <w:sz w:val="180"/>
                <w:szCs w:val="180"/>
              </w:rPr>
              <w:t xml:space="preserve">System Owner</w:t>
            </w:r>
          </w:p>
        </w:tc>
      </w:tr>
      <w:tr>
        <w:tc>
          <w:tcPr>
            <w:tcMar>
              <w:top w:type="dxa" w:w="28"/>
              <w:left w:type="dxa" w:w="72"/>
              <w:bottom w:type="dxa" w:w="28"/>
              <w:right w:type="dxa" w:w="72"/>
            </w:tcMar>
          </w:tcPr>
          <w:p>
            <w:pPr>
              <w:spacing w:after="40" w:before="40"/>
            </w:pPr>
            <w:r>
              <w:rPr>
                <w:color w:val="111827"/>
                <w:sz w:val="180"/>
                <w:szCs w:val="180"/>
              </w:rPr>
              <w:t xml:space="preserve">User access review — verify active users and roles are current</w:t>
            </w:r>
          </w:p>
        </w:tc>
        <w:tc>
          <w:tcPr>
            <w:tcMar>
              <w:top w:type="dxa" w:w="28"/>
              <w:left w:type="dxa" w:w="72"/>
              <w:bottom w:type="dxa" w:w="28"/>
              <w:right w:type="dxa" w:w="72"/>
            </w:tcMar>
          </w:tcPr>
          <w:p>
            <w:pPr>
              <w:spacing w:after="40" w:before="40"/>
            </w:pPr>
            <w:r>
              <w:rPr>
                <w:color w:val="111827"/>
                <w:sz w:val="180"/>
                <w:szCs w:val="180"/>
              </w:rPr>
              <w:t xml:space="preserve">Annual (or upon personnel changes)</w:t>
            </w:r>
          </w:p>
        </w:tc>
        <w:tc>
          <w:tcPr>
            <w:tcMar>
              <w:top w:type="dxa" w:w="28"/>
              <w:left w:type="dxa" w:w="72"/>
              <w:bottom w:type="dxa" w:w="28"/>
              <w:right w:type="dxa" w:w="72"/>
            </w:tcMar>
          </w:tcPr>
          <w:p>
            <w:pPr>
              <w:spacing w:after="40" w:before="40"/>
            </w:pPr>
            <w:r>
              <w:rPr>
                <w:color w:val="111827"/>
                <w:sz w:val="180"/>
                <w:szCs w:val="180"/>
              </w:rPr>
              <w:t xml:space="preserve">System Owner / Admin</w:t>
            </w:r>
          </w:p>
        </w:tc>
      </w:tr>
      <w:tr>
        <w:tc>
          <w:tcPr>
            <w:tcMar>
              <w:top w:type="dxa" w:w="28"/>
              <w:left w:type="dxa" w:w="72"/>
              <w:bottom w:type="dxa" w:w="28"/>
              <w:right w:type="dxa" w:w="72"/>
            </w:tcMar>
          </w:tcPr>
          <w:p>
            <w:pPr>
              <w:spacing w:after="40" w:before="40"/>
            </w:pPr>
            <w:r>
              <w:rPr>
                <w:color w:val="111827"/>
                <w:sz w:val="180"/>
                <w:szCs w:val="180"/>
              </w:rPr>
              <w:t xml:space="preserve">Audit trail review — verify audit trail is operational and complete</w:t>
            </w:r>
          </w:p>
        </w:tc>
        <w:tc>
          <w:tcPr>
            <w:tcMar>
              <w:top w:type="dxa" w:w="28"/>
              <w:left w:type="dxa" w:w="72"/>
              <w:bottom w:type="dxa" w:w="28"/>
              <w:right w:type="dxa" w:w="72"/>
            </w:tcMar>
          </w:tcPr>
          <w:p>
            <w:pPr>
              <w:spacing w:after="40" w:before="40"/>
            </w:pPr>
            <w:r>
              <w:rPr>
                <w:color w:val="111827"/>
                <w:sz w:val="180"/>
                <w:szCs w:val="180"/>
              </w:rPr>
              <w:t xml:space="preserve">Annual</w:t>
            </w:r>
          </w:p>
        </w:tc>
        <w:tc>
          <w:tcPr>
            <w:tcMar>
              <w:top w:type="dxa" w:w="28"/>
              <w:left w:type="dxa" w:w="72"/>
              <w:bottom w:type="dxa" w:w="28"/>
              <w:right w:type="dxa" w:w="72"/>
            </w:tcMar>
          </w:tcPr>
          <w:p>
            <w:pPr>
              <w:spacing w:after="40" w:before="40"/>
            </w:pPr>
            <w:r>
              <w:rPr>
                <w:color w:val="111827"/>
                <w:sz w:val="180"/>
                <w:szCs w:val="180"/>
              </w:rPr>
              <w:t xml:space="preserve">BQR</w:t>
            </w:r>
          </w:p>
        </w:tc>
      </w:tr>
      <w:tr>
        <w:tc>
          <w:tcPr>
            <w:tcMar>
              <w:top w:type="dxa" w:w="28"/>
              <w:left w:type="dxa" w:w="72"/>
              <w:bottom w:type="dxa" w:w="28"/>
              <w:right w:type="dxa" w:w="72"/>
            </w:tcMar>
          </w:tcPr>
          <w:p>
            <w:pPr>
              <w:spacing w:after="40" w:before="40"/>
            </w:pPr>
            <w:r>
              <w:rPr>
                <w:color w:val="111827"/>
                <w:sz w:val="180"/>
                <w:szCs w:val="180"/>
              </w:rPr>
              <w:t xml:space="preserve">Backup restoration test</w:t>
            </w:r>
          </w:p>
        </w:tc>
        <w:tc>
          <w:tcPr>
            <w:tcMar>
              <w:top w:type="dxa" w:w="28"/>
              <w:left w:type="dxa" w:w="72"/>
              <w:bottom w:type="dxa" w:w="28"/>
              <w:right w:type="dxa" w:w="72"/>
            </w:tcMar>
          </w:tcPr>
          <w:p>
            <w:pPr>
              <w:spacing w:after="40" w:before="40"/>
            </w:pPr>
            <w:r>
              <w:rPr>
                <w:color w:val="111827"/>
                <w:sz w:val="180"/>
                <w:szCs w:val="180"/>
              </w:rPr>
              <w:t xml:space="preserve">Annual</w:t>
            </w:r>
          </w:p>
        </w:tc>
        <w:tc>
          <w:tcPr>
            <w:tcMar>
              <w:top w:type="dxa" w:w="28"/>
              <w:left w:type="dxa" w:w="72"/>
              <w:bottom w:type="dxa" w:w="28"/>
              <w:right w:type="dxa" w:w="72"/>
            </w:tcMar>
          </w:tcPr>
          <w:p>
            <w:pPr>
              <w:spacing w:after="40" w:before="40"/>
            </w:pPr>
            <w:r>
              <w:rPr>
                <w:color w:val="111827"/>
                <w:sz w:val="180"/>
                <w:szCs w:val="180"/>
              </w:rPr>
              <w:t xml:space="preserve">IT Admin</w:t>
            </w:r>
          </w:p>
        </w:tc>
      </w:tr>
      <w:tr>
        <w:tc>
          <w:tcPr>
            <w:tcMar>
              <w:top w:type="dxa" w:w="28"/>
              <w:left w:type="dxa" w:w="72"/>
              <w:bottom w:type="dxa" w:w="28"/>
              <w:right w:type="dxa" w:w="72"/>
            </w:tcMar>
          </w:tcPr>
          <w:p>
            <w:pPr>
              <w:spacing w:after="40" w:before="40"/>
            </w:pPr>
            <w:r>
              <w:rPr>
                <w:color w:val="111827"/>
                <w:sz w:val="180"/>
                <w:szCs w:val="180"/>
              </w:rPr>
              <w:t xml:space="preserve">Validation status review — confirm system in validated state</w:t>
            </w:r>
          </w:p>
        </w:tc>
        <w:tc>
          <w:tcPr>
            <w:tcMar>
              <w:top w:type="dxa" w:w="28"/>
              <w:left w:type="dxa" w:w="72"/>
              <w:bottom w:type="dxa" w:w="28"/>
              <w:right w:type="dxa" w:w="72"/>
            </w:tcMar>
          </w:tcPr>
          <w:p>
            <w:pPr>
              <w:spacing w:after="40" w:before="40"/>
            </w:pPr>
            <w:r>
              <w:rPr>
                <w:color w:val="111827"/>
                <w:sz w:val="180"/>
                <w:szCs w:val="180"/>
              </w:rPr>
              <w:t xml:space="preserve">Annual</w:t>
            </w:r>
          </w:p>
        </w:tc>
        <w:tc>
          <w:tcPr>
            <w:tcMar>
              <w:top w:type="dxa" w:w="28"/>
              <w:left w:type="dxa" w:w="72"/>
              <w:bottom w:type="dxa" w:w="28"/>
              <w:right w:type="dxa" w:w="72"/>
            </w:tcMar>
          </w:tcPr>
          <w:p>
            <w:pPr>
              <w:spacing w:after="40" w:before="40"/>
            </w:pPr>
            <w:r>
              <w:rPr>
                <w:color w:val="111827"/>
                <w:sz w:val="180"/>
                <w:szCs w:val="180"/>
              </w:rPr>
              <w:t xml:space="preserve">BQR / Validation Expert</w:t>
            </w:r>
          </w:p>
        </w:tc>
      </w:tr>
    </w:tbl>
    <w:p/>
    <w:p>
      <w:pPr>
        <w:pStyle w:val="Heading1"/>
        <w:spacing w:after="120" w:before="280"/>
        <w:rPr>
          <w:b/>
          <w:bCs/>
          <w:color w:val="1B2A4A"/>
          <w:sz w:val="280"/>
          <w:szCs w:val="280"/>
        </w:rPr>
      </w:pPr>
      <w:r>
        <w:t xml:space="preserve">7.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Infrastructure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2026-06-04</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CPT-VL-ISVP-IAOM Capalyst-001</w:t>
          </w:r>
        </w:p>
      </w:tc>
      <w:tc>
        <w:p>
          <w:pPr>
            <w:jc w:val="right"/>
          </w:pPr>
          <w:r>
            <w:rPr>
              <w:color w:val="374151"/>
              <w:sz w:val="160"/>
              <w:szCs w:val="160"/>
            </w:rPr>
            <w:t xml:space="preserve">08_CPT-VL-ISVP-IAOM_Capalyst-001_Operations_Manual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2026-06-26T04:56:27.499Z</dcterms:created>
  <dcterms:modified xsi:type="dcterms:W3CDTF">2026-06-26T04:56:27.499Z</dcterms:modified>
</cp:coreProperties>
</file>

<file path=docProps/custom.xml><?xml version="1.0" encoding="utf-8"?>
<Properties xmlns="http://schemas.openxmlformats.org/officeDocument/2006/custom-properties" xmlns:vt="http://schemas.openxmlformats.org/officeDocument/2006/docPropsVTypes"/>
</file>