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b/>
          <w:bCs/>
          <w:color w:val="1B2A4A"/>
          <w:sz w:val="400"/>
          <w:szCs w:val="400"/>
        </w:rPr>
        <w:t xml:space="preserve">CPT Pharma (Pty) Ltd</w:t>
      </w:r>
    </w:p>
    <w:p>
      <w:pPr>
        <w:spacing w:after="600"/>
        <w:jc w:val="center"/>
      </w:pPr>
      <w:r>
        <w:rPr>
          <w:color w:val="374151"/>
          <w:sz w:val="280"/>
          <w:szCs w:val="280"/>
        </w:rPr>
        <w:t xml:space="preserve">Computerised System Validation</w:t>
      </w:r>
    </w:p>
    <w:p>
      <w:pPr>
        <w:spacing w:after="240"/>
        <w:jc w:val="center"/>
      </w:pPr>
      <w:r>
        <w:rPr>
          <w:b/>
          <w:bCs/>
          <w:color w:val="1B2A4A"/>
          <w:sz w:val="440"/>
          <w:szCs w:val="440"/>
        </w:rPr>
        <w:t xml:space="preserve">Authorization for Use</w:t>
      </w:r>
    </w:p>
    <w:p>
      <w:pPr>
        <w:spacing w:after="600"/>
        <w:jc w:val="center"/>
      </w:pPr>
      <w:r>
        <w:rPr>
          <w:b/>
          <w:bCs/>
          <w:color w:val="2563EB"/>
          <w:sz w:val="280"/>
          <w:szCs w:val="280"/>
        </w:rPr>
        <w:t xml:space="preserve">Capalyst QMS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Field</w:t>
            </w:r>
          </w:p>
        </w:tc>
        <w:tc>
          <w:tcPr>
            <w:shd w:fill="1B2A4A" w:val="clear"/>
            <w:tcMar>
              <w:top w:type="dxa" w:w="28"/>
              <w:left w:type="dxa" w:w="72"/>
              <w:bottom w:type="dxa" w:w="28"/>
              <w:right w:type="dxa" w:w="72"/>
            </w:tcMar>
          </w:tcPr>
          <w:p>
            <w:pPr>
              <w:spacing w:after="40" w:before="40"/>
            </w:pPr>
            <w:r>
              <w:rPr>
                <w:b/>
                <w:bCs/>
                <w:color w:val="FFFFFF"/>
                <w:sz w:val="180"/>
                <w:szCs w:val="180"/>
              </w:rPr>
              <w:t xml:space="preserve">Value</w:t>
            </w:r>
          </w:p>
        </w:tc>
      </w:tr>
      <w:tr>
        <w:tc>
          <w:tcPr>
            <w:tcMar>
              <w:top w:type="dxa" w:w="28"/>
              <w:left w:type="dxa" w:w="72"/>
              <w:bottom w:type="dxa" w:w="28"/>
              <w:right w:type="dxa" w:w="72"/>
            </w:tcMar>
          </w:tcPr>
          <w:p>
            <w:pPr>
              <w:spacing w:after="40" w:before="40"/>
            </w:pPr>
            <w:r>
              <w:rPr>
                <w:color w:val="111827"/>
                <w:sz w:val="180"/>
                <w:szCs w:val="180"/>
              </w:rPr>
              <w:t xml:space="preserve">Document Number</w:t>
            </w:r>
          </w:p>
        </w:tc>
        <w:tc>
          <w:tcPr>
            <w:tcMar>
              <w:top w:type="dxa" w:w="28"/>
              <w:left w:type="dxa" w:w="72"/>
              <w:bottom w:type="dxa" w:w="28"/>
              <w:right w:type="dxa" w:w="72"/>
            </w:tcMar>
          </w:tcPr>
          <w:p>
            <w:pPr>
              <w:spacing w:after="40" w:before="40"/>
            </w:pPr>
            <w:r>
              <w:rPr>
                <w:color w:val="111827"/>
                <w:sz w:val="180"/>
                <w:szCs w:val="180"/>
              </w:rPr>
              <w:t xml:space="preserve">CPT-VL-ISVP-AFU Capalyst-001</w:t>
            </w:r>
          </w:p>
        </w:tc>
      </w:tr>
      <w:tr>
        <w:tc>
          <w:tcPr>
            <w:tcMar>
              <w:top w:type="dxa" w:w="28"/>
              <w:left w:type="dxa" w:w="72"/>
              <w:bottom w:type="dxa" w:w="28"/>
              <w:right w:type="dxa" w:w="72"/>
            </w:tcMar>
          </w:tcPr>
          <w:p>
            <w:pPr>
              <w:spacing w:after="40" w:before="40"/>
            </w:pPr>
            <w:r>
              <w:rPr>
                <w:color w:val="111827"/>
                <w:sz w:val="180"/>
                <w:szCs w:val="180"/>
              </w:rPr>
              <w:t xml:space="preserve">Version</w:t>
            </w:r>
          </w:p>
        </w:tc>
        <w:tc>
          <w:tcPr>
            <w:tcMar>
              <w:top w:type="dxa" w:w="28"/>
              <w:left w:type="dxa" w:w="72"/>
              <w:bottom w:type="dxa" w:w="28"/>
              <w:right w:type="dxa" w:w="72"/>
            </w:tcMar>
          </w:tcPr>
          <w:p>
            <w:pPr>
              <w:spacing w:after="40" w:before="40"/>
            </w:pPr>
            <w:r>
              <w:rPr>
                <w:color w:val="111827"/>
                <w:sz w:val="180"/>
                <w:szCs w:val="180"/>
              </w:rPr>
              <w:t xml:space="preserve">1.0</w:t>
            </w:r>
          </w:p>
        </w:tc>
      </w:tr>
      <w:tr>
        <w:tc>
          <w:tcPr>
            <w:tcMar>
              <w:top w:type="dxa" w:w="28"/>
              <w:left w:type="dxa" w:w="72"/>
              <w:bottom w:type="dxa" w:w="28"/>
              <w:right w:type="dxa" w:w="72"/>
            </w:tcMar>
          </w:tcPr>
          <w:p>
            <w:pPr>
              <w:spacing w:after="40" w:before="40"/>
            </w:pPr>
            <w:r>
              <w:rPr>
                <w:color w:val="111827"/>
                <w:sz w:val="180"/>
                <w:szCs w:val="180"/>
              </w:rPr>
              <w:t xml:space="preserve">Status</w:t>
            </w:r>
          </w:p>
        </w:tc>
        <w:tc>
          <w:tcPr>
            <w:tcMar>
              <w:top w:type="dxa" w:w="28"/>
              <w:left w:type="dxa" w:w="72"/>
              <w:bottom w:type="dxa" w:w="28"/>
              <w:right w:type="dxa" w:w="72"/>
            </w:tcMar>
          </w:tcPr>
          <w:p>
            <w:pPr>
              <w:spacing w:after="40" w:before="40"/>
            </w:pPr>
            <w:r>
              <w:rPr>
                <w:color w:val="111827"/>
                <w:sz w:val="180"/>
                <w:szCs w:val="180"/>
              </w:rPr>
              <w:t xml:space="preserve">Approved</w:t>
            </w:r>
          </w:p>
        </w:tc>
      </w:tr>
      <w:tr>
        <w:tc>
          <w:tcPr>
            <w:tcMar>
              <w:top w:type="dxa" w:w="28"/>
              <w:left w:type="dxa" w:w="72"/>
              <w:bottom w:type="dxa" w:w="28"/>
              <w:right w:type="dxa" w:w="72"/>
            </w:tcMar>
          </w:tcPr>
          <w:p>
            <w:pPr>
              <w:spacing w:after="40" w:before="40"/>
            </w:pPr>
            <w:r>
              <w:rPr>
                <w:color w:val="111827"/>
                <w:sz w:val="180"/>
                <w:szCs w:val="180"/>
              </w:rPr>
              <w:t xml:space="preserve">Date</w:t>
            </w:r>
          </w:p>
        </w:tc>
        <w:tc>
          <w:tcPr>
            <w:tcMar>
              <w:top w:type="dxa" w:w="28"/>
              <w:left w:type="dxa" w:w="72"/>
              <w:bottom w:type="dxa" w:w="28"/>
              <w:right w:type="dxa" w:w="72"/>
            </w:tcMar>
          </w:tcPr>
          <w:p>
            <w:pPr>
              <w:spacing w:after="40" w:before="40"/>
            </w:pPr>
            <w:r>
              <w:rPr>
                <w:color w:val="111827"/>
                <w:sz w:val="180"/>
                <w:szCs w:val="180"/>
              </w:rPr>
              <w:t xml:space="preserve">2026-06-30</w:t>
            </w:r>
          </w:p>
        </w:tc>
      </w:tr>
      <w:tr>
        <w:tc>
          <w:tcPr>
            <w:tcMar>
              <w:top w:type="dxa" w:w="28"/>
              <w:left w:type="dxa" w:w="72"/>
              <w:bottom w:type="dxa" w:w="28"/>
              <w:right w:type="dxa" w:w="72"/>
            </w:tcMar>
          </w:tcPr>
          <w:p>
            <w:pPr>
              <w:spacing w:after="40" w:before="40"/>
            </w:pPr>
            <w:r>
              <w:rPr>
                <w:color w:val="111827"/>
                <w:sz w:val="180"/>
                <w:szCs w:val="180"/>
              </w:rPr>
              <w:t xml:space="preserve">System</w:t>
            </w:r>
          </w:p>
        </w:tc>
        <w:tc>
          <w:tcPr>
            <w:tcMar>
              <w:top w:type="dxa" w:w="28"/>
              <w:left w:type="dxa" w:w="72"/>
              <w:bottom w:type="dxa" w:w="28"/>
              <w:right w:type="dxa" w:w="72"/>
            </w:tcMar>
          </w:tcPr>
          <w:p>
            <w:pPr>
              <w:spacing w:after="40" w:before="40"/>
            </w:pPr>
            <w:r>
              <w:rPr>
                <w:color w:val="111827"/>
                <w:sz w:val="180"/>
                <w:szCs w:val="180"/>
              </w:rPr>
              <w:t xml:space="preserve">Capalyst — Quality Management System</w:t>
            </w:r>
          </w:p>
        </w:tc>
      </w:tr>
      <w:tr>
        <w:tc>
          <w:tcPr>
            <w:tcMar>
              <w:top w:type="dxa" w:w="28"/>
              <w:left w:type="dxa" w:w="72"/>
              <w:bottom w:type="dxa" w:w="28"/>
              <w:right w:type="dxa" w:w="72"/>
            </w:tcMar>
          </w:tcPr>
          <w:p>
            <w:pPr>
              <w:spacing w:after="40" w:before="40"/>
            </w:pPr>
            <w:r>
              <w:rPr>
                <w:color w:val="111827"/>
                <w:sz w:val="180"/>
                <w:szCs w:val="180"/>
              </w:rPr>
              <w:t xml:space="preserve">Company</w:t>
            </w:r>
          </w:p>
        </w:tc>
        <w:tc>
          <w:tcPr>
            <w:tcMar>
              <w:top w:type="dxa" w:w="28"/>
              <w:left w:type="dxa" w:w="72"/>
              <w:bottom w:type="dxa" w:w="28"/>
              <w:right w:type="dxa" w:w="72"/>
            </w:tcMar>
          </w:tcPr>
          <w:p>
            <w:pPr>
              <w:spacing w:after="40" w:before="40"/>
            </w:pPr>
            <w:r>
              <w:rPr>
                <w:color w:val="111827"/>
                <w:sz w:val="180"/>
                <w:szCs w:val="180"/>
              </w:rPr>
              <w:t xml:space="preserve">CPT Pharma (Pty) Ltd</w:t>
            </w:r>
          </w:p>
        </w:tc>
      </w:tr>
      <w:tr>
        <w:tc>
          <w:tcPr>
            <w:tcMar>
              <w:top w:type="dxa" w:w="28"/>
              <w:left w:type="dxa" w:w="72"/>
              <w:bottom w:type="dxa" w:w="28"/>
              <w:right w:type="dxa" w:w="72"/>
            </w:tcMar>
          </w:tcPr>
          <w:p>
            <w:pPr>
              <w:spacing w:after="40" w:before="40"/>
            </w:pPr>
            <w:r>
              <w:rPr>
                <w:color w:val="111827"/>
                <w:sz w:val="180"/>
                <w:szCs w:val="180"/>
              </w:rPr>
              <w:t xml:space="preserve">Prepared by</w:t>
            </w:r>
          </w:p>
        </w:tc>
        <w:tc>
          <w:tcPr>
            <w:tcMar>
              <w:top w:type="dxa" w:w="28"/>
              <w:left w:type="dxa" w:w="72"/>
              <w:bottom w:type="dxa" w:w="28"/>
              <w:right w:type="dxa" w:w="72"/>
            </w:tcMar>
          </w:tcPr>
          <w:p>
            <w:pPr>
              <w:spacing w:after="40" w:before="40"/>
            </w:pPr>
            <w:r>
              <w:rPr>
                <w:color w:val="111827"/>
                <w:sz w:val="180"/>
                <w:szCs w:val="180"/>
              </w:rPr>
              <w:t xml:space="preserve">Validation Team</w:t>
            </w:r>
          </w:p>
        </w:tc>
      </w:tr>
      <w:tr>
        <w:tc>
          <w:tcPr>
            <w:tcMar>
              <w:top w:type="dxa" w:w="28"/>
              <w:left w:type="dxa" w:w="72"/>
              <w:bottom w:type="dxa" w:w="28"/>
              <w:right w:type="dxa" w:w="72"/>
            </w:tcMar>
          </w:tcPr>
          <w:p>
            <w:pPr>
              <w:spacing w:after="40" w:before="40"/>
            </w:pPr>
            <w:r>
              <w:rPr>
                <w:color w:val="111827"/>
                <w:sz w:val="180"/>
                <w:szCs w:val="180"/>
              </w:rPr>
              <w:t xml:space="preserve">Classification</w:t>
            </w:r>
          </w:p>
        </w:tc>
        <w:tc>
          <w:tcPr>
            <w:tcMar>
              <w:top w:type="dxa" w:w="28"/>
              <w:left w:type="dxa" w:w="72"/>
              <w:bottom w:type="dxa" w:w="28"/>
              <w:right w:type="dxa" w:w="72"/>
            </w:tcMar>
          </w:tcPr>
          <w:p>
            <w:pPr>
              <w:spacing w:after="40" w:before="40"/>
            </w:pPr>
            <w:r>
              <w:rPr>
                <w:color w:val="111827"/>
                <w:sz w:val="180"/>
                <w:szCs w:val="180"/>
              </w:rPr>
              <w:t xml:space="preserve">Confidential</w:t>
            </w:r>
          </w:p>
        </w:tc>
      </w:tr>
    </w:tbl>
    <w:p/>
    <w:p>
      <w:pPr>
        <w:pStyle w:val="Heading1"/>
        <w:spacing w:after="120" w:before="280"/>
        <w:rPr>
          <w:b/>
          <w:bCs/>
          <w:color w:val="1B2A4A"/>
          <w:sz w:val="280"/>
          <w:szCs w:val="280"/>
        </w:rPr>
      </w:pPr>
      <w:r>
        <w:t xml:space="preserve">1. Introduction</w:t>
      </w:r>
    </w:p>
    <w:p>
      <w:pPr>
        <w:spacing w:after="100"/>
      </w:pPr>
      <w:r>
        <w:rPr>
          <w:color w:val="111827"/>
          <w:sz w:val="200"/>
          <w:szCs w:val="200"/>
        </w:rPr>
        <w:t xml:space="preserve">This Authorization for Use (AFU) documents the formal verification that the Capalyst QMS v1.0.0 has successfully completed all required validation activities and is authorised for GxP use at CPT Pharma (Pty) Ltd. Signature of this document constitutes the official go-live approval.</w:t>
      </w:r>
    </w:p>
    <w:p/>
    <w:p>
      <w:pPr>
        <w:pStyle w:val="Heading1"/>
        <w:spacing w:after="120" w:before="280"/>
        <w:rPr>
          <w:b/>
          <w:bCs/>
          <w:color w:val="1B2A4A"/>
          <w:sz w:val="280"/>
          <w:szCs w:val="280"/>
        </w:rPr>
      </w:pPr>
      <w:r>
        <w:t xml:space="preserve">2. Pre-Authorisation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00"/>
        <w:gridCol w:w="1500"/>
        <w:gridCol w:w="20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w:t>
            </w:r>
          </w:p>
        </w:tc>
        <w:tc>
          <w:tcPr>
            <w:shd w:fill="1B2A4A" w:val="clear"/>
            <w:tcMar>
              <w:top w:type="dxa" w:w="28"/>
              <w:left w:type="dxa" w:w="72"/>
              <w:bottom w:type="dxa" w:w="28"/>
              <w:right w:type="dxa" w:w="72"/>
            </w:tcMar>
          </w:tcPr>
          <w:p>
            <w:pPr>
              <w:spacing w:after="40" w:before="40"/>
            </w:pPr>
            <w:r>
              <w:rPr>
                <w:b/>
                <w:bCs/>
                <w:color w:val="FFFFFF"/>
                <w:sz w:val="180"/>
                <w:szCs w:val="180"/>
              </w:rPr>
              <w:t xml:space="preserve">Prerequisite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Document Reference</w:t>
            </w:r>
          </w:p>
        </w:tc>
        <w:tc>
          <w:tcPr>
            <w:shd w:fill="1B2A4A" w:val="clear"/>
            <w:tcMar>
              <w:top w:type="dxa" w:w="28"/>
              <w:left w:type="dxa" w:w="72"/>
              <w:bottom w:type="dxa" w:w="28"/>
              <w:right w:type="dxa" w:w="72"/>
            </w:tcMar>
          </w:tcPr>
          <w:p>
            <w:pPr>
              <w:spacing w:after="40" w:before="40"/>
            </w:pPr>
            <w:r>
              <w:rPr>
                <w:b/>
                <w:bCs/>
                <w:color w:val="FFFFFF"/>
                <w:sz w:val="180"/>
                <w:szCs w:val="180"/>
              </w:rPr>
              <w:t xml:space="preserve">Status</w:t>
            </w:r>
          </w:p>
        </w:tc>
        <w:tc>
          <w:tcPr>
            <w:shd w:fill="1B2A4A" w:val="clear"/>
            <w:tcMar>
              <w:top w:type="dxa" w:w="28"/>
              <w:left w:type="dxa" w:w="72"/>
              <w:bottom w:type="dxa" w:w="28"/>
              <w:right w:type="dxa" w:w="72"/>
            </w:tcMar>
          </w:tcPr>
          <w:p>
            <w:pPr>
              <w:spacing w:after="40" w:before="40"/>
            </w:pPr>
            <w:r>
              <w:rPr>
                <w:b/>
                <w:bCs/>
                <w:color w:val="FFFFFF"/>
                <w:sz w:val="180"/>
                <w:szCs w:val="180"/>
              </w:rPr>
              <w:t xml:space="preserve">Verified By</w:t>
            </w:r>
          </w:p>
        </w:tc>
      </w:tr>
      <w:tr>
        <w:tc>
          <w:tcPr>
            <w:tcMar>
              <w:top w:type="dxa" w:w="28"/>
              <w:left w:type="dxa" w:w="72"/>
              <w:bottom w:type="dxa" w:w="28"/>
              <w:right w:type="dxa" w:w="72"/>
            </w:tcMar>
          </w:tcPr>
          <w:p>
            <w:pPr>
              <w:spacing w:after="40" w:before="40"/>
            </w:pPr>
            <w:r>
              <w:rPr>
                <w:color w:val="111827"/>
                <w:sz w:val="180"/>
                <w:szCs w:val="180"/>
              </w:rPr>
              <w:t xml:space="preserve">1</w:t>
            </w:r>
          </w:p>
        </w:tc>
        <w:tc>
          <w:tcPr>
            <w:tcMar>
              <w:top w:type="dxa" w:w="28"/>
              <w:left w:type="dxa" w:w="72"/>
              <w:bottom w:type="dxa" w:w="28"/>
              <w:right w:type="dxa" w:w="72"/>
            </w:tcMar>
          </w:tcPr>
          <w:p>
            <w:pPr>
              <w:spacing w:after="40" w:before="40"/>
            </w:pPr>
            <w:r>
              <w:rPr>
                <w:color w:val="111827"/>
                <w:sz w:val="180"/>
                <w:szCs w:val="180"/>
              </w:rPr>
              <w:t xml:space="preserve">Project Plan approved</w:t>
            </w:r>
          </w:p>
        </w:tc>
        <w:tc>
          <w:tcPr>
            <w:tcMar>
              <w:top w:type="dxa" w:w="28"/>
              <w:left w:type="dxa" w:w="72"/>
              <w:bottom w:type="dxa" w:w="28"/>
              <w:right w:type="dxa" w:w="72"/>
            </w:tcMar>
          </w:tcPr>
          <w:p>
            <w:pPr>
              <w:spacing w:after="40" w:before="40"/>
            </w:pPr>
            <w:r>
              <w:rPr>
                <w:color w:val="111827"/>
                <w:sz w:val="180"/>
                <w:szCs w:val="180"/>
              </w:rPr>
              <w:t xml:space="preserve">CPT-VL-ISVP-PP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2</w:t>
            </w:r>
          </w:p>
        </w:tc>
        <w:tc>
          <w:tcPr>
            <w:tcMar>
              <w:top w:type="dxa" w:w="28"/>
              <w:left w:type="dxa" w:w="72"/>
              <w:bottom w:type="dxa" w:w="28"/>
              <w:right w:type="dxa" w:w="72"/>
            </w:tcMar>
          </w:tcPr>
          <w:p>
            <w:pPr>
              <w:spacing w:after="40" w:before="40"/>
            </w:pPr>
            <w:r>
              <w:rPr>
                <w:color w:val="111827"/>
                <w:sz w:val="180"/>
                <w:szCs w:val="180"/>
              </w:rPr>
              <w:t xml:space="preserve">System Criticality Assessment approved</w:t>
            </w:r>
          </w:p>
        </w:tc>
        <w:tc>
          <w:tcPr>
            <w:tcMar>
              <w:top w:type="dxa" w:w="28"/>
              <w:left w:type="dxa" w:w="72"/>
              <w:bottom w:type="dxa" w:w="28"/>
              <w:right w:type="dxa" w:w="72"/>
            </w:tcMar>
          </w:tcPr>
          <w:p>
            <w:pPr>
              <w:spacing w:after="40" w:before="40"/>
            </w:pPr>
            <w:r>
              <w:rPr>
                <w:color w:val="111827"/>
                <w:sz w:val="180"/>
                <w:szCs w:val="180"/>
              </w:rPr>
              <w:t xml:space="preserve">CPT-VL-ISVP-SCA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3</w:t>
            </w:r>
          </w:p>
        </w:tc>
        <w:tc>
          <w:tcPr>
            <w:tcMar>
              <w:top w:type="dxa" w:w="28"/>
              <w:left w:type="dxa" w:w="72"/>
              <w:bottom w:type="dxa" w:w="28"/>
              <w:right w:type="dxa" w:w="72"/>
            </w:tcMar>
          </w:tcPr>
          <w:p>
            <w:pPr>
              <w:spacing w:after="40" w:before="40"/>
            </w:pPr>
            <w:r>
              <w:rPr>
                <w:color w:val="111827"/>
                <w:sz w:val="180"/>
                <w:szCs w:val="180"/>
              </w:rPr>
              <w:t xml:space="preserve">User Requirements Specification approved</w:t>
            </w:r>
          </w:p>
        </w:tc>
        <w:tc>
          <w:tcPr>
            <w:tcMar>
              <w:top w:type="dxa" w:w="28"/>
              <w:left w:type="dxa" w:w="72"/>
              <w:bottom w:type="dxa" w:w="28"/>
              <w:right w:type="dxa" w:w="72"/>
            </w:tcMar>
          </w:tcPr>
          <w:p>
            <w:pPr>
              <w:spacing w:after="40" w:before="40"/>
            </w:pPr>
            <w:r>
              <w:rPr>
                <w:color w:val="111827"/>
                <w:sz w:val="180"/>
                <w:szCs w:val="180"/>
              </w:rPr>
              <w:t xml:space="preserve">CPT-VL-ISVP-UR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4</w:t>
            </w:r>
          </w:p>
        </w:tc>
        <w:tc>
          <w:tcPr>
            <w:tcMar>
              <w:top w:type="dxa" w:w="28"/>
              <w:left w:type="dxa" w:w="72"/>
              <w:bottom w:type="dxa" w:w="28"/>
              <w:right w:type="dxa" w:w="72"/>
            </w:tcMar>
          </w:tcPr>
          <w:p>
            <w:pPr>
              <w:spacing w:after="40" w:before="40"/>
            </w:pPr>
            <w:r>
              <w:rPr>
                <w:color w:val="111827"/>
                <w:sz w:val="180"/>
                <w:szCs w:val="180"/>
              </w:rPr>
              <w:t xml:space="preserve">Validation Plan approved</w:t>
            </w:r>
          </w:p>
        </w:tc>
        <w:tc>
          <w:tcPr>
            <w:tcMar>
              <w:top w:type="dxa" w:w="28"/>
              <w:left w:type="dxa" w:w="72"/>
              <w:bottom w:type="dxa" w:w="28"/>
              <w:right w:type="dxa" w:w="72"/>
            </w:tcMar>
          </w:tcPr>
          <w:p>
            <w:pPr>
              <w:spacing w:after="40" w:before="40"/>
            </w:pPr>
            <w:r>
              <w:rPr>
                <w:color w:val="111827"/>
                <w:sz w:val="180"/>
                <w:szCs w:val="180"/>
              </w:rPr>
              <w:t xml:space="preserve">CPT-VL-ISVP-VP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5</w:t>
            </w:r>
          </w:p>
        </w:tc>
        <w:tc>
          <w:tcPr>
            <w:tcMar>
              <w:top w:type="dxa" w:w="28"/>
              <w:left w:type="dxa" w:w="72"/>
              <w:bottom w:type="dxa" w:w="28"/>
              <w:right w:type="dxa" w:w="72"/>
            </w:tcMar>
          </w:tcPr>
          <w:p>
            <w:pPr>
              <w:spacing w:after="40" w:before="40"/>
            </w:pPr>
            <w:r>
              <w:rPr>
                <w:color w:val="111827"/>
                <w:sz w:val="180"/>
                <w:szCs w:val="180"/>
              </w:rPr>
              <w:t xml:space="preserve">Architecture Specification approved</w:t>
            </w:r>
          </w:p>
        </w:tc>
        <w:tc>
          <w:tcPr>
            <w:tcMar>
              <w:top w:type="dxa" w:w="28"/>
              <w:left w:type="dxa" w:w="72"/>
              <w:bottom w:type="dxa" w:w="28"/>
              <w:right w:type="dxa" w:w="72"/>
            </w:tcMar>
          </w:tcPr>
          <w:p>
            <w:pPr>
              <w:spacing w:after="40" w:before="40"/>
            </w:pPr>
            <w:r>
              <w:rPr>
                <w:color w:val="111827"/>
                <w:sz w:val="180"/>
                <w:szCs w:val="180"/>
              </w:rPr>
              <w:t xml:space="preserve">CPT-VL-ISVP-ArS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6</w:t>
            </w:r>
          </w:p>
        </w:tc>
        <w:tc>
          <w:tcPr>
            <w:tcMar>
              <w:top w:type="dxa" w:w="28"/>
              <w:left w:type="dxa" w:w="72"/>
              <w:bottom w:type="dxa" w:w="28"/>
              <w:right w:type="dxa" w:w="72"/>
            </w:tcMar>
          </w:tcPr>
          <w:p>
            <w:pPr>
              <w:spacing w:after="40" w:before="40"/>
            </w:pPr>
            <w:r>
              <w:rPr>
                <w:color w:val="111827"/>
                <w:sz w:val="180"/>
                <w:szCs w:val="180"/>
              </w:rPr>
              <w:t xml:space="preserve">Data Migration Plan approved and migration executed</w:t>
            </w:r>
          </w:p>
        </w:tc>
        <w:tc>
          <w:tcPr>
            <w:tcMar>
              <w:top w:type="dxa" w:w="28"/>
              <w:left w:type="dxa" w:w="72"/>
              <w:bottom w:type="dxa" w:w="28"/>
              <w:right w:type="dxa" w:w="72"/>
            </w:tcMar>
          </w:tcPr>
          <w:p>
            <w:pPr>
              <w:spacing w:after="40" w:before="40"/>
            </w:pPr>
            <w:r>
              <w:rPr>
                <w:color w:val="111827"/>
                <w:sz w:val="180"/>
                <w:szCs w:val="180"/>
              </w:rPr>
              <w:t xml:space="preserve">CPT-VL-ISVP-DMP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7</w:t>
            </w:r>
          </w:p>
        </w:tc>
        <w:tc>
          <w:tcPr>
            <w:tcMar>
              <w:top w:type="dxa" w:w="28"/>
              <w:left w:type="dxa" w:w="72"/>
              <w:bottom w:type="dxa" w:w="28"/>
              <w:right w:type="dxa" w:w="72"/>
            </w:tcMar>
          </w:tcPr>
          <w:p>
            <w:pPr>
              <w:spacing w:after="40" w:before="40"/>
            </w:pPr>
            <w:r>
              <w:rPr>
                <w:color w:val="111827"/>
                <w:sz w:val="180"/>
                <w:szCs w:val="180"/>
              </w:rPr>
              <w:t xml:space="preserve">Installation Qualification passed</w:t>
            </w:r>
          </w:p>
        </w:tc>
        <w:tc>
          <w:tcPr>
            <w:tcMar>
              <w:top w:type="dxa" w:w="28"/>
              <w:left w:type="dxa" w:w="72"/>
              <w:bottom w:type="dxa" w:w="28"/>
              <w:right w:type="dxa" w:w="72"/>
            </w:tcMar>
          </w:tcPr>
          <w:p>
            <w:pPr>
              <w:spacing w:after="40" w:before="40"/>
            </w:pPr>
            <w:r>
              <w:rPr>
                <w:color w:val="111827"/>
                <w:sz w:val="180"/>
                <w:szCs w:val="180"/>
              </w:rPr>
              <w:t xml:space="preserve">CPT-VL-ISVP-IQ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8</w:t>
            </w:r>
          </w:p>
        </w:tc>
        <w:tc>
          <w:tcPr>
            <w:tcMar>
              <w:top w:type="dxa" w:w="28"/>
              <w:left w:type="dxa" w:w="72"/>
              <w:bottom w:type="dxa" w:w="28"/>
              <w:right w:type="dxa" w:w="72"/>
            </w:tcMar>
          </w:tcPr>
          <w:p>
            <w:pPr>
              <w:spacing w:after="40" w:before="40"/>
            </w:pPr>
            <w:r>
              <w:rPr>
                <w:color w:val="111827"/>
                <w:sz w:val="180"/>
                <w:szCs w:val="180"/>
              </w:rPr>
              <w:t xml:space="preserve">Infrastructure &amp; Application Operations Manual approved</w:t>
            </w:r>
          </w:p>
        </w:tc>
        <w:tc>
          <w:tcPr>
            <w:tcMar>
              <w:top w:type="dxa" w:w="28"/>
              <w:left w:type="dxa" w:w="72"/>
              <w:bottom w:type="dxa" w:w="28"/>
              <w:right w:type="dxa" w:w="72"/>
            </w:tcMar>
          </w:tcPr>
          <w:p>
            <w:pPr>
              <w:spacing w:after="40" w:before="40"/>
            </w:pPr>
            <w:r>
              <w:rPr>
                <w:color w:val="111827"/>
                <w:sz w:val="180"/>
                <w:szCs w:val="180"/>
              </w:rPr>
              <w:t xml:space="preserve">CPT-VL-ISVP-IAOM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9</w:t>
            </w:r>
          </w:p>
        </w:tc>
        <w:tc>
          <w:tcPr>
            <w:tcMar>
              <w:top w:type="dxa" w:w="28"/>
              <w:left w:type="dxa" w:w="72"/>
              <w:bottom w:type="dxa" w:w="28"/>
              <w:right w:type="dxa" w:w="72"/>
            </w:tcMar>
          </w:tcPr>
          <w:p>
            <w:pPr>
              <w:spacing w:after="40" w:before="40"/>
            </w:pPr>
            <w:r>
              <w:rPr>
                <w:color w:val="111827"/>
                <w:sz w:val="180"/>
                <w:szCs w:val="180"/>
              </w:rPr>
              <w:t xml:space="preserve">Test Report approved — no open Critical or Major anomalies</w:t>
            </w:r>
          </w:p>
        </w:tc>
        <w:tc>
          <w:tcPr>
            <w:tcMar>
              <w:top w:type="dxa" w:w="28"/>
              <w:left w:type="dxa" w:w="72"/>
              <w:bottom w:type="dxa" w:w="28"/>
              <w:right w:type="dxa" w:w="72"/>
            </w:tcMar>
          </w:tcPr>
          <w:p>
            <w:pPr>
              <w:spacing w:after="40" w:before="40"/>
            </w:pPr>
            <w:r>
              <w:rPr>
                <w:color w:val="111827"/>
                <w:sz w:val="180"/>
                <w:szCs w:val="180"/>
              </w:rPr>
              <w:t xml:space="preserve">CPT-VL-ISVP-TR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Database Comparison executed and approved</w:t>
            </w:r>
          </w:p>
        </w:tc>
        <w:tc>
          <w:tcPr>
            <w:tcMar>
              <w:top w:type="dxa" w:w="28"/>
              <w:left w:type="dxa" w:w="72"/>
              <w:bottom w:type="dxa" w:w="28"/>
              <w:right w:type="dxa" w:w="72"/>
            </w:tcMar>
          </w:tcPr>
          <w:p>
            <w:pPr>
              <w:spacing w:after="40" w:before="40"/>
            </w:pPr>
            <w:r>
              <w:rPr>
                <w:color w:val="111827"/>
                <w:sz w:val="180"/>
                <w:szCs w:val="180"/>
              </w:rPr>
              <w:t xml:space="preserve">CPT-VL-ISVP-DBC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11</w:t>
            </w:r>
          </w:p>
        </w:tc>
        <w:tc>
          <w:tcPr>
            <w:tcMar>
              <w:top w:type="dxa" w:w="28"/>
              <w:left w:type="dxa" w:w="72"/>
              <w:bottom w:type="dxa" w:w="28"/>
              <w:right w:type="dxa" w:w="72"/>
            </w:tcMar>
          </w:tcPr>
          <w:p>
            <w:pPr>
              <w:spacing w:after="40" w:before="40"/>
            </w:pPr>
            <w:r>
              <w:rPr>
                <w:color w:val="111827"/>
                <w:sz w:val="180"/>
                <w:szCs w:val="180"/>
              </w:rPr>
              <w:t xml:space="preserve">All users trained and training records complete</w:t>
            </w:r>
          </w:p>
        </w:tc>
        <w:tc>
          <w:tcPr>
            <w:tcMar>
              <w:top w:type="dxa" w:w="28"/>
              <w:left w:type="dxa" w:w="72"/>
              <w:bottom w:type="dxa" w:w="28"/>
              <w:right w:type="dxa" w:w="72"/>
            </w:tcMar>
          </w:tcPr>
          <w:p>
            <w:pPr>
              <w:spacing w:after="40" w:before="40"/>
            </w:pPr>
            <w:r>
              <w:rPr>
                <w:color w:val="111827"/>
                <w:sz w:val="180"/>
                <w:szCs w:val="180"/>
              </w:rPr>
              <w:t xml:space="preserve">Training records per HR SOP</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12</w:t>
            </w:r>
          </w:p>
        </w:tc>
        <w:tc>
          <w:tcPr>
            <w:tcMar>
              <w:top w:type="dxa" w:w="28"/>
              <w:left w:type="dxa" w:w="72"/>
              <w:bottom w:type="dxa" w:w="28"/>
              <w:right w:type="dxa" w:w="72"/>
            </w:tcMar>
          </w:tcPr>
          <w:p>
            <w:pPr>
              <w:spacing w:after="40" w:before="40"/>
            </w:pPr>
            <w:r>
              <w:rPr>
                <w:color w:val="111827"/>
                <w:sz w:val="180"/>
                <w:szCs w:val="180"/>
              </w:rPr>
              <w:t xml:space="preserve">System backup verified prior to go-live</w:t>
            </w:r>
          </w:p>
        </w:tc>
        <w:tc>
          <w:tcPr>
            <w:tcMar>
              <w:top w:type="dxa" w:w="28"/>
              <w:left w:type="dxa" w:w="72"/>
              <w:bottom w:type="dxa" w:w="28"/>
              <w:right w:type="dxa" w:w="72"/>
            </w:tcMar>
          </w:tcPr>
          <w:p>
            <w:pPr>
              <w:spacing w:after="40" w:before="40"/>
            </w:pPr>
            <w:r>
              <w:rPr>
                <w:color w:val="111827"/>
                <w:sz w:val="180"/>
                <w:szCs w:val="180"/>
              </w:rPr>
              <w:t xml:space="preserve">IAOM backup procedure</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r>
        <w:tc>
          <w:tcPr>
            <w:tcMar>
              <w:top w:type="dxa" w:w="28"/>
              <w:left w:type="dxa" w:w="72"/>
              <w:bottom w:type="dxa" w:w="28"/>
              <w:right w:type="dxa" w:w="72"/>
            </w:tcMar>
          </w:tcPr>
          <w:p>
            <w:pPr>
              <w:spacing w:after="40" w:before="40"/>
            </w:pPr>
            <w:r>
              <w:rPr>
                <w:color w:val="111827"/>
                <w:sz w:val="180"/>
                <w:szCs w:val="180"/>
              </w:rPr>
              <w:t xml:space="preserve">13</w:t>
            </w:r>
          </w:p>
        </w:tc>
        <w:tc>
          <w:tcPr>
            <w:tcMar>
              <w:top w:type="dxa" w:w="28"/>
              <w:left w:type="dxa" w:w="72"/>
              <w:bottom w:type="dxa" w:w="28"/>
              <w:right w:type="dxa" w:w="72"/>
            </w:tcMar>
          </w:tcPr>
          <w:p>
            <w:pPr>
              <w:spacing w:after="40" w:before="40"/>
            </w:pPr>
            <w:r>
              <w:rPr>
                <w:color w:val="111827"/>
                <w:sz w:val="180"/>
                <w:szCs w:val="180"/>
              </w:rPr>
              <w:t xml:space="preserve">Production environment verified identical to Validation environment</w:t>
            </w:r>
          </w:p>
        </w:tc>
        <w:tc>
          <w:tcPr>
            <w:tcMar>
              <w:top w:type="dxa" w:w="28"/>
              <w:left w:type="dxa" w:w="72"/>
              <w:bottom w:type="dxa" w:w="28"/>
              <w:right w:type="dxa" w:w="72"/>
            </w:tcMar>
          </w:tcPr>
          <w:p>
            <w:pPr>
              <w:spacing w:after="40" w:before="40"/>
            </w:pPr>
            <w:r>
              <w:rPr>
                <w:color w:val="111827"/>
                <w:sz w:val="180"/>
                <w:szCs w:val="180"/>
              </w:rPr>
              <w:t xml:space="preserve">CPT-VL-ISVP-DBC Capalyst-001</w:t>
            </w:r>
          </w:p>
        </w:tc>
        <w:tc>
          <w:tcPr>
            <w:tcMar>
              <w:top w:type="dxa" w:w="28"/>
              <w:left w:type="dxa" w:w="72"/>
              <w:bottom w:type="dxa" w:w="28"/>
              <w:right w:type="dxa" w:w="72"/>
            </w:tcMar>
          </w:tcPr>
          <w:p>
            <w:pPr>
              <w:spacing w:after="40" w:before="40"/>
            </w:pPr>
            <w:r>
              <w:rPr>
                <w:color w:val="111827"/>
                <w:sz w:val="180"/>
                <w:szCs w:val="180"/>
              </w:rPr>
              <w:t xml:space="preserve"/>
            </w:r>
          </w:p>
        </w:tc>
        <w:tc>
          <w:tcPr>
            <w:tcMar>
              <w:top w:type="dxa" w:w="28"/>
              <w:left w:type="dxa" w:w="72"/>
              <w:bottom w:type="dxa" w:w="28"/>
              <w:right w:type="dxa" w:w="72"/>
            </w:tcMar>
          </w:tcPr>
          <w:p>
            <w:pPr>
              <w:spacing w:after="40" w:before="40"/>
            </w:pPr>
            <w:r>
              <w:rPr>
                <w:color w:val="111827"/>
                <w:sz w:val="180"/>
                <w:szCs w:val="180"/>
              </w:rPr>
              <w:t xml:space="preserve"/>
            </w:r>
          </w:p>
        </w:tc>
      </w:tr>
    </w:tbl>
    <w:p/>
    <w:p>
      <w:pPr>
        <w:pStyle w:val="Heading1"/>
        <w:spacing w:after="120" w:before="280"/>
        <w:rPr>
          <w:b/>
          <w:bCs/>
          <w:color w:val="1B2A4A"/>
          <w:sz w:val="280"/>
          <w:szCs w:val="280"/>
        </w:rPr>
      </w:pPr>
      <w:r>
        <w:t xml:space="preserve">3. Open Issues at Go-Live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Issue ID</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Severity</w:t>
            </w:r>
          </w:p>
        </w:tc>
        <w:tc>
          <w:tcPr>
            <w:shd w:fill="1B2A4A" w:val="clear"/>
            <w:tcMar>
              <w:top w:type="dxa" w:w="28"/>
              <w:left w:type="dxa" w:w="72"/>
              <w:bottom w:type="dxa" w:w="28"/>
              <w:right w:type="dxa" w:w="72"/>
            </w:tcMar>
          </w:tcPr>
          <w:p>
            <w:pPr>
              <w:spacing w:after="40" w:before="40"/>
            </w:pPr>
            <w:r>
              <w:rPr>
                <w:b/>
                <w:bCs/>
                <w:color w:val="FFFFFF"/>
                <w:sz w:val="180"/>
                <w:szCs w:val="180"/>
              </w:rPr>
              <w:t xml:space="preserve">Accepted Risk / Plan</w:t>
            </w:r>
          </w:p>
        </w:tc>
      </w:tr>
      <w:tr>
        <w:tc>
          <w:tcPr>
            <w:tcMar>
              <w:top w:type="dxa" w:w="28"/>
              <w:left w:type="dxa" w:w="72"/>
              <w:bottom w:type="dxa" w:w="28"/>
              <w:right w:type="dxa" w:w="72"/>
            </w:tcMar>
          </w:tcPr>
          <w:p>
            <w:pPr>
              <w:spacing w:after="40" w:before="40"/>
            </w:pPr>
            <w:r>
              <w:rPr>
                <w:color w:val="111827"/>
                <w:sz w:val="180"/>
                <w:szCs w:val="180"/>
              </w:rPr>
              <w:t xml:space="preserve">ANO-002</w:t>
            </w:r>
          </w:p>
        </w:tc>
        <w:tc>
          <w:tcPr>
            <w:tcMar>
              <w:top w:type="dxa" w:w="28"/>
              <w:left w:type="dxa" w:w="72"/>
              <w:bottom w:type="dxa" w:w="28"/>
              <w:right w:type="dxa" w:w="72"/>
            </w:tcMar>
          </w:tcPr>
          <w:p>
            <w:pPr>
              <w:spacing w:after="40" w:before="40"/>
            </w:pPr>
            <w:r>
              <w:rPr>
                <w:color w:val="111827"/>
                <w:sz w:val="180"/>
                <w:szCs w:val="180"/>
              </w:rPr>
              <w:t xml:space="preserve">changecontrol.ts TS2339 type mismatch (rationale field); runtime unaffected</w:t>
            </w:r>
          </w:p>
        </w:tc>
        <w:tc>
          <w:tcPr>
            <w:tcMar>
              <w:top w:type="dxa" w:w="28"/>
              <w:left w:type="dxa" w:w="72"/>
              <w:bottom w:type="dxa" w:w="28"/>
              <w:right w:type="dxa" w:w="72"/>
            </w:tcMar>
          </w:tcPr>
          <w:p>
            <w:pPr>
              <w:spacing w:after="40" w:before="40"/>
            </w:pPr>
            <w:r>
              <w:rPr>
                <w:color w:val="111827"/>
                <w:sz w:val="180"/>
                <w:szCs w:val="180"/>
              </w:rPr>
              <w:t xml:space="preserve">Minor</w:t>
            </w:r>
          </w:p>
        </w:tc>
        <w:tc>
          <w:tcPr>
            <w:tcMar>
              <w:top w:type="dxa" w:w="28"/>
              <w:left w:type="dxa" w:w="72"/>
              <w:bottom w:type="dxa" w:w="28"/>
              <w:right w:type="dxa" w:w="72"/>
            </w:tcMar>
          </w:tcPr>
          <w:p>
            <w:pPr>
              <w:spacing w:after="40" w:before="40"/>
            </w:pPr>
            <w:r>
              <w:rPr>
                <w:color w:val="111827"/>
                <w:sz w:val="180"/>
                <w:szCs w:val="180"/>
              </w:rPr>
              <w:t xml:space="preserve">Accepted — fix planned for v1.1 release. No GxP impact confirmed.</w:t>
            </w:r>
          </w:p>
        </w:tc>
      </w:tr>
    </w:tbl>
    <w:p/>
    <w:p>
      <w:pPr>
        <w:pStyle w:val="Heading1"/>
        <w:spacing w:after="120" w:before="280"/>
        <w:rPr>
          <w:b/>
          <w:bCs/>
          <w:color w:val="1B2A4A"/>
          <w:sz w:val="280"/>
          <w:szCs w:val="280"/>
        </w:rPr>
      </w:pPr>
      <w:r>
        <w:t xml:space="preserve">4. Conditions of Use</w:t>
      </w:r>
    </w:p>
    <w:p>
      <w:pPr>
        <w:pStyle w:val="ListParagraph"/>
        <w:numPr>
          <w:ilvl w:val="0"/>
          <w:numId w:val="1"/>
        </w:numPr>
        <w:spacing w:after="60"/>
        <w:rPr>
          <w:color w:val="111827"/>
          <w:sz w:val="200"/>
          <w:szCs w:val="200"/>
        </w:rPr>
      </w:pPr>
      <w:r>
        <w:t xml:space="preserve">The Capalyst QMS is authorised for use only in the version and configuration validated (v1.0.0)</w:t>
      </w:r>
    </w:p>
    <w:p>
      <w:pPr>
        <w:pStyle w:val="ListParagraph"/>
        <w:numPr>
          <w:ilvl w:val="0"/>
          <w:numId w:val="1"/>
        </w:numPr>
        <w:spacing w:after="60"/>
        <w:rPr>
          <w:color w:val="111827"/>
          <w:sz w:val="200"/>
          <w:szCs w:val="200"/>
        </w:rPr>
      </w:pPr>
      <w:r>
        <w:t xml:space="preserve">Any changes to the system configuration, software, or infrastructure must go through the change control procedure before implementation in the validated environment</w:t>
      </w:r>
    </w:p>
    <w:p>
      <w:pPr>
        <w:pStyle w:val="ListParagraph"/>
        <w:numPr>
          <w:ilvl w:val="0"/>
          <w:numId w:val="1"/>
        </w:numPr>
        <w:spacing w:after="60"/>
        <w:rPr>
          <w:color w:val="111827"/>
          <w:sz w:val="200"/>
          <w:szCs w:val="200"/>
        </w:rPr>
      </w:pPr>
      <w:r>
        <w:t xml:space="preserve">User access must be granted only via the Admin user management module; shared accounts are prohibited</w:t>
      </w:r>
    </w:p>
    <w:p>
      <w:pPr>
        <w:pStyle w:val="ListParagraph"/>
        <w:numPr>
          <w:ilvl w:val="0"/>
          <w:numId w:val="1"/>
        </w:numPr>
        <w:spacing w:after="60"/>
        <w:rPr>
          <w:color w:val="111827"/>
          <w:sz w:val="200"/>
          <w:szCs w:val="200"/>
        </w:rPr>
      </w:pPr>
      <w:r>
        <w:t xml:space="preserve">All GxP records must be created and managed within Capalyst; paper duplicates are not maintained after go-live</w:t>
      </w:r>
    </w:p>
    <w:p>
      <w:pPr>
        <w:pStyle w:val="ListParagraph"/>
        <w:numPr>
          <w:ilvl w:val="0"/>
          <w:numId w:val="1"/>
        </w:numPr>
        <w:spacing w:after="60"/>
        <w:rPr>
          <w:color w:val="111827"/>
          <w:sz w:val="200"/>
          <w:szCs w:val="200"/>
        </w:rPr>
      </w:pPr>
      <w:r>
        <w:t xml:space="preserve">The audit trail must not be disabled or bypassed under any circumstances</w:t>
      </w:r>
    </w:p>
    <w:p>
      <w:pPr>
        <w:pStyle w:val="ListParagraph"/>
        <w:numPr>
          <w:ilvl w:val="0"/>
          <w:numId w:val="1"/>
        </w:numPr>
        <w:spacing w:after="60"/>
        <w:rPr>
          <w:color w:val="111827"/>
          <w:sz w:val="200"/>
          <w:szCs w:val="200"/>
        </w:rPr>
      </w:pPr>
      <w:r>
        <w:t xml:space="preserve">Periodic review of the validated state must be conducted annually per the IAOM</w:t>
      </w:r>
    </w:p>
    <w:p/>
    <w:p>
      <w:pPr>
        <w:pStyle w:val="Heading1"/>
        <w:spacing w:after="120" w:before="280"/>
        <w:rPr>
          <w:b/>
          <w:bCs/>
          <w:color w:val="1B2A4A"/>
          <w:sz w:val="280"/>
          <w:szCs w:val="280"/>
        </w:rPr>
      </w:pPr>
      <w:r>
        <w:t xml:space="preserve">5. Authorization Statement</w:t>
      </w:r>
    </w:p>
    <w:p>
      <w:pPr>
        <w:spacing w:after="100"/>
      </w:pPr>
      <w:r>
        <w:rPr>
          <w:color w:val="111827"/>
          <w:sz w:val="200"/>
          <w:szCs w:val="200"/>
        </w:rPr>
        <w:t xml:space="preserve">Based on the evidence documented in the validation package (CPT-VL-ISVP series), the Capalyst QMS v1.0.0 has been validated and is hereby authorised for routine GxP use at CPT Pharma (Pty) Ltd effective from the date of signature below.</w:t>
      </w:r>
    </w:p>
    <w:p/>
    <w:p>
      <w:pPr>
        <w:pStyle w:val="Heading1"/>
        <w:spacing w:after="120" w:before="280"/>
        <w:rPr>
          <w:b/>
          <w:bCs/>
          <w:color w:val="1B2A4A"/>
          <w:sz w:val="280"/>
          <w:szCs w:val="280"/>
        </w:rPr>
      </w:pPr>
      <w:r>
        <w:t xml:space="preserve">6. Approval / Authorization Signatures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50"/>
      </w:tblGrid>
      <w:tr>
        <w:tc>
          <w:tcPr>
            <w:shd w:fill="1B2A4A" w:val="clear"/>
            <w:tcMar>
              <w:top w:type="dxa" w:w="28"/>
              <w:left w:type="dxa" w:w="72"/>
              <w:bottom w:type="dxa" w:w="28"/>
              <w:right w:type="dxa" w:w="72"/>
            </w:tcMar>
          </w:tcPr>
          <w:p>
            <w:pPr>
              <w:spacing w:after="40" w:before="40"/>
            </w:pPr>
            <w:r>
              <w:rPr>
                <w:b/>
                <w:bCs/>
                <w:color w:val="FFFFFF"/>
                <w:sz w:val="180"/>
                <w:szCs w:val="180"/>
              </w:rPr>
              <w:t xml:space="preserve">Role</w:t>
            </w:r>
          </w:p>
        </w:tc>
        <w:tc>
          <w:tcPr>
            <w:shd w:fill="1B2A4A" w:val="clear"/>
            <w:tcMar>
              <w:top w:type="dxa" w:w="28"/>
              <w:left w:type="dxa" w:w="72"/>
              <w:bottom w:type="dxa" w:w="28"/>
              <w:right w:type="dxa" w:w="72"/>
            </w:tcMar>
          </w:tcPr>
          <w:p>
            <w:pPr>
              <w:spacing w:after="40" w:before="40"/>
            </w:pPr>
            <w:r>
              <w:rPr>
                <w:b/>
                <w:bCs/>
                <w:color w:val="FFFFFF"/>
                <w:sz w:val="180"/>
                <w:szCs w:val="180"/>
              </w:rPr>
              <w:t xml:space="preserve">Name</w:t>
            </w:r>
          </w:p>
        </w:tc>
        <w:tc>
          <w:tcPr>
            <w:shd w:fill="1B2A4A" w:val="clear"/>
            <w:tcMar>
              <w:top w:type="dxa" w:w="28"/>
              <w:left w:type="dxa" w:w="72"/>
              <w:bottom w:type="dxa" w:w="28"/>
              <w:right w:type="dxa" w:w="72"/>
            </w:tcMar>
          </w:tcPr>
          <w:p>
            <w:pPr>
              <w:spacing w:after="40" w:before="40"/>
            </w:pPr>
            <w:r>
              <w:rPr>
                <w:b/>
                <w:bCs/>
                <w:color w:val="FFFFFF"/>
                <w:sz w:val="180"/>
                <w:szCs w:val="180"/>
              </w:rPr>
              <w:t xml:space="preserve">Signature</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r>
      <w:tr>
        <w:tc>
          <w:tcPr>
            <w:tcMar>
              <w:left w:type="dxa" w:w="72"/>
              <w:right w:type="dxa" w:w="72"/>
            </w:tcMar>
          </w:tcPr>
          <w:p>
            <w:pPr>
              <w:spacing w:after="360" w:before="40"/>
            </w:pPr>
            <w:r>
              <w:rPr>
                <w:color w:val="111827"/>
                <w:sz w:val="180"/>
                <w:szCs w:val="180"/>
              </w:rPr>
              <w:t xml:space="preserve">System Owner</w:t>
            </w:r>
          </w:p>
        </w:tc>
        <w:tc>
          <w:tcPr>
            <w:tcMar>
              <w:left w:type="dxa" w:w="72"/>
              <w:right w:type="dxa" w:w="72"/>
            </w:tcMar>
          </w:tcPr>
          <w:p>
            <w:pPr>
              <w:spacing w:after="360" w:before="40"/>
            </w:pPr>
            <w:r>
              <w:rPr>
                <w:color w:val="111827"/>
                <w:sz w:val="180"/>
                <w:szCs w:val="180"/>
              </w:rPr>
              <w:t xml:space="preserve">Hannes van der Berg</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Business Quality Representative (QA Manager)</w:t>
            </w:r>
          </w:p>
        </w:tc>
        <w:tc>
          <w:tcPr>
            <w:tcMar>
              <w:left w:type="dxa" w:w="72"/>
              <w:right w:type="dxa" w:w="72"/>
            </w:tcMar>
          </w:tcPr>
          <w:p>
            <w:pPr>
              <w:spacing w:after="360" w:before="40"/>
            </w:pPr>
            <w:r>
              <w:rPr>
                <w:color w:val="111827"/>
                <w:sz w:val="180"/>
                <w:szCs w:val="180"/>
              </w:rPr>
              <w:t xml:space="preserve">Monique Leblanc</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r>
        <w:tc>
          <w:tcPr>
            <w:tcMar>
              <w:left w:type="dxa" w:w="72"/>
              <w:right w:type="dxa" w:w="72"/>
            </w:tcMar>
          </w:tcPr>
          <w:p>
            <w:pPr>
              <w:spacing w:after="360" w:before="40"/>
            </w:pPr>
            <w:r>
              <w:rPr>
                <w:color w:val="111827"/>
                <w:sz w:val="180"/>
                <w:szCs w:val="180"/>
              </w:rPr>
              <w:t xml:space="preserve">Validation Expert</w:t>
            </w:r>
          </w:p>
        </w:tc>
        <w:tc>
          <w:tcPr>
            <w:tcMar>
              <w:left w:type="dxa" w:w="72"/>
              <w:right w:type="dxa" w:w="72"/>
            </w:tcMar>
          </w:tcPr>
          <w:p>
            <w:pPr>
              <w:spacing w:after="360" w:before="40"/>
            </w:pPr>
            <w:r>
              <w:rPr>
                <w:color w:val="111827"/>
                <w:sz w:val="180"/>
                <w:szCs w:val="180"/>
              </w:rPr>
              <w:t xml:space="preserve">TBD</w:t>
            </w:r>
          </w:p>
        </w:tc>
        <w:tc>
          <w:tcPr>
            <w:tcMar>
              <w:left w:type="dxa" w:w="72"/>
              <w:right w:type="dxa" w:w="72"/>
            </w:tcMar>
          </w:tcPr>
          <w:p>
            <w:pPr>
              <w:spacing w:after="360" w:before="40"/>
            </w:pPr>
            <w:r>
              <w:rPr>
                <w:color w:val="111827"/>
                <w:sz w:val="180"/>
                <w:szCs w:val="180"/>
              </w:rPr>
              <w:t xml:space="preserve"/>
            </w:r>
          </w:p>
        </w:tc>
        <w:tc>
          <w:tcPr>
            <w:tcMar>
              <w:left w:type="dxa" w:w="72"/>
              <w:right w:type="dxa" w:w="72"/>
            </w:tcMar>
          </w:tcPr>
          <w:p>
            <w:pPr>
              <w:spacing w:after="360" w:before="40"/>
            </w:pPr>
            <w:r>
              <w:rPr>
                <w:color w:val="111827"/>
                <w:sz w:val="180"/>
                <w:szCs w:val="180"/>
              </w:rPr>
              <w:t xml:space="preserve"/>
            </w:r>
          </w:p>
        </w:tc>
      </w:tr>
    </w:tbl>
    <w:p/>
    <w:p>
      <w:pPr>
        <w:pStyle w:val="Heading2"/>
        <w:spacing w:after="80" w:before="200"/>
        <w:rPr>
          <w:b/>
          <w:bCs/>
          <w:color w:val="1B2A4A"/>
          <w:sz w:val="240"/>
          <w:szCs w:val="240"/>
        </w:rPr>
      </w:pPr>
      <w:r>
        <w:t xml:space="preserve">Document Change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750"/>
        <w:gridCol w:w="1600"/>
      </w:tblGrid>
      <w:tr>
        <w:tc>
          <w:tcPr>
            <w:shd w:fill="1B2A4A" w:val="clear"/>
            <w:tcMar>
              <w:top w:type="dxa" w:w="28"/>
              <w:left w:type="dxa" w:w="72"/>
              <w:bottom w:type="dxa" w:w="28"/>
              <w:right w:type="dxa" w:w="72"/>
            </w:tcMar>
          </w:tcPr>
          <w:p>
            <w:pPr>
              <w:spacing w:after="40" w:before="40"/>
            </w:pPr>
            <w:r>
              <w:rPr>
                <w:b/>
                <w:bCs/>
                <w:color w:val="FFFFFF"/>
                <w:sz w:val="180"/>
                <w:szCs w:val="180"/>
              </w:rPr>
              <w:t xml:space="preserve">Version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Date</w:t>
            </w:r>
          </w:p>
        </w:tc>
        <w:tc>
          <w:tcPr>
            <w:shd w:fill="1B2A4A" w:val="clear"/>
            <w:tcMar>
              <w:top w:type="dxa" w:w="28"/>
              <w:left w:type="dxa" w:w="72"/>
              <w:bottom w:type="dxa" w:w="28"/>
              <w:right w:type="dxa" w:w="72"/>
            </w:tcMar>
          </w:tcPr>
          <w:p>
            <w:pPr>
              <w:spacing w:after="40" w:before="40"/>
            </w:pPr>
            <w:r>
              <w:rPr>
                <w:b/>
                <w:bCs/>
                <w:color w:val="FFFFFF"/>
                <w:sz w:val="180"/>
                <w:szCs w:val="180"/>
              </w:rPr>
              <w:t xml:space="preserve">Description</w:t>
            </w:r>
          </w:p>
        </w:tc>
        <w:tc>
          <w:tcPr>
            <w:shd w:fill="1B2A4A" w:val="clear"/>
            <w:tcMar>
              <w:top w:type="dxa" w:w="28"/>
              <w:left w:type="dxa" w:w="72"/>
              <w:bottom w:type="dxa" w:w="28"/>
              <w:right w:type="dxa" w:w="72"/>
            </w:tcMar>
          </w:tcPr>
          <w:p>
            <w:pPr>
              <w:spacing w:after="40" w:before="40"/>
            </w:pPr>
            <w:r>
              <w:rPr>
                <w:b/>
                <w:bCs/>
                <w:color w:val="FFFFFF"/>
                <w:sz w:val="180"/>
                <w:szCs w:val="180"/>
              </w:rPr>
              <w:t xml:space="preserve">Author</w:t>
            </w:r>
          </w:p>
        </w:tc>
      </w:tr>
      <w:tr>
        <w:tc>
          <w:tcPr>
            <w:tcMar>
              <w:top w:type="dxa" w:w="28"/>
              <w:left w:type="dxa" w:w="72"/>
              <w:bottom w:type="dxa" w:w="28"/>
              <w:right w:type="dxa" w:w="72"/>
            </w:tcMar>
          </w:tcPr>
          <w:p>
            <w:pPr>
              <w:spacing w:after="40" w:before="40"/>
            </w:pPr>
            <w:r>
              <w:rPr>
                <w:color w:val="111827"/>
                <w:sz w:val="180"/>
                <w:szCs w:val="180"/>
              </w:rPr>
              <w:t xml:space="preserve">1.0</w:t>
            </w:r>
          </w:p>
        </w:tc>
        <w:tc>
          <w:tcPr>
            <w:tcMar>
              <w:top w:type="dxa" w:w="28"/>
              <w:left w:type="dxa" w:w="72"/>
              <w:bottom w:type="dxa" w:w="28"/>
              <w:right w:type="dxa" w:w="72"/>
            </w:tcMar>
          </w:tcPr>
          <w:p>
            <w:pPr>
              <w:spacing w:after="40" w:before="40"/>
            </w:pPr>
            <w:r>
              <w:rPr>
                <w:color w:val="111827"/>
                <w:sz w:val="180"/>
                <w:szCs w:val="180"/>
              </w:rPr>
              <w:t xml:space="preserve">2026-06-30</w:t>
            </w:r>
          </w:p>
        </w:tc>
        <w:tc>
          <w:tcPr>
            <w:tcMar>
              <w:top w:type="dxa" w:w="28"/>
              <w:left w:type="dxa" w:w="72"/>
              <w:bottom w:type="dxa" w:w="28"/>
              <w:right w:type="dxa" w:w="72"/>
            </w:tcMar>
          </w:tcPr>
          <w:p>
            <w:pPr>
              <w:spacing w:after="40" w:before="40"/>
            </w:pPr>
            <w:r>
              <w:rPr>
                <w:color w:val="111827"/>
                <w:sz w:val="180"/>
                <w:szCs w:val="180"/>
              </w:rPr>
              <w:t xml:space="preserve">Initial AFU — system authorised for GxP use</w:t>
            </w:r>
          </w:p>
        </w:tc>
        <w:tc>
          <w:tcPr>
            <w:tcMar>
              <w:top w:type="dxa" w:w="28"/>
              <w:left w:type="dxa" w:w="72"/>
              <w:bottom w:type="dxa" w:w="28"/>
              <w:right w:type="dxa" w:w="72"/>
            </w:tcMar>
          </w:tcPr>
          <w:p>
            <w:pPr>
              <w:spacing w:after="40" w:before="40"/>
            </w:pPr>
            <w:r>
              <w:rPr>
                <w:color w:val="111827"/>
                <w:sz w:val="180"/>
                <w:szCs w:val="180"/>
              </w:rPr>
              <w:t xml:space="preserve">Validation Team</w:t>
            </w:r>
          </w:p>
        </w:tc>
      </w:tr>
    </w:tbl>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74151"/>
        <w:sz w:val="160"/>
        <w:szCs w:val="160"/>
      </w:rPr>
      <w:t xml:space="preserve">Confidential — CPT Pharma (Pty) Ltd     Page </w:t>
    </w:r>
    <w:r>
      <w:rPr>
        <w:color w:val="374151"/>
        <w:sz w:val="160"/>
        <w:szCs w:val="160"/>
      </w:rPr>
      <w:fldChar w:fldCharType="begin"/>
      <w:instrText xml:space="preserve">PAGE</w:instrText>
      <w:fldChar w:fldCharType="separate"/>
      <w:fldChar w:fldCharType="end"/>
    </w:r>
    <w:r>
      <w:rPr>
        <w:color w:val="374151"/>
        <w:sz w:val="160"/>
        <w:szCs w:val="160"/>
      </w:rPr>
      <w:t xml:space="preserve"> of </w:t>
    </w:r>
    <w:r>
      <w:rPr>
        <w:color w:val="374151"/>
        <w:sz w:val="160"/>
        <w:szCs w:val="16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50"/>
      <w:gridCol w:w="3000"/>
    </w:tblGrid>
    <w:tr>
      <w:tc>
        <w:p>
          <w:r>
            <w:rPr>
              <w:b/>
              <w:bCs/>
              <w:color w:val="1B2A4A"/>
              <w:sz w:val="160"/>
              <w:szCs w:val="160"/>
            </w:rPr>
            <w:t xml:space="preserve">CPT Pharma (Pty) Ltd  |  Capalyst QMS CSV</w:t>
          </w:r>
        </w:p>
      </w:tc>
      <w:tc>
        <w:p>
          <w:pPr>
            <w:jc w:val="center"/>
          </w:pPr>
          <w:r>
            <w:rPr>
              <w:color w:val="374151"/>
              <w:sz w:val="160"/>
              <w:szCs w:val="160"/>
            </w:rPr>
            <w:t xml:space="preserve">CPT-VL-ISVP-AFU Capalyst-001</w:t>
          </w:r>
        </w:p>
      </w:tc>
      <w:tc>
        <w:p>
          <w:pPr>
            <w:jc w:val="right"/>
          </w:pPr>
          <w:r>
            <w:rPr>
              <w:color w:val="374151"/>
              <w:sz w:val="160"/>
              <w:szCs w:val="160"/>
            </w:rPr>
            <w:t xml:space="preserve">10_CPT-VL-ISVP-AFU_Capalyst-001_Authorization_for_Use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2026-06-26T04:56:27.525Z</dcterms:created>
  <dcterms:modified xsi:type="dcterms:W3CDTF">2026-06-26T04:56:27.525Z</dcterms:modified>
</cp:coreProperties>
</file>

<file path=docProps/custom.xml><?xml version="1.0" encoding="utf-8"?>
<Properties xmlns="http://schemas.openxmlformats.org/officeDocument/2006/custom-properties" xmlns:vt="http://schemas.openxmlformats.org/officeDocument/2006/docPropsVTypes"/>
</file>