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20"/>
        <w:jc w:val="center"/>
      </w:pPr>
      <w:r>
        <w:rPr>
          <w:b/>
          <w:bCs/>
          <w:color w:val="1B2A4A"/>
          <w:sz w:val="400"/>
          <w:szCs w:val="400"/>
        </w:rPr>
        <w:t xml:space="preserve">CPT Pharma (Pty) Ltd</w:t>
      </w:r>
    </w:p>
    <w:p>
      <w:pPr>
        <w:spacing w:after="600"/>
        <w:jc w:val="center"/>
      </w:pPr>
      <w:r>
        <w:rPr>
          <w:color w:val="374151"/>
          <w:sz w:val="280"/>
          <w:szCs w:val="280"/>
        </w:rPr>
        <w:t xml:space="preserve">Computerised System Validation</w:t>
      </w:r>
    </w:p>
    <w:p>
      <w:pPr>
        <w:spacing w:after="240"/>
        <w:jc w:val="center"/>
      </w:pPr>
      <w:r>
        <w:rPr>
          <w:b/>
          <w:bCs/>
          <w:color w:val="1B2A4A"/>
          <w:sz w:val="440"/>
          <w:szCs w:val="440"/>
        </w:rPr>
        <w:t xml:space="preserve">Validation Report</w:t>
      </w:r>
    </w:p>
    <w:p>
      <w:pPr>
        <w:spacing w:after="600"/>
        <w:jc w:val="center"/>
      </w:pPr>
      <w:r>
        <w:rPr>
          <w:b/>
          <w:bCs/>
          <w:color w:val="2563EB"/>
          <w:sz w:val="280"/>
          <w:szCs w:val="280"/>
        </w:rPr>
        <w:t xml:space="preserve">Capalyst QMS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Field</w:t>
            </w:r>
          </w:p>
        </w:tc>
        <w:tc>
          <w:tcPr>
            <w:shd w:fill="1B2A4A" w:val="clear"/>
            <w:tcMar>
              <w:top w:type="dxa" w:w="28"/>
              <w:left w:type="dxa" w:w="72"/>
              <w:bottom w:type="dxa" w:w="28"/>
              <w:right w:type="dxa" w:w="72"/>
            </w:tcMar>
          </w:tcPr>
          <w:p>
            <w:pPr>
              <w:spacing w:after="40" w:before="40"/>
            </w:pPr>
            <w:r>
              <w:rPr>
                <w:b/>
                <w:bCs/>
                <w:color w:val="FFFFFF"/>
                <w:sz w:val="180"/>
                <w:szCs w:val="180"/>
              </w:rPr>
              <w:t xml:space="preserve">Value</w:t>
            </w:r>
          </w:p>
        </w:tc>
      </w:tr>
      <w:tr>
        <w:tc>
          <w:tcPr>
            <w:tcMar>
              <w:top w:type="dxa" w:w="28"/>
              <w:left w:type="dxa" w:w="72"/>
              <w:bottom w:type="dxa" w:w="28"/>
              <w:right w:type="dxa" w:w="72"/>
            </w:tcMar>
          </w:tcPr>
          <w:p>
            <w:pPr>
              <w:spacing w:after="40" w:before="40"/>
            </w:pPr>
            <w:r>
              <w:rPr>
                <w:color w:val="111827"/>
                <w:sz w:val="180"/>
                <w:szCs w:val="180"/>
              </w:rPr>
              <w:t xml:space="preserve">Document Number</w:t>
            </w:r>
          </w:p>
        </w:tc>
        <w:tc>
          <w:tcPr>
            <w:tcMar>
              <w:top w:type="dxa" w:w="28"/>
              <w:left w:type="dxa" w:w="72"/>
              <w:bottom w:type="dxa" w:w="28"/>
              <w:right w:type="dxa" w:w="72"/>
            </w:tcMar>
          </w:tcPr>
          <w:p>
            <w:pPr>
              <w:spacing w:after="40" w:before="40"/>
            </w:pPr>
            <w:r>
              <w:rPr>
                <w:color w:val="111827"/>
                <w:sz w:val="180"/>
                <w:szCs w:val="180"/>
              </w:rPr>
              <w:t xml:space="preserve">CPT-VL-ISVP-VR Capalyst-001</w:t>
            </w:r>
          </w:p>
        </w:tc>
      </w:tr>
      <w:tr>
        <w:tc>
          <w:tcPr>
            <w:tcMar>
              <w:top w:type="dxa" w:w="28"/>
              <w:left w:type="dxa" w:w="72"/>
              <w:bottom w:type="dxa" w:w="28"/>
              <w:right w:type="dxa" w:w="72"/>
            </w:tcMar>
          </w:tcPr>
          <w:p>
            <w:pPr>
              <w:spacing w:after="40" w:before="40"/>
            </w:pPr>
            <w:r>
              <w:rPr>
                <w:color w:val="111827"/>
                <w:sz w:val="180"/>
                <w:szCs w:val="180"/>
              </w:rPr>
              <w:t xml:space="preserve">Version</w:t>
            </w:r>
          </w:p>
        </w:tc>
        <w:tc>
          <w:tcPr>
            <w:tcMar>
              <w:top w:type="dxa" w:w="28"/>
              <w:left w:type="dxa" w:w="72"/>
              <w:bottom w:type="dxa" w:w="28"/>
              <w:right w:type="dxa" w:w="72"/>
            </w:tcMar>
          </w:tcPr>
          <w:p>
            <w:pPr>
              <w:spacing w:after="40" w:before="40"/>
            </w:pPr>
            <w:r>
              <w:rPr>
                <w:color w:val="111827"/>
                <w:sz w:val="180"/>
                <w:szCs w:val="180"/>
              </w:rPr>
              <w:t xml:space="preserve">1.0</w:t>
            </w:r>
          </w:p>
        </w:tc>
      </w:tr>
      <w:tr>
        <w:tc>
          <w:tcPr>
            <w:tcMar>
              <w:top w:type="dxa" w:w="28"/>
              <w:left w:type="dxa" w:w="72"/>
              <w:bottom w:type="dxa" w:w="28"/>
              <w:right w:type="dxa" w:w="72"/>
            </w:tcMar>
          </w:tcPr>
          <w:p>
            <w:pPr>
              <w:spacing w:after="40" w:before="40"/>
            </w:pPr>
            <w:r>
              <w:rPr>
                <w:color w:val="111827"/>
                <w:sz w:val="180"/>
                <w:szCs w:val="180"/>
              </w:rPr>
              <w:t xml:space="preserve">Status</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Date</w:t>
            </w:r>
          </w:p>
        </w:tc>
        <w:tc>
          <w:tcPr>
            <w:tcMar>
              <w:top w:type="dxa" w:w="28"/>
              <w:left w:type="dxa" w:w="72"/>
              <w:bottom w:type="dxa" w:w="28"/>
              <w:right w:type="dxa" w:w="72"/>
            </w:tcMar>
          </w:tcPr>
          <w:p>
            <w:pPr>
              <w:spacing w:after="40" w:before="40"/>
            </w:pPr>
            <w:r>
              <w:rPr>
                <w:color w:val="111827"/>
                <w:sz w:val="180"/>
                <w:szCs w:val="180"/>
              </w:rPr>
              <w:t xml:space="preserve">2026-06-25</w:t>
            </w:r>
          </w:p>
        </w:tc>
      </w:tr>
      <w:tr>
        <w:tc>
          <w:tcPr>
            <w:tcMar>
              <w:top w:type="dxa" w:w="28"/>
              <w:left w:type="dxa" w:w="72"/>
              <w:bottom w:type="dxa" w:w="28"/>
              <w:right w:type="dxa" w:w="72"/>
            </w:tcMar>
          </w:tcPr>
          <w:p>
            <w:pPr>
              <w:spacing w:after="40" w:before="40"/>
            </w:pPr>
            <w:r>
              <w:rPr>
                <w:color w:val="111827"/>
                <w:sz w:val="180"/>
                <w:szCs w:val="180"/>
              </w:rPr>
              <w:t xml:space="preserve">System</w:t>
            </w:r>
          </w:p>
        </w:tc>
        <w:tc>
          <w:tcPr>
            <w:tcMar>
              <w:top w:type="dxa" w:w="28"/>
              <w:left w:type="dxa" w:w="72"/>
              <w:bottom w:type="dxa" w:w="28"/>
              <w:right w:type="dxa" w:w="72"/>
            </w:tcMar>
          </w:tcPr>
          <w:p>
            <w:pPr>
              <w:spacing w:after="40" w:before="40"/>
            </w:pPr>
            <w:r>
              <w:rPr>
                <w:color w:val="111827"/>
                <w:sz w:val="180"/>
                <w:szCs w:val="180"/>
              </w:rPr>
              <w:t xml:space="preserve">Capalyst — Quality Management System</w:t>
            </w:r>
          </w:p>
        </w:tc>
      </w:tr>
      <w:tr>
        <w:tc>
          <w:tcPr>
            <w:tcMar>
              <w:top w:type="dxa" w:w="28"/>
              <w:left w:type="dxa" w:w="72"/>
              <w:bottom w:type="dxa" w:w="28"/>
              <w:right w:type="dxa" w:w="72"/>
            </w:tcMar>
          </w:tcPr>
          <w:p>
            <w:pPr>
              <w:spacing w:after="40" w:before="40"/>
            </w:pPr>
            <w:r>
              <w:rPr>
                <w:color w:val="111827"/>
                <w:sz w:val="180"/>
                <w:szCs w:val="180"/>
              </w:rPr>
              <w:t xml:space="preserve">Company</w:t>
            </w:r>
          </w:p>
        </w:tc>
        <w:tc>
          <w:tcPr>
            <w:tcMar>
              <w:top w:type="dxa" w:w="28"/>
              <w:left w:type="dxa" w:w="72"/>
              <w:bottom w:type="dxa" w:w="28"/>
              <w:right w:type="dxa" w:w="72"/>
            </w:tcMar>
          </w:tcPr>
          <w:p>
            <w:pPr>
              <w:spacing w:after="40" w:before="40"/>
            </w:pPr>
            <w:r>
              <w:rPr>
                <w:color w:val="111827"/>
                <w:sz w:val="180"/>
                <w:szCs w:val="180"/>
              </w:rPr>
              <w:t xml:space="preserve">CPT Pharma (Pty) Ltd</w:t>
            </w:r>
          </w:p>
        </w:tc>
      </w:tr>
      <w:tr>
        <w:tc>
          <w:tcPr>
            <w:tcMar>
              <w:top w:type="dxa" w:w="28"/>
              <w:left w:type="dxa" w:w="72"/>
              <w:bottom w:type="dxa" w:w="28"/>
              <w:right w:type="dxa" w:w="72"/>
            </w:tcMar>
          </w:tcPr>
          <w:p>
            <w:pPr>
              <w:spacing w:after="40" w:before="40"/>
            </w:pPr>
            <w:r>
              <w:rPr>
                <w:color w:val="111827"/>
                <w:sz w:val="180"/>
                <w:szCs w:val="180"/>
              </w:rPr>
              <w:t xml:space="preserve">Prepared by</w:t>
            </w:r>
          </w:p>
        </w:tc>
        <w:tc>
          <w:tcPr>
            <w:tcMar>
              <w:top w:type="dxa" w:w="28"/>
              <w:left w:type="dxa" w:w="72"/>
              <w:bottom w:type="dxa" w:w="28"/>
              <w:right w:type="dxa" w:w="72"/>
            </w:tcMar>
          </w:tcPr>
          <w:p>
            <w:pPr>
              <w:spacing w:after="40" w:before="40"/>
            </w:pPr>
            <w:r>
              <w:rPr>
                <w:color w:val="111827"/>
                <w:sz w:val="180"/>
                <w:szCs w:val="180"/>
              </w:rPr>
              <w:t xml:space="preserve">Validation Team</w:t>
            </w:r>
          </w:p>
        </w:tc>
      </w:tr>
      <w:tr>
        <w:tc>
          <w:tcPr>
            <w:tcMar>
              <w:top w:type="dxa" w:w="28"/>
              <w:left w:type="dxa" w:w="72"/>
              <w:bottom w:type="dxa" w:w="28"/>
              <w:right w:type="dxa" w:w="72"/>
            </w:tcMar>
          </w:tcPr>
          <w:p>
            <w:pPr>
              <w:spacing w:after="40" w:before="40"/>
            </w:pPr>
            <w:r>
              <w:rPr>
                <w:color w:val="111827"/>
                <w:sz w:val="180"/>
                <w:szCs w:val="180"/>
              </w:rPr>
              <w:t xml:space="preserve">Classification</w:t>
            </w:r>
          </w:p>
        </w:tc>
        <w:tc>
          <w:tcPr>
            <w:tcMar>
              <w:top w:type="dxa" w:w="28"/>
              <w:left w:type="dxa" w:w="72"/>
              <w:bottom w:type="dxa" w:w="28"/>
              <w:right w:type="dxa" w:w="72"/>
            </w:tcMar>
          </w:tcPr>
          <w:p>
            <w:pPr>
              <w:spacing w:after="40" w:before="40"/>
            </w:pPr>
            <w:r>
              <w:rPr>
                <w:color w:val="111827"/>
                <w:sz w:val="180"/>
                <w:szCs w:val="180"/>
              </w:rPr>
              <w:t xml:space="preserve">Confidential</w:t>
            </w:r>
          </w:p>
        </w:tc>
      </w:tr>
    </w:tbl>
    <w:p/>
    <w:p>
      <w:pPr>
        <w:pStyle w:val="Heading1"/>
        <w:spacing w:after="120" w:before="280"/>
        <w:rPr>
          <w:b/>
          <w:bCs/>
          <w:color w:val="1B2A4A"/>
          <w:sz w:val="280"/>
          <w:szCs w:val="280"/>
        </w:rPr>
      </w:pPr>
      <w:r>
        <w:t xml:space="preserve">1. Introduction</w:t>
      </w:r>
    </w:p>
    <w:p>
      <w:pPr>
        <w:spacing w:after="100"/>
      </w:pPr>
      <w:r>
        <w:rPr>
          <w:color w:val="111827"/>
          <w:sz w:val="200"/>
          <w:szCs w:val="200"/>
        </w:rPr>
        <w:t xml:space="preserve">This Validation Report summarises all validation activities performed for the Capalyst QMS v1.0.0 at CPT Pharma (Pty) Ltd. It provides the formal conclusion of the CSV project and is the key reference document for regulatory inspection.</w:t>
      </w:r>
    </w:p>
    <w:p/>
    <w:p>
      <w:pPr>
        <w:pStyle w:val="Heading1"/>
        <w:spacing w:after="120" w:before="280"/>
        <w:rPr>
          <w:b/>
          <w:bCs/>
          <w:color w:val="1B2A4A"/>
          <w:sz w:val="280"/>
          <w:szCs w:val="280"/>
        </w:rPr>
      </w:pPr>
      <w:r>
        <w:t xml:space="preserve">2. Validation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Attribute</w:t>
            </w:r>
          </w:p>
        </w:tc>
        <w:tc>
          <w:tcPr>
            <w:shd w:fill="1B2A4A" w:val="clear"/>
            <w:tcMar>
              <w:top w:type="dxa" w:w="28"/>
              <w:left w:type="dxa" w:w="72"/>
              <w:bottom w:type="dxa" w:w="28"/>
              <w:right w:type="dxa" w:w="72"/>
            </w:tcMar>
          </w:tcPr>
          <w:p>
            <w:pPr>
              <w:spacing w:after="40" w:before="40"/>
            </w:pPr>
            <w:r>
              <w:rPr>
                <w:b/>
                <w:bCs/>
                <w:color w:val="FFFFFF"/>
                <w:sz w:val="180"/>
                <w:szCs w:val="180"/>
              </w:rPr>
              <w:t xml:space="preserve">Detail</w:t>
            </w:r>
          </w:p>
        </w:tc>
      </w:tr>
      <w:tr>
        <w:tc>
          <w:tcPr>
            <w:tcMar>
              <w:top w:type="dxa" w:w="28"/>
              <w:left w:type="dxa" w:w="72"/>
              <w:bottom w:type="dxa" w:w="28"/>
              <w:right w:type="dxa" w:w="72"/>
            </w:tcMar>
          </w:tcPr>
          <w:p>
            <w:pPr>
              <w:spacing w:after="40" w:before="40"/>
            </w:pPr>
            <w:r>
              <w:rPr>
                <w:color w:val="111827"/>
                <w:sz w:val="180"/>
                <w:szCs w:val="180"/>
              </w:rPr>
              <w:t xml:space="preserve">System Validated</w:t>
            </w:r>
          </w:p>
        </w:tc>
        <w:tc>
          <w:tcPr>
            <w:tcMar>
              <w:top w:type="dxa" w:w="28"/>
              <w:left w:type="dxa" w:w="72"/>
              <w:bottom w:type="dxa" w:w="28"/>
              <w:right w:type="dxa" w:w="72"/>
            </w:tcMar>
          </w:tcPr>
          <w:p>
            <w:pPr>
              <w:spacing w:after="40" w:before="40"/>
            </w:pPr>
            <w:r>
              <w:rPr>
                <w:color w:val="111827"/>
                <w:sz w:val="180"/>
                <w:szCs w:val="180"/>
              </w:rPr>
              <w:t xml:space="preserve">Capalyst QMS v1.0.0</w:t>
            </w:r>
          </w:p>
        </w:tc>
      </w:tr>
      <w:tr>
        <w:tc>
          <w:tcPr>
            <w:tcMar>
              <w:top w:type="dxa" w:w="28"/>
              <w:left w:type="dxa" w:w="72"/>
              <w:bottom w:type="dxa" w:w="28"/>
              <w:right w:type="dxa" w:w="72"/>
            </w:tcMar>
          </w:tcPr>
          <w:p>
            <w:pPr>
              <w:spacing w:after="40" w:before="40"/>
            </w:pPr>
            <w:r>
              <w:rPr>
                <w:color w:val="111827"/>
                <w:sz w:val="180"/>
                <w:szCs w:val="180"/>
              </w:rPr>
              <w:t xml:space="preserve">Company</w:t>
            </w:r>
          </w:p>
        </w:tc>
        <w:tc>
          <w:tcPr>
            <w:tcMar>
              <w:top w:type="dxa" w:w="28"/>
              <w:left w:type="dxa" w:w="72"/>
              <w:bottom w:type="dxa" w:w="28"/>
              <w:right w:type="dxa" w:w="72"/>
            </w:tcMar>
          </w:tcPr>
          <w:p>
            <w:pPr>
              <w:spacing w:after="40" w:before="40"/>
            </w:pPr>
            <w:r>
              <w:rPr>
                <w:color w:val="111827"/>
                <w:sz w:val="180"/>
                <w:szCs w:val="180"/>
              </w:rPr>
              <w:t xml:space="preserve">CPT Pharma (Pty) Ltd</w:t>
            </w:r>
          </w:p>
        </w:tc>
      </w:tr>
      <w:tr>
        <w:tc>
          <w:tcPr>
            <w:tcMar>
              <w:top w:type="dxa" w:w="28"/>
              <w:left w:type="dxa" w:w="72"/>
              <w:bottom w:type="dxa" w:w="28"/>
              <w:right w:type="dxa" w:w="72"/>
            </w:tcMar>
          </w:tcPr>
          <w:p>
            <w:pPr>
              <w:spacing w:after="40" w:before="40"/>
            </w:pPr>
            <w:r>
              <w:rPr>
                <w:color w:val="111827"/>
                <w:sz w:val="180"/>
                <w:szCs w:val="180"/>
              </w:rPr>
              <w:t xml:space="preserve">Validation Type</w:t>
            </w:r>
          </w:p>
        </w:tc>
        <w:tc>
          <w:tcPr>
            <w:tcMar>
              <w:top w:type="dxa" w:w="28"/>
              <w:left w:type="dxa" w:w="72"/>
              <w:bottom w:type="dxa" w:w="28"/>
              <w:right w:type="dxa" w:w="72"/>
            </w:tcMar>
          </w:tcPr>
          <w:p>
            <w:pPr>
              <w:spacing w:after="40" w:before="40"/>
            </w:pPr>
            <w:r>
              <w:rPr>
                <w:color w:val="111827"/>
                <w:sz w:val="180"/>
                <w:szCs w:val="180"/>
              </w:rPr>
              <w:t xml:space="preserve">Initial validation — new system</w:t>
            </w:r>
          </w:p>
        </w:tc>
      </w:tr>
      <w:tr>
        <w:tc>
          <w:tcPr>
            <w:tcMar>
              <w:top w:type="dxa" w:w="28"/>
              <w:left w:type="dxa" w:w="72"/>
              <w:bottom w:type="dxa" w:w="28"/>
              <w:right w:type="dxa" w:w="72"/>
            </w:tcMar>
          </w:tcPr>
          <w:p>
            <w:pPr>
              <w:spacing w:after="40" w:before="40"/>
            </w:pPr>
            <w:r>
              <w:rPr>
                <w:color w:val="111827"/>
                <w:sz w:val="180"/>
                <w:szCs w:val="180"/>
              </w:rPr>
              <w:t xml:space="preserve">GxP Criticality</w:t>
            </w:r>
          </w:p>
        </w:tc>
        <w:tc>
          <w:tcPr>
            <w:tcMar>
              <w:top w:type="dxa" w:w="28"/>
              <w:left w:type="dxa" w:w="72"/>
              <w:bottom w:type="dxa" w:w="28"/>
              <w:right w:type="dxa" w:w="72"/>
            </w:tcMar>
          </w:tcPr>
          <w:p>
            <w:pPr>
              <w:spacing w:after="40" w:before="40"/>
            </w:pPr>
            <w:r>
              <w:rPr>
                <w:color w:val="111827"/>
                <w:sz w:val="180"/>
                <w:szCs w:val="180"/>
              </w:rPr>
              <w:t xml:space="preserve">HIGH — quality records with regulatory significance</w:t>
            </w:r>
          </w:p>
        </w:tc>
      </w:tr>
      <w:tr>
        <w:tc>
          <w:tcPr>
            <w:tcMar>
              <w:top w:type="dxa" w:w="28"/>
              <w:left w:type="dxa" w:w="72"/>
              <w:bottom w:type="dxa" w:w="28"/>
              <w:right w:type="dxa" w:w="72"/>
            </w:tcMar>
          </w:tcPr>
          <w:p>
            <w:pPr>
              <w:spacing w:after="40" w:before="40"/>
            </w:pPr>
            <w:r>
              <w:rPr>
                <w:color w:val="111827"/>
                <w:sz w:val="180"/>
                <w:szCs w:val="180"/>
              </w:rPr>
              <w:t xml:space="preserve">GAMP Category</w:t>
            </w:r>
          </w:p>
        </w:tc>
        <w:tc>
          <w:tcPr>
            <w:tcMar>
              <w:top w:type="dxa" w:w="28"/>
              <w:left w:type="dxa" w:w="72"/>
              <w:bottom w:type="dxa" w:w="28"/>
              <w:right w:type="dxa" w:w="72"/>
            </w:tcMar>
          </w:tcPr>
          <w:p>
            <w:pPr>
              <w:spacing w:after="40" w:before="40"/>
            </w:pPr>
            <w:r>
              <w:rPr>
                <w:color w:val="111827"/>
                <w:sz w:val="180"/>
                <w:szCs w:val="180"/>
              </w:rPr>
              <w:t xml:space="preserve">Category 5 — Custom Software</w:t>
            </w:r>
          </w:p>
        </w:tc>
      </w:tr>
      <w:tr>
        <w:tc>
          <w:tcPr>
            <w:tcMar>
              <w:top w:type="dxa" w:w="28"/>
              <w:left w:type="dxa" w:w="72"/>
              <w:bottom w:type="dxa" w:w="28"/>
              <w:right w:type="dxa" w:w="72"/>
            </w:tcMar>
          </w:tcPr>
          <w:p>
            <w:pPr>
              <w:spacing w:after="40" w:before="40"/>
            </w:pPr>
            <w:r>
              <w:rPr>
                <w:color w:val="111827"/>
                <w:sz w:val="180"/>
                <w:szCs w:val="180"/>
              </w:rPr>
              <w:t xml:space="preserve">Validation Period</w:t>
            </w:r>
          </w:p>
        </w:tc>
        <w:tc>
          <w:tcPr>
            <w:tcMar>
              <w:top w:type="dxa" w:w="28"/>
              <w:left w:type="dxa" w:w="72"/>
              <w:bottom w:type="dxa" w:w="28"/>
              <w:right w:type="dxa" w:w="72"/>
            </w:tcMar>
          </w:tcPr>
          <w:p>
            <w:pPr>
              <w:spacing w:after="40" w:before="40"/>
            </w:pPr>
            <w:r>
              <w:rPr>
                <w:color w:val="111827"/>
                <w:sz w:val="180"/>
                <w:szCs w:val="180"/>
              </w:rPr>
              <w:t xml:space="preserve">2026-05-01 to 2026-06-25</w:t>
            </w:r>
          </w:p>
        </w:tc>
      </w:tr>
      <w:tr>
        <w:tc>
          <w:tcPr>
            <w:tcMar>
              <w:top w:type="dxa" w:w="28"/>
              <w:left w:type="dxa" w:w="72"/>
              <w:bottom w:type="dxa" w:w="28"/>
              <w:right w:type="dxa" w:w="72"/>
            </w:tcMar>
          </w:tcPr>
          <w:p>
            <w:pPr>
              <w:spacing w:after="40" w:before="40"/>
            </w:pPr>
            <w:r>
              <w:rPr>
                <w:color w:val="111827"/>
                <w:sz w:val="180"/>
                <w:szCs w:val="180"/>
              </w:rPr>
              <w:t xml:space="preserve">Regulatory Framework</w:t>
            </w:r>
          </w:p>
        </w:tc>
        <w:tc>
          <w:tcPr>
            <w:tcMar>
              <w:top w:type="dxa" w:w="28"/>
              <w:left w:type="dxa" w:w="72"/>
              <w:bottom w:type="dxa" w:w="28"/>
              <w:right w:type="dxa" w:w="72"/>
            </w:tcMar>
          </w:tcPr>
          <w:p>
            <w:pPr>
              <w:spacing w:after="40" w:before="40"/>
            </w:pPr>
            <w:r>
              <w:rPr>
                <w:color w:val="111827"/>
                <w:sz w:val="180"/>
                <w:szCs w:val="180"/>
              </w:rPr>
              <w:t xml:space="preserve">EU GMP Annex 11, 21 CFR Part 11, PIC/S PI 011-3, GAMP 5 (2nd Ed.)</w:t>
            </w:r>
          </w:p>
        </w:tc>
      </w:tr>
    </w:tbl>
    <w:p/>
    <w:p>
      <w:pPr>
        <w:pStyle w:val="Heading1"/>
        <w:spacing w:after="120" w:before="280"/>
        <w:rPr>
          <w:b/>
          <w:bCs/>
          <w:color w:val="1B2A4A"/>
          <w:sz w:val="280"/>
          <w:szCs w:val="280"/>
        </w:rPr>
      </w:pPr>
      <w:r>
        <w:t xml:space="preserve">3. Deliverables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1200"/>
        <w:gridCol w:w="16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Document</w:t>
            </w:r>
          </w:p>
        </w:tc>
        <w:tc>
          <w:tcPr>
            <w:shd w:fill="1B2A4A" w:val="clear"/>
            <w:tcMar>
              <w:top w:type="dxa" w:w="28"/>
              <w:left w:type="dxa" w:w="72"/>
              <w:bottom w:type="dxa" w:w="28"/>
              <w:right w:type="dxa" w:w="72"/>
            </w:tcMar>
          </w:tcPr>
          <w:p>
            <w:pPr>
              <w:spacing w:after="40" w:before="40"/>
            </w:pPr>
            <w:r>
              <w:rPr>
                <w:b/>
                <w:bCs/>
                <w:color w:val="FFFFFF"/>
                <w:sz w:val="180"/>
                <w:szCs w:val="180"/>
              </w:rPr>
              <w:t xml:space="preserve">Document Number</w:t>
            </w:r>
          </w:p>
        </w:tc>
        <w:tc>
          <w:tcPr>
            <w:shd w:fill="1B2A4A" w:val="clear"/>
            <w:tcMar>
              <w:top w:type="dxa" w:w="28"/>
              <w:left w:type="dxa" w:w="72"/>
              <w:bottom w:type="dxa" w:w="28"/>
              <w:right w:type="dxa" w:w="72"/>
            </w:tcMar>
          </w:tcPr>
          <w:p>
            <w:pPr>
              <w:spacing w:after="40" w:before="40"/>
            </w:pPr>
            <w:r>
              <w:rPr>
                <w:b/>
                <w:bCs/>
                <w:color w:val="FFFFFF"/>
                <w:sz w:val="180"/>
                <w:szCs w:val="180"/>
              </w:rPr>
              <w:t xml:space="preserve">Version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Status</w:t>
            </w:r>
          </w:p>
        </w:tc>
      </w:tr>
      <w:tr>
        <w:tc>
          <w:tcPr>
            <w:tcMar>
              <w:top w:type="dxa" w:w="28"/>
              <w:left w:type="dxa" w:w="72"/>
              <w:bottom w:type="dxa" w:w="28"/>
              <w:right w:type="dxa" w:w="72"/>
            </w:tcMar>
          </w:tcPr>
          <w:p>
            <w:pPr>
              <w:spacing w:after="40" w:before="40"/>
            </w:pPr>
            <w:r>
              <w:rPr>
                <w:color w:val="111827"/>
                <w:sz w:val="180"/>
                <w:szCs w:val="180"/>
              </w:rPr>
              <w:t xml:space="preserve">Project Plan</w:t>
            </w:r>
          </w:p>
        </w:tc>
        <w:tc>
          <w:tcPr>
            <w:tcMar>
              <w:top w:type="dxa" w:w="28"/>
              <w:left w:type="dxa" w:w="72"/>
              <w:bottom w:type="dxa" w:w="28"/>
              <w:right w:type="dxa" w:w="72"/>
            </w:tcMar>
          </w:tcPr>
          <w:p>
            <w:pPr>
              <w:spacing w:after="40" w:before="40"/>
            </w:pPr>
            <w:r>
              <w:rPr>
                <w:color w:val="111827"/>
                <w:sz w:val="180"/>
                <w:szCs w:val="180"/>
              </w:rPr>
              <w:t xml:space="preserve">CPT-VL-ISVP-PP Capalyst-001</w:t>
            </w:r>
          </w:p>
        </w:tc>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System Criticality Assessment</w:t>
            </w:r>
          </w:p>
        </w:tc>
        <w:tc>
          <w:tcPr>
            <w:tcMar>
              <w:top w:type="dxa" w:w="28"/>
              <w:left w:type="dxa" w:w="72"/>
              <w:bottom w:type="dxa" w:w="28"/>
              <w:right w:type="dxa" w:w="72"/>
            </w:tcMar>
          </w:tcPr>
          <w:p>
            <w:pPr>
              <w:spacing w:after="40" w:before="40"/>
            </w:pPr>
            <w:r>
              <w:rPr>
                <w:color w:val="111827"/>
                <w:sz w:val="180"/>
                <w:szCs w:val="180"/>
              </w:rPr>
              <w:t xml:space="preserve">CPT-VL-ISVP-SCA Capalyst-001</w:t>
            </w:r>
          </w:p>
        </w:tc>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User Requirements Specification</w:t>
            </w:r>
          </w:p>
        </w:tc>
        <w:tc>
          <w:tcPr>
            <w:tcMar>
              <w:top w:type="dxa" w:w="28"/>
              <w:left w:type="dxa" w:w="72"/>
              <w:bottom w:type="dxa" w:w="28"/>
              <w:right w:type="dxa" w:w="72"/>
            </w:tcMar>
          </w:tcPr>
          <w:p>
            <w:pPr>
              <w:spacing w:after="40" w:before="40"/>
            </w:pPr>
            <w:r>
              <w:rPr>
                <w:color w:val="111827"/>
                <w:sz w:val="180"/>
                <w:szCs w:val="180"/>
              </w:rPr>
              <w:t xml:space="preserve">CPT-VL-ISVP-UR Capalyst-001</w:t>
            </w:r>
          </w:p>
        </w:tc>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Validation Plan</w:t>
            </w:r>
          </w:p>
        </w:tc>
        <w:tc>
          <w:tcPr>
            <w:tcMar>
              <w:top w:type="dxa" w:w="28"/>
              <w:left w:type="dxa" w:w="72"/>
              <w:bottom w:type="dxa" w:w="28"/>
              <w:right w:type="dxa" w:w="72"/>
            </w:tcMar>
          </w:tcPr>
          <w:p>
            <w:pPr>
              <w:spacing w:after="40" w:before="40"/>
            </w:pPr>
            <w:r>
              <w:rPr>
                <w:color w:val="111827"/>
                <w:sz w:val="180"/>
                <w:szCs w:val="180"/>
              </w:rPr>
              <w:t xml:space="preserve">CPT-VL-ISVP-VP Capalyst-001</w:t>
            </w:r>
          </w:p>
        </w:tc>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Architecture Specification</w:t>
            </w:r>
          </w:p>
        </w:tc>
        <w:tc>
          <w:tcPr>
            <w:tcMar>
              <w:top w:type="dxa" w:w="28"/>
              <w:left w:type="dxa" w:w="72"/>
              <w:bottom w:type="dxa" w:w="28"/>
              <w:right w:type="dxa" w:w="72"/>
            </w:tcMar>
          </w:tcPr>
          <w:p>
            <w:pPr>
              <w:spacing w:after="40" w:before="40"/>
            </w:pPr>
            <w:r>
              <w:rPr>
                <w:color w:val="111827"/>
                <w:sz w:val="180"/>
                <w:szCs w:val="180"/>
              </w:rPr>
              <w:t xml:space="preserve">CPT-VL-ISVP-ArS Capalyst-001</w:t>
            </w:r>
          </w:p>
        </w:tc>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Data Migration Plan</w:t>
            </w:r>
          </w:p>
        </w:tc>
        <w:tc>
          <w:tcPr>
            <w:tcMar>
              <w:top w:type="dxa" w:w="28"/>
              <w:left w:type="dxa" w:w="72"/>
              <w:bottom w:type="dxa" w:w="28"/>
              <w:right w:type="dxa" w:w="72"/>
            </w:tcMar>
          </w:tcPr>
          <w:p>
            <w:pPr>
              <w:spacing w:after="40" w:before="40"/>
            </w:pPr>
            <w:r>
              <w:rPr>
                <w:color w:val="111827"/>
                <w:sz w:val="180"/>
                <w:szCs w:val="180"/>
              </w:rPr>
              <w:t xml:space="preserve">CPT-VL-ISVP-DMP Capalyst-001</w:t>
            </w:r>
          </w:p>
        </w:tc>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Installation Qualification</w:t>
            </w:r>
          </w:p>
        </w:tc>
        <w:tc>
          <w:tcPr>
            <w:tcMar>
              <w:top w:type="dxa" w:w="28"/>
              <w:left w:type="dxa" w:w="72"/>
              <w:bottom w:type="dxa" w:w="28"/>
              <w:right w:type="dxa" w:w="72"/>
            </w:tcMar>
          </w:tcPr>
          <w:p>
            <w:pPr>
              <w:spacing w:after="40" w:before="40"/>
            </w:pPr>
            <w:r>
              <w:rPr>
                <w:color w:val="111827"/>
                <w:sz w:val="180"/>
                <w:szCs w:val="180"/>
              </w:rPr>
              <w:t xml:space="preserve">CPT-VL-ISVP-IQ Capalyst-001</w:t>
            </w:r>
          </w:p>
        </w:tc>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Infrastructure &amp; Application Operations Manual</w:t>
            </w:r>
          </w:p>
        </w:tc>
        <w:tc>
          <w:tcPr>
            <w:tcMar>
              <w:top w:type="dxa" w:w="28"/>
              <w:left w:type="dxa" w:w="72"/>
              <w:bottom w:type="dxa" w:w="28"/>
              <w:right w:type="dxa" w:w="72"/>
            </w:tcMar>
          </w:tcPr>
          <w:p>
            <w:pPr>
              <w:spacing w:after="40" w:before="40"/>
            </w:pPr>
            <w:r>
              <w:rPr>
                <w:color w:val="111827"/>
                <w:sz w:val="180"/>
                <w:szCs w:val="180"/>
              </w:rPr>
              <w:t xml:space="preserve">CPT-VL-ISVP-IAOM Capalyst-001</w:t>
            </w:r>
          </w:p>
        </w:tc>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Test Report</w:t>
            </w:r>
          </w:p>
        </w:tc>
        <w:tc>
          <w:tcPr>
            <w:tcMar>
              <w:top w:type="dxa" w:w="28"/>
              <w:left w:type="dxa" w:w="72"/>
              <w:bottom w:type="dxa" w:w="28"/>
              <w:right w:type="dxa" w:w="72"/>
            </w:tcMar>
          </w:tcPr>
          <w:p>
            <w:pPr>
              <w:spacing w:after="40" w:before="40"/>
            </w:pPr>
            <w:r>
              <w:rPr>
                <w:color w:val="111827"/>
                <w:sz w:val="180"/>
                <w:szCs w:val="180"/>
              </w:rPr>
              <w:t xml:space="preserve">CPT-VL-ISVP-TR Capalyst-001</w:t>
            </w:r>
          </w:p>
        </w:tc>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Database Comparison</w:t>
            </w:r>
          </w:p>
        </w:tc>
        <w:tc>
          <w:tcPr>
            <w:tcMar>
              <w:top w:type="dxa" w:w="28"/>
              <w:left w:type="dxa" w:w="72"/>
              <w:bottom w:type="dxa" w:w="28"/>
              <w:right w:type="dxa" w:w="72"/>
            </w:tcMar>
          </w:tcPr>
          <w:p>
            <w:pPr>
              <w:spacing w:after="40" w:before="40"/>
            </w:pPr>
            <w:r>
              <w:rPr>
                <w:color w:val="111827"/>
                <w:sz w:val="180"/>
                <w:szCs w:val="180"/>
              </w:rPr>
              <w:t xml:space="preserve">CPT-VL-ISVP-DBC Capalyst-001</w:t>
            </w:r>
          </w:p>
        </w:tc>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Authorization for Use</w:t>
            </w:r>
          </w:p>
        </w:tc>
        <w:tc>
          <w:tcPr>
            <w:tcMar>
              <w:top w:type="dxa" w:w="28"/>
              <w:left w:type="dxa" w:w="72"/>
              <w:bottom w:type="dxa" w:w="28"/>
              <w:right w:type="dxa" w:w="72"/>
            </w:tcMar>
          </w:tcPr>
          <w:p>
            <w:pPr>
              <w:spacing w:after="40" w:before="40"/>
            </w:pPr>
            <w:r>
              <w:rPr>
                <w:color w:val="111827"/>
                <w:sz w:val="180"/>
                <w:szCs w:val="180"/>
              </w:rPr>
              <w:t xml:space="preserve">CPT-VL-ISVP-AFU Capalyst-001</w:t>
            </w:r>
          </w:p>
        </w:tc>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Approved</w:t>
            </w:r>
          </w:p>
        </w:tc>
      </w:tr>
    </w:tbl>
    <w:p/>
    <w:p>
      <w:pPr>
        <w:pStyle w:val="Heading1"/>
        <w:spacing w:after="120" w:before="280"/>
        <w:rPr>
          <w:b/>
          <w:bCs/>
          <w:color w:val="1B2A4A"/>
          <w:sz w:val="280"/>
          <w:szCs w:val="280"/>
        </w:rPr>
      </w:pPr>
      <w:r>
        <w:t xml:space="preserve">4. Scope Coverage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3000"/>
        <w:gridCol w:w="26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Module / Area</w:t>
            </w:r>
          </w:p>
        </w:tc>
        <w:tc>
          <w:tcPr>
            <w:shd w:fill="1B2A4A" w:val="clear"/>
            <w:tcMar>
              <w:top w:type="dxa" w:w="28"/>
              <w:left w:type="dxa" w:w="72"/>
              <w:bottom w:type="dxa" w:w="28"/>
              <w:right w:type="dxa" w:w="72"/>
            </w:tcMar>
          </w:tcPr>
          <w:p>
            <w:pPr>
              <w:spacing w:after="40" w:before="40"/>
            </w:pPr>
            <w:r>
              <w:rPr>
                <w:b/>
                <w:bCs/>
                <w:color w:val="FFFFFF"/>
                <w:sz w:val="180"/>
                <w:szCs w:val="180"/>
              </w:rPr>
              <w:t xml:space="preserve">Tested?</w:t>
            </w:r>
          </w:p>
        </w:tc>
        <w:tc>
          <w:tcPr>
            <w:shd w:fill="1B2A4A" w:val="clear"/>
            <w:tcMar>
              <w:top w:type="dxa" w:w="28"/>
              <w:left w:type="dxa" w:w="72"/>
              <w:bottom w:type="dxa" w:w="28"/>
              <w:right w:type="dxa" w:w="72"/>
            </w:tcMar>
          </w:tcPr>
          <w:p>
            <w:pPr>
              <w:spacing w:after="40" w:before="40"/>
            </w:pPr>
            <w:r>
              <w:rPr>
                <w:b/>
                <w:bCs/>
                <w:color w:val="FFFFFF"/>
                <w:sz w:val="180"/>
                <w:szCs w:val="180"/>
              </w:rPr>
              <w:t xml:space="preserve">Requirements Covered</w:t>
            </w:r>
          </w:p>
        </w:tc>
        <w:tc>
          <w:tcPr>
            <w:shd w:fill="1B2A4A" w:val="clear"/>
            <w:tcMar>
              <w:top w:type="dxa" w:w="28"/>
              <w:left w:type="dxa" w:w="72"/>
              <w:bottom w:type="dxa" w:w="28"/>
              <w:right w:type="dxa" w:w="72"/>
            </w:tcMar>
          </w:tcPr>
          <w:p>
            <w:pPr>
              <w:spacing w:after="40" w:before="40"/>
            </w:pPr>
            <w:r>
              <w:rPr>
                <w:b/>
                <w:bCs/>
                <w:color w:val="FFFFFF"/>
                <w:sz w:val="180"/>
                <w:szCs w:val="180"/>
              </w:rPr>
              <w:t xml:space="preserve">Result</w:t>
            </w:r>
          </w:p>
        </w:tc>
      </w:tr>
      <w:tr>
        <w:tc>
          <w:tcPr>
            <w:tcMar>
              <w:top w:type="dxa" w:w="28"/>
              <w:left w:type="dxa" w:w="72"/>
              <w:bottom w:type="dxa" w:w="28"/>
              <w:right w:type="dxa" w:w="72"/>
            </w:tcMar>
          </w:tcPr>
          <w:p>
            <w:pPr>
              <w:spacing w:after="40" w:before="40"/>
            </w:pPr>
            <w:r>
              <w:rPr>
                <w:color w:val="111827"/>
                <w:sz w:val="180"/>
                <w:szCs w:val="180"/>
              </w:rPr>
              <w:t xml:space="preserve">Authentication and RBAC</w:t>
            </w:r>
          </w:p>
        </w:tc>
        <w:tc>
          <w:tcPr>
            <w:tcMar>
              <w:top w:type="dxa" w:w="28"/>
              <w:left w:type="dxa" w:w="72"/>
              <w:bottom w:type="dxa" w:w="28"/>
              <w:right w:type="dxa" w:w="72"/>
            </w:tcMar>
          </w:tcPr>
          <w:p>
            <w:pPr>
              <w:spacing w:after="40" w:before="40"/>
            </w:pPr>
            <w:r>
              <w:rPr>
                <w:color w:val="111827"/>
                <w:sz w:val="180"/>
                <w:szCs w:val="180"/>
              </w:rPr>
              <w:t xml:space="preserve">YES</w:t>
            </w:r>
          </w:p>
        </w:tc>
        <w:tc>
          <w:tcPr>
            <w:tcMar>
              <w:top w:type="dxa" w:w="28"/>
              <w:left w:type="dxa" w:w="72"/>
              <w:bottom w:type="dxa" w:w="28"/>
              <w:right w:type="dxa" w:w="72"/>
            </w:tcMar>
          </w:tcPr>
          <w:p>
            <w:pPr>
              <w:spacing w:after="40" w:before="40"/>
            </w:pPr>
            <w:r>
              <w:rPr>
                <w:color w:val="111827"/>
                <w:sz w:val="180"/>
                <w:szCs w:val="180"/>
              </w:rPr>
              <w:t xml:space="preserve">GEN-001 to GEN-006, USR-001 to USR-006</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Deviations</w:t>
            </w:r>
          </w:p>
        </w:tc>
        <w:tc>
          <w:tcPr>
            <w:tcMar>
              <w:top w:type="dxa" w:w="28"/>
              <w:left w:type="dxa" w:w="72"/>
              <w:bottom w:type="dxa" w:w="28"/>
              <w:right w:type="dxa" w:w="72"/>
            </w:tcMar>
          </w:tcPr>
          <w:p>
            <w:pPr>
              <w:spacing w:after="40" w:before="40"/>
            </w:pPr>
            <w:r>
              <w:rPr>
                <w:color w:val="111827"/>
                <w:sz w:val="180"/>
                <w:szCs w:val="180"/>
              </w:rPr>
              <w:t xml:space="preserve">YES</w:t>
            </w:r>
          </w:p>
        </w:tc>
        <w:tc>
          <w:tcPr>
            <w:tcMar>
              <w:top w:type="dxa" w:w="28"/>
              <w:left w:type="dxa" w:w="72"/>
              <w:bottom w:type="dxa" w:w="28"/>
              <w:right w:type="dxa" w:w="72"/>
            </w:tcMar>
          </w:tcPr>
          <w:p>
            <w:pPr>
              <w:spacing w:after="40" w:before="40"/>
            </w:pPr>
            <w:r>
              <w:rPr>
                <w:color w:val="111827"/>
                <w:sz w:val="180"/>
                <w:szCs w:val="180"/>
              </w:rPr>
              <w:t xml:space="preserve">DEV-001 to DEV-009</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CAPA</w:t>
            </w:r>
          </w:p>
        </w:tc>
        <w:tc>
          <w:tcPr>
            <w:tcMar>
              <w:top w:type="dxa" w:w="28"/>
              <w:left w:type="dxa" w:w="72"/>
              <w:bottom w:type="dxa" w:w="28"/>
              <w:right w:type="dxa" w:w="72"/>
            </w:tcMar>
          </w:tcPr>
          <w:p>
            <w:pPr>
              <w:spacing w:after="40" w:before="40"/>
            </w:pPr>
            <w:r>
              <w:rPr>
                <w:color w:val="111827"/>
                <w:sz w:val="180"/>
                <w:szCs w:val="180"/>
              </w:rPr>
              <w:t xml:space="preserve">YES</w:t>
            </w:r>
          </w:p>
        </w:tc>
        <w:tc>
          <w:tcPr>
            <w:tcMar>
              <w:top w:type="dxa" w:w="28"/>
              <w:left w:type="dxa" w:w="72"/>
              <w:bottom w:type="dxa" w:w="28"/>
              <w:right w:type="dxa" w:w="72"/>
            </w:tcMar>
          </w:tcPr>
          <w:p>
            <w:pPr>
              <w:spacing w:after="40" w:before="40"/>
            </w:pPr>
            <w:r>
              <w:rPr>
                <w:color w:val="111827"/>
                <w:sz w:val="180"/>
                <w:szCs w:val="180"/>
              </w:rPr>
              <w:t xml:space="preserve">CAP-001 to CAP-007</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Change Control</w:t>
            </w:r>
          </w:p>
        </w:tc>
        <w:tc>
          <w:tcPr>
            <w:tcMar>
              <w:top w:type="dxa" w:w="28"/>
              <w:left w:type="dxa" w:w="72"/>
              <w:bottom w:type="dxa" w:w="28"/>
              <w:right w:type="dxa" w:w="72"/>
            </w:tcMar>
          </w:tcPr>
          <w:p>
            <w:pPr>
              <w:spacing w:after="40" w:before="40"/>
            </w:pPr>
            <w:r>
              <w:rPr>
                <w:color w:val="111827"/>
                <w:sz w:val="180"/>
                <w:szCs w:val="180"/>
              </w:rPr>
              <w:t xml:space="preserve">YES</w:t>
            </w:r>
          </w:p>
        </w:tc>
        <w:tc>
          <w:tcPr>
            <w:tcMar>
              <w:top w:type="dxa" w:w="28"/>
              <w:left w:type="dxa" w:w="72"/>
              <w:bottom w:type="dxa" w:w="28"/>
              <w:right w:type="dxa" w:w="72"/>
            </w:tcMar>
          </w:tcPr>
          <w:p>
            <w:pPr>
              <w:spacing w:after="40" w:before="40"/>
            </w:pPr>
            <w:r>
              <w:rPr>
                <w:color w:val="111827"/>
                <w:sz w:val="180"/>
                <w:szCs w:val="180"/>
              </w:rPr>
              <w:t xml:space="preserve">CC-001 to CC-007</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Risk Assessment (FMEA)</w:t>
            </w:r>
          </w:p>
        </w:tc>
        <w:tc>
          <w:tcPr>
            <w:tcMar>
              <w:top w:type="dxa" w:w="28"/>
              <w:left w:type="dxa" w:w="72"/>
              <w:bottom w:type="dxa" w:w="28"/>
              <w:right w:type="dxa" w:w="72"/>
            </w:tcMar>
          </w:tcPr>
          <w:p>
            <w:pPr>
              <w:spacing w:after="40" w:before="40"/>
            </w:pPr>
            <w:r>
              <w:rPr>
                <w:color w:val="111827"/>
                <w:sz w:val="180"/>
                <w:szCs w:val="180"/>
              </w:rPr>
              <w:t xml:space="preserve">YES</w:t>
            </w:r>
          </w:p>
        </w:tc>
        <w:tc>
          <w:tcPr>
            <w:tcMar>
              <w:top w:type="dxa" w:w="28"/>
              <w:left w:type="dxa" w:w="72"/>
              <w:bottom w:type="dxa" w:w="28"/>
              <w:right w:type="dxa" w:w="72"/>
            </w:tcMar>
          </w:tcPr>
          <w:p>
            <w:pPr>
              <w:spacing w:after="40" w:before="40"/>
            </w:pPr>
            <w:r>
              <w:rPr>
                <w:color w:val="111827"/>
                <w:sz w:val="180"/>
                <w:szCs w:val="180"/>
              </w:rPr>
              <w:t xml:space="preserve">RA-001 to RA-009</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Dashboard</w:t>
            </w:r>
          </w:p>
        </w:tc>
        <w:tc>
          <w:tcPr>
            <w:tcMar>
              <w:top w:type="dxa" w:w="28"/>
              <w:left w:type="dxa" w:w="72"/>
              <w:bottom w:type="dxa" w:w="28"/>
              <w:right w:type="dxa" w:w="72"/>
            </w:tcMar>
          </w:tcPr>
          <w:p>
            <w:pPr>
              <w:spacing w:after="40" w:before="40"/>
            </w:pPr>
            <w:r>
              <w:rPr>
                <w:color w:val="111827"/>
                <w:sz w:val="180"/>
                <w:szCs w:val="180"/>
              </w:rPr>
              <w:t xml:space="preserve">YES</w:t>
            </w:r>
          </w:p>
        </w:tc>
        <w:tc>
          <w:tcPr>
            <w:tcMar>
              <w:top w:type="dxa" w:w="28"/>
              <w:left w:type="dxa" w:w="72"/>
              <w:bottom w:type="dxa" w:w="28"/>
              <w:right w:type="dxa" w:w="72"/>
            </w:tcMar>
          </w:tcPr>
          <w:p>
            <w:pPr>
              <w:spacing w:after="40" w:before="40"/>
            </w:pPr>
            <w:r>
              <w:rPr>
                <w:color w:val="111827"/>
                <w:sz w:val="180"/>
                <w:szCs w:val="180"/>
              </w:rPr>
              <w:t xml:space="preserve">DASH-001 to DASH-004</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Audit Trail</w:t>
            </w:r>
          </w:p>
        </w:tc>
        <w:tc>
          <w:tcPr>
            <w:tcMar>
              <w:top w:type="dxa" w:w="28"/>
              <w:left w:type="dxa" w:w="72"/>
              <w:bottom w:type="dxa" w:w="28"/>
              <w:right w:type="dxa" w:w="72"/>
            </w:tcMar>
          </w:tcPr>
          <w:p>
            <w:pPr>
              <w:spacing w:after="40" w:before="40"/>
            </w:pPr>
            <w:r>
              <w:rPr>
                <w:color w:val="111827"/>
                <w:sz w:val="180"/>
                <w:szCs w:val="180"/>
              </w:rPr>
              <w:t xml:space="preserve">YES</w:t>
            </w:r>
          </w:p>
        </w:tc>
        <w:tc>
          <w:tcPr>
            <w:tcMar>
              <w:top w:type="dxa" w:w="28"/>
              <w:left w:type="dxa" w:w="72"/>
              <w:bottom w:type="dxa" w:w="28"/>
              <w:right w:type="dxa" w:w="72"/>
            </w:tcMar>
          </w:tcPr>
          <w:p>
            <w:pPr>
              <w:spacing w:after="40" w:before="40"/>
            </w:pPr>
            <w:r>
              <w:rPr>
                <w:color w:val="111827"/>
                <w:sz w:val="180"/>
                <w:szCs w:val="180"/>
              </w:rPr>
              <w:t xml:space="preserve">GEN-004 to GEN-006, NFR-006</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21 CFR Part 11 compliance</w:t>
            </w:r>
          </w:p>
        </w:tc>
        <w:tc>
          <w:tcPr>
            <w:tcMar>
              <w:top w:type="dxa" w:w="28"/>
              <w:left w:type="dxa" w:w="72"/>
              <w:bottom w:type="dxa" w:w="28"/>
              <w:right w:type="dxa" w:w="72"/>
            </w:tcMar>
          </w:tcPr>
          <w:p>
            <w:pPr>
              <w:spacing w:after="40" w:before="40"/>
            </w:pPr>
            <w:r>
              <w:rPr>
                <w:color w:val="111827"/>
                <w:sz w:val="180"/>
                <w:szCs w:val="180"/>
              </w:rPr>
              <w:t xml:space="preserve">YES</w:t>
            </w:r>
          </w:p>
        </w:tc>
        <w:tc>
          <w:tcPr>
            <w:tcMar>
              <w:top w:type="dxa" w:w="28"/>
              <w:left w:type="dxa" w:w="72"/>
              <w:bottom w:type="dxa" w:w="28"/>
              <w:right w:type="dxa" w:w="72"/>
            </w:tcMar>
          </w:tcPr>
          <w:p>
            <w:pPr>
              <w:spacing w:after="40" w:before="40"/>
            </w:pPr>
            <w:r>
              <w:rPr>
                <w:color w:val="111827"/>
                <w:sz w:val="180"/>
                <w:szCs w:val="180"/>
              </w:rPr>
              <w:t xml:space="preserve">All §11.10 checklist items</w:t>
            </w:r>
          </w:p>
        </w:tc>
        <w:tc>
          <w:tcPr>
            <w:tcMar>
              <w:top w:type="dxa" w:w="28"/>
              <w:left w:type="dxa" w:w="72"/>
              <w:bottom w:type="dxa" w:w="28"/>
              <w:right w:type="dxa" w:w="72"/>
            </w:tcMar>
          </w:tcPr>
          <w:p>
            <w:pPr>
              <w:spacing w:after="40" w:before="40"/>
            </w:pPr>
            <w:r>
              <w:rPr>
                <w:color w:val="111827"/>
                <w:sz w:val="180"/>
                <w:szCs w:val="180"/>
              </w:rPr>
              <w:t xml:space="preserve">COMPLIANT</w:t>
            </w:r>
          </w:p>
        </w:tc>
      </w:tr>
      <w:tr>
        <w:tc>
          <w:tcPr>
            <w:tcMar>
              <w:top w:type="dxa" w:w="28"/>
              <w:left w:type="dxa" w:w="72"/>
              <w:bottom w:type="dxa" w:w="28"/>
              <w:right w:type="dxa" w:w="72"/>
            </w:tcMar>
          </w:tcPr>
          <w:p>
            <w:pPr>
              <w:spacing w:after="40" w:before="40"/>
            </w:pPr>
            <w:r>
              <w:rPr>
                <w:color w:val="111827"/>
                <w:sz w:val="180"/>
                <w:szCs w:val="180"/>
              </w:rPr>
              <w:t xml:space="preserve">EU GMP Annex 11 compliance</w:t>
            </w:r>
          </w:p>
        </w:tc>
        <w:tc>
          <w:tcPr>
            <w:tcMar>
              <w:top w:type="dxa" w:w="28"/>
              <w:left w:type="dxa" w:w="72"/>
              <w:bottom w:type="dxa" w:w="28"/>
              <w:right w:type="dxa" w:w="72"/>
            </w:tcMar>
          </w:tcPr>
          <w:p>
            <w:pPr>
              <w:spacing w:after="40" w:before="40"/>
            </w:pPr>
            <w:r>
              <w:rPr>
                <w:color w:val="111827"/>
                <w:sz w:val="180"/>
                <w:szCs w:val="180"/>
              </w:rPr>
              <w:t xml:space="preserve">YES</w:t>
            </w:r>
          </w:p>
        </w:tc>
        <w:tc>
          <w:tcPr>
            <w:tcMar>
              <w:top w:type="dxa" w:w="28"/>
              <w:left w:type="dxa" w:w="72"/>
              <w:bottom w:type="dxa" w:w="28"/>
              <w:right w:type="dxa" w:w="72"/>
            </w:tcMar>
          </w:tcPr>
          <w:p>
            <w:pPr>
              <w:spacing w:after="40" w:before="40"/>
            </w:pPr>
            <w:r>
              <w:rPr>
                <w:color w:val="111827"/>
                <w:sz w:val="180"/>
                <w:szCs w:val="180"/>
              </w:rPr>
              <w:t xml:space="preserve">Annex 11 §1, §4, §9, §12</w:t>
            </w:r>
          </w:p>
        </w:tc>
        <w:tc>
          <w:tcPr>
            <w:tcMar>
              <w:top w:type="dxa" w:w="28"/>
              <w:left w:type="dxa" w:w="72"/>
              <w:bottom w:type="dxa" w:w="28"/>
              <w:right w:type="dxa" w:w="72"/>
            </w:tcMar>
          </w:tcPr>
          <w:p>
            <w:pPr>
              <w:spacing w:after="40" w:before="40"/>
            </w:pPr>
            <w:r>
              <w:rPr>
                <w:color w:val="111827"/>
                <w:sz w:val="180"/>
                <w:szCs w:val="180"/>
              </w:rPr>
              <w:t xml:space="preserve">COMPLIANT</w:t>
            </w:r>
          </w:p>
        </w:tc>
      </w:tr>
    </w:tbl>
    <w:p/>
    <w:p>
      <w:pPr>
        <w:pStyle w:val="Heading1"/>
        <w:spacing w:after="120" w:before="280"/>
        <w:rPr>
          <w:b/>
          <w:bCs/>
          <w:color w:val="1B2A4A"/>
          <w:sz w:val="280"/>
          <w:szCs w:val="280"/>
        </w:rPr>
      </w:pPr>
      <w:r>
        <w:t xml:space="preserve">5. Anomaly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000"/>
        <w:gridCol w:w="2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Anomaly ID</w:t>
            </w:r>
          </w:p>
        </w:tc>
        <w:tc>
          <w:tcPr>
            <w:shd w:fill="1B2A4A" w:val="clear"/>
            <w:tcMar>
              <w:top w:type="dxa" w:w="28"/>
              <w:left w:type="dxa" w:w="72"/>
              <w:bottom w:type="dxa" w:w="28"/>
              <w:right w:type="dxa" w:w="72"/>
            </w:tcMar>
          </w:tcPr>
          <w:p>
            <w:pPr>
              <w:spacing w:after="40" w:before="40"/>
            </w:pPr>
            <w:r>
              <w:rPr>
                <w:b/>
                <w:bCs/>
                <w:color w:val="FFFFFF"/>
                <w:sz w:val="180"/>
                <w:szCs w:val="180"/>
              </w:rPr>
              <w:t xml:space="preserve">Severity</w:t>
            </w:r>
          </w:p>
        </w:tc>
        <w:tc>
          <w:tcPr>
            <w:shd w:fill="1B2A4A" w:val="clear"/>
            <w:tcMar>
              <w:top w:type="dxa" w:w="28"/>
              <w:left w:type="dxa" w:w="72"/>
              <w:bottom w:type="dxa" w:w="28"/>
              <w:right w:type="dxa" w:w="72"/>
            </w:tcMar>
          </w:tcPr>
          <w:p>
            <w:pPr>
              <w:spacing w:after="40" w:before="40"/>
            </w:pPr>
            <w:r>
              <w:rPr>
                <w:b/>
                <w:bCs/>
                <w:color w:val="FFFFFF"/>
                <w:sz w:val="180"/>
                <w:szCs w:val="180"/>
              </w:rPr>
              <w:t xml:space="preserve">Description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Status at Closure</w:t>
            </w:r>
          </w:p>
        </w:tc>
      </w:tr>
      <w:tr>
        <w:tc>
          <w:tcPr>
            <w:tcMar>
              <w:top w:type="dxa" w:w="28"/>
              <w:left w:type="dxa" w:w="72"/>
              <w:bottom w:type="dxa" w:w="28"/>
              <w:right w:type="dxa" w:w="72"/>
            </w:tcMar>
          </w:tcPr>
          <w:p>
            <w:pPr>
              <w:spacing w:after="40" w:before="40"/>
            </w:pPr>
            <w:r>
              <w:rPr>
                <w:color w:val="111827"/>
                <w:sz w:val="180"/>
                <w:szCs w:val="180"/>
              </w:rPr>
              <w:t xml:space="preserve">ANO-001</w:t>
            </w:r>
          </w:p>
        </w:tc>
        <w:tc>
          <w:tcPr>
            <w:tcMar>
              <w:top w:type="dxa" w:w="28"/>
              <w:left w:type="dxa" w:w="72"/>
              <w:bottom w:type="dxa" w:w="28"/>
              <w:right w:type="dxa" w:w="72"/>
            </w:tcMar>
          </w:tcPr>
          <w:p>
            <w:pPr>
              <w:spacing w:after="40" w:before="40"/>
            </w:pPr>
            <w:r>
              <w:rPr>
                <w:color w:val="111827"/>
                <w:sz w:val="180"/>
                <w:szCs w:val="180"/>
              </w:rPr>
              <w:t xml:space="preserve">Minor</w:t>
            </w:r>
          </w:p>
        </w:tc>
        <w:tc>
          <w:tcPr>
            <w:tcMar>
              <w:top w:type="dxa" w:w="28"/>
              <w:left w:type="dxa" w:w="72"/>
              <w:bottom w:type="dxa" w:w="28"/>
              <w:right w:type="dxa" w:w="72"/>
            </w:tcMar>
          </w:tcPr>
          <w:p>
            <w:pPr>
              <w:spacing w:after="40" w:before="40"/>
            </w:pPr>
            <w:r>
              <w:rPr>
                <w:color w:val="111827"/>
                <w:sz w:val="180"/>
                <w:szCs w:val="180"/>
              </w:rPr>
              <w:t xml:space="preserve">Overdue badge boundary condition (dueDate = today)</w:t>
            </w:r>
          </w:p>
        </w:tc>
        <w:tc>
          <w:tcPr>
            <w:tcMar>
              <w:top w:type="dxa" w:w="28"/>
              <w:left w:type="dxa" w:w="72"/>
              <w:bottom w:type="dxa" w:w="28"/>
              <w:right w:type="dxa" w:w="72"/>
            </w:tcMar>
          </w:tcPr>
          <w:p>
            <w:pPr>
              <w:spacing w:after="40" w:before="40"/>
            </w:pPr>
            <w:r>
              <w:rPr>
                <w:color w:val="111827"/>
                <w:sz w:val="180"/>
                <w:szCs w:val="180"/>
              </w:rPr>
              <w:t xml:space="preserve">RESOLVED — fix deployed</w:t>
            </w:r>
          </w:p>
        </w:tc>
      </w:tr>
      <w:tr>
        <w:tc>
          <w:tcPr>
            <w:tcMar>
              <w:top w:type="dxa" w:w="28"/>
              <w:left w:type="dxa" w:w="72"/>
              <w:bottom w:type="dxa" w:w="28"/>
              <w:right w:type="dxa" w:w="72"/>
            </w:tcMar>
          </w:tcPr>
          <w:p>
            <w:pPr>
              <w:spacing w:after="40" w:before="40"/>
            </w:pPr>
            <w:r>
              <w:rPr>
                <w:color w:val="111827"/>
                <w:sz w:val="180"/>
                <w:szCs w:val="180"/>
              </w:rPr>
              <w:t xml:space="preserve">ANO-002</w:t>
            </w:r>
          </w:p>
        </w:tc>
        <w:tc>
          <w:tcPr>
            <w:tcMar>
              <w:top w:type="dxa" w:w="28"/>
              <w:left w:type="dxa" w:w="72"/>
              <w:bottom w:type="dxa" w:w="28"/>
              <w:right w:type="dxa" w:w="72"/>
            </w:tcMar>
          </w:tcPr>
          <w:p>
            <w:pPr>
              <w:spacing w:after="40" w:before="40"/>
            </w:pPr>
            <w:r>
              <w:rPr>
                <w:color w:val="111827"/>
                <w:sz w:val="180"/>
                <w:szCs w:val="180"/>
              </w:rPr>
              <w:t xml:space="preserve">Minor</w:t>
            </w:r>
          </w:p>
        </w:tc>
        <w:tc>
          <w:tcPr>
            <w:tcMar>
              <w:top w:type="dxa" w:w="28"/>
              <w:left w:type="dxa" w:w="72"/>
              <w:bottom w:type="dxa" w:w="28"/>
              <w:right w:type="dxa" w:w="72"/>
            </w:tcMar>
          </w:tcPr>
          <w:p>
            <w:pPr>
              <w:spacing w:after="40" w:before="40"/>
            </w:pPr>
            <w:r>
              <w:rPr>
                <w:color w:val="111827"/>
                <w:sz w:val="180"/>
                <w:szCs w:val="180"/>
              </w:rPr>
              <w:t xml:space="preserve">changecontrol.ts TS2339 type mismatch — no runtime impact</w:t>
            </w:r>
          </w:p>
        </w:tc>
        <w:tc>
          <w:tcPr>
            <w:tcMar>
              <w:top w:type="dxa" w:w="28"/>
              <w:left w:type="dxa" w:w="72"/>
              <w:bottom w:type="dxa" w:w="28"/>
              <w:right w:type="dxa" w:w="72"/>
            </w:tcMar>
          </w:tcPr>
          <w:p>
            <w:pPr>
              <w:spacing w:after="40" w:before="40"/>
            </w:pPr>
            <w:r>
              <w:rPr>
                <w:color w:val="111827"/>
                <w:sz w:val="180"/>
                <w:szCs w:val="180"/>
              </w:rPr>
              <w:t xml:space="preserve">RISK ACCEPTED — v1.1 backlog</w:t>
            </w:r>
          </w:p>
        </w:tc>
      </w:tr>
    </w:tbl>
    <w:p>
      <w:pPr>
        <w:spacing w:after="100"/>
      </w:pPr>
      <w:r>
        <w:rPr>
          <w:color w:val="111827"/>
          <w:sz w:val="200"/>
          <w:szCs w:val="200"/>
        </w:rPr>
        <w:t xml:space="preserve">No Critical or Major anomalies were identified. All Minor anomalies are resolved or have accepted risk with documented rationale.</w:t>
      </w:r>
    </w:p>
    <w:p/>
    <w:p>
      <w:pPr>
        <w:pStyle w:val="Heading1"/>
        <w:spacing w:after="120" w:before="280"/>
        <w:rPr>
          <w:b/>
          <w:bCs/>
          <w:color w:val="1B2A4A"/>
          <w:sz w:val="280"/>
          <w:szCs w:val="280"/>
        </w:rPr>
      </w:pPr>
      <w:r>
        <w:t xml:space="preserve">6. Deviations from Validation Plan</w:t>
      </w:r>
    </w:p>
    <w:p>
      <w:pPr>
        <w:spacing w:after="100"/>
      </w:pPr>
      <w:r>
        <w:rPr>
          <w:color w:val="111827"/>
          <w:sz w:val="200"/>
          <w:szCs w:val="200"/>
        </w:rPr>
        <w:t xml:space="preserve">No deviations from the Validation Plan (CPT-VL-ISVP-VP Capalyst-001) were required during this validation exercise. All planned activities were executed as defined.</w:t>
      </w:r>
    </w:p>
    <w:p/>
    <w:p>
      <w:pPr>
        <w:pStyle w:val="Heading1"/>
        <w:spacing w:after="120" w:before="280"/>
        <w:rPr>
          <w:b/>
          <w:bCs/>
          <w:color w:val="1B2A4A"/>
          <w:sz w:val="280"/>
          <w:szCs w:val="280"/>
        </w:rPr>
      </w:pPr>
      <w:r>
        <w:t xml:space="preserve">7. Validation Conclusion</w:t>
      </w:r>
    </w:p>
    <w:p>
      <w:pPr>
        <w:spacing w:after="100"/>
      </w:pPr>
      <w:r>
        <w:rPr>
          <w:color w:val="111827"/>
          <w:sz w:val="200"/>
          <w:szCs w:val="200"/>
        </w:rPr>
        <w:t xml:space="preserve">The validation of Capalyst QMS v1.0.0 has been successfully completed in accordance with the Validation Plan and regulatory requirements. The following conclusions are drawn:</w:t>
      </w:r>
    </w:p>
    <w:p>
      <w:pPr>
        <w:pStyle w:val="ListParagraph"/>
        <w:numPr>
          <w:ilvl w:val="0"/>
          <w:numId w:val="1"/>
        </w:numPr>
        <w:spacing w:after="60"/>
        <w:rPr>
          <w:color w:val="111827"/>
          <w:sz w:val="200"/>
          <w:szCs w:val="200"/>
        </w:rPr>
      </w:pPr>
      <w:r>
        <w:t xml:space="preserve">The system meets all Must-priority requirements defined in the User Requirements Specification</w:t>
      </w:r>
    </w:p>
    <w:p>
      <w:pPr>
        <w:pStyle w:val="ListParagraph"/>
        <w:numPr>
          <w:ilvl w:val="0"/>
          <w:numId w:val="1"/>
        </w:numPr>
        <w:spacing w:after="60"/>
        <w:rPr>
          <w:color w:val="111827"/>
          <w:sz w:val="200"/>
          <w:szCs w:val="200"/>
        </w:rPr>
      </w:pPr>
      <w:r>
        <w:t xml:space="preserve">The system is compliant with 21 CFR Part 11 and EU GMP Annex 11 for electronic records and audit trail</w:t>
      </w:r>
    </w:p>
    <w:p>
      <w:pPr>
        <w:pStyle w:val="ListParagraph"/>
        <w:numPr>
          <w:ilvl w:val="0"/>
          <w:numId w:val="1"/>
        </w:numPr>
        <w:spacing w:after="60"/>
        <w:rPr>
          <w:color w:val="111827"/>
          <w:sz w:val="200"/>
          <w:szCs w:val="200"/>
        </w:rPr>
      </w:pPr>
      <w:r>
        <w:t xml:space="preserve">The Installation Qualification confirms the system is correctly installed and configured</w:t>
      </w:r>
    </w:p>
    <w:p>
      <w:pPr>
        <w:pStyle w:val="ListParagraph"/>
        <w:numPr>
          <w:ilvl w:val="0"/>
          <w:numId w:val="1"/>
        </w:numPr>
        <w:spacing w:after="60"/>
        <w:rPr>
          <w:color w:val="111827"/>
          <w:sz w:val="200"/>
          <w:szCs w:val="200"/>
        </w:rPr>
      </w:pPr>
      <w:r>
        <w:t xml:space="preserve">No Critical or Major anomalies remain open at the time of validation closure</w:t>
      </w:r>
    </w:p>
    <w:p>
      <w:pPr>
        <w:pStyle w:val="ListParagraph"/>
        <w:numPr>
          <w:ilvl w:val="0"/>
          <w:numId w:val="1"/>
        </w:numPr>
        <w:spacing w:after="60"/>
        <w:rPr>
          <w:color w:val="111827"/>
          <w:sz w:val="200"/>
          <w:szCs w:val="200"/>
        </w:rPr>
      </w:pPr>
      <w:r>
        <w:t xml:space="preserve">The Production environment database has been confirmed identical to the Validation environment</w:t>
      </w:r>
    </w:p>
    <w:p>
      <w:pPr>
        <w:pStyle w:val="ListParagraph"/>
        <w:numPr>
          <w:ilvl w:val="0"/>
          <w:numId w:val="1"/>
        </w:numPr>
        <w:spacing w:after="60"/>
        <w:rPr>
          <w:color w:val="111827"/>
          <w:sz w:val="200"/>
          <w:szCs w:val="200"/>
        </w:rPr>
      </w:pPr>
      <w:r>
        <w:t xml:space="preserve">The system is fit for GxP use and is recommended for Authorization for Use</w:t>
      </w:r>
    </w:p>
    <w:p/>
    <w:p>
      <w:pPr>
        <w:spacing w:after="100"/>
      </w:pPr>
      <w:r>
        <w:rPr>
          <w:color w:val="111827"/>
          <w:sz w:val="200"/>
          <w:szCs w:val="200"/>
        </w:rPr>
        <w:t xml:space="preserve">Validation Status:  PASSED — System is validated and recommended for Authorization for Use.</w:t>
      </w:r>
    </w:p>
    <w:p/>
    <w:p>
      <w:pPr>
        <w:pStyle w:val="Heading1"/>
        <w:spacing w:after="120" w:before="280"/>
        <w:rPr>
          <w:b/>
          <w:bCs/>
          <w:color w:val="1B2A4A"/>
          <w:sz w:val="280"/>
          <w:szCs w:val="280"/>
        </w:rPr>
      </w:pPr>
      <w:r>
        <w:t xml:space="preserve">8. Approval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Role</w:t>
            </w:r>
          </w:p>
        </w:tc>
        <w:tc>
          <w:tcPr>
            <w:shd w:fill="1B2A4A" w:val="clear"/>
            <w:tcMar>
              <w:top w:type="dxa" w:w="28"/>
              <w:left w:type="dxa" w:w="72"/>
              <w:bottom w:type="dxa" w:w="28"/>
              <w:right w:type="dxa" w:w="72"/>
            </w:tcMar>
          </w:tcPr>
          <w:p>
            <w:pPr>
              <w:spacing w:after="40" w:before="40"/>
            </w:pPr>
            <w:r>
              <w:rPr>
                <w:b/>
                <w:bCs/>
                <w:color w:val="FFFFFF"/>
                <w:sz w:val="180"/>
                <w:szCs w:val="180"/>
              </w:rPr>
              <w:t xml:space="preserve">Name</w:t>
            </w:r>
          </w:p>
        </w:tc>
        <w:tc>
          <w:tcPr>
            <w:shd w:fill="1B2A4A" w:val="clear"/>
            <w:tcMar>
              <w:top w:type="dxa" w:w="28"/>
              <w:left w:type="dxa" w:w="72"/>
              <w:bottom w:type="dxa" w:w="28"/>
              <w:right w:type="dxa" w:w="72"/>
            </w:tcMar>
          </w:tcPr>
          <w:p>
            <w:pPr>
              <w:spacing w:after="40" w:before="40"/>
            </w:pPr>
            <w:r>
              <w:rPr>
                <w:b/>
                <w:bCs/>
                <w:color w:val="FFFFFF"/>
                <w:sz w:val="180"/>
                <w:szCs w:val="180"/>
              </w:rPr>
              <w:t xml:space="preserve">Signature</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r>
      <w:tr>
        <w:tc>
          <w:tcPr>
            <w:tcMar>
              <w:left w:type="dxa" w:w="72"/>
              <w:right w:type="dxa" w:w="72"/>
            </w:tcMar>
          </w:tcPr>
          <w:p>
            <w:pPr>
              <w:spacing w:after="360" w:before="40"/>
            </w:pPr>
            <w:r>
              <w:rPr>
                <w:color w:val="111827"/>
                <w:sz w:val="180"/>
                <w:szCs w:val="180"/>
              </w:rPr>
              <w:t xml:space="preserve">Validation Expert</w:t>
            </w:r>
          </w:p>
        </w:tc>
        <w:tc>
          <w:tcPr>
            <w:tcMar>
              <w:left w:type="dxa" w:w="72"/>
              <w:right w:type="dxa" w:w="72"/>
            </w:tcMar>
          </w:tcPr>
          <w:p>
            <w:pPr>
              <w:spacing w:after="360" w:before="40"/>
            </w:pPr>
            <w:r>
              <w:rPr>
                <w:color w:val="111827"/>
                <w:sz w:val="180"/>
                <w:szCs w:val="180"/>
              </w:rPr>
              <w:t xml:space="preserve">TBD</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Business Quality Representative</w:t>
            </w:r>
          </w:p>
        </w:tc>
        <w:tc>
          <w:tcPr>
            <w:tcMar>
              <w:left w:type="dxa" w:w="72"/>
              <w:right w:type="dxa" w:w="72"/>
            </w:tcMar>
          </w:tcPr>
          <w:p>
            <w:pPr>
              <w:spacing w:after="360" w:before="40"/>
            </w:pPr>
            <w:r>
              <w:rPr>
                <w:color w:val="111827"/>
                <w:sz w:val="180"/>
                <w:szCs w:val="180"/>
              </w:rPr>
              <w:t xml:space="preserve">Monique Leblanc</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System Owner</w:t>
            </w:r>
          </w:p>
        </w:tc>
        <w:tc>
          <w:tcPr>
            <w:tcMar>
              <w:left w:type="dxa" w:w="72"/>
              <w:right w:type="dxa" w:w="72"/>
            </w:tcMar>
          </w:tcPr>
          <w:p>
            <w:pPr>
              <w:spacing w:after="360" w:before="40"/>
            </w:pPr>
            <w:r>
              <w:rPr>
                <w:color w:val="111827"/>
                <w:sz w:val="180"/>
                <w:szCs w:val="180"/>
              </w:rPr>
              <w:t xml:space="preserve">Hannes van der Berg</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bl>
    <w:p/>
    <w:p>
      <w:pPr>
        <w:pStyle w:val="Heading2"/>
        <w:spacing w:after="80" w:before="200"/>
        <w:rPr>
          <w:b/>
          <w:bCs/>
          <w:color w:val="1B2A4A"/>
          <w:sz w:val="240"/>
          <w:szCs w:val="240"/>
        </w:rPr>
      </w:pPr>
      <w:r>
        <w:t xml:space="preserve">Document Change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750"/>
        <w:gridCol w:w="1600"/>
      </w:tblGrid>
      <w:tr>
        <w:tc>
          <w:tcPr>
            <w:shd w:fill="1B2A4A" w:val="clear"/>
            <w:tcMar>
              <w:top w:type="dxa" w:w="28"/>
              <w:left w:type="dxa" w:w="72"/>
              <w:bottom w:type="dxa" w:w="28"/>
              <w:right w:type="dxa" w:w="72"/>
            </w:tcMar>
          </w:tcPr>
          <w:p>
            <w:pPr>
              <w:spacing w:after="40" w:before="40"/>
            </w:pPr>
            <w:r>
              <w:rPr>
                <w:b/>
                <w:bCs/>
                <w:color w:val="FFFFFF"/>
                <w:sz w:val="180"/>
                <w:szCs w:val="180"/>
              </w:rPr>
              <w:t xml:space="preserve">Version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c>
          <w:tcPr>
            <w:shd w:fill="1B2A4A" w:val="clear"/>
            <w:tcMar>
              <w:top w:type="dxa" w:w="28"/>
              <w:left w:type="dxa" w:w="72"/>
              <w:bottom w:type="dxa" w:w="28"/>
              <w:right w:type="dxa" w:w="72"/>
            </w:tcMar>
          </w:tcPr>
          <w:p>
            <w:pPr>
              <w:spacing w:after="40" w:before="40"/>
            </w:pPr>
            <w:r>
              <w:rPr>
                <w:b/>
                <w:bCs/>
                <w:color w:val="FFFFFF"/>
                <w:sz w:val="180"/>
                <w:szCs w:val="180"/>
              </w:rPr>
              <w:t xml:space="preserve">Description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Author</w:t>
            </w:r>
          </w:p>
        </w:tc>
      </w:tr>
      <w:tr>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2026-06-25</w:t>
            </w:r>
          </w:p>
        </w:tc>
        <w:tc>
          <w:tcPr>
            <w:tcMar>
              <w:top w:type="dxa" w:w="28"/>
              <w:left w:type="dxa" w:w="72"/>
              <w:bottom w:type="dxa" w:w="28"/>
              <w:right w:type="dxa" w:w="72"/>
            </w:tcMar>
          </w:tcPr>
          <w:p>
            <w:pPr>
              <w:spacing w:after="40" w:before="40"/>
            </w:pPr>
            <w:r>
              <w:rPr>
                <w:color w:val="111827"/>
                <w:sz w:val="180"/>
                <w:szCs w:val="180"/>
              </w:rPr>
              <w:t xml:space="preserve">Initial validation report — validation complete</w:t>
            </w:r>
          </w:p>
        </w:tc>
        <w:tc>
          <w:tcPr>
            <w:tcMar>
              <w:top w:type="dxa" w:w="28"/>
              <w:left w:type="dxa" w:w="72"/>
              <w:bottom w:type="dxa" w:w="28"/>
              <w:right w:type="dxa" w:w="72"/>
            </w:tcMar>
          </w:tcPr>
          <w:p>
            <w:pPr>
              <w:spacing w:after="40" w:before="40"/>
            </w:pPr>
            <w:r>
              <w:rPr>
                <w:color w:val="111827"/>
                <w:sz w:val="180"/>
                <w:szCs w:val="180"/>
              </w:rPr>
              <w:t xml:space="preserve">Validation Team</w:t>
            </w:r>
          </w:p>
        </w:tc>
      </w:tr>
    </w:tbl>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74151"/>
        <w:sz w:val="160"/>
        <w:szCs w:val="160"/>
      </w:rPr>
      <w:t xml:space="preserve">Confidential — CPT Pharma (Pty) Ltd     Page </w:t>
    </w:r>
    <w:r>
      <w:rPr>
        <w:color w:val="374151"/>
        <w:sz w:val="160"/>
        <w:szCs w:val="160"/>
      </w:rPr>
      <w:fldChar w:fldCharType="begin"/>
      <w:instrText xml:space="preserve">PAGE</w:instrText>
      <w:fldChar w:fldCharType="separate"/>
      <w:fldChar w:fldCharType="end"/>
    </w:r>
    <w:r>
      <w:rPr>
        <w:color w:val="374151"/>
        <w:sz w:val="160"/>
        <w:szCs w:val="160"/>
      </w:rPr>
      <w:t xml:space="preserve"> of </w:t>
    </w:r>
    <w:r>
      <w:rPr>
        <w:color w:val="374151"/>
        <w:sz w:val="160"/>
        <w:szCs w:val="16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2850"/>
      <w:gridCol w:w="3000"/>
    </w:tblGrid>
    <w:tr>
      <w:tc>
        <w:p>
          <w:r>
            <w:rPr>
              <w:b/>
              <w:bCs/>
              <w:color w:val="1B2A4A"/>
              <w:sz w:val="160"/>
              <w:szCs w:val="160"/>
            </w:rPr>
            <w:t xml:space="preserve">CPT Pharma (Pty) Ltd  |  Capalyst QMS CSV</w:t>
          </w:r>
        </w:p>
      </w:tc>
      <w:tc>
        <w:p>
          <w:pPr>
            <w:jc w:val="center"/>
          </w:pPr>
          <w:r>
            <w:rPr>
              <w:color w:val="374151"/>
              <w:sz w:val="160"/>
              <w:szCs w:val="160"/>
            </w:rPr>
            <w:t xml:space="preserve">CPT-VL-ISVP-VR Capalyst-001</w:t>
          </w:r>
        </w:p>
      </w:tc>
      <w:tc>
        <w:p>
          <w:pPr>
            <w:jc w:val="right"/>
          </w:pPr>
          <w:r>
            <w:rPr>
              <w:color w:val="374151"/>
              <w:sz w:val="160"/>
              <w:szCs w:val="160"/>
            </w:rPr>
            <w:t xml:space="preserve">12_CPT-VL-ISVP-VR_Capalyst-001_Validation_Report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2026-06-26T04:56:27.549Z</dcterms:created>
  <dcterms:modified xsi:type="dcterms:W3CDTF">2026-06-26T04:56:27.549Z</dcterms:modified>
</cp:coreProperties>
</file>

<file path=docProps/custom.xml><?xml version="1.0" encoding="utf-8"?>
<Properties xmlns="http://schemas.openxmlformats.org/officeDocument/2006/custom-properties" xmlns:vt="http://schemas.openxmlformats.org/officeDocument/2006/docPropsVTypes"/>
</file>