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Version Release Notes Review</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CPT-VL-CVP-Capalyst-v1.0.0-001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2026-06-25</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Version Release Notes Review documents the review of the Capalyst QMS version 1.0.0 release. For version 1.0.0 (initial validated release), this document serves as the release baseline and forms part of the initial CSV validation package. All subsequent version updates will require a separate Version Release Notes Review before deployment to the validated environment.</w:t>
      </w:r>
    </w:p>
    <w:p/>
    <w:p>
      <w:pPr>
        <w:pStyle w:val="Heading1"/>
        <w:spacing w:after="120" w:before="280"/>
        <w:rPr>
          <w:b/>
          <w:bCs/>
          <w:color w:val="1B2A4A"/>
          <w:sz w:val="280"/>
          <w:szCs w:val="280"/>
        </w:rPr>
      </w:pPr>
      <w:r>
        <w:t xml:space="preserve">2. Release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Attribute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Detail</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QMS</w:t>
            </w:r>
          </w:p>
        </w:tc>
      </w:tr>
      <w:tr>
        <w:tc>
          <w:tcPr>
            <w:tcMar>
              <w:top w:type="dxa" w:w="28"/>
              <w:left w:type="dxa" w:w="72"/>
              <w:bottom w:type="dxa" w:w="28"/>
              <w:right w:type="dxa" w:w="72"/>
            </w:tcMar>
          </w:tcPr>
          <w:p>
            <w:pPr>
              <w:spacing w:after="40" w:before="40"/>
            </w:pPr>
            <w:r>
              <w:rPr>
                <w:color w:val="111827"/>
                <w:sz w:val="180"/>
                <w:szCs w:val="180"/>
              </w:rPr>
              <w:t xml:space="preserve">Version Released</w:t>
            </w:r>
          </w:p>
        </w:tc>
        <w:tc>
          <w:tcPr>
            <w:tcMar>
              <w:top w:type="dxa" w:w="28"/>
              <w:left w:type="dxa" w:w="72"/>
              <w:bottom w:type="dxa" w:w="28"/>
              <w:right w:type="dxa" w:w="72"/>
            </w:tcMar>
          </w:tcPr>
          <w:p>
            <w:pPr>
              <w:spacing w:after="40" w:before="40"/>
            </w:pPr>
            <w:r>
              <w:rPr>
                <w:color w:val="111827"/>
                <w:sz w:val="180"/>
                <w:szCs w:val="180"/>
              </w:rPr>
              <w:t xml:space="preserve">1.0.0</w:t>
            </w:r>
          </w:p>
        </w:tc>
      </w:tr>
      <w:tr>
        <w:tc>
          <w:tcPr>
            <w:tcMar>
              <w:top w:type="dxa" w:w="28"/>
              <w:left w:type="dxa" w:w="72"/>
              <w:bottom w:type="dxa" w:w="28"/>
              <w:right w:type="dxa" w:w="72"/>
            </w:tcMar>
          </w:tcPr>
          <w:p>
            <w:pPr>
              <w:spacing w:after="40" w:before="40"/>
            </w:pPr>
            <w:r>
              <w:rPr>
                <w:color w:val="111827"/>
                <w:sz w:val="180"/>
                <w:szCs w:val="180"/>
              </w:rPr>
              <w:t xml:space="preserve">Release Type</w:t>
            </w:r>
          </w:p>
        </w:tc>
        <w:tc>
          <w:tcPr>
            <w:tcMar>
              <w:top w:type="dxa" w:w="28"/>
              <w:left w:type="dxa" w:w="72"/>
              <w:bottom w:type="dxa" w:w="28"/>
              <w:right w:type="dxa" w:w="72"/>
            </w:tcMar>
          </w:tcPr>
          <w:p>
            <w:pPr>
              <w:spacing w:after="40" w:before="40"/>
            </w:pPr>
            <w:r>
              <w:rPr>
                <w:color w:val="111827"/>
                <w:sz w:val="180"/>
                <w:szCs w:val="180"/>
              </w:rPr>
              <w:t xml:space="preserve">Initial validated release</w:t>
            </w:r>
          </w:p>
        </w:tc>
      </w:tr>
      <w:tr>
        <w:tc>
          <w:tcPr>
            <w:tcMar>
              <w:top w:type="dxa" w:w="28"/>
              <w:left w:type="dxa" w:w="72"/>
              <w:bottom w:type="dxa" w:w="28"/>
              <w:right w:type="dxa" w:w="72"/>
            </w:tcMar>
          </w:tcPr>
          <w:p>
            <w:pPr>
              <w:spacing w:after="40" w:before="40"/>
            </w:pPr>
            <w:r>
              <w:rPr>
                <w:color w:val="111827"/>
                <w:sz w:val="180"/>
                <w:szCs w:val="180"/>
              </w:rPr>
              <w:t xml:space="preserve">Release Date</w:t>
            </w:r>
          </w:p>
        </w:tc>
        <w:tc>
          <w:tcPr>
            <w:tcMar>
              <w:top w:type="dxa" w:w="28"/>
              <w:left w:type="dxa" w:w="72"/>
              <w:bottom w:type="dxa" w:w="28"/>
              <w:right w:type="dxa" w:w="72"/>
            </w:tcMar>
          </w:tcPr>
          <w:p>
            <w:pPr>
              <w:spacing w:after="40" w:before="40"/>
            </w:pPr>
            <w:r>
              <w:rPr>
                <w:color w:val="111827"/>
                <w:sz w:val="180"/>
                <w:szCs w:val="180"/>
              </w:rPr>
              <w:t xml:space="preserve">2026-06-30</w:t>
            </w:r>
          </w:p>
        </w:tc>
      </w:tr>
      <w:tr>
        <w:tc>
          <w:tcPr>
            <w:tcMar>
              <w:top w:type="dxa" w:w="28"/>
              <w:left w:type="dxa" w:w="72"/>
              <w:bottom w:type="dxa" w:w="28"/>
              <w:right w:type="dxa" w:w="72"/>
            </w:tcMar>
          </w:tcPr>
          <w:p>
            <w:pPr>
              <w:spacing w:after="40" w:before="40"/>
            </w:pPr>
            <w:r>
              <w:rPr>
                <w:color w:val="111827"/>
                <w:sz w:val="180"/>
                <w:szCs w:val="180"/>
              </w:rPr>
              <w:t xml:space="preserve">Released by</w:t>
            </w:r>
          </w:p>
        </w:tc>
        <w:tc>
          <w:tcPr>
            <w:tcMar>
              <w:top w:type="dxa" w:w="28"/>
              <w:left w:type="dxa" w:w="72"/>
              <w:bottom w:type="dxa" w:w="28"/>
              <w:right w:type="dxa" w:w="72"/>
            </w:tcMar>
          </w:tcPr>
          <w:p>
            <w:pPr>
              <w:spacing w:after="40" w:before="40"/>
            </w:pPr>
            <w:r>
              <w:rPr>
                <w:color w:val="111827"/>
                <w:sz w:val="180"/>
                <w:szCs w:val="180"/>
              </w:rPr>
              <w:t xml:space="preserve">CPT Pharma Development / Validation Team</w:t>
            </w:r>
          </w:p>
        </w:tc>
      </w:tr>
    </w:tbl>
    <w:p/>
    <w:p>
      <w:pPr>
        <w:pStyle w:val="Heading1"/>
        <w:spacing w:after="120" w:before="280"/>
        <w:rPr>
          <w:b/>
          <w:bCs/>
          <w:color w:val="1B2A4A"/>
          <w:sz w:val="280"/>
          <w:szCs w:val="280"/>
        </w:rPr>
      </w:pPr>
      <w:r>
        <w:t xml:space="preserve">3. Changes Included in This Release</w:t>
      </w:r>
    </w:p>
    <w:p>
      <w:pPr>
        <w:pStyle w:val="Heading2"/>
        <w:spacing w:after="80" w:before="200"/>
        <w:rPr>
          <w:b/>
          <w:bCs/>
          <w:color w:val="1B2A4A"/>
          <w:sz w:val="240"/>
          <w:szCs w:val="240"/>
        </w:rPr>
      </w:pPr>
      <w:r>
        <w:t xml:space="preserve">3.1 New Functionality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500"/>
        <w:gridCol w:w="21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Feature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Module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GxP Impact</w:t>
            </w:r>
          </w:p>
        </w:tc>
      </w:tr>
      <w:tr>
        <w:tc>
          <w:tcPr>
            <w:tcMar>
              <w:top w:type="dxa" w:w="28"/>
              <w:left w:type="dxa" w:w="72"/>
              <w:bottom w:type="dxa" w:w="28"/>
              <w:right w:type="dxa" w:w="72"/>
            </w:tcMar>
          </w:tcPr>
          <w:p>
            <w:pPr>
              <w:spacing w:after="40" w:before="40"/>
            </w:pPr>
            <w:r>
              <w:rPr>
                <w:color w:val="111827"/>
                <w:sz w:val="180"/>
                <w:szCs w:val="180"/>
              </w:rPr>
              <w:t xml:space="preserve">Deviation Management</w:t>
            </w:r>
          </w:p>
        </w:tc>
        <w:tc>
          <w:tcPr>
            <w:tcMar>
              <w:top w:type="dxa" w:w="28"/>
              <w:left w:type="dxa" w:w="72"/>
              <w:bottom w:type="dxa" w:w="28"/>
              <w:right w:type="dxa" w:w="72"/>
            </w:tcMar>
          </w:tcPr>
          <w:p>
            <w:pPr>
              <w:spacing w:after="40" w:before="40"/>
            </w:pPr>
            <w:r>
              <w:rPr>
                <w:color w:val="111827"/>
                <w:sz w:val="180"/>
                <w:szCs w:val="180"/>
              </w:rPr>
              <w:t xml:space="preserve">Deviations</w:t>
            </w:r>
          </w:p>
        </w:tc>
        <w:tc>
          <w:tcPr>
            <w:tcMar>
              <w:top w:type="dxa" w:w="28"/>
              <w:left w:type="dxa" w:w="72"/>
              <w:bottom w:type="dxa" w:w="28"/>
              <w:right w:type="dxa" w:w="72"/>
            </w:tcMar>
          </w:tcPr>
          <w:p>
            <w:pPr>
              <w:spacing w:after="40" w:before="40"/>
            </w:pPr>
            <w:r>
              <w:rPr>
                <w:color w:val="111827"/>
                <w:sz w:val="180"/>
                <w:szCs w:val="180"/>
              </w:rPr>
              <w:t xml:space="preserve">Full create/read/update workflow with status transitions, QA sign-off, and CAPA linkage</w:t>
            </w:r>
          </w:p>
        </w:tc>
        <w:tc>
          <w:tcPr>
            <w:tcMar>
              <w:top w:type="dxa" w:w="28"/>
              <w:left w:type="dxa" w:w="72"/>
              <w:bottom w:type="dxa" w:w="28"/>
              <w:right w:type="dxa" w:w="72"/>
            </w:tcMar>
          </w:tcPr>
          <w:p>
            <w:pPr>
              <w:spacing w:after="40" w:before="40"/>
            </w:pPr>
            <w:r>
              <w:rPr>
                <w:color w:val="111827"/>
                <w:sz w:val="180"/>
                <w:szCs w:val="180"/>
              </w:rPr>
              <w:t xml:space="preserve">HIGH — primary quality record</w:t>
            </w:r>
          </w:p>
        </w:tc>
      </w:tr>
      <w:tr>
        <w:tc>
          <w:tcPr>
            <w:tcMar>
              <w:top w:type="dxa" w:w="28"/>
              <w:left w:type="dxa" w:w="72"/>
              <w:bottom w:type="dxa" w:w="28"/>
              <w:right w:type="dxa" w:w="72"/>
            </w:tcMar>
          </w:tcPr>
          <w:p>
            <w:pPr>
              <w:spacing w:after="40" w:before="40"/>
            </w:pPr>
            <w:r>
              <w:rPr>
                <w:color w:val="111827"/>
                <w:sz w:val="180"/>
                <w:szCs w:val="180"/>
              </w:rPr>
              <w:t xml:space="preserve">CAPA Management</w:t>
            </w:r>
          </w:p>
        </w:tc>
        <w:tc>
          <w:tcPr>
            <w:tcMar>
              <w:top w:type="dxa" w:w="28"/>
              <w:left w:type="dxa" w:w="72"/>
              <w:bottom w:type="dxa" w:w="28"/>
              <w:right w:type="dxa" w:w="72"/>
            </w:tcMar>
          </w:tcPr>
          <w:p>
            <w:pPr>
              <w:spacing w:after="40" w:before="40"/>
            </w:pPr>
            <w:r>
              <w:rPr>
                <w:color w:val="111827"/>
                <w:sz w:val="180"/>
                <w:szCs w:val="180"/>
              </w:rPr>
              <w:t xml:space="preserve">CAPA</w:t>
            </w:r>
          </w:p>
        </w:tc>
        <w:tc>
          <w:tcPr>
            <w:tcMar>
              <w:top w:type="dxa" w:w="28"/>
              <w:left w:type="dxa" w:w="72"/>
              <w:bottom w:type="dxa" w:w="28"/>
              <w:right w:type="dxa" w:w="72"/>
            </w:tcMar>
          </w:tcPr>
          <w:p>
            <w:pPr>
              <w:spacing w:after="40" w:before="40"/>
            </w:pPr>
            <w:r>
              <w:rPr>
                <w:color w:val="111827"/>
                <w:sz w:val="180"/>
                <w:szCs w:val="180"/>
              </w:rPr>
              <w:t xml:space="preserve">Six-state workflow with efficacy review and QA approval gate</w:t>
            </w:r>
          </w:p>
        </w:tc>
        <w:tc>
          <w:tcPr>
            <w:tcMar>
              <w:top w:type="dxa" w:w="28"/>
              <w:left w:type="dxa" w:w="72"/>
              <w:bottom w:type="dxa" w:w="28"/>
              <w:right w:type="dxa" w:w="72"/>
            </w:tcMar>
          </w:tcPr>
          <w:p>
            <w:pPr>
              <w:spacing w:after="40" w:before="40"/>
            </w:pPr>
            <w:r>
              <w:rPr>
                <w:color w:val="111827"/>
                <w:sz w:val="180"/>
                <w:szCs w:val="180"/>
              </w:rPr>
              <w:t xml:space="preserve">HIGH — quality action record</w:t>
            </w:r>
          </w:p>
        </w:tc>
      </w:tr>
      <w:tr>
        <w:tc>
          <w:tcPr>
            <w:tcMar>
              <w:top w:type="dxa" w:w="28"/>
              <w:left w:type="dxa" w:w="72"/>
              <w:bottom w:type="dxa" w:w="28"/>
              <w:right w:type="dxa" w:w="72"/>
            </w:tcMar>
          </w:tcPr>
          <w:p>
            <w:pPr>
              <w:spacing w:after="40" w:before="40"/>
            </w:pPr>
            <w:r>
              <w:rPr>
                <w:color w:val="111827"/>
                <w:sz w:val="180"/>
                <w:szCs w:val="180"/>
              </w:rPr>
              <w:t xml:space="preserve">Change Control</w:t>
            </w:r>
          </w:p>
        </w:tc>
        <w:tc>
          <w:tcPr>
            <w:tcMar>
              <w:top w:type="dxa" w:w="28"/>
              <w:left w:type="dxa" w:w="72"/>
              <w:bottom w:type="dxa" w:w="28"/>
              <w:right w:type="dxa" w:w="72"/>
            </w:tcMar>
          </w:tcPr>
          <w:p>
            <w:pPr>
              <w:spacing w:after="40" w:before="40"/>
            </w:pPr>
            <w:r>
              <w:rPr>
                <w:color w:val="111827"/>
                <w:sz w:val="180"/>
                <w:szCs w:val="180"/>
              </w:rPr>
              <w:t xml:space="preserve">Change Control</w:t>
            </w:r>
          </w:p>
        </w:tc>
        <w:tc>
          <w:tcPr>
            <w:tcMar>
              <w:top w:type="dxa" w:w="28"/>
              <w:left w:type="dxa" w:w="72"/>
              <w:bottom w:type="dxa" w:w="28"/>
              <w:right w:type="dxa" w:w="72"/>
            </w:tcMar>
          </w:tcPr>
          <w:p>
            <w:pPr>
              <w:spacing w:after="40" w:before="40"/>
            </w:pPr>
            <w:r>
              <w:rPr>
                <w:color w:val="111827"/>
                <w:sz w:val="180"/>
                <w:szCs w:val="180"/>
              </w:rPr>
              <w:t xml:space="preserve">Multi-stage approval workflow (HR, SC, Expert, QA)</w:t>
            </w:r>
          </w:p>
        </w:tc>
        <w:tc>
          <w:tcPr>
            <w:tcMar>
              <w:top w:type="dxa" w:w="28"/>
              <w:left w:type="dxa" w:w="72"/>
              <w:bottom w:type="dxa" w:w="28"/>
              <w:right w:type="dxa" w:w="72"/>
            </w:tcMar>
          </w:tcPr>
          <w:p>
            <w:pPr>
              <w:spacing w:after="40" w:before="40"/>
            </w:pPr>
            <w:r>
              <w:rPr>
                <w:color w:val="111827"/>
                <w:sz w:val="180"/>
                <w:szCs w:val="180"/>
              </w:rPr>
              <w:t xml:space="preserve">HIGH — change governance record</w:t>
            </w:r>
          </w:p>
        </w:tc>
      </w:tr>
      <w:tr>
        <w:tc>
          <w:tcPr>
            <w:tcMar>
              <w:top w:type="dxa" w:w="28"/>
              <w:left w:type="dxa" w:w="72"/>
              <w:bottom w:type="dxa" w:w="28"/>
              <w:right w:type="dxa" w:w="72"/>
            </w:tcMar>
          </w:tcPr>
          <w:p>
            <w:pPr>
              <w:spacing w:after="40" w:before="40"/>
            </w:pPr>
            <w:r>
              <w:rPr>
                <w:color w:val="111827"/>
                <w:sz w:val="180"/>
                <w:szCs w:val="180"/>
              </w:rPr>
              <w:t xml:space="preserve">Risk Assessment (FMEA)</w:t>
            </w:r>
          </w:p>
        </w:tc>
        <w:tc>
          <w:tcPr>
            <w:tcMar>
              <w:top w:type="dxa" w:w="28"/>
              <w:left w:type="dxa" w:w="72"/>
              <w:bottom w:type="dxa" w:w="28"/>
              <w:right w:type="dxa" w:w="72"/>
            </w:tcMar>
          </w:tcPr>
          <w:p>
            <w:pPr>
              <w:spacing w:after="40" w:before="40"/>
            </w:pPr>
            <w:r>
              <w:rPr>
                <w:color w:val="111827"/>
                <w:sz w:val="180"/>
                <w:szCs w:val="180"/>
              </w:rPr>
              <w:t xml:space="preserve">Risk Assessment</w:t>
            </w:r>
          </w:p>
        </w:tc>
        <w:tc>
          <w:tcPr>
            <w:tcMar>
              <w:top w:type="dxa" w:w="28"/>
              <w:left w:type="dxa" w:w="72"/>
              <w:bottom w:type="dxa" w:w="28"/>
              <w:right w:type="dxa" w:w="72"/>
            </w:tcMar>
          </w:tcPr>
          <w:p>
            <w:pPr>
              <w:spacing w:after="40" w:before="40"/>
            </w:pPr>
            <w:r>
              <w:rPr>
                <w:color w:val="111827"/>
                <w:sz w:val="180"/>
                <w:szCs w:val="180"/>
              </w:rPr>
              <w:t xml:space="preserve">FMEA-based risk assessment with RPN calculation, risk matrix, and QA approval</w:t>
            </w:r>
          </w:p>
        </w:tc>
        <w:tc>
          <w:tcPr>
            <w:tcMar>
              <w:top w:type="dxa" w:w="28"/>
              <w:left w:type="dxa" w:w="72"/>
              <w:bottom w:type="dxa" w:w="28"/>
              <w:right w:type="dxa" w:w="72"/>
            </w:tcMar>
          </w:tcPr>
          <w:p>
            <w:pPr>
              <w:spacing w:after="40" w:before="40"/>
            </w:pPr>
            <w:r>
              <w:rPr>
                <w:color w:val="111827"/>
                <w:sz w:val="180"/>
                <w:szCs w:val="180"/>
              </w:rPr>
              <w:t xml:space="preserve">HIGH — risk management record</w:t>
            </w:r>
          </w:p>
        </w:tc>
      </w:tr>
      <w:tr>
        <w:tc>
          <w:tcPr>
            <w:tcMar>
              <w:top w:type="dxa" w:w="28"/>
              <w:left w:type="dxa" w:w="72"/>
              <w:bottom w:type="dxa" w:w="28"/>
              <w:right w:type="dxa" w:w="72"/>
            </w:tcMar>
          </w:tcPr>
          <w:p>
            <w:pPr>
              <w:spacing w:after="40" w:before="40"/>
            </w:pPr>
            <w:r>
              <w:rPr>
                <w:color w:val="111827"/>
                <w:sz w:val="180"/>
                <w:szCs w:val="180"/>
              </w:rPr>
              <w:t xml:space="preserve">User Administration</w:t>
            </w:r>
          </w:p>
        </w:tc>
        <w:tc>
          <w:tcPr>
            <w:tcMar>
              <w:top w:type="dxa" w:w="28"/>
              <w:left w:type="dxa" w:w="72"/>
              <w:bottom w:type="dxa" w:w="28"/>
              <w:right w:type="dxa" w:w="72"/>
            </w:tcMar>
          </w:tcPr>
          <w:p>
            <w:pPr>
              <w:spacing w:after="40" w:before="40"/>
            </w:pPr>
            <w:r>
              <w:rPr>
                <w:color w:val="111827"/>
                <w:sz w:val="180"/>
                <w:szCs w:val="180"/>
              </w:rPr>
              <w:t xml:space="preserve">Admin</w:t>
            </w:r>
          </w:p>
        </w:tc>
        <w:tc>
          <w:tcPr>
            <w:tcMar>
              <w:top w:type="dxa" w:w="28"/>
              <w:left w:type="dxa" w:w="72"/>
              <w:bottom w:type="dxa" w:w="28"/>
              <w:right w:type="dxa" w:w="72"/>
            </w:tcMar>
          </w:tcPr>
          <w:p>
            <w:pPr>
              <w:spacing w:after="40" w:before="40"/>
            </w:pPr>
            <w:r>
              <w:rPr>
                <w:color w:val="111827"/>
                <w:sz w:val="180"/>
                <w:szCs w:val="180"/>
              </w:rPr>
              <w:t xml:space="preserve">User account management with role-based access control (Admin, QA, User)</w:t>
            </w:r>
          </w:p>
        </w:tc>
        <w:tc>
          <w:tcPr>
            <w:tcMar>
              <w:top w:type="dxa" w:w="28"/>
              <w:left w:type="dxa" w:w="72"/>
              <w:bottom w:type="dxa" w:w="28"/>
              <w:right w:type="dxa" w:w="72"/>
            </w:tcMar>
          </w:tcPr>
          <w:p>
            <w:pPr>
              <w:spacing w:after="40" w:before="40"/>
            </w:pPr>
            <w:r>
              <w:rPr>
                <w:color w:val="111827"/>
                <w:sz w:val="180"/>
                <w:szCs w:val="180"/>
              </w:rPr>
              <w:t xml:space="preserve">HIGH — access control</w:t>
            </w:r>
          </w:p>
        </w:tc>
      </w:tr>
      <w:tr>
        <w:tc>
          <w:tcPr>
            <w:tcMar>
              <w:top w:type="dxa" w:w="28"/>
              <w:left w:type="dxa" w:w="72"/>
              <w:bottom w:type="dxa" w:w="28"/>
              <w:right w:type="dxa" w:w="72"/>
            </w:tcMar>
          </w:tcPr>
          <w:p>
            <w:pPr>
              <w:spacing w:after="40" w:before="40"/>
            </w:pPr>
            <w:r>
              <w:rPr>
                <w:color w:val="111827"/>
                <w:sz w:val="180"/>
                <w:szCs w:val="180"/>
              </w:rPr>
              <w:t xml:space="preserve">Dashboard</w:t>
            </w:r>
          </w:p>
        </w:tc>
        <w:tc>
          <w:tcPr>
            <w:tcMar>
              <w:top w:type="dxa" w:w="28"/>
              <w:left w:type="dxa" w:w="72"/>
              <w:bottom w:type="dxa" w:w="28"/>
              <w:right w:type="dxa" w:w="72"/>
            </w:tcMar>
          </w:tcPr>
          <w:p>
            <w:pPr>
              <w:spacing w:after="40" w:before="40"/>
            </w:pPr>
            <w:r>
              <w:rPr>
                <w:color w:val="111827"/>
                <w:sz w:val="180"/>
                <w:szCs w:val="180"/>
              </w:rPr>
              <w:t xml:space="preserve">Dashboard</w:t>
            </w:r>
          </w:p>
        </w:tc>
        <w:tc>
          <w:tcPr>
            <w:tcMar>
              <w:top w:type="dxa" w:w="28"/>
              <w:left w:type="dxa" w:w="72"/>
              <w:bottom w:type="dxa" w:w="28"/>
              <w:right w:type="dxa" w:w="72"/>
            </w:tcMar>
          </w:tcPr>
          <w:p>
            <w:pPr>
              <w:spacing w:after="40" w:before="40"/>
            </w:pPr>
            <w:r>
              <w:rPr>
                <w:color w:val="111827"/>
                <w:sz w:val="180"/>
                <w:szCs w:val="180"/>
              </w:rPr>
              <w:t xml:space="preserve">KPI cards, deviation trend chart, by-area bar chart, recent activity</w:t>
            </w:r>
          </w:p>
        </w:tc>
        <w:tc>
          <w:tcPr>
            <w:tcMar>
              <w:top w:type="dxa" w:w="28"/>
              <w:left w:type="dxa" w:w="72"/>
              <w:bottom w:type="dxa" w:w="28"/>
              <w:right w:type="dxa" w:w="72"/>
            </w:tcMar>
          </w:tcPr>
          <w:p>
            <w:pPr>
              <w:spacing w:after="40" w:before="40"/>
            </w:pPr>
            <w:r>
              <w:rPr>
                <w:color w:val="111827"/>
                <w:sz w:val="180"/>
                <w:szCs w:val="180"/>
              </w:rPr>
              <w:t xml:space="preserve">LOW — reporting/display only</w:t>
            </w:r>
          </w:p>
        </w:tc>
      </w:tr>
      <w:tr>
        <w:tc>
          <w:tcPr>
            <w:tcMar>
              <w:top w:type="dxa" w:w="28"/>
              <w:left w:type="dxa" w:w="72"/>
              <w:bottom w:type="dxa" w:w="28"/>
              <w:right w:type="dxa" w:w="72"/>
            </w:tcMar>
          </w:tcPr>
          <w:p>
            <w:pPr>
              <w:spacing w:after="40" w:before="40"/>
            </w:pPr>
            <w:r>
              <w:rPr>
                <w:color w:val="111827"/>
                <w:sz w:val="180"/>
                <w:szCs w:val="180"/>
              </w:rPr>
              <w:t xml:space="preserve">Audit Trail</w:t>
            </w:r>
          </w:p>
        </w:tc>
        <w:tc>
          <w:tcPr>
            <w:tcMar>
              <w:top w:type="dxa" w:w="28"/>
              <w:left w:type="dxa" w:w="72"/>
              <w:bottom w:type="dxa" w:w="28"/>
              <w:right w:type="dxa" w:w="72"/>
            </w:tcMar>
          </w:tcPr>
          <w:p>
            <w:pPr>
              <w:spacing w:after="40" w:before="40"/>
            </w:pPr>
            <w:r>
              <w:rPr>
                <w:color w:val="111827"/>
                <w:sz w:val="180"/>
                <w:szCs w:val="180"/>
              </w:rPr>
              <w:t xml:space="preserve">Audit</w:t>
            </w:r>
          </w:p>
        </w:tc>
        <w:tc>
          <w:tcPr>
            <w:tcMar>
              <w:top w:type="dxa" w:w="28"/>
              <w:left w:type="dxa" w:w="72"/>
              <w:bottom w:type="dxa" w:w="28"/>
              <w:right w:type="dxa" w:w="72"/>
            </w:tcMar>
          </w:tcPr>
          <w:p>
            <w:pPr>
              <w:spacing w:after="40" w:before="40"/>
            </w:pPr>
            <w:r>
              <w:rPr>
                <w:color w:val="111827"/>
                <w:sz w:val="180"/>
                <w:szCs w:val="180"/>
              </w:rPr>
              <w:t xml:space="preserve">Immutable audit trail for all GxP record changes</w:t>
            </w:r>
          </w:p>
        </w:tc>
        <w:tc>
          <w:tcPr>
            <w:tcMar>
              <w:top w:type="dxa" w:w="28"/>
              <w:left w:type="dxa" w:w="72"/>
              <w:bottom w:type="dxa" w:w="28"/>
              <w:right w:type="dxa" w:w="72"/>
            </w:tcMar>
          </w:tcPr>
          <w:p>
            <w:pPr>
              <w:spacing w:after="40" w:before="40"/>
            </w:pPr>
            <w:r>
              <w:rPr>
                <w:color w:val="111827"/>
                <w:sz w:val="180"/>
                <w:szCs w:val="180"/>
              </w:rPr>
              <w:t xml:space="preserve">HIGH — 21 CFR Part 11 compliance</w:t>
            </w:r>
          </w:p>
        </w:tc>
      </w:tr>
      <w:tr>
        <w:tc>
          <w:tcPr>
            <w:tcMar>
              <w:top w:type="dxa" w:w="28"/>
              <w:left w:type="dxa" w:w="72"/>
              <w:bottom w:type="dxa" w:w="28"/>
              <w:right w:type="dxa" w:w="72"/>
            </w:tcMar>
          </w:tcPr>
          <w:p>
            <w:pPr>
              <w:spacing w:after="40" w:before="40"/>
            </w:pPr>
            <w:r>
              <w:rPr>
                <w:color w:val="111827"/>
                <w:sz w:val="180"/>
                <w:szCs w:val="180"/>
              </w:rPr>
              <w:t xml:space="preserve">Notifications</w:t>
            </w:r>
          </w:p>
        </w:tc>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Pending workflow action alerts for current user</w:t>
            </w:r>
          </w:p>
        </w:tc>
        <w:tc>
          <w:tcPr>
            <w:tcMar>
              <w:top w:type="dxa" w:w="28"/>
              <w:left w:type="dxa" w:w="72"/>
              <w:bottom w:type="dxa" w:w="28"/>
              <w:right w:type="dxa" w:w="72"/>
            </w:tcMar>
          </w:tcPr>
          <w:p>
            <w:pPr>
              <w:spacing w:after="40" w:before="40"/>
            </w:pPr>
            <w:r>
              <w:rPr>
                <w:color w:val="111827"/>
                <w:sz w:val="180"/>
                <w:szCs w:val="180"/>
              </w:rPr>
              <w:t xml:space="preserve">LOW — usability feature</w:t>
            </w:r>
          </w:p>
        </w:tc>
      </w:tr>
    </w:tbl>
    <w:p/>
    <w:p>
      <w:pPr>
        <w:pStyle w:val="Heading2"/>
        <w:spacing w:after="80" w:before="200"/>
        <w:rPr>
          <w:b/>
          <w:bCs/>
          <w:color w:val="1B2A4A"/>
          <w:sz w:val="240"/>
          <w:szCs w:val="240"/>
        </w:rPr>
      </w:pPr>
      <w:r>
        <w:t xml:space="preserve">3.2 Bug Fixes</w:t>
      </w:r>
    </w:p>
    <w:p>
      <w:pPr>
        <w:spacing w:after="100"/>
      </w:pPr>
      <w:r>
        <w:rPr>
          <w:color w:val="111827"/>
          <w:sz w:val="200"/>
          <w:szCs w:val="200"/>
        </w:rPr>
        <w:t xml:space="preserve">Not applicable for initial release (v1.0.0).</w:t>
      </w:r>
    </w:p>
    <w:p/>
    <w:p>
      <w:pPr>
        <w:pStyle w:val="Heading2"/>
        <w:spacing w:after="80" w:before="200"/>
        <w:rPr>
          <w:b/>
          <w:bCs/>
          <w:color w:val="1B2A4A"/>
          <w:sz w:val="240"/>
          <w:szCs w:val="240"/>
        </w:rPr>
      </w:pPr>
      <w:r>
        <w:t xml:space="preserve">3.3 Known Issues / Limitations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500"/>
        <w:gridCol w:w="26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Issue</w:t>
            </w:r>
          </w:p>
        </w:tc>
        <w:tc>
          <w:tcPr>
            <w:shd w:fill="1B2A4A" w:val="clear"/>
            <w:tcMar>
              <w:top w:type="dxa" w:w="28"/>
              <w:left w:type="dxa" w:w="72"/>
              <w:bottom w:type="dxa" w:w="28"/>
              <w:right w:type="dxa" w:w="72"/>
            </w:tcMar>
          </w:tcPr>
          <w:p>
            <w:pPr>
              <w:spacing w:after="40" w:before="40"/>
            </w:pPr>
            <w:r>
              <w:rPr>
                <w:b/>
                <w:bCs/>
                <w:color w:val="FFFFFF"/>
                <w:sz w:val="180"/>
                <w:szCs w:val="180"/>
              </w:rPr>
              <w:t xml:space="preserve">Severity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Impact</w:t>
            </w:r>
          </w:p>
        </w:tc>
        <w:tc>
          <w:tcPr>
            <w:shd w:fill="1B2A4A" w:val="clear"/>
            <w:tcMar>
              <w:top w:type="dxa" w:w="28"/>
              <w:left w:type="dxa" w:w="72"/>
              <w:bottom w:type="dxa" w:w="28"/>
              <w:right w:type="dxa" w:w="72"/>
            </w:tcMar>
          </w:tcPr>
          <w:p>
            <w:pPr>
              <w:spacing w:after="40" w:before="40"/>
            </w:pPr>
            <w:r>
              <w:rPr>
                <w:b/>
                <w:bCs/>
                <w:color w:val="FFFFFF"/>
                <w:sz w:val="180"/>
                <w:szCs w:val="180"/>
              </w:rPr>
              <w:t xml:space="preserve">Plan</w:t>
            </w:r>
          </w:p>
        </w:tc>
      </w:tr>
      <w:tr>
        <w:tc>
          <w:tcPr>
            <w:tcMar>
              <w:top w:type="dxa" w:w="28"/>
              <w:left w:type="dxa" w:w="72"/>
              <w:bottom w:type="dxa" w:w="28"/>
              <w:right w:type="dxa" w:w="72"/>
            </w:tcMar>
          </w:tcPr>
          <w:p>
            <w:pPr>
              <w:spacing w:after="40" w:before="40"/>
            </w:pPr>
            <w:r>
              <w:rPr>
                <w:color w:val="111827"/>
                <w:sz w:val="180"/>
                <w:szCs w:val="180"/>
              </w:rPr>
              <w:t xml:space="preserve">ANO-002: changecontrol.ts TS2339 type mismatch on 'rationale' field</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No runtime impact; TypeScript-only</w:t>
            </w:r>
          </w:p>
        </w:tc>
        <w:tc>
          <w:tcPr>
            <w:tcMar>
              <w:top w:type="dxa" w:w="28"/>
              <w:left w:type="dxa" w:w="72"/>
              <w:bottom w:type="dxa" w:w="28"/>
              <w:right w:type="dxa" w:w="72"/>
            </w:tcMar>
          </w:tcPr>
          <w:p>
            <w:pPr>
              <w:spacing w:after="40" w:before="40"/>
            </w:pPr>
            <w:r>
              <w:rPr>
                <w:color w:val="111827"/>
                <w:sz w:val="180"/>
                <w:szCs w:val="180"/>
              </w:rPr>
              <w:t xml:space="preserve">Fix planned for v1.1</w:t>
            </w:r>
          </w:p>
        </w:tc>
      </w:tr>
      <w:tr>
        <w:tc>
          <w:tcPr>
            <w:tcMar>
              <w:top w:type="dxa" w:w="28"/>
              <w:left w:type="dxa" w:w="72"/>
              <w:bottom w:type="dxa" w:w="28"/>
              <w:right w:type="dxa" w:w="72"/>
            </w:tcMar>
          </w:tcPr>
          <w:p>
            <w:pPr>
              <w:spacing w:after="40" w:before="40"/>
            </w:pPr>
            <w:r>
              <w:rPr>
                <w:color w:val="111827"/>
                <w:sz w:val="180"/>
                <w:szCs w:val="180"/>
              </w:rPr>
              <w:t xml:space="preserve">Password self-service reset not available</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Admin must recreate user account to reset password</w:t>
            </w:r>
          </w:p>
        </w:tc>
        <w:tc>
          <w:tcPr>
            <w:tcMar>
              <w:top w:type="dxa" w:w="28"/>
              <w:left w:type="dxa" w:w="72"/>
              <w:bottom w:type="dxa" w:w="28"/>
              <w:right w:type="dxa" w:w="72"/>
            </w:tcMar>
          </w:tcPr>
          <w:p>
            <w:pPr>
              <w:spacing w:after="40" w:before="40"/>
            </w:pPr>
            <w:r>
              <w:rPr>
                <w:color w:val="111827"/>
                <w:sz w:val="180"/>
                <w:szCs w:val="180"/>
              </w:rPr>
              <w:t xml:space="preserve">Self-service reset planned for v1.1</w:t>
            </w:r>
          </w:p>
        </w:tc>
      </w:tr>
      <w:tr>
        <w:tc>
          <w:tcPr>
            <w:tcMar>
              <w:top w:type="dxa" w:w="28"/>
              <w:left w:type="dxa" w:w="72"/>
              <w:bottom w:type="dxa" w:w="28"/>
              <w:right w:type="dxa" w:w="72"/>
            </w:tcMar>
          </w:tcPr>
          <w:p>
            <w:pPr>
              <w:spacing w:after="40" w:before="40"/>
            </w:pPr>
            <w:r>
              <w:rPr>
                <w:color w:val="111827"/>
                <w:sz w:val="180"/>
                <w:szCs w:val="180"/>
              </w:rPr>
              <w:t xml:space="preserve">No concurrent edit locking (optimistic concurrency only)</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Two users editing same record simultaneously may cause last-write-wins</w:t>
            </w:r>
          </w:p>
        </w:tc>
        <w:tc>
          <w:tcPr>
            <w:tcMar>
              <w:top w:type="dxa" w:w="28"/>
              <w:left w:type="dxa" w:w="72"/>
              <w:bottom w:type="dxa" w:w="28"/>
              <w:right w:type="dxa" w:w="72"/>
            </w:tcMar>
          </w:tcPr>
          <w:p>
            <w:pPr>
              <w:spacing w:after="40" w:before="40"/>
            </w:pPr>
            <w:r>
              <w:rPr>
                <w:color w:val="111827"/>
                <w:sz w:val="180"/>
                <w:szCs w:val="180"/>
              </w:rPr>
              <w:t xml:space="preserve">Pessimistic locking planned for v1.2</w:t>
            </w:r>
          </w:p>
        </w:tc>
      </w:tr>
    </w:tbl>
    <w:p/>
    <w:p>
      <w:pPr>
        <w:pStyle w:val="Heading1"/>
        <w:spacing w:after="120" w:before="280"/>
        <w:rPr>
          <w:b/>
          <w:bCs/>
          <w:color w:val="1B2A4A"/>
          <w:sz w:val="280"/>
          <w:szCs w:val="280"/>
        </w:rPr>
      </w:pPr>
      <w:r>
        <w:t xml:space="preserve">4. Validation Impact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Category</w:t>
            </w:r>
          </w:p>
        </w:tc>
        <w:tc>
          <w:tcPr>
            <w:shd w:fill="1B2A4A" w:val="clear"/>
            <w:tcMar>
              <w:top w:type="dxa" w:w="28"/>
              <w:left w:type="dxa" w:w="72"/>
              <w:bottom w:type="dxa" w:w="28"/>
              <w:right w:type="dxa" w:w="72"/>
            </w:tcMar>
          </w:tcPr>
          <w:p>
            <w:pPr>
              <w:spacing w:after="40" w:before="40"/>
            </w:pPr>
            <w:r>
              <w:rPr>
                <w:b/>
                <w:bCs/>
                <w:color w:val="FFFFFF"/>
                <w:sz w:val="180"/>
                <w:szCs w:val="180"/>
              </w:rPr>
              <w:t xml:space="preserve">Impact</w:t>
            </w:r>
          </w:p>
        </w:tc>
        <w:tc>
          <w:tcPr>
            <w:shd w:fill="1B2A4A" w:val="clear"/>
            <w:tcMar>
              <w:top w:type="dxa" w:w="28"/>
              <w:left w:type="dxa" w:w="72"/>
              <w:bottom w:type="dxa" w:w="28"/>
              <w:right w:type="dxa" w:w="72"/>
            </w:tcMar>
          </w:tcPr>
          <w:p>
            <w:pPr>
              <w:spacing w:after="40" w:before="40"/>
            </w:pPr>
            <w:r>
              <w:rPr>
                <w:b/>
                <w:bCs/>
                <w:color w:val="FFFFFF"/>
                <w:sz w:val="180"/>
                <w:szCs w:val="180"/>
              </w:rPr>
              <w:t xml:space="preserve">Action Required</w:t>
            </w:r>
          </w:p>
        </w:tc>
      </w:tr>
      <w:tr>
        <w:tc>
          <w:tcPr>
            <w:tcMar>
              <w:top w:type="dxa" w:w="28"/>
              <w:left w:type="dxa" w:w="72"/>
              <w:bottom w:type="dxa" w:w="28"/>
              <w:right w:type="dxa" w:w="72"/>
            </w:tcMar>
          </w:tcPr>
          <w:p>
            <w:pPr>
              <w:spacing w:after="40" w:before="40"/>
            </w:pPr>
            <w:r>
              <w:rPr>
                <w:color w:val="111827"/>
                <w:sz w:val="180"/>
                <w:szCs w:val="180"/>
              </w:rPr>
              <w:t xml:space="preserve">New GxP-critical functionality</w:t>
            </w:r>
          </w:p>
        </w:tc>
        <w:tc>
          <w:tcPr>
            <w:tcMar>
              <w:top w:type="dxa" w:w="28"/>
              <w:left w:type="dxa" w:w="72"/>
              <w:bottom w:type="dxa" w:w="28"/>
              <w:right w:type="dxa" w:w="72"/>
            </w:tcMar>
          </w:tcPr>
          <w:p>
            <w:pPr>
              <w:spacing w:after="40" w:before="40"/>
            </w:pPr>
            <w:r>
              <w:rPr>
                <w:color w:val="111827"/>
                <w:sz w:val="180"/>
                <w:szCs w:val="180"/>
              </w:rPr>
              <w:t xml:space="preserve">Yes — all five QMS modules are GxP critical</w:t>
            </w:r>
          </w:p>
        </w:tc>
        <w:tc>
          <w:tcPr>
            <w:tcMar>
              <w:top w:type="dxa" w:w="28"/>
              <w:left w:type="dxa" w:w="72"/>
              <w:bottom w:type="dxa" w:w="28"/>
              <w:right w:type="dxa" w:w="72"/>
            </w:tcMar>
          </w:tcPr>
          <w:p>
            <w:pPr>
              <w:spacing w:after="40" w:before="40"/>
            </w:pPr>
            <w:r>
              <w:rPr>
                <w:color w:val="111827"/>
                <w:sz w:val="180"/>
                <w:szCs w:val="180"/>
              </w:rPr>
              <w:t xml:space="preserve">Full initial validation — executed (see CPT-VL-ISVP series)</w:t>
            </w:r>
          </w:p>
        </w:tc>
      </w:tr>
      <w:tr>
        <w:tc>
          <w:tcPr>
            <w:tcMar>
              <w:top w:type="dxa" w:w="28"/>
              <w:left w:type="dxa" w:w="72"/>
              <w:bottom w:type="dxa" w:w="28"/>
              <w:right w:type="dxa" w:w="72"/>
            </w:tcMar>
          </w:tcPr>
          <w:p>
            <w:pPr>
              <w:spacing w:after="40" w:before="40"/>
            </w:pPr>
            <w:r>
              <w:rPr>
                <w:color w:val="111827"/>
                <w:sz w:val="180"/>
                <w:szCs w:val="180"/>
              </w:rPr>
              <w:t xml:space="preserve">Infrastructure changes</w:t>
            </w:r>
          </w:p>
        </w:tc>
        <w:tc>
          <w:tcPr>
            <w:tcMar>
              <w:top w:type="dxa" w:w="28"/>
              <w:left w:type="dxa" w:w="72"/>
              <w:bottom w:type="dxa" w:w="28"/>
              <w:right w:type="dxa" w:w="72"/>
            </w:tcMar>
          </w:tcPr>
          <w:p>
            <w:pPr>
              <w:spacing w:after="40" w:before="40"/>
            </w:pPr>
            <w:r>
              <w:rPr>
                <w:color w:val="111827"/>
                <w:sz w:val="180"/>
                <w:szCs w:val="180"/>
              </w:rPr>
              <w:t xml:space="preserve">No — initial deployment</w:t>
            </w:r>
          </w:p>
        </w:tc>
        <w:tc>
          <w:tcPr>
            <w:tcMar>
              <w:top w:type="dxa" w:w="28"/>
              <w:left w:type="dxa" w:w="72"/>
              <w:bottom w:type="dxa" w:w="28"/>
              <w:right w:type="dxa" w:w="72"/>
            </w:tcMar>
          </w:tcPr>
          <w:p>
            <w:pPr>
              <w:spacing w:after="40" w:before="40"/>
            </w:pPr>
            <w:r>
              <w:rPr>
                <w:color w:val="111827"/>
                <w:sz w:val="180"/>
                <w:szCs w:val="180"/>
              </w:rPr>
              <w:t xml:space="preserve">IQ executed</w:t>
            </w:r>
          </w:p>
        </w:tc>
      </w:tr>
      <w:tr>
        <w:tc>
          <w:tcPr>
            <w:tcMar>
              <w:top w:type="dxa" w:w="28"/>
              <w:left w:type="dxa" w:w="72"/>
              <w:bottom w:type="dxa" w:w="28"/>
              <w:right w:type="dxa" w:w="72"/>
            </w:tcMar>
          </w:tcPr>
          <w:p>
            <w:pPr>
              <w:spacing w:after="40" w:before="40"/>
            </w:pPr>
            <w:r>
              <w:rPr>
                <w:color w:val="111827"/>
                <w:sz w:val="180"/>
                <w:szCs w:val="180"/>
              </w:rPr>
              <w:t xml:space="preserve">Database schema changes</w:t>
            </w:r>
          </w:p>
        </w:tc>
        <w:tc>
          <w:tcPr>
            <w:tcMar>
              <w:top w:type="dxa" w:w="28"/>
              <w:left w:type="dxa" w:w="72"/>
              <w:bottom w:type="dxa" w:w="28"/>
              <w:right w:type="dxa" w:w="72"/>
            </w:tcMar>
          </w:tcPr>
          <w:p>
            <w:pPr>
              <w:spacing w:after="40" w:before="40"/>
            </w:pPr>
            <w:r>
              <w:rPr>
                <w:color w:val="111827"/>
                <w:sz w:val="180"/>
                <w:szCs w:val="180"/>
              </w:rPr>
              <w:t xml:space="preserve">No — initial schema</w:t>
            </w:r>
          </w:p>
        </w:tc>
        <w:tc>
          <w:tcPr>
            <w:tcMar>
              <w:top w:type="dxa" w:w="28"/>
              <w:left w:type="dxa" w:w="72"/>
              <w:bottom w:type="dxa" w:w="28"/>
              <w:right w:type="dxa" w:w="72"/>
            </w:tcMar>
          </w:tcPr>
          <w:p>
            <w:pPr>
              <w:spacing w:after="40" w:before="40"/>
            </w:pPr>
            <w:r>
              <w:rPr>
                <w:color w:val="111827"/>
                <w:sz w:val="180"/>
                <w:szCs w:val="180"/>
              </w:rPr>
              <w:t xml:space="preserve">Schema verified in IQ</w:t>
            </w:r>
          </w:p>
        </w:tc>
      </w:tr>
      <w:tr>
        <w:tc>
          <w:tcPr>
            <w:tcMar>
              <w:top w:type="dxa" w:w="28"/>
              <w:left w:type="dxa" w:w="72"/>
              <w:bottom w:type="dxa" w:w="28"/>
              <w:right w:type="dxa" w:w="72"/>
            </w:tcMar>
          </w:tcPr>
          <w:p>
            <w:pPr>
              <w:spacing w:after="40" w:before="40"/>
            </w:pPr>
            <w:r>
              <w:rPr>
                <w:color w:val="111827"/>
                <w:sz w:val="180"/>
                <w:szCs w:val="180"/>
              </w:rPr>
              <w:t xml:space="preserve">Third-party component updates</w:t>
            </w:r>
          </w:p>
        </w:tc>
        <w:tc>
          <w:tcPr>
            <w:tcMar>
              <w:top w:type="dxa" w:w="28"/>
              <w:left w:type="dxa" w:w="72"/>
              <w:bottom w:type="dxa" w:w="28"/>
              <w:right w:type="dxa" w:w="72"/>
            </w:tcMar>
          </w:tcPr>
          <w:p>
            <w:pPr>
              <w:spacing w:after="40" w:before="40"/>
            </w:pPr>
            <w:r>
              <w:rPr>
                <w:color w:val="111827"/>
                <w:sz w:val="180"/>
                <w:szCs w:val="180"/>
              </w:rPr>
              <w:t xml:space="preserve">No — initial release</w:t>
            </w:r>
          </w:p>
        </w:tc>
        <w:tc>
          <w:tcPr>
            <w:tcMar>
              <w:top w:type="dxa" w:w="28"/>
              <w:left w:type="dxa" w:w="72"/>
              <w:bottom w:type="dxa" w:w="28"/>
              <w:right w:type="dxa" w:w="72"/>
            </w:tcMar>
          </w:tcPr>
          <w:p>
            <w:pPr>
              <w:spacing w:after="40" w:before="40"/>
            </w:pPr>
            <w:r>
              <w:rPr>
                <w:color w:val="111827"/>
                <w:sz w:val="180"/>
                <w:szCs w:val="180"/>
              </w:rPr>
              <w:t xml:space="preserve">Component inventory verified in IQ</w:t>
            </w:r>
          </w:p>
        </w:tc>
      </w:tr>
      <w:tr>
        <w:tc>
          <w:tcPr>
            <w:tcMar>
              <w:top w:type="dxa" w:w="28"/>
              <w:left w:type="dxa" w:w="72"/>
              <w:bottom w:type="dxa" w:w="28"/>
              <w:right w:type="dxa" w:w="72"/>
            </w:tcMar>
          </w:tcPr>
          <w:p>
            <w:pPr>
              <w:spacing w:after="40" w:before="40"/>
            </w:pPr>
            <w:r>
              <w:rPr>
                <w:color w:val="111827"/>
                <w:sz w:val="180"/>
                <w:szCs w:val="180"/>
              </w:rPr>
              <w:t xml:space="preserve">Security changes</w:t>
            </w:r>
          </w:p>
        </w:tc>
        <w:tc>
          <w:tcPr>
            <w:tcMar>
              <w:top w:type="dxa" w:w="28"/>
              <w:left w:type="dxa" w:w="72"/>
              <w:bottom w:type="dxa" w:w="28"/>
              <w:right w:type="dxa" w:w="72"/>
            </w:tcMar>
          </w:tcPr>
          <w:p>
            <w:pPr>
              <w:spacing w:after="40" w:before="40"/>
            </w:pPr>
            <w:r>
              <w:rPr>
                <w:color w:val="111827"/>
                <w:sz w:val="180"/>
                <w:szCs w:val="180"/>
              </w:rPr>
              <w:t xml:space="preserve">No — initial release</w:t>
            </w:r>
          </w:p>
        </w:tc>
        <w:tc>
          <w:tcPr>
            <w:tcMar>
              <w:top w:type="dxa" w:w="28"/>
              <w:left w:type="dxa" w:w="72"/>
              <w:bottom w:type="dxa" w:w="28"/>
              <w:right w:type="dxa" w:w="72"/>
            </w:tcMar>
          </w:tcPr>
          <w:p>
            <w:pPr>
              <w:spacing w:after="40" w:before="40"/>
            </w:pPr>
            <w:r>
              <w:rPr>
                <w:color w:val="111827"/>
                <w:sz w:val="180"/>
                <w:szCs w:val="180"/>
              </w:rPr>
              <w:t xml:space="preserve">RBAC and audit trail tested in OQ</w:t>
            </w:r>
          </w:p>
        </w:tc>
      </w:tr>
    </w:tbl>
    <w:p/>
    <w:p>
      <w:pPr>
        <w:pStyle w:val="Heading1"/>
        <w:spacing w:after="120" w:before="280"/>
        <w:rPr>
          <w:b/>
          <w:bCs/>
          <w:color w:val="1B2A4A"/>
          <w:sz w:val="280"/>
          <w:szCs w:val="280"/>
        </w:rPr>
      </w:pPr>
      <w:r>
        <w:t xml:space="preserve">5. Deployment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000"/>
        <w:gridCol w:w="2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Step</w:t>
            </w:r>
          </w:p>
        </w:tc>
        <w:tc>
          <w:tcPr>
            <w:shd w:fill="1B2A4A" w:val="clear"/>
            <w:tcMar>
              <w:top w:type="dxa" w:w="28"/>
              <w:left w:type="dxa" w:w="72"/>
              <w:bottom w:type="dxa" w:w="28"/>
              <w:right w:type="dxa" w:w="72"/>
            </w:tcMar>
          </w:tcPr>
          <w:p>
            <w:pPr>
              <w:spacing w:after="40" w:before="40"/>
            </w:pPr>
            <w:r>
              <w:rPr>
                <w:b/>
                <w:bCs/>
                <w:color w:val="FFFFFF"/>
                <w:sz w:val="180"/>
                <w:szCs w:val="180"/>
              </w:rPr>
              <w:t xml:space="preserve">Action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Owner</w:t>
            </w:r>
          </w:p>
        </w:tc>
        <w:tc>
          <w:tcPr>
            <w:shd w:fill="1B2A4A" w:val="clear"/>
            <w:tcMar>
              <w:top w:type="dxa" w:w="28"/>
              <w:left w:type="dxa" w:w="72"/>
              <w:bottom w:type="dxa" w:w="28"/>
              <w:right w:type="dxa" w:w="72"/>
            </w:tcMar>
          </w:tcPr>
          <w:p>
            <w:pPr>
              <w:spacing w:after="40" w:before="40"/>
            </w:pPr>
            <w:r>
              <w:rPr>
                <w:b/>
                <w:bCs/>
                <w:color w:val="FFFFFF"/>
                <w:sz w:val="180"/>
                <w:szCs w:val="180"/>
              </w:rPr>
              <w:t xml:space="preserve">Complete</w:t>
            </w:r>
          </w:p>
        </w:tc>
      </w:tr>
      <w:tr>
        <w:tc>
          <w:tcPr>
            <w:tcMar>
              <w:top w:type="dxa" w:w="28"/>
              <w:left w:type="dxa" w:w="72"/>
              <w:bottom w:type="dxa" w:w="28"/>
              <w:right w:type="dxa" w:w="72"/>
            </w:tcMar>
          </w:tcPr>
          <w:p>
            <w:pPr>
              <w:spacing w:after="40" w:before="40"/>
            </w:pPr>
            <w:r>
              <w:rPr>
                <w:color w:val="111827"/>
                <w:sz w:val="180"/>
                <w:szCs w:val="180"/>
              </w:rPr>
              <w:t xml:space="preserve">1</w:t>
            </w:r>
          </w:p>
        </w:tc>
        <w:tc>
          <w:tcPr>
            <w:tcMar>
              <w:top w:type="dxa" w:w="28"/>
              <w:left w:type="dxa" w:w="72"/>
              <w:bottom w:type="dxa" w:w="28"/>
              <w:right w:type="dxa" w:w="72"/>
            </w:tcMar>
          </w:tcPr>
          <w:p>
            <w:pPr>
              <w:spacing w:after="40" w:before="40"/>
            </w:pPr>
            <w:r>
              <w:rPr>
                <w:color w:val="111827"/>
                <w:sz w:val="180"/>
                <w:szCs w:val="180"/>
              </w:rPr>
              <w:t xml:space="preserve">Confirm all validation documents approved and signed</w:t>
            </w:r>
          </w:p>
        </w:tc>
        <w:tc>
          <w:tcPr>
            <w:tcMar>
              <w:top w:type="dxa" w:w="28"/>
              <w:left w:type="dxa" w:w="72"/>
              <w:bottom w:type="dxa" w:w="28"/>
              <w:right w:type="dxa" w:w="72"/>
            </w:tcMar>
          </w:tcPr>
          <w:p>
            <w:pPr>
              <w:spacing w:after="40" w:before="40"/>
            </w:pPr>
            <w:r>
              <w:rPr>
                <w:color w:val="111827"/>
                <w:sz w:val="180"/>
                <w:szCs w:val="180"/>
              </w:rPr>
              <w:t xml:space="preserve">BQR</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2</w:t>
            </w:r>
          </w:p>
        </w:tc>
        <w:tc>
          <w:tcPr>
            <w:tcMar>
              <w:top w:type="dxa" w:w="28"/>
              <w:left w:type="dxa" w:w="72"/>
              <w:bottom w:type="dxa" w:w="28"/>
              <w:right w:type="dxa" w:w="72"/>
            </w:tcMar>
          </w:tcPr>
          <w:p>
            <w:pPr>
              <w:spacing w:after="40" w:before="40"/>
            </w:pPr>
            <w:r>
              <w:rPr>
                <w:color w:val="111827"/>
                <w:sz w:val="180"/>
                <w:szCs w:val="180"/>
              </w:rPr>
              <w:t xml:space="preserve">Confirm database migration executed and DBC approved</w:t>
            </w:r>
          </w:p>
        </w:tc>
        <w:tc>
          <w:tcPr>
            <w:tcMar>
              <w:top w:type="dxa" w:w="28"/>
              <w:left w:type="dxa" w:w="72"/>
              <w:bottom w:type="dxa" w:w="28"/>
              <w:right w:type="dxa" w:w="72"/>
            </w:tcMar>
          </w:tcPr>
          <w:p>
            <w:pPr>
              <w:spacing w:after="40" w:before="40"/>
            </w:pPr>
            <w:r>
              <w:rPr>
                <w:color w:val="111827"/>
                <w:sz w:val="180"/>
                <w:szCs w:val="180"/>
              </w:rPr>
              <w:t xml:space="preserve">IE / BQR</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3</w:t>
            </w:r>
          </w:p>
        </w:tc>
        <w:tc>
          <w:tcPr>
            <w:tcMar>
              <w:top w:type="dxa" w:w="28"/>
              <w:left w:type="dxa" w:w="72"/>
              <w:bottom w:type="dxa" w:w="28"/>
              <w:right w:type="dxa" w:w="72"/>
            </w:tcMar>
          </w:tcPr>
          <w:p>
            <w:pPr>
              <w:spacing w:after="40" w:before="40"/>
            </w:pPr>
            <w:r>
              <w:rPr>
                <w:color w:val="111827"/>
                <w:sz w:val="180"/>
                <w:szCs w:val="180"/>
              </w:rPr>
              <w:t xml:space="preserve">Confirm production environment backup taken pre-deployment</w:t>
            </w:r>
          </w:p>
        </w:tc>
        <w:tc>
          <w:tcPr>
            <w:tcMar>
              <w:top w:type="dxa" w:w="28"/>
              <w:left w:type="dxa" w:w="72"/>
              <w:bottom w:type="dxa" w:w="28"/>
              <w:right w:type="dxa" w:w="72"/>
            </w:tcMar>
          </w:tcPr>
          <w:p>
            <w:pPr>
              <w:spacing w:after="40" w:before="40"/>
            </w:pPr>
            <w:r>
              <w:rPr>
                <w:color w:val="111827"/>
                <w:sz w:val="180"/>
                <w:szCs w:val="180"/>
              </w:rPr>
              <w:t xml:space="preserve">IE</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4</w:t>
            </w:r>
          </w:p>
        </w:tc>
        <w:tc>
          <w:tcPr>
            <w:tcMar>
              <w:top w:type="dxa" w:w="28"/>
              <w:left w:type="dxa" w:w="72"/>
              <w:bottom w:type="dxa" w:w="28"/>
              <w:right w:type="dxa" w:w="72"/>
            </w:tcMar>
          </w:tcPr>
          <w:p>
            <w:pPr>
              <w:spacing w:after="40" w:before="40"/>
            </w:pPr>
            <w:r>
              <w:rPr>
                <w:color w:val="111827"/>
                <w:sz w:val="180"/>
                <w:szCs w:val="180"/>
              </w:rPr>
              <w:t xml:space="preserve">Deploy Capalyst v1.0.0 to Production environment</w:t>
            </w:r>
          </w:p>
        </w:tc>
        <w:tc>
          <w:tcPr>
            <w:tcMar>
              <w:top w:type="dxa" w:w="28"/>
              <w:left w:type="dxa" w:w="72"/>
              <w:bottom w:type="dxa" w:w="28"/>
              <w:right w:type="dxa" w:w="72"/>
            </w:tcMar>
          </w:tcPr>
          <w:p>
            <w:pPr>
              <w:spacing w:after="40" w:before="40"/>
            </w:pPr>
            <w:r>
              <w:rPr>
                <w:color w:val="111827"/>
                <w:sz w:val="180"/>
                <w:szCs w:val="180"/>
              </w:rPr>
              <w:t xml:space="preserve">PTC / IE</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5</w:t>
            </w:r>
          </w:p>
        </w:tc>
        <w:tc>
          <w:tcPr>
            <w:tcMar>
              <w:top w:type="dxa" w:w="28"/>
              <w:left w:type="dxa" w:w="72"/>
              <w:bottom w:type="dxa" w:w="28"/>
              <w:right w:type="dxa" w:w="72"/>
            </w:tcMar>
          </w:tcPr>
          <w:p>
            <w:pPr>
              <w:spacing w:after="40" w:before="40"/>
            </w:pPr>
            <w:r>
              <w:rPr>
                <w:color w:val="111827"/>
                <w:sz w:val="180"/>
                <w:szCs w:val="180"/>
              </w:rPr>
              <w:t xml:space="preserve">Execute post-deployment health check (GET /api/healthz)</w:t>
            </w:r>
          </w:p>
        </w:tc>
        <w:tc>
          <w:tcPr>
            <w:tcMar>
              <w:top w:type="dxa" w:w="28"/>
              <w:left w:type="dxa" w:w="72"/>
              <w:bottom w:type="dxa" w:w="28"/>
              <w:right w:type="dxa" w:w="72"/>
            </w:tcMar>
          </w:tcPr>
          <w:p>
            <w:pPr>
              <w:spacing w:after="40" w:before="40"/>
            </w:pPr>
            <w:r>
              <w:rPr>
                <w:color w:val="111827"/>
                <w:sz w:val="180"/>
                <w:szCs w:val="180"/>
              </w:rPr>
              <w:t xml:space="preserve">IE</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Verify user accounts are active and roles are correctly assigned</w:t>
            </w:r>
          </w:p>
        </w:tc>
        <w:tc>
          <w:tcPr>
            <w:tcMar>
              <w:top w:type="dxa" w:w="28"/>
              <w:left w:type="dxa" w:w="72"/>
              <w:bottom w:type="dxa" w:w="28"/>
              <w:right w:type="dxa" w:w="72"/>
            </w:tcMar>
          </w:tcPr>
          <w:p>
            <w:pPr>
              <w:spacing w:after="40" w:before="40"/>
            </w:pPr>
            <w:r>
              <w:rPr>
                <w:color w:val="111827"/>
                <w:sz w:val="180"/>
                <w:szCs w:val="180"/>
              </w:rPr>
              <w:t xml:space="preserve">Admin (Hannes)</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7</w:t>
            </w:r>
          </w:p>
        </w:tc>
        <w:tc>
          <w:tcPr>
            <w:tcMar>
              <w:top w:type="dxa" w:w="28"/>
              <w:left w:type="dxa" w:w="72"/>
              <w:bottom w:type="dxa" w:w="28"/>
              <w:right w:type="dxa" w:w="72"/>
            </w:tcMar>
          </w:tcPr>
          <w:p>
            <w:pPr>
              <w:spacing w:after="40" w:before="40"/>
            </w:pPr>
            <w:r>
              <w:rPr>
                <w:color w:val="111827"/>
                <w:sz w:val="180"/>
                <w:szCs w:val="180"/>
              </w:rPr>
              <w:t xml:space="preserve">Confirm Authorization for Use (AFU) is signed</w:t>
            </w:r>
          </w:p>
        </w:tc>
        <w:tc>
          <w:tcPr>
            <w:tcMar>
              <w:top w:type="dxa" w:w="28"/>
              <w:left w:type="dxa" w:w="72"/>
              <w:bottom w:type="dxa" w:w="28"/>
              <w:right w:type="dxa" w:w="72"/>
            </w:tcMar>
          </w:tcPr>
          <w:p>
            <w:pPr>
              <w:spacing w:after="40" w:before="40"/>
            </w:pPr>
            <w:r>
              <w:rPr>
                <w:color w:val="111827"/>
                <w:sz w:val="180"/>
                <w:szCs w:val="180"/>
              </w:rPr>
              <w:t xml:space="preserve">SO / BQR</w:t>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8</w:t>
            </w:r>
          </w:p>
        </w:tc>
        <w:tc>
          <w:tcPr>
            <w:tcMar>
              <w:top w:type="dxa" w:w="28"/>
              <w:left w:type="dxa" w:w="72"/>
              <w:bottom w:type="dxa" w:w="28"/>
              <w:right w:type="dxa" w:w="72"/>
            </w:tcMar>
          </w:tcPr>
          <w:p>
            <w:pPr>
              <w:spacing w:after="40" w:before="40"/>
            </w:pPr>
            <w:r>
              <w:rPr>
                <w:color w:val="111827"/>
                <w:sz w:val="180"/>
                <w:szCs w:val="180"/>
              </w:rPr>
              <w:t xml:space="preserve">Communicate go-live to all users; distribute user guide</w:t>
            </w:r>
          </w:p>
        </w:tc>
        <w:tc>
          <w:tcPr>
            <w:tcMar>
              <w:top w:type="dxa" w:w="28"/>
              <w:left w:type="dxa" w:w="72"/>
              <w:bottom w:type="dxa" w:w="28"/>
              <w:right w:type="dxa" w:w="72"/>
            </w:tcMar>
          </w:tcPr>
          <w:p>
            <w:pPr>
              <w:spacing w:after="40" w:before="40"/>
            </w:pPr>
            <w:r>
              <w:rPr>
                <w:color w:val="111827"/>
                <w:sz w:val="180"/>
                <w:szCs w:val="180"/>
              </w:rPr>
              <w:t xml:space="preserve">PM / BQR</w:t>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1"/>
        <w:spacing w:after="120" w:before="280"/>
        <w:rPr>
          <w:b/>
          <w:bCs/>
          <w:color w:val="1B2A4A"/>
          <w:sz w:val="280"/>
          <w:szCs w:val="280"/>
        </w:rPr>
      </w:pPr>
      <w:r>
        <w:t xml:space="preserve">6. Approval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2026-06-25</w:t>
            </w:r>
          </w:p>
        </w:tc>
        <w:tc>
          <w:tcPr>
            <w:tcMar>
              <w:top w:type="dxa" w:w="28"/>
              <w:left w:type="dxa" w:w="72"/>
              <w:bottom w:type="dxa" w:w="28"/>
              <w:right w:type="dxa" w:w="72"/>
            </w:tcMar>
          </w:tcPr>
          <w:p>
            <w:pPr>
              <w:spacing w:after="40" w:before="40"/>
            </w:pPr>
            <w:r>
              <w:rPr>
                <w:color w:val="111827"/>
                <w:sz w:val="180"/>
                <w:szCs w:val="180"/>
              </w:rPr>
              <w:t xml:space="preserve">Initial version release review — v1.0.0 baseline</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CPT-VL-CVP-Capalyst-v1.0.0-001</w:t>
          </w:r>
        </w:p>
      </w:tc>
      <w:tc>
        <w:p>
          <w:pPr>
            <w:jc w:val="right"/>
          </w:pPr>
          <w:r>
            <w:rPr>
              <w:color w:val="374151"/>
              <w:sz w:val="160"/>
              <w:szCs w:val="160"/>
            </w:rPr>
            <w:t xml:space="preserve">13_CPT-VL-CVP-Capalyst-v1.0.0-001_Version_Release_Notes_Review</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2026-06-26T04:56:27.560Z</dcterms:created>
  <dcterms:modified xsi:type="dcterms:W3CDTF">2026-06-26T04:56:27.560Z</dcterms:modified>
</cp:coreProperties>
</file>

<file path=docProps/custom.xml><?xml version="1.0" encoding="utf-8"?>
<Properties xmlns="http://schemas.openxmlformats.org/officeDocument/2006/custom-properties" xmlns:vt="http://schemas.openxmlformats.org/officeDocument/2006/docPropsVTypes"/>
</file>