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CLINICAL PSYCHIATRY</w:t>
      </w:r>
    </w:p>
    <w:p>
      <w:pPr>
        <w:jc w:val="center"/>
        <w:spacing w:before="0" w:after="200"/>
      </w:pPr>
      <w:r>
        <w:rPr>
          <w:rFonts w:ascii="Times New Roman" w:hAnsi="Times New Roman"/>
          <w:i/>
          <w:sz w:val="36"/>
          <w:color w:val="000000"/>
        </w:rPr>
        <w:t xml:space="preserve">Diagnostic and treatment standards</w:t>
      </w:r>
    </w:p>
    <w:p>
      <w:pPr>
        <w:jc w:val="center"/>
        <w:spacing w:before="0" w:after="480"/>
      </w:pPr>
      <w:r>
        <w:rPr>
          <w:rFonts w:ascii="Times New Roman" w:hAnsi="Times New Roman"/>
          <w:i/>
          <w:sz w:val="28"/>
          <w:color w:val="555555"/>
        </w:rPr>
        <w:t xml:space="preserve">A clinical guide based on ICD-11 and DSM-5-TR</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Kanan Ragimov</w:t>
      </w:r>
    </w:p>
    <w:p>
      <w:pPr>
        <w:jc w:val="center"/>
        <w:spacing w:before="0" w:after="0"/>
      </w:pPr>
      <w:r>
        <w:rPr>
          <w:rFonts w:ascii="Times New Roman" w:hAnsi="Times New Roman"/>
          <w:sz w:val="24"/>
          <w:color w:val="555555"/>
        </w:rPr>
        <w:t xml:space="preserve">Baku · 2026</w:t>
      </w:r>
    </w:p>
    <w:p>
      <w:r>
        <w:br w:type="page"/>
      </w:r>
    </w:p>
    <w:p>
      <w:pPr>
        <w:jc w:val="center"/>
        <w:spacing w:before="0" w:after="480"/>
      </w:pPr>
      <w:r>
        <w:rPr>
          <w:rFonts w:ascii="Times New Roman" w:hAnsi="Times New Roman"/>
          <w:b/>
          <w:sz w:val="56"/>
          <w:color w:val="000000"/>
        </w:rPr>
        <w:t xml:space="preserve">CONTENTS</w:t>
      </w:r>
    </w:p>
    <w:p>
      <w:pPr>
        <w:ind w:left="0"/>
        <w:spacing w:before="0" w:after="60"/>
        <w:tabs>
          <w:tab w:val="right" w:leader="dot" w:pos="9639"/>
        </w:tabs>
      </w:pPr>
      <w:r>
        <w:rPr>
          <w:rFonts w:ascii="Times New Roman" w:hAnsi="Times New Roman"/>
          <w:b/>
          <w:sz w:val="22"/>
          <w:color w:val="000000"/>
        </w:rPr>
        <w:t xml:space="preserve">Preface</w:t>
      </w:r>
      <w:r>
        <w:tab/>
      </w:r>
      <w:r>
        <w:rPr>
          <w:rFonts w:ascii="Times New Roman" w:hAnsi="Times New Roman"/>
          <w:b/>
          <w:sz w:val="22"/>
          <w:color w:val="000000"/>
        </w:rPr>
        <w:t xml:space="preserve">2</w:t>
      </w:r>
    </w:p>
    <w:p>
      <w:pPr>
        <w:ind w:left="0"/>
        <w:spacing w:before="0" w:after="60"/>
        <w:tabs>
          <w:tab w:val="right" w:leader="dot" w:pos="9639"/>
        </w:tabs>
      </w:pPr>
      <w:r>
        <w:rPr>
          <w:rFonts w:ascii="Times New Roman" w:hAnsi="Times New Roman"/>
          <w:b/>
          <w:sz w:val="22"/>
          <w:color w:val="000000"/>
        </w:rPr>
        <w:t xml:space="preserve">6A00–6A0Z  NEURODEVELOPMENTAL DISORDERS</w:t>
      </w:r>
      <w:r>
        <w:tab/>
      </w:r>
      <w:r>
        <w:rPr>
          <w:rFonts w:ascii="Times New Roman" w:hAnsi="Times New Roman"/>
          <w:b/>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6A00  DISORDERS OF INTELLECTUAL DEVELOPMENT</w:t>
      </w:r>
      <w:r>
        <w:tab/>
      </w:r>
      <w:r>
        <w:rPr>
          <w:rFonts w:ascii="Times New Roman" w:hAnsi="Times New Roman"/>
          <w:sz w:val="22"/>
          <w:color w:val="000000"/>
        </w:rPr>
        <w:t xml:space="preserve">8</w:t>
      </w:r>
    </w:p>
    <w:p>
      <w:pPr>
        <w:ind w:left="340"/>
        <w:spacing w:before="0" w:after="60"/>
        <w:tabs>
          <w:tab w:val="right" w:leader="dot" w:pos="9639"/>
        </w:tabs>
      </w:pPr>
      <w:r>
        <w:rPr>
          <w:rFonts w:ascii="Times New Roman" w:hAnsi="Times New Roman"/>
          <w:sz w:val="22"/>
          <w:color w:val="000000"/>
        </w:rPr>
        <w:t xml:space="preserve">6A01  DEVELOPMENTAL SPEECH OR LANGUAGE DISORDERS</w:t>
      </w:r>
      <w:r>
        <w:tab/>
      </w:r>
      <w:r>
        <w:rPr>
          <w:rFonts w:ascii="Times New Roman" w:hAnsi="Times New Roman"/>
          <w:sz w:val="22"/>
          <w:color w:val="000000"/>
        </w:rPr>
        <w:t xml:space="preserve">17</w:t>
      </w:r>
    </w:p>
    <w:p>
      <w:pPr>
        <w:ind w:left="340"/>
        <w:spacing w:before="0" w:after="60"/>
        <w:tabs>
          <w:tab w:val="right" w:leader="dot" w:pos="9639"/>
        </w:tabs>
      </w:pPr>
      <w:r>
        <w:rPr>
          <w:rFonts w:ascii="Times New Roman" w:hAnsi="Times New Roman"/>
          <w:sz w:val="22"/>
          <w:color w:val="000000"/>
        </w:rPr>
        <w:t xml:space="preserve">6A02  AUTISM SPECTRUM DISORDER (ASD)</w:t>
      </w:r>
      <w:r>
        <w:tab/>
      </w:r>
      <w:r>
        <w:rPr>
          <w:rFonts w:ascii="Times New Roman" w:hAnsi="Times New Roman"/>
          <w:sz w:val="22"/>
          <w:color w:val="000000"/>
        </w:rPr>
        <w:t xml:space="preserve">28</w:t>
      </w:r>
    </w:p>
    <w:p>
      <w:pPr>
        <w:ind w:left="340"/>
        <w:spacing w:before="0" w:after="60"/>
        <w:tabs>
          <w:tab w:val="right" w:leader="dot" w:pos="9639"/>
        </w:tabs>
      </w:pPr>
      <w:r>
        <w:rPr>
          <w:rFonts w:ascii="Times New Roman" w:hAnsi="Times New Roman"/>
          <w:sz w:val="22"/>
          <w:color w:val="000000"/>
        </w:rPr>
        <w:t xml:space="preserve">6A03  DEVELOPMENTAL LEARNING DISORDER</w:t>
      </w:r>
      <w:r>
        <w:tab/>
      </w:r>
      <w:r>
        <w:rPr>
          <w:rFonts w:ascii="Times New Roman" w:hAnsi="Times New Roman"/>
          <w:sz w:val="22"/>
          <w:color w:val="000000"/>
        </w:rPr>
        <w:t xml:space="preserve">41</w:t>
      </w:r>
    </w:p>
    <w:p>
      <w:pPr>
        <w:ind w:left="340"/>
        <w:spacing w:before="0" w:after="60"/>
        <w:tabs>
          <w:tab w:val="right" w:leader="dot" w:pos="9639"/>
        </w:tabs>
      </w:pPr>
      <w:r>
        <w:rPr>
          <w:rFonts w:ascii="Times New Roman" w:hAnsi="Times New Roman"/>
          <w:sz w:val="22"/>
          <w:color w:val="000000"/>
        </w:rPr>
        <w:t xml:space="preserve">6A04  DEVELOPMENTAL MOTOR COORDINATION DISORDER (DCD)</w:t>
      </w:r>
      <w:r>
        <w:tab/>
      </w:r>
      <w:r>
        <w:rPr>
          <w:rFonts w:ascii="Times New Roman" w:hAnsi="Times New Roman"/>
          <w:sz w:val="22"/>
          <w:color w:val="000000"/>
        </w:rPr>
        <w:t xml:space="preserve">51</w:t>
      </w:r>
    </w:p>
    <w:p>
      <w:pPr>
        <w:ind w:left="340"/>
        <w:spacing w:before="0" w:after="60"/>
        <w:tabs>
          <w:tab w:val="right" w:leader="dot" w:pos="9639"/>
        </w:tabs>
      </w:pPr>
      <w:r>
        <w:rPr>
          <w:rFonts w:ascii="Times New Roman" w:hAnsi="Times New Roman"/>
          <w:sz w:val="22"/>
          <w:color w:val="000000"/>
        </w:rPr>
        <w:t xml:space="preserve">6A05  ATTENTION DEFICIT HYPERACTIVITY DISORDER (ADHD)</w:t>
      </w:r>
      <w:r>
        <w:tab/>
      </w:r>
      <w:r>
        <w:rPr>
          <w:rFonts w:ascii="Times New Roman" w:hAnsi="Times New Roman"/>
          <w:sz w:val="22"/>
          <w:color w:val="000000"/>
        </w:rPr>
        <w:t xml:space="preserve">59</w:t>
      </w:r>
    </w:p>
    <w:p>
      <w:pPr>
        <w:ind w:left="340"/>
        <w:spacing w:before="0" w:after="60"/>
        <w:tabs>
          <w:tab w:val="right" w:leader="dot" w:pos="9639"/>
        </w:tabs>
      </w:pPr>
      <w:r>
        <w:rPr>
          <w:rFonts w:ascii="Times New Roman" w:hAnsi="Times New Roman"/>
          <w:sz w:val="22"/>
          <w:color w:val="000000"/>
        </w:rPr>
        <w:t xml:space="preserve">6A06  STEREOTYPED MOVEMENT DISORDER</w:t>
      </w:r>
      <w:r>
        <w:tab/>
      </w:r>
      <w:r>
        <w:rPr>
          <w:rFonts w:ascii="Times New Roman" w:hAnsi="Times New Roman"/>
          <w:sz w:val="22"/>
          <w:color w:val="000000"/>
        </w:rPr>
        <w:t xml:space="preserve">72</w:t>
      </w:r>
    </w:p>
    <w:p>
      <w:pPr>
        <w:ind w:left="340"/>
        <w:spacing w:before="0" w:after="60"/>
        <w:tabs>
          <w:tab w:val="right" w:leader="dot" w:pos="9639"/>
        </w:tabs>
      </w:pPr>
      <w:r>
        <w:rPr>
          <w:rFonts w:ascii="Times New Roman" w:hAnsi="Times New Roman"/>
          <w:sz w:val="22"/>
          <w:color w:val="000000"/>
        </w:rPr>
        <w:t xml:space="preserve">8A05.0  PRIMARY TICS OR TIC DISORDERS</w:t>
      </w:r>
      <w:r>
        <w:tab/>
      </w:r>
      <w:r>
        <w:rPr>
          <w:rFonts w:ascii="Times New Roman" w:hAnsi="Times New Roman"/>
          <w:sz w:val="22"/>
          <w:color w:val="000000"/>
        </w:rPr>
        <w:t xml:space="preserve">81</w:t>
      </w:r>
    </w:p>
    <w:p>
      <w:pPr>
        <w:ind w:left="0"/>
        <w:spacing w:before="0" w:after="60"/>
        <w:tabs>
          <w:tab w:val="right" w:leader="dot" w:pos="9639"/>
        </w:tabs>
      </w:pPr>
      <w:r>
        <w:rPr>
          <w:rFonts w:ascii="Times New Roman" w:hAnsi="Times New Roman"/>
          <w:b/>
          <w:sz w:val="22"/>
          <w:color w:val="000000"/>
        </w:rPr>
        <w:t xml:space="preserve">6A20–6A2Z  SCHIZOPHRENIA SPECTRUM</w:t>
      </w:r>
      <w:r>
        <w:tab/>
      </w:r>
      <w:r>
        <w:rPr>
          <w:rFonts w:ascii="Times New Roman" w:hAnsi="Times New Roman"/>
          <w:b/>
          <w:sz w:val="22"/>
          <w:color w:val="000000"/>
        </w:rPr>
        <w:t xml:space="preserve">92</w:t>
      </w:r>
    </w:p>
    <w:p>
      <w:pPr>
        <w:ind w:left="340"/>
        <w:spacing w:before="0" w:after="60"/>
        <w:tabs>
          <w:tab w:val="right" w:leader="dot" w:pos="9639"/>
        </w:tabs>
      </w:pPr>
      <w:r>
        <w:rPr>
          <w:rFonts w:ascii="Times New Roman" w:hAnsi="Times New Roman"/>
          <w:sz w:val="22"/>
          <w:color w:val="000000"/>
        </w:rPr>
        <w:t xml:space="preserve">6A20  SCHIZOPHRENIA</w:t>
      </w:r>
      <w:r>
        <w:tab/>
      </w:r>
      <w:r>
        <w:rPr>
          <w:rFonts w:ascii="Times New Roman" w:hAnsi="Times New Roman"/>
          <w:sz w:val="22"/>
          <w:color w:val="000000"/>
        </w:rPr>
        <w:t xml:space="preserve">92</w:t>
      </w:r>
    </w:p>
    <w:p>
      <w:pPr>
        <w:ind w:left="340"/>
        <w:spacing w:before="0" w:after="60"/>
        <w:tabs>
          <w:tab w:val="right" w:leader="dot" w:pos="9639"/>
        </w:tabs>
      </w:pPr>
      <w:r>
        <w:rPr>
          <w:rFonts w:ascii="Times New Roman" w:hAnsi="Times New Roman"/>
          <w:sz w:val="22"/>
          <w:color w:val="000000"/>
        </w:rPr>
        <w:t xml:space="preserve">6A21  SCHIZOAFFECTIVE DISORDER</w:t>
      </w:r>
      <w:r>
        <w:tab/>
      </w:r>
      <w:r>
        <w:rPr>
          <w:rFonts w:ascii="Times New Roman" w:hAnsi="Times New Roman"/>
          <w:sz w:val="22"/>
          <w:color w:val="000000"/>
        </w:rPr>
        <w:t xml:space="preserve">107</w:t>
      </w:r>
    </w:p>
    <w:p>
      <w:pPr>
        <w:ind w:left="340"/>
        <w:spacing w:before="0" w:after="60"/>
        <w:tabs>
          <w:tab w:val="right" w:leader="dot" w:pos="9639"/>
        </w:tabs>
      </w:pPr>
      <w:r>
        <w:rPr>
          <w:rFonts w:ascii="Times New Roman" w:hAnsi="Times New Roman"/>
          <w:sz w:val="22"/>
          <w:color w:val="000000"/>
        </w:rPr>
        <w:t xml:space="preserve">6A22  SCHIZOTYPAL DISORDER</w:t>
      </w:r>
      <w:r>
        <w:tab/>
      </w:r>
      <w:r>
        <w:rPr>
          <w:rFonts w:ascii="Times New Roman" w:hAnsi="Times New Roman"/>
          <w:sz w:val="22"/>
          <w:color w:val="000000"/>
        </w:rPr>
        <w:t xml:space="preserve">116</w:t>
      </w:r>
    </w:p>
    <w:p>
      <w:pPr>
        <w:ind w:left="340"/>
        <w:spacing w:before="0" w:after="60"/>
        <w:tabs>
          <w:tab w:val="right" w:leader="dot" w:pos="9639"/>
        </w:tabs>
      </w:pPr>
      <w:r>
        <w:rPr>
          <w:rFonts w:ascii="Times New Roman" w:hAnsi="Times New Roman"/>
          <w:sz w:val="22"/>
          <w:color w:val="000000"/>
        </w:rPr>
        <w:t xml:space="preserve">6A23  ACUTE AND TRANSIENT PSYCHOTIC DISORDER</w:t>
      </w:r>
      <w:r>
        <w:tab/>
      </w:r>
      <w:r>
        <w:rPr>
          <w:rFonts w:ascii="Times New Roman" w:hAnsi="Times New Roman"/>
          <w:sz w:val="22"/>
          <w:color w:val="000000"/>
        </w:rPr>
        <w:t xml:space="preserve">124</w:t>
      </w:r>
    </w:p>
    <w:p>
      <w:pPr>
        <w:ind w:left="340"/>
        <w:spacing w:before="0" w:after="60"/>
        <w:tabs>
          <w:tab w:val="right" w:leader="dot" w:pos="9639"/>
        </w:tabs>
      </w:pPr>
      <w:r>
        <w:rPr>
          <w:rFonts w:ascii="Times New Roman" w:hAnsi="Times New Roman"/>
          <w:sz w:val="22"/>
          <w:color w:val="000000"/>
        </w:rPr>
        <w:t xml:space="preserve">6A24  DELUSIONAL DISORDER</w:t>
      </w:r>
      <w:r>
        <w:tab/>
      </w:r>
      <w:r>
        <w:rPr>
          <w:rFonts w:ascii="Times New Roman" w:hAnsi="Times New Roman"/>
          <w:sz w:val="22"/>
          <w:color w:val="000000"/>
        </w:rPr>
        <w:t xml:space="preserve">133</w:t>
      </w:r>
    </w:p>
    <w:p>
      <w:pPr>
        <w:ind w:left="340"/>
        <w:spacing w:before="0" w:after="60"/>
        <w:tabs>
          <w:tab w:val="right" w:leader="dot" w:pos="9639"/>
        </w:tabs>
      </w:pPr>
      <w:r>
        <w:rPr>
          <w:rFonts w:ascii="Times New Roman" w:hAnsi="Times New Roman"/>
          <w:sz w:val="22"/>
          <w:color w:val="000000"/>
        </w:rPr>
        <w:t xml:space="preserve">6A25  SYMPTOMATIC MANIFESTATIONS OF PRIMARY PSYCHOTIC DISORDERS</w:t>
      </w:r>
      <w:r>
        <w:tab/>
      </w:r>
      <w:r>
        <w:rPr>
          <w:rFonts w:ascii="Times New Roman" w:hAnsi="Times New Roman"/>
          <w:sz w:val="22"/>
          <w:color w:val="000000"/>
        </w:rPr>
        <w:t xml:space="preserve">137</w:t>
      </w:r>
    </w:p>
    <w:p>
      <w:pPr>
        <w:ind w:left="0"/>
        <w:spacing w:before="0" w:after="60"/>
        <w:tabs>
          <w:tab w:val="right" w:leader="dot" w:pos="9639"/>
        </w:tabs>
      </w:pPr>
      <w:r>
        <w:rPr>
          <w:rFonts w:ascii="Times New Roman" w:hAnsi="Times New Roman"/>
          <w:b/>
          <w:sz w:val="22"/>
          <w:color w:val="000000"/>
        </w:rPr>
        <w:t xml:space="preserve">6A40  CATATONIA</w:t>
      </w:r>
      <w:r>
        <w:tab/>
      </w:r>
      <w:r>
        <w:rPr>
          <w:rFonts w:ascii="Times New Roman" w:hAnsi="Times New Roman"/>
          <w:b/>
          <w:sz w:val="22"/>
          <w:color w:val="000000"/>
        </w:rPr>
        <w:t xml:space="preserve">141</w:t>
      </w:r>
    </w:p>
    <w:p>
      <w:pPr>
        <w:ind w:left="340"/>
        <w:spacing w:before="0" w:after="60"/>
        <w:tabs>
          <w:tab w:val="right" w:leader="dot" w:pos="9639"/>
        </w:tabs>
      </w:pPr>
      <w:r>
        <w:rPr>
          <w:rFonts w:ascii="Times New Roman" w:hAnsi="Times New Roman"/>
          <w:sz w:val="22"/>
          <w:color w:val="000000"/>
        </w:rPr>
        <w:t xml:space="preserve">6A40  CATATONIA ASSOCIATED WITH ANOTHER MENTAL DISORDER</w:t>
      </w:r>
      <w:r>
        <w:tab/>
      </w:r>
      <w:r>
        <w:rPr>
          <w:rFonts w:ascii="Times New Roman" w:hAnsi="Times New Roman"/>
          <w:sz w:val="22"/>
          <w:color w:val="000000"/>
        </w:rPr>
        <w:t xml:space="preserve">141</w:t>
      </w:r>
    </w:p>
    <w:p>
      <w:pPr>
        <w:ind w:left="0"/>
        <w:spacing w:before="0" w:after="60"/>
        <w:tabs>
          <w:tab w:val="right" w:leader="dot" w:pos="9639"/>
        </w:tabs>
      </w:pPr>
      <w:r>
        <w:rPr>
          <w:rFonts w:ascii="Times New Roman" w:hAnsi="Times New Roman"/>
          <w:b/>
          <w:sz w:val="22"/>
          <w:color w:val="000000"/>
        </w:rPr>
        <w:t xml:space="preserve">6A60–6A7Z  MOOD DISORDERS</w:t>
      </w:r>
      <w:r>
        <w:tab/>
      </w:r>
      <w:r>
        <w:rPr>
          <w:rFonts w:ascii="Times New Roman" w:hAnsi="Times New Roman"/>
          <w:b/>
          <w:sz w:val="22"/>
          <w:color w:val="000000"/>
        </w:rPr>
        <w:t xml:space="preserve">147</w:t>
      </w:r>
    </w:p>
    <w:p>
      <w:pPr>
        <w:ind w:left="340"/>
        <w:spacing w:before="0" w:after="60"/>
        <w:tabs>
          <w:tab w:val="right" w:leader="dot" w:pos="9639"/>
        </w:tabs>
      </w:pPr>
      <w:r>
        <w:rPr>
          <w:rFonts w:ascii="Times New Roman" w:hAnsi="Times New Roman"/>
          <w:sz w:val="22"/>
          <w:color w:val="000000"/>
        </w:rPr>
        <w:t xml:space="preserve">6A60  BIPOLAR TYPE I DISORDER</w:t>
      </w:r>
      <w:r>
        <w:tab/>
      </w:r>
      <w:r>
        <w:rPr>
          <w:rFonts w:ascii="Times New Roman" w:hAnsi="Times New Roman"/>
          <w:sz w:val="22"/>
          <w:color w:val="000000"/>
        </w:rPr>
        <w:t xml:space="preserve">147</w:t>
      </w:r>
    </w:p>
    <w:p>
      <w:pPr>
        <w:ind w:left="340"/>
        <w:spacing w:before="0" w:after="60"/>
        <w:tabs>
          <w:tab w:val="right" w:leader="dot" w:pos="9639"/>
        </w:tabs>
      </w:pPr>
      <w:r>
        <w:rPr>
          <w:rFonts w:ascii="Times New Roman" w:hAnsi="Times New Roman"/>
          <w:sz w:val="22"/>
          <w:color w:val="000000"/>
        </w:rPr>
        <w:t xml:space="preserve">6A61  BIPOLAR TYPE II DISORDER</w:t>
      </w:r>
      <w:r>
        <w:tab/>
      </w:r>
      <w:r>
        <w:rPr>
          <w:rFonts w:ascii="Times New Roman" w:hAnsi="Times New Roman"/>
          <w:sz w:val="22"/>
          <w:color w:val="000000"/>
        </w:rPr>
        <w:t xml:space="preserve">153</w:t>
      </w:r>
    </w:p>
    <w:p>
      <w:pPr>
        <w:ind w:left="340"/>
        <w:spacing w:before="0" w:after="60"/>
        <w:tabs>
          <w:tab w:val="right" w:leader="dot" w:pos="9639"/>
        </w:tabs>
      </w:pPr>
      <w:r>
        <w:rPr>
          <w:rFonts w:ascii="Times New Roman" w:hAnsi="Times New Roman"/>
          <w:sz w:val="22"/>
          <w:color w:val="000000"/>
        </w:rPr>
        <w:t xml:space="preserve">6A62  CYCLOTHYMIC DISORDER</w:t>
      </w:r>
      <w:r>
        <w:tab/>
      </w:r>
      <w:r>
        <w:rPr>
          <w:rFonts w:ascii="Times New Roman" w:hAnsi="Times New Roman"/>
          <w:sz w:val="22"/>
          <w:color w:val="000000"/>
        </w:rPr>
        <w:t xml:space="preserve">158</w:t>
      </w:r>
    </w:p>
    <w:p>
      <w:pPr>
        <w:ind w:left="340"/>
        <w:spacing w:before="0" w:after="60"/>
        <w:tabs>
          <w:tab w:val="right" w:leader="dot" w:pos="9639"/>
        </w:tabs>
      </w:pPr>
      <w:r>
        <w:rPr>
          <w:rFonts w:ascii="Times New Roman" w:hAnsi="Times New Roman"/>
          <w:sz w:val="22"/>
          <w:color w:val="000000"/>
        </w:rPr>
        <w:t xml:space="preserve">6A70  SINGLE EPISODE DEPRESSIVE DISORDER</w:t>
      </w:r>
      <w:r>
        <w:tab/>
      </w:r>
      <w:r>
        <w:rPr>
          <w:rFonts w:ascii="Times New Roman" w:hAnsi="Times New Roman"/>
          <w:sz w:val="22"/>
          <w:color w:val="000000"/>
        </w:rPr>
        <w:t xml:space="preserve">162</w:t>
      </w:r>
    </w:p>
    <w:p>
      <w:pPr>
        <w:ind w:left="340"/>
        <w:spacing w:before="0" w:after="60"/>
        <w:tabs>
          <w:tab w:val="right" w:leader="dot" w:pos="9639"/>
        </w:tabs>
      </w:pPr>
      <w:r>
        <w:rPr>
          <w:rFonts w:ascii="Times New Roman" w:hAnsi="Times New Roman"/>
          <w:sz w:val="22"/>
          <w:color w:val="000000"/>
        </w:rPr>
        <w:t xml:space="preserve">6A71  RECURRENT DEPRESSIVE DISORDER</w:t>
      </w:r>
      <w:r>
        <w:tab/>
      </w:r>
      <w:r>
        <w:rPr>
          <w:rFonts w:ascii="Times New Roman" w:hAnsi="Times New Roman"/>
          <w:sz w:val="22"/>
          <w:color w:val="000000"/>
        </w:rPr>
        <w:t xml:space="preserve">169</w:t>
      </w:r>
    </w:p>
    <w:p>
      <w:pPr>
        <w:ind w:left="340"/>
        <w:spacing w:before="0" w:after="60"/>
        <w:tabs>
          <w:tab w:val="right" w:leader="dot" w:pos="9639"/>
        </w:tabs>
      </w:pPr>
      <w:r>
        <w:rPr>
          <w:rFonts w:ascii="Times New Roman" w:hAnsi="Times New Roman"/>
          <w:sz w:val="22"/>
          <w:color w:val="000000"/>
        </w:rPr>
        <w:t xml:space="preserve">6A72  DYSTHYMIC DISORDER</w:t>
      </w:r>
      <w:r>
        <w:tab/>
      </w:r>
      <w:r>
        <w:rPr>
          <w:rFonts w:ascii="Times New Roman" w:hAnsi="Times New Roman"/>
          <w:sz w:val="22"/>
          <w:color w:val="000000"/>
        </w:rPr>
        <w:t xml:space="preserve">173</w:t>
      </w:r>
    </w:p>
    <w:p>
      <w:pPr>
        <w:ind w:left="340"/>
        <w:spacing w:before="0" w:after="60"/>
        <w:tabs>
          <w:tab w:val="right" w:leader="dot" w:pos="9639"/>
        </w:tabs>
      </w:pPr>
      <w:r>
        <w:rPr>
          <w:rFonts w:ascii="Times New Roman" w:hAnsi="Times New Roman"/>
          <w:sz w:val="22"/>
          <w:color w:val="000000"/>
        </w:rPr>
        <w:t xml:space="preserve">GA34.41  PREMENSTRUAL DYSPHORIC DISORDER (PMDD)</w:t>
      </w:r>
      <w:r>
        <w:tab/>
      </w:r>
      <w:r>
        <w:rPr>
          <w:rFonts w:ascii="Times New Roman" w:hAnsi="Times New Roman"/>
          <w:sz w:val="22"/>
          <w:color w:val="000000"/>
        </w:rPr>
        <w:t xml:space="preserve">177</w:t>
      </w:r>
    </w:p>
    <w:p>
      <w:pPr>
        <w:ind w:left="0"/>
        <w:spacing w:before="0" w:after="60"/>
        <w:tabs>
          <w:tab w:val="right" w:leader="dot" w:pos="9639"/>
        </w:tabs>
      </w:pPr>
      <w:r>
        <w:rPr>
          <w:rFonts w:ascii="Times New Roman" w:hAnsi="Times New Roman"/>
          <w:b/>
          <w:sz w:val="22"/>
          <w:color w:val="000000"/>
        </w:rPr>
        <w:t xml:space="preserve">6B00–6B0Z  ANXIETY DISORDERS</w:t>
      </w:r>
      <w:r>
        <w:tab/>
      </w:r>
      <w:r>
        <w:rPr>
          <w:rFonts w:ascii="Times New Roman" w:hAnsi="Times New Roman"/>
          <w:b/>
          <w:sz w:val="22"/>
          <w:color w:val="000000"/>
        </w:rPr>
        <w:t xml:space="preserve">183</w:t>
      </w:r>
    </w:p>
    <w:p>
      <w:pPr>
        <w:ind w:left="340"/>
        <w:spacing w:before="0" w:after="60"/>
        <w:tabs>
          <w:tab w:val="right" w:leader="dot" w:pos="9639"/>
        </w:tabs>
      </w:pPr>
      <w:r>
        <w:rPr>
          <w:rFonts w:ascii="Times New Roman" w:hAnsi="Times New Roman"/>
          <w:sz w:val="22"/>
          <w:color w:val="000000"/>
        </w:rPr>
        <w:t xml:space="preserve">6B00  GENERALISED ANXIETY DISORDER (GAD)</w:t>
      </w:r>
      <w:r>
        <w:tab/>
      </w:r>
      <w:r>
        <w:rPr>
          <w:rFonts w:ascii="Times New Roman" w:hAnsi="Times New Roman"/>
          <w:sz w:val="22"/>
          <w:color w:val="000000"/>
        </w:rPr>
        <w:t xml:space="preserve">183</w:t>
      </w:r>
    </w:p>
    <w:p>
      <w:pPr>
        <w:ind w:left="340"/>
        <w:spacing w:before="0" w:after="60"/>
        <w:tabs>
          <w:tab w:val="right" w:leader="dot" w:pos="9639"/>
        </w:tabs>
      </w:pPr>
      <w:r>
        <w:rPr>
          <w:rFonts w:ascii="Times New Roman" w:hAnsi="Times New Roman"/>
          <w:sz w:val="22"/>
          <w:color w:val="000000"/>
        </w:rPr>
        <w:t xml:space="preserve">6B01  PANIC DISORDER</w:t>
      </w:r>
      <w:r>
        <w:tab/>
      </w:r>
      <w:r>
        <w:rPr>
          <w:rFonts w:ascii="Times New Roman" w:hAnsi="Times New Roman"/>
          <w:sz w:val="22"/>
          <w:color w:val="000000"/>
        </w:rPr>
        <w:t xml:space="preserve">189</w:t>
      </w:r>
    </w:p>
    <w:p>
      <w:pPr>
        <w:ind w:left="340"/>
        <w:spacing w:before="0" w:after="60"/>
        <w:tabs>
          <w:tab w:val="right" w:leader="dot" w:pos="9639"/>
        </w:tabs>
      </w:pPr>
      <w:r>
        <w:rPr>
          <w:rFonts w:ascii="Times New Roman" w:hAnsi="Times New Roman"/>
          <w:sz w:val="22"/>
          <w:color w:val="000000"/>
        </w:rPr>
        <w:t xml:space="preserve">6B02  AGORAPHOBIA</w:t>
      </w:r>
      <w:r>
        <w:tab/>
      </w:r>
      <w:r>
        <w:rPr>
          <w:rFonts w:ascii="Times New Roman" w:hAnsi="Times New Roman"/>
          <w:sz w:val="22"/>
          <w:color w:val="000000"/>
        </w:rPr>
        <w:t xml:space="preserve">193</w:t>
      </w:r>
    </w:p>
    <w:p>
      <w:pPr>
        <w:ind w:left="340"/>
        <w:spacing w:before="0" w:after="60"/>
        <w:tabs>
          <w:tab w:val="right" w:leader="dot" w:pos="9639"/>
        </w:tabs>
      </w:pPr>
      <w:r>
        <w:rPr>
          <w:rFonts w:ascii="Times New Roman" w:hAnsi="Times New Roman"/>
          <w:sz w:val="22"/>
          <w:color w:val="000000"/>
        </w:rPr>
        <w:t xml:space="preserve">6B03  SPECIFIC PHOBIA</w:t>
      </w:r>
      <w:r>
        <w:tab/>
      </w:r>
      <w:r>
        <w:rPr>
          <w:rFonts w:ascii="Times New Roman" w:hAnsi="Times New Roman"/>
          <w:sz w:val="22"/>
          <w:color w:val="000000"/>
        </w:rPr>
        <w:t xml:space="preserve">197</w:t>
      </w:r>
    </w:p>
    <w:p>
      <w:pPr>
        <w:ind w:left="340"/>
        <w:spacing w:before="0" w:after="60"/>
        <w:tabs>
          <w:tab w:val="right" w:leader="dot" w:pos="9639"/>
        </w:tabs>
      </w:pPr>
      <w:r>
        <w:rPr>
          <w:rFonts w:ascii="Times New Roman" w:hAnsi="Times New Roman"/>
          <w:sz w:val="22"/>
          <w:color w:val="000000"/>
        </w:rPr>
        <w:t xml:space="preserve">6B04  SOCIAL ANXIETY DISORDER</w:t>
      </w:r>
      <w:r>
        <w:tab/>
      </w:r>
      <w:r>
        <w:rPr>
          <w:rFonts w:ascii="Times New Roman" w:hAnsi="Times New Roman"/>
          <w:sz w:val="22"/>
          <w:color w:val="000000"/>
        </w:rPr>
        <w:t xml:space="preserve">200</w:t>
      </w:r>
    </w:p>
    <w:p>
      <w:pPr>
        <w:ind w:left="340"/>
        <w:spacing w:before="0" w:after="60"/>
        <w:tabs>
          <w:tab w:val="right" w:leader="dot" w:pos="9639"/>
        </w:tabs>
      </w:pPr>
      <w:r>
        <w:rPr>
          <w:rFonts w:ascii="Times New Roman" w:hAnsi="Times New Roman"/>
          <w:sz w:val="22"/>
          <w:color w:val="000000"/>
        </w:rPr>
        <w:t xml:space="preserve">6B05  SEPARATION ANXIETY DISORDER</w:t>
      </w:r>
      <w:r>
        <w:tab/>
      </w:r>
      <w:r>
        <w:rPr>
          <w:rFonts w:ascii="Times New Roman" w:hAnsi="Times New Roman"/>
          <w:sz w:val="22"/>
          <w:color w:val="000000"/>
        </w:rPr>
        <w:t xml:space="preserve">205</w:t>
      </w:r>
    </w:p>
    <w:p>
      <w:pPr>
        <w:ind w:left="340"/>
        <w:spacing w:before="0" w:after="60"/>
        <w:tabs>
          <w:tab w:val="right" w:leader="dot" w:pos="9639"/>
        </w:tabs>
      </w:pPr>
      <w:r>
        <w:rPr>
          <w:rFonts w:ascii="Times New Roman" w:hAnsi="Times New Roman"/>
          <w:sz w:val="22"/>
          <w:color w:val="000000"/>
        </w:rPr>
        <w:t xml:space="preserve">6B06  SELECTIVE MUTISM</w:t>
      </w:r>
      <w:r>
        <w:tab/>
      </w:r>
      <w:r>
        <w:rPr>
          <w:rFonts w:ascii="Times New Roman" w:hAnsi="Times New Roman"/>
          <w:sz w:val="22"/>
          <w:color w:val="000000"/>
        </w:rPr>
        <w:t xml:space="preserve">209</w:t>
      </w:r>
    </w:p>
    <w:p>
      <w:pPr>
        <w:ind w:left="0"/>
        <w:spacing w:before="0" w:after="60"/>
        <w:tabs>
          <w:tab w:val="right" w:leader="dot" w:pos="9639"/>
        </w:tabs>
      </w:pPr>
      <w:r>
        <w:rPr>
          <w:rFonts w:ascii="Times New Roman" w:hAnsi="Times New Roman"/>
          <w:b/>
          <w:sz w:val="22"/>
          <w:color w:val="000000"/>
        </w:rPr>
        <w:t xml:space="preserve">6B20–6B2Z  OBSESSIVE-COMPULSIVE (OCD)</w:t>
      </w:r>
      <w:r>
        <w:tab/>
      </w:r>
      <w:r>
        <w:rPr>
          <w:rFonts w:ascii="Times New Roman" w:hAnsi="Times New Roman"/>
          <w:b/>
          <w:sz w:val="22"/>
          <w:color w:val="000000"/>
        </w:rPr>
        <w:t xml:space="preserve">213</w:t>
      </w:r>
    </w:p>
    <w:p>
      <w:pPr>
        <w:ind w:left="340"/>
        <w:spacing w:before="0" w:after="60"/>
        <w:tabs>
          <w:tab w:val="right" w:leader="dot" w:pos="9639"/>
        </w:tabs>
      </w:pPr>
      <w:r>
        <w:rPr>
          <w:rFonts w:ascii="Times New Roman" w:hAnsi="Times New Roman"/>
          <w:sz w:val="22"/>
          <w:color w:val="000000"/>
        </w:rPr>
        <w:t xml:space="preserve">6B20  OBSESSIVE-COMPULSIVE DISORDER (OCD)</w:t>
      </w:r>
      <w:r>
        <w:tab/>
      </w:r>
      <w:r>
        <w:rPr>
          <w:rFonts w:ascii="Times New Roman" w:hAnsi="Times New Roman"/>
          <w:sz w:val="22"/>
          <w:color w:val="000000"/>
        </w:rPr>
        <w:t xml:space="preserve">213</w:t>
      </w:r>
    </w:p>
    <w:p>
      <w:pPr>
        <w:ind w:left="340"/>
        <w:spacing w:before="0" w:after="60"/>
        <w:tabs>
          <w:tab w:val="right" w:leader="dot" w:pos="9639"/>
        </w:tabs>
      </w:pPr>
      <w:r>
        <w:rPr>
          <w:rFonts w:ascii="Times New Roman" w:hAnsi="Times New Roman"/>
          <w:sz w:val="22"/>
          <w:color w:val="000000"/>
        </w:rPr>
        <w:t xml:space="preserve">6B21  BODY DYSMORPHIC DISORDER (BDD)</w:t>
      </w:r>
      <w:r>
        <w:tab/>
      </w:r>
      <w:r>
        <w:rPr>
          <w:rFonts w:ascii="Times New Roman" w:hAnsi="Times New Roman"/>
          <w:sz w:val="22"/>
          <w:color w:val="000000"/>
        </w:rPr>
        <w:t xml:space="preserve">218</w:t>
      </w:r>
    </w:p>
    <w:p>
      <w:pPr>
        <w:ind w:left="340"/>
        <w:spacing w:before="0" w:after="60"/>
        <w:tabs>
          <w:tab w:val="right" w:leader="dot" w:pos="9639"/>
        </w:tabs>
      </w:pPr>
      <w:r>
        <w:rPr>
          <w:rFonts w:ascii="Times New Roman" w:hAnsi="Times New Roman"/>
          <w:sz w:val="22"/>
          <w:color w:val="000000"/>
        </w:rPr>
        <w:t xml:space="preserve">6B22  OLFACTORY REFERENCE DISORDER (ORS)</w:t>
      </w:r>
      <w:r>
        <w:tab/>
      </w:r>
      <w:r>
        <w:rPr>
          <w:rFonts w:ascii="Times New Roman" w:hAnsi="Times New Roman"/>
          <w:sz w:val="22"/>
          <w:color w:val="000000"/>
        </w:rPr>
        <w:t xml:space="preserve">222</w:t>
      </w:r>
    </w:p>
    <w:p>
      <w:pPr>
        <w:ind w:left="340"/>
        <w:spacing w:before="0" w:after="60"/>
        <w:tabs>
          <w:tab w:val="right" w:leader="dot" w:pos="9639"/>
        </w:tabs>
      </w:pPr>
      <w:r>
        <w:rPr>
          <w:rFonts w:ascii="Times New Roman" w:hAnsi="Times New Roman"/>
          <w:sz w:val="22"/>
          <w:color w:val="000000"/>
        </w:rPr>
        <w:t xml:space="preserve">6B23  HYPOCHONDRIASIS</w:t>
      </w:r>
      <w:r>
        <w:tab/>
      </w:r>
      <w:r>
        <w:rPr>
          <w:rFonts w:ascii="Times New Roman" w:hAnsi="Times New Roman"/>
          <w:sz w:val="22"/>
          <w:color w:val="000000"/>
        </w:rPr>
        <w:t xml:space="preserve">225</w:t>
      </w:r>
    </w:p>
    <w:p>
      <w:pPr>
        <w:ind w:left="340"/>
        <w:spacing w:before="0" w:after="60"/>
        <w:tabs>
          <w:tab w:val="right" w:leader="dot" w:pos="9639"/>
        </w:tabs>
      </w:pPr>
      <w:r>
        <w:rPr>
          <w:rFonts w:ascii="Times New Roman" w:hAnsi="Times New Roman"/>
          <w:sz w:val="22"/>
          <w:color w:val="000000"/>
        </w:rPr>
        <w:t xml:space="preserve">6B24  HOARDING DISORDER</w:t>
      </w:r>
      <w:r>
        <w:tab/>
      </w:r>
      <w:r>
        <w:rPr>
          <w:rFonts w:ascii="Times New Roman" w:hAnsi="Times New Roman"/>
          <w:sz w:val="22"/>
          <w:color w:val="000000"/>
        </w:rPr>
        <w:t xml:space="preserve">229</w:t>
      </w:r>
    </w:p>
    <w:p>
      <w:pPr>
        <w:ind w:left="340"/>
        <w:spacing w:before="0" w:after="60"/>
        <w:tabs>
          <w:tab w:val="right" w:leader="dot" w:pos="9639"/>
        </w:tabs>
      </w:pPr>
      <w:r>
        <w:rPr>
          <w:rFonts w:ascii="Times New Roman" w:hAnsi="Times New Roman"/>
          <w:sz w:val="22"/>
          <w:color w:val="000000"/>
        </w:rPr>
        <w:t xml:space="preserve">6B25  BODY-FOCUSED REPETITIVE BEHAVIOUR DISORDERS</w:t>
      </w:r>
      <w:r>
        <w:tab/>
      </w:r>
      <w:r>
        <w:rPr>
          <w:rFonts w:ascii="Times New Roman" w:hAnsi="Times New Roman"/>
          <w:sz w:val="22"/>
          <w:color w:val="000000"/>
        </w:rPr>
        <w:t xml:space="preserve">233</w:t>
      </w:r>
    </w:p>
    <w:p>
      <w:pPr>
        <w:ind w:left="0"/>
        <w:spacing w:before="0" w:after="60"/>
        <w:tabs>
          <w:tab w:val="right" w:leader="dot" w:pos="9639"/>
        </w:tabs>
      </w:pPr>
      <w:r>
        <w:rPr>
          <w:rFonts w:ascii="Times New Roman" w:hAnsi="Times New Roman"/>
          <w:b/>
          <w:sz w:val="22"/>
          <w:color w:val="000000"/>
        </w:rPr>
        <w:t xml:space="preserve">6B40–6B4Z  STRESS-RELATED</w:t>
      </w:r>
      <w:r>
        <w:tab/>
      </w:r>
      <w:r>
        <w:rPr>
          <w:rFonts w:ascii="Times New Roman" w:hAnsi="Times New Roman"/>
          <w:b/>
          <w:sz w:val="22"/>
          <w:color w:val="000000"/>
        </w:rPr>
        <w:t xml:space="preserve">238</w:t>
      </w:r>
    </w:p>
    <w:p>
      <w:pPr>
        <w:ind w:left="340"/>
        <w:spacing w:before="0" w:after="60"/>
        <w:tabs>
          <w:tab w:val="right" w:leader="dot" w:pos="9639"/>
        </w:tabs>
      </w:pPr>
      <w:r>
        <w:rPr>
          <w:rFonts w:ascii="Times New Roman" w:hAnsi="Times New Roman"/>
          <w:sz w:val="22"/>
          <w:color w:val="000000"/>
        </w:rPr>
        <w:t xml:space="preserve">6B40  POST TRAUMATIC STRESS DISORDER (PTSD)</w:t>
      </w:r>
      <w:r>
        <w:tab/>
      </w:r>
      <w:r>
        <w:rPr>
          <w:rFonts w:ascii="Times New Roman" w:hAnsi="Times New Roman"/>
          <w:sz w:val="22"/>
          <w:color w:val="000000"/>
        </w:rPr>
        <w:t xml:space="preserve">238</w:t>
      </w:r>
    </w:p>
    <w:p>
      <w:pPr>
        <w:ind w:left="340"/>
        <w:spacing w:before="0" w:after="60"/>
        <w:tabs>
          <w:tab w:val="right" w:leader="dot" w:pos="9639"/>
        </w:tabs>
      </w:pPr>
      <w:r>
        <w:rPr>
          <w:rFonts w:ascii="Times New Roman" w:hAnsi="Times New Roman"/>
          <w:sz w:val="22"/>
          <w:color w:val="000000"/>
        </w:rPr>
        <w:t xml:space="preserve">6B41  COMPLEX POST TRAUMATIC STRESS DISORDER (cPTSD)</w:t>
      </w:r>
      <w:r>
        <w:tab/>
      </w:r>
      <w:r>
        <w:rPr>
          <w:rFonts w:ascii="Times New Roman" w:hAnsi="Times New Roman"/>
          <w:sz w:val="22"/>
          <w:color w:val="000000"/>
        </w:rPr>
        <w:t xml:space="preserve">243</w:t>
      </w:r>
    </w:p>
    <w:p>
      <w:pPr>
        <w:ind w:left="340"/>
        <w:spacing w:before="0" w:after="60"/>
        <w:tabs>
          <w:tab w:val="right" w:leader="dot" w:pos="9639"/>
        </w:tabs>
      </w:pPr>
      <w:r>
        <w:rPr>
          <w:rFonts w:ascii="Times New Roman" w:hAnsi="Times New Roman"/>
          <w:sz w:val="22"/>
          <w:color w:val="000000"/>
        </w:rPr>
        <w:t xml:space="preserve">6B42  PROLONGED GRIEF DISORDER</w:t>
      </w:r>
      <w:r>
        <w:tab/>
      </w:r>
      <w:r>
        <w:rPr>
          <w:rFonts w:ascii="Times New Roman" w:hAnsi="Times New Roman"/>
          <w:sz w:val="22"/>
          <w:color w:val="000000"/>
        </w:rPr>
        <w:t xml:space="preserve">247</w:t>
      </w:r>
    </w:p>
    <w:p>
      <w:pPr>
        <w:ind w:left="340"/>
        <w:spacing w:before="0" w:after="60"/>
        <w:tabs>
          <w:tab w:val="right" w:leader="dot" w:pos="9639"/>
        </w:tabs>
      </w:pPr>
      <w:r>
        <w:rPr>
          <w:rFonts w:ascii="Times New Roman" w:hAnsi="Times New Roman"/>
          <w:sz w:val="22"/>
          <w:color w:val="000000"/>
        </w:rPr>
        <w:t xml:space="preserve">6B43  ADJUSTMENT DISORDER</w:t>
      </w:r>
      <w:r>
        <w:tab/>
      </w:r>
      <w:r>
        <w:rPr>
          <w:rFonts w:ascii="Times New Roman" w:hAnsi="Times New Roman"/>
          <w:sz w:val="22"/>
          <w:color w:val="000000"/>
        </w:rPr>
        <w:t xml:space="preserve">252</w:t>
      </w:r>
    </w:p>
    <w:p>
      <w:pPr>
        <w:ind w:left="340"/>
        <w:spacing w:before="0" w:after="60"/>
        <w:tabs>
          <w:tab w:val="right" w:leader="dot" w:pos="9639"/>
        </w:tabs>
      </w:pPr>
      <w:r>
        <w:rPr>
          <w:rFonts w:ascii="Times New Roman" w:hAnsi="Times New Roman"/>
          <w:sz w:val="22"/>
          <w:color w:val="000000"/>
        </w:rPr>
        <w:t xml:space="preserve">6B44  REACTIVE ATTACHMENT DISORDER</w:t>
      </w:r>
      <w:r>
        <w:tab/>
      </w:r>
      <w:r>
        <w:rPr>
          <w:rFonts w:ascii="Times New Roman" w:hAnsi="Times New Roman"/>
          <w:sz w:val="22"/>
          <w:color w:val="000000"/>
        </w:rPr>
        <w:t xml:space="preserve">255</w:t>
      </w:r>
    </w:p>
    <w:p>
      <w:pPr>
        <w:ind w:left="340"/>
        <w:spacing w:before="0" w:after="60"/>
        <w:tabs>
          <w:tab w:val="right" w:leader="dot" w:pos="9639"/>
        </w:tabs>
      </w:pPr>
      <w:r>
        <w:rPr>
          <w:rFonts w:ascii="Times New Roman" w:hAnsi="Times New Roman"/>
          <w:sz w:val="22"/>
          <w:color w:val="000000"/>
        </w:rPr>
        <w:t xml:space="preserve">6B45  DISINHIBITED SOCIAL ENGAGEMENT DISORDER</w:t>
      </w:r>
      <w:r>
        <w:tab/>
      </w:r>
      <w:r>
        <w:rPr>
          <w:rFonts w:ascii="Times New Roman" w:hAnsi="Times New Roman"/>
          <w:sz w:val="22"/>
          <w:color w:val="000000"/>
        </w:rPr>
        <w:t xml:space="preserve">259</w:t>
      </w:r>
    </w:p>
    <w:p>
      <w:pPr>
        <w:ind w:left="0"/>
        <w:spacing w:before="0" w:after="60"/>
        <w:tabs>
          <w:tab w:val="right" w:leader="dot" w:pos="9639"/>
        </w:tabs>
      </w:pPr>
      <w:r>
        <w:rPr>
          <w:rFonts w:ascii="Times New Roman" w:hAnsi="Times New Roman"/>
          <w:b/>
          <w:sz w:val="22"/>
          <w:color w:val="000000"/>
        </w:rPr>
        <w:t xml:space="preserve">6B60–6B6Z  DISSOCIATIVE DISORDERS</w:t>
      </w:r>
      <w:r>
        <w:tab/>
      </w:r>
      <w:r>
        <w:rPr>
          <w:rFonts w:ascii="Times New Roman" w:hAnsi="Times New Roman"/>
          <w:b/>
          <w:sz w:val="22"/>
          <w:color w:val="000000"/>
        </w:rPr>
        <w:t xml:space="preserve">264</w:t>
      </w:r>
    </w:p>
    <w:p>
      <w:pPr>
        <w:ind w:left="340"/>
        <w:spacing w:before="0" w:after="60"/>
        <w:tabs>
          <w:tab w:val="right" w:leader="dot" w:pos="9639"/>
        </w:tabs>
      </w:pPr>
      <w:r>
        <w:rPr>
          <w:rFonts w:ascii="Times New Roman" w:hAnsi="Times New Roman"/>
          <w:sz w:val="22"/>
          <w:color w:val="000000"/>
        </w:rPr>
        <w:t xml:space="preserve">6B64  DISSOCIATIVE IDENTITY DISORDER (DID)</w:t>
      </w:r>
      <w:r>
        <w:tab/>
      </w:r>
      <w:r>
        <w:rPr>
          <w:rFonts w:ascii="Times New Roman" w:hAnsi="Times New Roman"/>
          <w:sz w:val="22"/>
          <w:color w:val="000000"/>
        </w:rPr>
        <w:t xml:space="preserve">264</w:t>
      </w:r>
    </w:p>
    <w:p>
      <w:pPr>
        <w:ind w:left="340"/>
        <w:spacing w:before="0" w:after="60"/>
        <w:tabs>
          <w:tab w:val="right" w:leader="dot" w:pos="9639"/>
        </w:tabs>
      </w:pPr>
      <w:r>
        <w:rPr>
          <w:rFonts w:ascii="Times New Roman" w:hAnsi="Times New Roman"/>
          <w:sz w:val="22"/>
          <w:color w:val="000000"/>
        </w:rPr>
        <w:t xml:space="preserve">6B65  PARTIAL DISSOCIATIVE IDENTITY DISORDER</w:t>
      </w:r>
      <w:r>
        <w:tab/>
      </w:r>
      <w:r>
        <w:rPr>
          <w:rFonts w:ascii="Times New Roman" w:hAnsi="Times New Roman"/>
          <w:sz w:val="22"/>
          <w:color w:val="000000"/>
        </w:rPr>
        <w:t xml:space="preserve">268</w:t>
      </w:r>
    </w:p>
    <w:p>
      <w:pPr>
        <w:ind w:left="340"/>
        <w:spacing w:before="0" w:after="60"/>
        <w:tabs>
          <w:tab w:val="right" w:leader="dot" w:pos="9639"/>
        </w:tabs>
      </w:pPr>
      <w:r>
        <w:rPr>
          <w:rFonts w:ascii="Times New Roman" w:hAnsi="Times New Roman"/>
          <w:sz w:val="22"/>
          <w:color w:val="000000"/>
        </w:rPr>
        <w:t xml:space="preserve">6B66  DEPERSONALIZATION-DEREALIZATION DISORDER</w:t>
      </w:r>
      <w:r>
        <w:tab/>
      </w:r>
      <w:r>
        <w:rPr>
          <w:rFonts w:ascii="Times New Roman" w:hAnsi="Times New Roman"/>
          <w:sz w:val="22"/>
          <w:color w:val="000000"/>
        </w:rPr>
        <w:t xml:space="preserve">271</w:t>
      </w:r>
    </w:p>
    <w:p>
      <w:pPr>
        <w:ind w:left="340"/>
        <w:spacing w:before="0" w:after="60"/>
        <w:tabs>
          <w:tab w:val="right" w:leader="dot" w:pos="9639"/>
        </w:tabs>
      </w:pPr>
      <w:r>
        <w:rPr>
          <w:rFonts w:ascii="Times New Roman" w:hAnsi="Times New Roman"/>
          <w:sz w:val="22"/>
          <w:color w:val="000000"/>
        </w:rPr>
        <w:t xml:space="preserve">6B60  DISSOCIATIVE NEUROLOGICAL SYMPTOM DISORDER</w:t>
      </w:r>
      <w:r>
        <w:tab/>
      </w:r>
      <w:r>
        <w:rPr>
          <w:rFonts w:ascii="Times New Roman" w:hAnsi="Times New Roman"/>
          <w:sz w:val="22"/>
          <w:color w:val="000000"/>
        </w:rPr>
        <w:t xml:space="preserve">274</w:t>
      </w:r>
    </w:p>
    <w:p>
      <w:pPr>
        <w:ind w:left="340"/>
        <w:spacing w:before="0" w:after="60"/>
        <w:tabs>
          <w:tab w:val="right" w:leader="dot" w:pos="9639"/>
        </w:tabs>
      </w:pPr>
      <w:r>
        <w:rPr>
          <w:rFonts w:ascii="Times New Roman" w:hAnsi="Times New Roman"/>
          <w:sz w:val="22"/>
          <w:color w:val="000000"/>
        </w:rPr>
        <w:t xml:space="preserve">6B61  DISSOCIATIVE AMNESIA</w:t>
      </w:r>
      <w:r>
        <w:tab/>
      </w:r>
      <w:r>
        <w:rPr>
          <w:rFonts w:ascii="Times New Roman" w:hAnsi="Times New Roman"/>
          <w:sz w:val="22"/>
          <w:color w:val="000000"/>
        </w:rPr>
        <w:t xml:space="preserve">278</w:t>
      </w:r>
    </w:p>
    <w:p>
      <w:pPr>
        <w:ind w:left="0"/>
        <w:spacing w:before="0" w:after="60"/>
        <w:tabs>
          <w:tab w:val="right" w:leader="dot" w:pos="9639"/>
        </w:tabs>
      </w:pPr>
      <w:r>
        <w:rPr>
          <w:rFonts w:ascii="Times New Roman" w:hAnsi="Times New Roman"/>
          <w:b/>
          <w:sz w:val="22"/>
          <w:color w:val="000000"/>
        </w:rPr>
        <w:t xml:space="preserve">6B80–6B8Z  FEEDING AND EATING DISORDERS</w:t>
      </w:r>
      <w:r>
        <w:tab/>
      </w:r>
      <w:r>
        <w:rPr>
          <w:rFonts w:ascii="Times New Roman" w:hAnsi="Times New Roman"/>
          <w:b/>
          <w:sz w:val="22"/>
          <w:color w:val="000000"/>
        </w:rPr>
        <w:t xml:space="preserve">283</w:t>
      </w:r>
    </w:p>
    <w:p>
      <w:pPr>
        <w:ind w:left="340"/>
        <w:spacing w:before="0" w:after="60"/>
        <w:tabs>
          <w:tab w:val="right" w:leader="dot" w:pos="9639"/>
        </w:tabs>
      </w:pPr>
      <w:r>
        <w:rPr>
          <w:rFonts w:ascii="Times New Roman" w:hAnsi="Times New Roman"/>
          <w:sz w:val="22"/>
          <w:color w:val="000000"/>
        </w:rPr>
        <w:t xml:space="preserve">6B80  ANOREXIA NERVOSA</w:t>
      </w:r>
      <w:r>
        <w:tab/>
      </w:r>
      <w:r>
        <w:rPr>
          <w:rFonts w:ascii="Times New Roman" w:hAnsi="Times New Roman"/>
          <w:sz w:val="22"/>
          <w:color w:val="000000"/>
        </w:rPr>
        <w:t xml:space="preserve">283</w:t>
      </w:r>
    </w:p>
    <w:p>
      <w:pPr>
        <w:ind w:left="340"/>
        <w:spacing w:before="0" w:after="60"/>
        <w:tabs>
          <w:tab w:val="right" w:leader="dot" w:pos="9639"/>
        </w:tabs>
      </w:pPr>
      <w:r>
        <w:rPr>
          <w:rFonts w:ascii="Times New Roman" w:hAnsi="Times New Roman"/>
          <w:sz w:val="22"/>
          <w:color w:val="000000"/>
        </w:rPr>
        <w:t xml:space="preserve">6B81  BULIMIA NERVOSA</w:t>
      </w:r>
      <w:r>
        <w:tab/>
      </w:r>
      <w:r>
        <w:rPr>
          <w:rFonts w:ascii="Times New Roman" w:hAnsi="Times New Roman"/>
          <w:sz w:val="22"/>
          <w:color w:val="000000"/>
        </w:rPr>
        <w:t xml:space="preserve">287</w:t>
      </w:r>
    </w:p>
    <w:p>
      <w:pPr>
        <w:ind w:left="340"/>
        <w:spacing w:before="0" w:after="60"/>
        <w:tabs>
          <w:tab w:val="right" w:leader="dot" w:pos="9639"/>
        </w:tabs>
      </w:pPr>
      <w:r>
        <w:rPr>
          <w:rFonts w:ascii="Times New Roman" w:hAnsi="Times New Roman"/>
          <w:sz w:val="22"/>
          <w:color w:val="000000"/>
        </w:rPr>
        <w:t xml:space="preserve">6B82  BINGE EATING DISORDER (BED)</w:t>
      </w:r>
      <w:r>
        <w:tab/>
      </w:r>
      <w:r>
        <w:rPr>
          <w:rFonts w:ascii="Times New Roman" w:hAnsi="Times New Roman"/>
          <w:sz w:val="22"/>
          <w:color w:val="000000"/>
        </w:rPr>
        <w:t xml:space="preserve">291</w:t>
      </w:r>
    </w:p>
    <w:p>
      <w:pPr>
        <w:ind w:left="340"/>
        <w:spacing w:before="0" w:after="60"/>
        <w:tabs>
          <w:tab w:val="right" w:leader="dot" w:pos="9639"/>
        </w:tabs>
      </w:pPr>
      <w:r>
        <w:rPr>
          <w:rFonts w:ascii="Times New Roman" w:hAnsi="Times New Roman"/>
          <w:sz w:val="22"/>
          <w:color w:val="000000"/>
        </w:rPr>
        <w:t xml:space="preserve">6B84  PICA</w:t>
      </w:r>
      <w:r>
        <w:tab/>
      </w:r>
      <w:r>
        <w:rPr>
          <w:rFonts w:ascii="Times New Roman" w:hAnsi="Times New Roman"/>
          <w:sz w:val="22"/>
          <w:color w:val="000000"/>
        </w:rPr>
        <w:t xml:space="preserve">294</w:t>
      </w:r>
    </w:p>
    <w:p>
      <w:pPr>
        <w:ind w:left="340"/>
        <w:spacing w:before="0" w:after="60"/>
        <w:tabs>
          <w:tab w:val="right" w:leader="dot" w:pos="9639"/>
        </w:tabs>
      </w:pPr>
      <w:r>
        <w:rPr>
          <w:rFonts w:ascii="Times New Roman" w:hAnsi="Times New Roman"/>
          <w:sz w:val="22"/>
          <w:color w:val="000000"/>
        </w:rPr>
        <w:t xml:space="preserve">6B85  RUMINATION-REGURGITATION DISORDER</w:t>
      </w:r>
      <w:r>
        <w:tab/>
      </w:r>
      <w:r>
        <w:rPr>
          <w:rFonts w:ascii="Times New Roman" w:hAnsi="Times New Roman"/>
          <w:sz w:val="22"/>
          <w:color w:val="000000"/>
        </w:rPr>
        <w:t xml:space="preserve">297</w:t>
      </w:r>
    </w:p>
    <w:p>
      <w:pPr>
        <w:ind w:left="340"/>
        <w:spacing w:before="0" w:after="60"/>
        <w:tabs>
          <w:tab w:val="right" w:leader="dot" w:pos="9639"/>
        </w:tabs>
      </w:pPr>
      <w:r>
        <w:rPr>
          <w:rFonts w:ascii="Times New Roman" w:hAnsi="Times New Roman"/>
          <w:sz w:val="22"/>
          <w:color w:val="000000"/>
        </w:rPr>
        <w:t xml:space="preserve">6B83  AVOIDANT-RESTRICTIVE FOOD INTAKE DISORDER (ARFID)</w:t>
      </w:r>
      <w:r>
        <w:tab/>
      </w:r>
      <w:r>
        <w:rPr>
          <w:rFonts w:ascii="Times New Roman" w:hAnsi="Times New Roman"/>
          <w:sz w:val="22"/>
          <w:color w:val="000000"/>
        </w:rPr>
        <w:t xml:space="preserve">300</w:t>
      </w:r>
    </w:p>
    <w:p>
      <w:pPr>
        <w:ind w:left="0"/>
        <w:spacing w:before="0" w:after="60"/>
        <w:tabs>
          <w:tab w:val="right" w:leader="dot" w:pos="9639"/>
        </w:tabs>
      </w:pPr>
      <w:r>
        <w:rPr>
          <w:rFonts w:ascii="Times New Roman" w:hAnsi="Times New Roman"/>
          <w:b/>
          <w:sz w:val="22"/>
          <w:color w:val="000000"/>
        </w:rPr>
        <w:t xml:space="preserve">6C00–6C0Z  ELIMINATION DISORDERS</w:t>
      </w:r>
      <w:r>
        <w:tab/>
      </w:r>
      <w:r>
        <w:rPr>
          <w:rFonts w:ascii="Times New Roman" w:hAnsi="Times New Roman"/>
          <w:b/>
          <w:sz w:val="22"/>
          <w:color w:val="000000"/>
        </w:rPr>
        <w:t xml:space="preserve">304</w:t>
      </w:r>
    </w:p>
    <w:p>
      <w:pPr>
        <w:ind w:left="340"/>
        <w:spacing w:before="0" w:after="60"/>
        <w:tabs>
          <w:tab w:val="right" w:leader="dot" w:pos="9639"/>
        </w:tabs>
      </w:pPr>
      <w:r>
        <w:rPr>
          <w:rFonts w:ascii="Times New Roman" w:hAnsi="Times New Roman"/>
          <w:sz w:val="22"/>
          <w:color w:val="000000"/>
        </w:rPr>
        <w:t xml:space="preserve">6C00  ENURESIS</w:t>
      </w:r>
      <w:r>
        <w:tab/>
      </w:r>
      <w:r>
        <w:rPr>
          <w:rFonts w:ascii="Times New Roman" w:hAnsi="Times New Roman"/>
          <w:sz w:val="22"/>
          <w:color w:val="000000"/>
        </w:rPr>
        <w:t xml:space="preserve">304</w:t>
      </w:r>
    </w:p>
    <w:p>
      <w:pPr>
        <w:ind w:left="340"/>
        <w:spacing w:before="0" w:after="60"/>
        <w:tabs>
          <w:tab w:val="right" w:leader="dot" w:pos="9639"/>
        </w:tabs>
      </w:pPr>
      <w:r>
        <w:rPr>
          <w:rFonts w:ascii="Times New Roman" w:hAnsi="Times New Roman"/>
          <w:sz w:val="22"/>
          <w:color w:val="000000"/>
        </w:rPr>
        <w:t xml:space="preserve">6C01  ENCOPRESIS</w:t>
      </w:r>
      <w:r>
        <w:tab/>
      </w:r>
      <w:r>
        <w:rPr>
          <w:rFonts w:ascii="Times New Roman" w:hAnsi="Times New Roman"/>
          <w:sz w:val="22"/>
          <w:color w:val="000000"/>
        </w:rPr>
        <w:t xml:space="preserve">308</w:t>
      </w:r>
    </w:p>
    <w:p>
      <w:pPr>
        <w:ind w:left="0"/>
        <w:spacing w:before="0" w:after="60"/>
        <w:tabs>
          <w:tab w:val="right" w:leader="dot" w:pos="9639"/>
        </w:tabs>
      </w:pPr>
      <w:r>
        <w:rPr>
          <w:rFonts w:ascii="Times New Roman" w:hAnsi="Times New Roman"/>
          <w:b/>
          <w:sz w:val="22"/>
          <w:color w:val="000000"/>
        </w:rPr>
        <w:t xml:space="preserve">6C20  BODILY DISTRESS</w:t>
      </w:r>
      <w:r>
        <w:tab/>
      </w:r>
      <w:r>
        <w:rPr>
          <w:rFonts w:ascii="Times New Roman" w:hAnsi="Times New Roman"/>
          <w:b/>
          <w:sz w:val="22"/>
          <w:color w:val="000000"/>
        </w:rPr>
        <w:t xml:space="preserve">313</w:t>
      </w:r>
    </w:p>
    <w:p>
      <w:pPr>
        <w:ind w:left="340"/>
        <w:spacing w:before="0" w:after="60"/>
        <w:tabs>
          <w:tab w:val="right" w:leader="dot" w:pos="9639"/>
        </w:tabs>
      </w:pPr>
      <w:r>
        <w:rPr>
          <w:rFonts w:ascii="Times New Roman" w:hAnsi="Times New Roman"/>
          <w:sz w:val="22"/>
          <w:color w:val="000000"/>
        </w:rPr>
        <w:t xml:space="preserve">6C20  BODILY DISTRESS DISORDER</w:t>
      </w:r>
      <w:r>
        <w:tab/>
      </w:r>
      <w:r>
        <w:rPr>
          <w:rFonts w:ascii="Times New Roman" w:hAnsi="Times New Roman"/>
          <w:sz w:val="22"/>
          <w:color w:val="000000"/>
        </w:rPr>
        <w:t xml:space="preserve">313</w:t>
      </w:r>
    </w:p>
    <w:p>
      <w:pPr>
        <w:ind w:left="0"/>
        <w:spacing w:before="0" w:after="60"/>
        <w:tabs>
          <w:tab w:val="right" w:leader="dot" w:pos="9639"/>
        </w:tabs>
      </w:pPr>
      <w:r>
        <w:rPr>
          <w:rFonts w:ascii="Times New Roman" w:hAnsi="Times New Roman"/>
          <w:b/>
          <w:sz w:val="22"/>
          <w:color w:val="000000"/>
        </w:rPr>
        <w:t xml:space="preserve">6C40–6C5Z  SUBSTANCE-RELATED</w:t>
      </w:r>
      <w:r>
        <w:tab/>
      </w:r>
      <w:r>
        <w:rPr>
          <w:rFonts w:ascii="Times New Roman" w:hAnsi="Times New Roman"/>
          <w:b/>
          <w:sz w:val="22"/>
          <w:color w:val="000000"/>
        </w:rPr>
        <w:t xml:space="preserve">317</w:t>
      </w:r>
    </w:p>
    <w:p>
      <w:pPr>
        <w:ind w:left="340"/>
        <w:spacing w:before="0" w:after="60"/>
        <w:tabs>
          <w:tab w:val="right" w:leader="dot" w:pos="9639"/>
        </w:tabs>
      </w:pPr>
      <w:r>
        <w:rPr>
          <w:rFonts w:ascii="Times New Roman" w:hAnsi="Times New Roman"/>
          <w:sz w:val="22"/>
          <w:color w:val="000000"/>
        </w:rPr>
        <w:t xml:space="preserve">6C40  DISORDERS DUE TO USE OF ALCOHOL</w:t>
      </w:r>
      <w:r>
        <w:tab/>
      </w:r>
      <w:r>
        <w:rPr>
          <w:rFonts w:ascii="Times New Roman" w:hAnsi="Times New Roman"/>
          <w:sz w:val="22"/>
          <w:color w:val="000000"/>
        </w:rPr>
        <w:t xml:space="preserve">317</w:t>
      </w:r>
    </w:p>
    <w:p>
      <w:pPr>
        <w:ind w:left="340"/>
        <w:spacing w:before="0" w:after="60"/>
        <w:tabs>
          <w:tab w:val="right" w:leader="dot" w:pos="9639"/>
        </w:tabs>
      </w:pPr>
      <w:r>
        <w:rPr>
          <w:rFonts w:ascii="Times New Roman" w:hAnsi="Times New Roman"/>
          <w:sz w:val="22"/>
          <w:color w:val="000000"/>
        </w:rPr>
        <w:t xml:space="preserve">6C43  DISORDERS DUE TO USE OF OPIOIDS</w:t>
      </w:r>
      <w:r>
        <w:tab/>
      </w:r>
      <w:r>
        <w:rPr>
          <w:rFonts w:ascii="Times New Roman" w:hAnsi="Times New Roman"/>
          <w:sz w:val="22"/>
          <w:color w:val="000000"/>
        </w:rPr>
        <w:t xml:space="preserve">321</w:t>
      </w:r>
    </w:p>
    <w:p>
      <w:pPr>
        <w:ind w:left="340"/>
        <w:spacing w:before="0" w:after="60"/>
        <w:tabs>
          <w:tab w:val="right" w:leader="dot" w:pos="9639"/>
        </w:tabs>
      </w:pPr>
      <w:r>
        <w:rPr>
          <w:rFonts w:ascii="Times New Roman" w:hAnsi="Times New Roman"/>
          <w:sz w:val="22"/>
          <w:color w:val="000000"/>
        </w:rPr>
        <w:t xml:space="preserve">6C41  DISORDERS DUE TO USE OF CANNABIS</w:t>
      </w:r>
      <w:r>
        <w:tab/>
      </w:r>
      <w:r>
        <w:rPr>
          <w:rFonts w:ascii="Times New Roman" w:hAnsi="Times New Roman"/>
          <w:sz w:val="22"/>
          <w:color w:val="000000"/>
        </w:rPr>
        <w:t xml:space="preserve">325</w:t>
      </w:r>
    </w:p>
    <w:p>
      <w:pPr>
        <w:ind w:left="340"/>
        <w:spacing w:before="0" w:after="60"/>
        <w:tabs>
          <w:tab w:val="right" w:leader="dot" w:pos="9639"/>
        </w:tabs>
      </w:pPr>
      <w:r>
        <w:rPr>
          <w:rFonts w:ascii="Times New Roman" w:hAnsi="Times New Roman"/>
          <w:sz w:val="22"/>
          <w:color w:val="000000"/>
        </w:rPr>
        <w:t xml:space="preserve">6C44  DISORDERS DUE TO USE OF SEDATIVES, HYPNOTICS OR ANXIOLYTICS</w:t>
      </w:r>
      <w:r>
        <w:tab/>
      </w:r>
      <w:r>
        <w:rPr>
          <w:rFonts w:ascii="Times New Roman" w:hAnsi="Times New Roman"/>
          <w:sz w:val="22"/>
          <w:color w:val="000000"/>
        </w:rPr>
        <w:t xml:space="preserve">329</w:t>
      </w:r>
    </w:p>
    <w:p>
      <w:pPr>
        <w:ind w:left="340"/>
        <w:spacing w:before="0" w:after="60"/>
        <w:tabs>
          <w:tab w:val="right" w:leader="dot" w:pos="9639"/>
        </w:tabs>
      </w:pPr>
      <w:r>
        <w:rPr>
          <w:rFonts w:ascii="Times New Roman" w:hAnsi="Times New Roman"/>
          <w:sz w:val="22"/>
          <w:color w:val="000000"/>
        </w:rPr>
        <w:t xml:space="preserve">6C45  DISORDERS DUE TO USE OF COCAINE</w:t>
      </w:r>
      <w:r>
        <w:tab/>
      </w:r>
      <w:r>
        <w:rPr>
          <w:rFonts w:ascii="Times New Roman" w:hAnsi="Times New Roman"/>
          <w:sz w:val="22"/>
          <w:color w:val="000000"/>
        </w:rPr>
        <w:t xml:space="preserve">332</w:t>
      </w:r>
    </w:p>
    <w:p>
      <w:pPr>
        <w:ind w:left="340"/>
        <w:spacing w:before="0" w:after="60"/>
        <w:tabs>
          <w:tab w:val="right" w:leader="dot" w:pos="9639"/>
        </w:tabs>
      </w:pPr>
      <w:r>
        <w:rPr>
          <w:rFonts w:ascii="Times New Roman" w:hAnsi="Times New Roman"/>
          <w:sz w:val="22"/>
          <w:color w:val="000000"/>
        </w:rPr>
        <w:t xml:space="preserve">6C46  DISORDERS DUE TO USE OF STIMULANTS INCLUDING AMPHETAMINES, METHAMPHETAMINE OR METHCATHINONE</w:t>
      </w:r>
      <w:r>
        <w:tab/>
      </w:r>
      <w:r>
        <w:rPr>
          <w:rFonts w:ascii="Times New Roman" w:hAnsi="Times New Roman"/>
          <w:sz w:val="22"/>
          <w:color w:val="000000"/>
        </w:rPr>
        <w:t xml:space="preserve">335</w:t>
      </w:r>
    </w:p>
    <w:p>
      <w:pPr>
        <w:ind w:left="340"/>
        <w:spacing w:before="0" w:after="60"/>
        <w:tabs>
          <w:tab w:val="right" w:leader="dot" w:pos="9639"/>
        </w:tabs>
      </w:pPr>
      <w:r>
        <w:rPr>
          <w:rFonts w:ascii="Times New Roman" w:hAnsi="Times New Roman"/>
          <w:sz w:val="22"/>
          <w:color w:val="000000"/>
        </w:rPr>
        <w:t xml:space="preserve">6C49  DISORDERS DUE TO USE OF HALLUCINOGENS</w:t>
      </w:r>
      <w:r>
        <w:tab/>
      </w:r>
      <w:r>
        <w:rPr>
          <w:rFonts w:ascii="Times New Roman" w:hAnsi="Times New Roman"/>
          <w:sz w:val="22"/>
          <w:color w:val="000000"/>
        </w:rPr>
        <w:t xml:space="preserve">338</w:t>
      </w:r>
    </w:p>
    <w:p>
      <w:pPr>
        <w:ind w:left="340"/>
        <w:spacing w:before="0" w:after="60"/>
        <w:tabs>
          <w:tab w:val="right" w:leader="dot" w:pos="9639"/>
        </w:tabs>
      </w:pPr>
      <w:r>
        <w:rPr>
          <w:rFonts w:ascii="Times New Roman" w:hAnsi="Times New Roman"/>
          <w:sz w:val="22"/>
          <w:color w:val="000000"/>
        </w:rPr>
        <w:t xml:space="preserve">6C4A  DISORDERS DUE TO USE OF NICOTINE</w:t>
      </w:r>
      <w:r>
        <w:tab/>
      </w:r>
      <w:r>
        <w:rPr>
          <w:rFonts w:ascii="Times New Roman" w:hAnsi="Times New Roman"/>
          <w:sz w:val="22"/>
          <w:color w:val="000000"/>
        </w:rPr>
        <w:t xml:space="preserve">341</w:t>
      </w:r>
    </w:p>
    <w:p>
      <w:pPr>
        <w:ind w:left="340"/>
        <w:spacing w:before="0" w:after="60"/>
        <w:tabs>
          <w:tab w:val="right" w:leader="dot" w:pos="9639"/>
        </w:tabs>
      </w:pPr>
      <w:r>
        <w:rPr>
          <w:rFonts w:ascii="Times New Roman" w:hAnsi="Times New Roman"/>
          <w:sz w:val="22"/>
          <w:color w:val="000000"/>
        </w:rPr>
        <w:t xml:space="preserve">6C50  GAMBLING DISORDER</w:t>
      </w:r>
      <w:r>
        <w:tab/>
      </w:r>
      <w:r>
        <w:rPr>
          <w:rFonts w:ascii="Times New Roman" w:hAnsi="Times New Roman"/>
          <w:sz w:val="22"/>
          <w:color w:val="000000"/>
        </w:rPr>
        <w:t xml:space="preserve">345</w:t>
      </w:r>
    </w:p>
    <w:p>
      <w:pPr>
        <w:ind w:left="340"/>
        <w:spacing w:before="0" w:after="60"/>
        <w:tabs>
          <w:tab w:val="right" w:leader="dot" w:pos="9639"/>
        </w:tabs>
      </w:pPr>
      <w:r>
        <w:rPr>
          <w:rFonts w:ascii="Times New Roman" w:hAnsi="Times New Roman"/>
          <w:sz w:val="22"/>
          <w:color w:val="000000"/>
        </w:rPr>
        <w:t xml:space="preserve">6C51  GAMING DISORDER</w:t>
      </w:r>
      <w:r>
        <w:tab/>
      </w:r>
      <w:r>
        <w:rPr>
          <w:rFonts w:ascii="Times New Roman" w:hAnsi="Times New Roman"/>
          <w:sz w:val="22"/>
          <w:color w:val="000000"/>
        </w:rPr>
        <w:t xml:space="preserve">348</w:t>
      </w:r>
    </w:p>
    <w:p>
      <w:pPr>
        <w:ind w:left="0"/>
        <w:spacing w:before="0" w:after="60"/>
        <w:tabs>
          <w:tab w:val="right" w:leader="dot" w:pos="9639"/>
        </w:tabs>
      </w:pPr>
      <w:r>
        <w:rPr>
          <w:rFonts w:ascii="Times New Roman" w:hAnsi="Times New Roman"/>
          <w:b/>
          <w:sz w:val="22"/>
          <w:color w:val="000000"/>
        </w:rPr>
        <w:t xml:space="preserve">6C70–6C7Z  IMPULSE CONTROL</w:t>
      </w:r>
      <w:r>
        <w:tab/>
      </w:r>
      <w:r>
        <w:rPr>
          <w:rFonts w:ascii="Times New Roman" w:hAnsi="Times New Roman"/>
          <w:b/>
          <w:sz w:val="22"/>
          <w:color w:val="000000"/>
        </w:rPr>
        <w:t xml:space="preserve">374</w:t>
      </w:r>
    </w:p>
    <w:p>
      <w:pPr>
        <w:ind w:left="340"/>
        <w:spacing w:before="0" w:after="60"/>
        <w:tabs>
          <w:tab w:val="right" w:leader="dot" w:pos="9639"/>
        </w:tabs>
      </w:pPr>
      <w:r>
        <w:rPr>
          <w:rFonts w:ascii="Times New Roman" w:hAnsi="Times New Roman"/>
          <w:sz w:val="22"/>
          <w:color w:val="000000"/>
        </w:rPr>
        <w:t xml:space="preserve">6C70  PYROMANIA</w:t>
      </w:r>
      <w:r>
        <w:tab/>
      </w:r>
      <w:r>
        <w:rPr>
          <w:rFonts w:ascii="Times New Roman" w:hAnsi="Times New Roman"/>
          <w:sz w:val="22"/>
          <w:color w:val="000000"/>
        </w:rPr>
        <w:t xml:space="preserve">374</w:t>
      </w:r>
    </w:p>
    <w:p>
      <w:pPr>
        <w:ind w:left="340"/>
        <w:spacing w:before="0" w:after="60"/>
        <w:tabs>
          <w:tab w:val="right" w:leader="dot" w:pos="9639"/>
        </w:tabs>
      </w:pPr>
      <w:r>
        <w:rPr>
          <w:rFonts w:ascii="Times New Roman" w:hAnsi="Times New Roman"/>
          <w:sz w:val="22"/>
          <w:color w:val="000000"/>
        </w:rPr>
        <w:t xml:space="preserve">6C71  KLEPTOMANIA</w:t>
      </w:r>
      <w:r>
        <w:tab/>
      </w:r>
      <w:r>
        <w:rPr>
          <w:rFonts w:ascii="Times New Roman" w:hAnsi="Times New Roman"/>
          <w:sz w:val="22"/>
          <w:color w:val="000000"/>
        </w:rPr>
        <w:t xml:space="preserve">376</w:t>
      </w:r>
    </w:p>
    <w:p>
      <w:pPr>
        <w:ind w:left="340"/>
        <w:spacing w:before="0" w:after="60"/>
        <w:tabs>
          <w:tab w:val="right" w:leader="dot" w:pos="9639"/>
        </w:tabs>
      </w:pPr>
      <w:r>
        <w:rPr>
          <w:rFonts w:ascii="Times New Roman" w:hAnsi="Times New Roman"/>
          <w:sz w:val="22"/>
          <w:color w:val="000000"/>
        </w:rPr>
        <w:t xml:space="preserve">6C72  COMPULSIVE SEXUAL BEHAVIOUR DISORDER</w:t>
      </w:r>
      <w:r>
        <w:tab/>
      </w:r>
      <w:r>
        <w:rPr>
          <w:rFonts w:ascii="Times New Roman" w:hAnsi="Times New Roman"/>
          <w:sz w:val="22"/>
          <w:color w:val="000000"/>
        </w:rPr>
        <w:t xml:space="preserve">379</w:t>
      </w:r>
    </w:p>
    <w:p>
      <w:pPr>
        <w:ind w:left="340"/>
        <w:spacing w:before="0" w:after="60"/>
        <w:tabs>
          <w:tab w:val="right" w:leader="dot" w:pos="9639"/>
        </w:tabs>
      </w:pPr>
      <w:r>
        <w:rPr>
          <w:rFonts w:ascii="Times New Roman" w:hAnsi="Times New Roman"/>
          <w:sz w:val="22"/>
          <w:color w:val="000000"/>
        </w:rPr>
        <w:t xml:space="preserve">6C73  INTERMITTENT EXPLOSIVE DISORDER (IED)</w:t>
      </w:r>
      <w:r>
        <w:tab/>
      </w:r>
      <w:r>
        <w:rPr>
          <w:rFonts w:ascii="Times New Roman" w:hAnsi="Times New Roman"/>
          <w:sz w:val="22"/>
          <w:color w:val="000000"/>
        </w:rPr>
        <w:t xml:space="preserve">383</w:t>
      </w:r>
    </w:p>
    <w:p>
      <w:pPr>
        <w:ind w:left="0"/>
        <w:spacing w:before="0" w:after="60"/>
        <w:tabs>
          <w:tab w:val="right" w:leader="dot" w:pos="9639"/>
        </w:tabs>
      </w:pPr>
      <w:r>
        <w:rPr>
          <w:rFonts w:ascii="Times New Roman" w:hAnsi="Times New Roman"/>
          <w:b/>
          <w:sz w:val="22"/>
          <w:color w:val="000000"/>
        </w:rPr>
        <w:t xml:space="preserve">6C90–6C9Z  DISRUPTIVE BEHAVIOUR</w:t>
      </w:r>
      <w:r>
        <w:tab/>
      </w:r>
      <w:r>
        <w:rPr>
          <w:rFonts w:ascii="Times New Roman" w:hAnsi="Times New Roman"/>
          <w:b/>
          <w:sz w:val="22"/>
          <w:color w:val="000000"/>
        </w:rPr>
        <w:t xml:space="preserve">387</w:t>
      </w:r>
    </w:p>
    <w:p>
      <w:pPr>
        <w:ind w:left="340"/>
        <w:spacing w:before="0" w:after="60"/>
        <w:tabs>
          <w:tab w:val="right" w:leader="dot" w:pos="9639"/>
        </w:tabs>
      </w:pPr>
      <w:r>
        <w:rPr>
          <w:rFonts w:ascii="Times New Roman" w:hAnsi="Times New Roman"/>
          <w:sz w:val="22"/>
          <w:color w:val="000000"/>
        </w:rPr>
        <w:t xml:space="preserve">6C91  CONDUCT-DISSOCIAL DISORDER</w:t>
      </w:r>
      <w:r>
        <w:tab/>
      </w:r>
      <w:r>
        <w:rPr>
          <w:rFonts w:ascii="Times New Roman" w:hAnsi="Times New Roman"/>
          <w:sz w:val="22"/>
          <w:color w:val="000000"/>
        </w:rPr>
        <w:t xml:space="preserve">387</w:t>
      </w:r>
    </w:p>
    <w:p>
      <w:pPr>
        <w:ind w:left="340"/>
        <w:spacing w:before="0" w:after="60"/>
        <w:tabs>
          <w:tab w:val="right" w:leader="dot" w:pos="9639"/>
        </w:tabs>
      </w:pPr>
      <w:r>
        <w:rPr>
          <w:rFonts w:ascii="Times New Roman" w:hAnsi="Times New Roman"/>
          <w:sz w:val="22"/>
          <w:color w:val="000000"/>
        </w:rPr>
        <w:t xml:space="preserve">6C90  OPPOSITIONAL DEFIANT DISORDER (ODD)</w:t>
      </w:r>
      <w:r>
        <w:tab/>
      </w:r>
      <w:r>
        <w:rPr>
          <w:rFonts w:ascii="Times New Roman" w:hAnsi="Times New Roman"/>
          <w:sz w:val="22"/>
          <w:color w:val="000000"/>
        </w:rPr>
        <w:t xml:space="preserve">391</w:t>
      </w:r>
    </w:p>
    <w:p>
      <w:pPr>
        <w:ind w:left="0"/>
        <w:spacing w:before="0" w:after="60"/>
        <w:tabs>
          <w:tab w:val="right" w:leader="dot" w:pos="9639"/>
        </w:tabs>
      </w:pPr>
      <w:r>
        <w:rPr>
          <w:rFonts w:ascii="Times New Roman" w:hAnsi="Times New Roman"/>
          <w:b/>
          <w:sz w:val="22"/>
          <w:color w:val="000000"/>
        </w:rPr>
        <w:t xml:space="preserve">6D10–6D1Z  PERSONALITY DISORDERS</w:t>
      </w:r>
      <w:r>
        <w:tab/>
      </w:r>
      <w:r>
        <w:rPr>
          <w:rFonts w:ascii="Times New Roman" w:hAnsi="Times New Roman"/>
          <w:b/>
          <w:sz w:val="22"/>
          <w:color w:val="000000"/>
        </w:rPr>
        <w:t xml:space="preserve">395</w:t>
      </w:r>
    </w:p>
    <w:p>
      <w:pPr>
        <w:ind w:left="340"/>
        <w:spacing w:before="0" w:after="60"/>
        <w:tabs>
          <w:tab w:val="right" w:leader="dot" w:pos="9639"/>
        </w:tabs>
      </w:pPr>
      <w:r>
        <w:rPr>
          <w:rFonts w:ascii="Times New Roman" w:hAnsi="Times New Roman"/>
          <w:sz w:val="22"/>
          <w:color w:val="000000"/>
        </w:rPr>
        <w:t xml:space="preserve">6D10  PERSONALITY DISORDER</w:t>
      </w:r>
      <w:r>
        <w:tab/>
      </w:r>
      <w:r>
        <w:rPr>
          <w:rFonts w:ascii="Times New Roman" w:hAnsi="Times New Roman"/>
          <w:sz w:val="22"/>
          <w:color w:val="000000"/>
        </w:rPr>
        <w:t xml:space="preserve">395</w:t>
      </w:r>
    </w:p>
    <w:p>
      <w:pPr>
        <w:ind w:left="340"/>
        <w:spacing w:before="0" w:after="60"/>
        <w:tabs>
          <w:tab w:val="right" w:leader="dot" w:pos="9639"/>
        </w:tabs>
      </w:pPr>
      <w:r>
        <w:rPr>
          <w:rFonts w:ascii="Times New Roman" w:hAnsi="Times New Roman"/>
          <w:sz w:val="22"/>
          <w:color w:val="000000"/>
        </w:rPr>
        <w:t xml:space="preserve">6D11  PROMINENT PERSONALITY TRAITS OR PATTERNS</w:t>
      </w:r>
      <w:r>
        <w:tab/>
      </w:r>
      <w:r>
        <w:rPr>
          <w:rFonts w:ascii="Times New Roman" w:hAnsi="Times New Roman"/>
          <w:sz w:val="22"/>
          <w:color w:val="000000"/>
        </w:rPr>
        <w:t xml:space="preserve">399</w:t>
      </w:r>
    </w:p>
    <w:p>
      <w:pPr>
        <w:ind w:left="0"/>
        <w:spacing w:before="0" w:after="60"/>
        <w:tabs>
          <w:tab w:val="right" w:leader="dot" w:pos="9639"/>
        </w:tabs>
      </w:pPr>
      <w:r>
        <w:rPr>
          <w:rFonts w:ascii="Times New Roman" w:hAnsi="Times New Roman"/>
          <w:b/>
          <w:sz w:val="22"/>
          <w:color w:val="000000"/>
        </w:rPr>
        <w:t xml:space="preserve">6D30–6D3Z  PARAPHILIC DISORDERS</w:t>
      </w:r>
      <w:r>
        <w:tab/>
      </w:r>
      <w:r>
        <w:rPr>
          <w:rFonts w:ascii="Times New Roman" w:hAnsi="Times New Roman"/>
          <w:b/>
          <w:sz w:val="22"/>
          <w:color w:val="000000"/>
        </w:rPr>
        <w:t xml:space="preserve">403</w:t>
      </w:r>
    </w:p>
    <w:p>
      <w:pPr>
        <w:ind w:left="340"/>
        <w:spacing w:before="0" w:after="60"/>
        <w:tabs>
          <w:tab w:val="right" w:leader="dot" w:pos="9639"/>
        </w:tabs>
      </w:pPr>
      <w:r>
        <w:rPr>
          <w:rFonts w:ascii="Times New Roman" w:hAnsi="Times New Roman"/>
          <w:sz w:val="22"/>
          <w:color w:val="000000"/>
        </w:rPr>
        <w:t xml:space="preserve">6D30  EXHIBITIONISTIC DISORDER</w:t>
      </w:r>
      <w:r>
        <w:tab/>
      </w:r>
      <w:r>
        <w:rPr>
          <w:rFonts w:ascii="Times New Roman" w:hAnsi="Times New Roman"/>
          <w:sz w:val="22"/>
          <w:color w:val="000000"/>
        </w:rPr>
        <w:t xml:space="preserve">403</w:t>
      </w:r>
    </w:p>
    <w:p>
      <w:pPr>
        <w:ind w:left="340"/>
        <w:spacing w:before="0" w:after="60"/>
        <w:tabs>
          <w:tab w:val="right" w:leader="dot" w:pos="9639"/>
        </w:tabs>
      </w:pPr>
      <w:r>
        <w:rPr>
          <w:rFonts w:ascii="Times New Roman" w:hAnsi="Times New Roman"/>
          <w:sz w:val="22"/>
          <w:color w:val="000000"/>
        </w:rPr>
        <w:t xml:space="preserve">6D31  VOYEURISTIC DISORDER</w:t>
      </w:r>
      <w:r>
        <w:tab/>
      </w:r>
      <w:r>
        <w:rPr>
          <w:rFonts w:ascii="Times New Roman" w:hAnsi="Times New Roman"/>
          <w:sz w:val="22"/>
          <w:color w:val="000000"/>
        </w:rPr>
        <w:t xml:space="preserve">405</w:t>
      </w:r>
    </w:p>
    <w:p>
      <w:pPr>
        <w:ind w:left="340"/>
        <w:spacing w:before="0" w:after="60"/>
        <w:tabs>
          <w:tab w:val="right" w:leader="dot" w:pos="9639"/>
        </w:tabs>
      </w:pPr>
      <w:r>
        <w:rPr>
          <w:rFonts w:ascii="Times New Roman" w:hAnsi="Times New Roman"/>
          <w:sz w:val="22"/>
          <w:color w:val="000000"/>
        </w:rPr>
        <w:t xml:space="preserve">6D32  PEDOPHILIC DISORDER</w:t>
      </w:r>
      <w:r>
        <w:tab/>
      </w:r>
      <w:r>
        <w:rPr>
          <w:rFonts w:ascii="Times New Roman" w:hAnsi="Times New Roman"/>
          <w:sz w:val="22"/>
          <w:color w:val="000000"/>
        </w:rPr>
        <w:t xml:space="preserve">408</w:t>
      </w:r>
    </w:p>
    <w:p>
      <w:pPr>
        <w:ind w:left="340"/>
        <w:spacing w:before="0" w:after="60"/>
        <w:tabs>
          <w:tab w:val="right" w:leader="dot" w:pos="9639"/>
        </w:tabs>
      </w:pPr>
      <w:r>
        <w:rPr>
          <w:rFonts w:ascii="Times New Roman" w:hAnsi="Times New Roman"/>
          <w:sz w:val="22"/>
          <w:color w:val="000000"/>
        </w:rPr>
        <w:t xml:space="preserve">6D33  COERCIVE SEXUAL SADISM DISORDER</w:t>
      </w:r>
      <w:r>
        <w:tab/>
      </w:r>
      <w:r>
        <w:rPr>
          <w:rFonts w:ascii="Times New Roman" w:hAnsi="Times New Roman"/>
          <w:sz w:val="22"/>
          <w:color w:val="000000"/>
        </w:rPr>
        <w:t xml:space="preserve">412</w:t>
      </w:r>
    </w:p>
    <w:p>
      <w:pPr>
        <w:ind w:left="340"/>
        <w:spacing w:before="0" w:after="60"/>
        <w:tabs>
          <w:tab w:val="right" w:leader="dot" w:pos="9639"/>
        </w:tabs>
      </w:pPr>
      <w:r>
        <w:rPr>
          <w:rFonts w:ascii="Times New Roman" w:hAnsi="Times New Roman"/>
          <w:sz w:val="22"/>
          <w:color w:val="000000"/>
        </w:rPr>
        <w:t xml:space="preserve">6D34  FROTTEURISTIC DISORDER</w:t>
      </w:r>
      <w:r>
        <w:tab/>
      </w:r>
      <w:r>
        <w:rPr>
          <w:rFonts w:ascii="Times New Roman" w:hAnsi="Times New Roman"/>
          <w:sz w:val="22"/>
          <w:color w:val="000000"/>
        </w:rPr>
        <w:t xml:space="preserve">414</w:t>
      </w:r>
    </w:p>
    <w:p>
      <w:pPr>
        <w:ind w:left="0"/>
        <w:spacing w:before="0" w:after="60"/>
        <w:tabs>
          <w:tab w:val="right" w:leader="dot" w:pos="9639"/>
        </w:tabs>
      </w:pPr>
      <w:r>
        <w:rPr>
          <w:rFonts w:ascii="Times New Roman" w:hAnsi="Times New Roman"/>
          <w:b/>
          <w:sz w:val="22"/>
          <w:color w:val="000000"/>
        </w:rPr>
        <w:t xml:space="preserve">6D50–6D5Z  FACTITIOUS DISORDERS</w:t>
      </w:r>
      <w:r>
        <w:tab/>
      </w:r>
      <w:r>
        <w:rPr>
          <w:rFonts w:ascii="Times New Roman" w:hAnsi="Times New Roman"/>
          <w:b/>
          <w:sz w:val="22"/>
          <w:color w:val="000000"/>
        </w:rPr>
        <w:t xml:space="preserve">417</w:t>
      </w:r>
    </w:p>
    <w:p>
      <w:pPr>
        <w:ind w:left="340"/>
        <w:spacing w:before="0" w:after="60"/>
        <w:tabs>
          <w:tab w:val="right" w:leader="dot" w:pos="9639"/>
        </w:tabs>
      </w:pPr>
      <w:r>
        <w:rPr>
          <w:rFonts w:ascii="Times New Roman" w:hAnsi="Times New Roman"/>
          <w:sz w:val="22"/>
          <w:color w:val="000000"/>
        </w:rPr>
        <w:t xml:space="preserve">6D50  FACTITIOUS DISORDER IMPOSED ON SELF</w:t>
      </w:r>
      <w:r>
        <w:tab/>
      </w:r>
      <w:r>
        <w:rPr>
          <w:rFonts w:ascii="Times New Roman" w:hAnsi="Times New Roman"/>
          <w:sz w:val="22"/>
          <w:color w:val="000000"/>
        </w:rPr>
        <w:t xml:space="preserve">417</w:t>
      </w:r>
    </w:p>
    <w:p>
      <w:pPr>
        <w:ind w:left="340"/>
        <w:spacing w:before="0" w:after="60"/>
        <w:tabs>
          <w:tab w:val="right" w:leader="dot" w:pos="9639"/>
        </w:tabs>
      </w:pPr>
      <w:r>
        <w:rPr>
          <w:rFonts w:ascii="Times New Roman" w:hAnsi="Times New Roman"/>
          <w:sz w:val="22"/>
          <w:color w:val="000000"/>
        </w:rPr>
        <w:t xml:space="preserve">6D51  FACTITIOUS DISORDER IMPOSED ON ANOTHER</w:t>
      </w:r>
      <w:r>
        <w:tab/>
      </w:r>
      <w:r>
        <w:rPr>
          <w:rFonts w:ascii="Times New Roman" w:hAnsi="Times New Roman"/>
          <w:sz w:val="22"/>
          <w:color w:val="000000"/>
        </w:rPr>
        <w:t xml:space="preserve">420</w:t>
      </w:r>
    </w:p>
    <w:p>
      <w:pPr>
        <w:ind w:left="0"/>
        <w:spacing w:before="0" w:after="60"/>
        <w:tabs>
          <w:tab w:val="right" w:leader="dot" w:pos="9639"/>
        </w:tabs>
      </w:pPr>
      <w:r>
        <w:rPr>
          <w:rFonts w:ascii="Times New Roman" w:hAnsi="Times New Roman"/>
          <w:b/>
          <w:sz w:val="22"/>
          <w:color w:val="000000"/>
        </w:rPr>
        <w:t xml:space="preserve">6D70–6D8Z  NEUROCOGNITIVE (DEMENTIA)</w:t>
      </w:r>
      <w:r>
        <w:tab/>
      </w:r>
      <w:r>
        <w:rPr>
          <w:rFonts w:ascii="Times New Roman" w:hAnsi="Times New Roman"/>
          <w:b/>
          <w:sz w:val="22"/>
          <w:color w:val="000000"/>
        </w:rPr>
        <w:t xml:space="preserve">425</w:t>
      </w:r>
    </w:p>
    <w:p>
      <w:pPr>
        <w:ind w:left="340"/>
        <w:spacing w:before="0" w:after="60"/>
        <w:tabs>
          <w:tab w:val="right" w:leader="dot" w:pos="9639"/>
        </w:tabs>
      </w:pPr>
      <w:r>
        <w:rPr>
          <w:rFonts w:ascii="Times New Roman" w:hAnsi="Times New Roman"/>
          <w:sz w:val="22"/>
          <w:color w:val="000000"/>
        </w:rPr>
        <w:t xml:space="preserve">6D70  DELIRIUM</w:t>
      </w:r>
      <w:r>
        <w:tab/>
      </w:r>
      <w:r>
        <w:rPr>
          <w:rFonts w:ascii="Times New Roman" w:hAnsi="Times New Roman"/>
          <w:sz w:val="22"/>
          <w:color w:val="000000"/>
        </w:rPr>
        <w:t xml:space="preserve">425</w:t>
      </w:r>
    </w:p>
    <w:p>
      <w:pPr>
        <w:ind w:left="340"/>
        <w:spacing w:before="0" w:after="60"/>
        <w:tabs>
          <w:tab w:val="right" w:leader="dot" w:pos="9639"/>
        </w:tabs>
      </w:pPr>
      <w:r>
        <w:rPr>
          <w:rFonts w:ascii="Times New Roman" w:hAnsi="Times New Roman"/>
          <w:sz w:val="22"/>
          <w:color w:val="000000"/>
        </w:rPr>
        <w:t xml:space="preserve">6D71  MILD NEUROCOGNITIVE DISORDER (MCI)</w:t>
      </w:r>
      <w:r>
        <w:tab/>
      </w:r>
      <w:r>
        <w:rPr>
          <w:rFonts w:ascii="Times New Roman" w:hAnsi="Times New Roman"/>
          <w:sz w:val="22"/>
          <w:color w:val="000000"/>
        </w:rPr>
        <w:t xml:space="preserve">429</w:t>
      </w:r>
    </w:p>
    <w:p>
      <w:pPr>
        <w:ind w:left="340"/>
        <w:spacing w:before="0" w:after="60"/>
        <w:tabs>
          <w:tab w:val="right" w:leader="dot" w:pos="9639"/>
        </w:tabs>
      </w:pPr>
      <w:r>
        <w:rPr>
          <w:rFonts w:ascii="Times New Roman" w:hAnsi="Times New Roman"/>
          <w:sz w:val="22"/>
          <w:color w:val="000000"/>
        </w:rPr>
        <w:t xml:space="preserve">6D72  AMNESTIC DISORDER</w:t>
      </w:r>
      <w:r>
        <w:tab/>
      </w:r>
      <w:r>
        <w:rPr>
          <w:rFonts w:ascii="Times New Roman" w:hAnsi="Times New Roman"/>
          <w:sz w:val="22"/>
          <w:color w:val="000000"/>
        </w:rPr>
        <w:t xml:space="preserve">432</w:t>
      </w:r>
    </w:p>
    <w:p>
      <w:pPr>
        <w:ind w:left="340"/>
        <w:spacing w:before="0" w:after="60"/>
        <w:tabs>
          <w:tab w:val="right" w:leader="dot" w:pos="9639"/>
        </w:tabs>
      </w:pPr>
      <w:r>
        <w:rPr>
          <w:rFonts w:ascii="Times New Roman" w:hAnsi="Times New Roman"/>
          <w:sz w:val="22"/>
          <w:color w:val="000000"/>
        </w:rPr>
        <w:t xml:space="preserve">6D80  DEMENTIA DUE TO ALZHEIMER DISEASE</w:t>
      </w:r>
      <w:r>
        <w:tab/>
      </w:r>
      <w:r>
        <w:rPr>
          <w:rFonts w:ascii="Times New Roman" w:hAnsi="Times New Roman"/>
          <w:sz w:val="22"/>
          <w:color w:val="000000"/>
        </w:rPr>
        <w:t xml:space="preserve">435</w:t>
      </w:r>
    </w:p>
    <w:p>
      <w:pPr>
        <w:ind w:left="340"/>
        <w:spacing w:before="0" w:after="60"/>
        <w:tabs>
          <w:tab w:val="right" w:leader="dot" w:pos="9639"/>
        </w:tabs>
      </w:pPr>
      <w:r>
        <w:rPr>
          <w:rFonts w:ascii="Times New Roman" w:hAnsi="Times New Roman"/>
          <w:sz w:val="22"/>
          <w:color w:val="000000"/>
        </w:rPr>
        <w:t xml:space="preserve">6D81  DEMENTIA DUE TO CEREBROVASCULAR DISEASE</w:t>
      </w:r>
      <w:r>
        <w:tab/>
      </w:r>
      <w:r>
        <w:rPr>
          <w:rFonts w:ascii="Times New Roman" w:hAnsi="Times New Roman"/>
          <w:sz w:val="22"/>
          <w:color w:val="000000"/>
        </w:rPr>
        <w:t xml:space="preserve">440</w:t>
      </w:r>
    </w:p>
    <w:p>
      <w:pPr>
        <w:ind w:left="340"/>
        <w:spacing w:before="0" w:after="60"/>
        <w:tabs>
          <w:tab w:val="right" w:leader="dot" w:pos="9639"/>
        </w:tabs>
      </w:pPr>
      <w:r>
        <w:rPr>
          <w:rFonts w:ascii="Times New Roman" w:hAnsi="Times New Roman"/>
          <w:sz w:val="22"/>
          <w:color w:val="000000"/>
        </w:rPr>
        <w:t xml:space="preserve">6D82  DEMENTIA DUE TO LEWY BODY DISEASE (DLB)</w:t>
      </w:r>
      <w:r>
        <w:tab/>
      </w:r>
      <w:r>
        <w:rPr>
          <w:rFonts w:ascii="Times New Roman" w:hAnsi="Times New Roman"/>
          <w:sz w:val="22"/>
          <w:color w:val="000000"/>
        </w:rPr>
        <w:t xml:space="preserve">444</w:t>
      </w:r>
    </w:p>
    <w:p>
      <w:pPr>
        <w:ind w:left="340"/>
        <w:spacing w:before="0" w:after="60"/>
        <w:tabs>
          <w:tab w:val="right" w:leader="dot" w:pos="9639"/>
        </w:tabs>
      </w:pPr>
      <w:r>
        <w:rPr>
          <w:rFonts w:ascii="Times New Roman" w:hAnsi="Times New Roman"/>
          <w:sz w:val="22"/>
          <w:color w:val="000000"/>
        </w:rPr>
        <w:t xml:space="preserve">6D83  FRONTOTEMPORAL DEMENTIA (FTD)</w:t>
      </w:r>
      <w:r>
        <w:tab/>
      </w:r>
      <w:r>
        <w:rPr>
          <w:rFonts w:ascii="Times New Roman" w:hAnsi="Times New Roman"/>
          <w:sz w:val="22"/>
          <w:color w:val="000000"/>
        </w:rPr>
        <w:t xml:space="preserve">447</w:t>
      </w:r>
    </w:p>
    <w:p>
      <w:pPr>
        <w:ind w:left="0"/>
        <w:spacing w:before="0" w:after="60"/>
        <w:tabs>
          <w:tab w:val="right" w:leader="dot" w:pos="9639"/>
        </w:tabs>
      </w:pPr>
      <w:r>
        <w:rPr>
          <w:rFonts w:ascii="Times New Roman" w:hAnsi="Times New Roman"/>
          <w:b/>
          <w:sz w:val="22"/>
          <w:color w:val="000000"/>
        </w:rPr>
        <w:t xml:space="preserve">6E20–6E2Z  PERINATAL DISORDERS</w:t>
      </w:r>
      <w:r>
        <w:tab/>
      </w:r>
      <w:r>
        <w:rPr>
          <w:rFonts w:ascii="Times New Roman" w:hAnsi="Times New Roman"/>
          <w:b/>
          <w:sz w:val="22"/>
          <w:color w:val="000000"/>
        </w:rPr>
        <w:t xml:space="preserve">452</w:t>
      </w:r>
    </w:p>
    <w:p>
      <w:pPr>
        <w:ind w:left="340"/>
        <w:spacing w:before="0" w:after="60"/>
        <w:tabs>
          <w:tab w:val="right" w:leader="dot" w:pos="9639"/>
        </w:tabs>
      </w:pPr>
      <w:r>
        <w:rPr>
          <w:rFonts w:ascii="Times New Roman" w:hAnsi="Times New Roman"/>
          <w:sz w:val="22"/>
          <w:color w:val="000000"/>
        </w:rPr>
        <w:t xml:space="preserve">6E20  MENTAL OR BEHAVIOURAL DISORDERS ASSOCIATED WITH PREGNANCY, CHILDBIRTH OR THE PUERPERIUM, WITHOUT PSYCHOTIC SYMPTOMS</w:t>
      </w:r>
      <w:r>
        <w:tab/>
      </w:r>
      <w:r>
        <w:rPr>
          <w:rFonts w:ascii="Times New Roman" w:hAnsi="Times New Roman"/>
          <w:sz w:val="22"/>
          <w:color w:val="000000"/>
        </w:rPr>
        <w:t xml:space="preserve">452</w:t>
      </w:r>
    </w:p>
    <w:p>
      <w:pPr>
        <w:ind w:left="340"/>
        <w:spacing w:before="0" w:after="60"/>
        <w:tabs>
          <w:tab w:val="right" w:leader="dot" w:pos="9639"/>
        </w:tabs>
      </w:pPr>
      <w:r>
        <w:rPr>
          <w:rFonts w:ascii="Times New Roman" w:hAnsi="Times New Roman"/>
          <w:sz w:val="22"/>
          <w:color w:val="000000"/>
        </w:rPr>
        <w:t xml:space="preserve">6E21  MENTAL OR BEHAVIOURAL DISORDERS ASSOCIATED WITH PREGNANCY, CHILDBIRTH OR THE PUERPERIUM, WITH PSYCHOTIC SYMPTOMS</w:t>
      </w:r>
      <w:r>
        <w:tab/>
      </w:r>
      <w:r>
        <w:rPr>
          <w:rFonts w:ascii="Times New Roman" w:hAnsi="Times New Roman"/>
          <w:sz w:val="22"/>
          <w:color w:val="000000"/>
        </w:rPr>
        <w:t xml:space="preserve">456</w:t>
      </w:r>
    </w:p>
    <w:p>
      <w:pPr>
        <w:ind w:left="0"/>
        <w:spacing w:before="0" w:after="60"/>
        <w:tabs>
          <w:tab w:val="right" w:leader="dot" w:pos="9639"/>
        </w:tabs>
      </w:pPr>
      <w:r>
        <w:rPr>
          <w:rFonts w:ascii="Times New Roman" w:hAnsi="Times New Roman"/>
          <w:b/>
          <w:sz w:val="22"/>
          <w:color w:val="000000"/>
        </w:rPr>
        <w:t xml:space="preserve">6E40  PSYCHOSOMATIC FACTORS</w:t>
      </w:r>
      <w:r>
        <w:tab/>
      </w:r>
      <w:r>
        <w:rPr>
          <w:rFonts w:ascii="Times New Roman" w:hAnsi="Times New Roman"/>
          <w:b/>
          <w:sz w:val="22"/>
          <w:color w:val="000000"/>
        </w:rPr>
        <w:t xml:space="preserve">461</w:t>
      </w:r>
    </w:p>
    <w:p>
      <w:pPr>
        <w:ind w:left="340"/>
        <w:spacing w:before="0" w:after="60"/>
        <w:tabs>
          <w:tab w:val="right" w:leader="dot" w:pos="9639"/>
        </w:tabs>
      </w:pPr>
      <w:r>
        <w:rPr>
          <w:rFonts w:ascii="Times New Roman" w:hAnsi="Times New Roman"/>
          <w:sz w:val="22"/>
          <w:color w:val="000000"/>
        </w:rPr>
        <w:t xml:space="preserve">6E40  PSYCHOLOGICAL OR BEHAVIOURAL FACTORS AFFECTING DISORDERS OR DISEASES CLASSIFIED ELSEWHERE</w:t>
      </w:r>
      <w:r>
        <w:tab/>
      </w:r>
      <w:r>
        <w:rPr>
          <w:rFonts w:ascii="Times New Roman" w:hAnsi="Times New Roman"/>
          <w:sz w:val="22"/>
          <w:color w:val="000000"/>
        </w:rPr>
        <w:t xml:space="preserve">461</w:t>
      </w:r>
    </w:p>
    <w:p>
      <w:pPr>
        <w:ind w:left="0"/>
        <w:spacing w:before="0" w:after="60"/>
        <w:tabs>
          <w:tab w:val="right" w:leader="dot" w:pos="9639"/>
        </w:tabs>
      </w:pPr>
      <w:r>
        <w:rPr>
          <w:rFonts w:ascii="Times New Roman" w:hAnsi="Times New Roman"/>
          <w:b/>
          <w:sz w:val="22"/>
          <w:color w:val="000000"/>
        </w:rPr>
        <w:t xml:space="preserve">6E60–6E6Z  SECONDARY PSYCHIATRY</w:t>
      </w:r>
      <w:r>
        <w:tab/>
      </w:r>
      <w:r>
        <w:rPr>
          <w:rFonts w:ascii="Times New Roman" w:hAnsi="Times New Roman"/>
          <w:b/>
          <w:sz w:val="22"/>
          <w:color w:val="000000"/>
        </w:rPr>
        <w:t xml:space="preserve">465</w:t>
      </w:r>
    </w:p>
    <w:p>
      <w:pPr>
        <w:ind w:left="340"/>
        <w:spacing w:before="0" w:after="60"/>
        <w:tabs>
          <w:tab w:val="right" w:leader="dot" w:pos="9639"/>
        </w:tabs>
      </w:pPr>
      <w:r>
        <w:rPr>
          <w:rFonts w:ascii="Times New Roman" w:hAnsi="Times New Roman"/>
          <w:sz w:val="22"/>
          <w:color w:val="000000"/>
        </w:rPr>
        <w:t xml:space="preserve">6E61  SECONDARY PSYCHOTIC SYNDROME</w:t>
      </w:r>
      <w:r>
        <w:tab/>
      </w:r>
      <w:r>
        <w:rPr>
          <w:rFonts w:ascii="Times New Roman" w:hAnsi="Times New Roman"/>
          <w:sz w:val="22"/>
          <w:color w:val="000000"/>
        </w:rPr>
        <w:t xml:space="preserve">465</w:t>
      </w:r>
    </w:p>
    <w:p>
      <w:pPr>
        <w:ind w:left="340"/>
        <w:spacing w:before="0" w:after="60"/>
        <w:tabs>
          <w:tab w:val="right" w:leader="dot" w:pos="9639"/>
        </w:tabs>
      </w:pPr>
      <w:r>
        <w:rPr>
          <w:rFonts w:ascii="Times New Roman" w:hAnsi="Times New Roman"/>
          <w:sz w:val="22"/>
          <w:color w:val="000000"/>
        </w:rPr>
        <w:t xml:space="preserve">6E62  SECONDARY MOOD SYNDROME</w:t>
      </w:r>
      <w:r>
        <w:tab/>
      </w:r>
      <w:r>
        <w:rPr>
          <w:rFonts w:ascii="Times New Roman" w:hAnsi="Times New Roman"/>
          <w:sz w:val="22"/>
          <w:color w:val="000000"/>
        </w:rPr>
        <w:t xml:space="preserve">469</w:t>
      </w:r>
    </w:p>
    <w:p>
      <w:pPr>
        <w:ind w:left="340"/>
        <w:spacing w:before="0" w:after="60"/>
        <w:tabs>
          <w:tab w:val="right" w:leader="dot" w:pos="9639"/>
        </w:tabs>
      </w:pPr>
      <w:r>
        <w:rPr>
          <w:rFonts w:ascii="Times New Roman" w:hAnsi="Times New Roman"/>
          <w:sz w:val="22"/>
          <w:color w:val="000000"/>
        </w:rPr>
        <w:t xml:space="preserve">6E63  SECONDARY ANXIETY SYNDROME</w:t>
      </w:r>
      <w:r>
        <w:tab/>
      </w:r>
      <w:r>
        <w:rPr>
          <w:rFonts w:ascii="Times New Roman" w:hAnsi="Times New Roman"/>
          <w:sz w:val="22"/>
          <w:color w:val="000000"/>
        </w:rPr>
        <w:t xml:space="preserve">472</w:t>
      </w:r>
    </w:p>
    <w:p>
      <w:pPr>
        <w:ind w:left="0"/>
        <w:spacing w:before="0" w:after="60"/>
        <w:tabs>
          <w:tab w:val="right" w:leader="dot" w:pos="9639"/>
        </w:tabs>
      </w:pPr>
      <w:r>
        <w:rPr>
          <w:rFonts w:ascii="Times New Roman" w:hAnsi="Times New Roman"/>
          <w:b/>
          <w:sz w:val="22"/>
          <w:color w:val="000000"/>
        </w:rPr>
        <w:t xml:space="preserve">7A00–7A8Z  SLEEP DISORDERS</w:t>
      </w:r>
      <w:r>
        <w:tab/>
      </w:r>
      <w:r>
        <w:rPr>
          <w:rFonts w:ascii="Times New Roman" w:hAnsi="Times New Roman"/>
          <w:b/>
          <w:sz w:val="22"/>
          <w:color w:val="000000"/>
        </w:rPr>
        <w:t xml:space="preserve">475</w:t>
      </w:r>
    </w:p>
    <w:p>
      <w:pPr>
        <w:ind w:left="340"/>
        <w:spacing w:before="0" w:after="60"/>
        <w:tabs>
          <w:tab w:val="right" w:leader="dot" w:pos="9639"/>
        </w:tabs>
      </w:pPr>
      <w:r>
        <w:rPr>
          <w:rFonts w:ascii="Times New Roman" w:hAnsi="Times New Roman"/>
          <w:sz w:val="22"/>
          <w:color w:val="000000"/>
        </w:rPr>
        <w:t xml:space="preserve">7A00  CHRONIC INSOMNIA</w:t>
      </w:r>
      <w:r>
        <w:tab/>
      </w:r>
      <w:r>
        <w:rPr>
          <w:rFonts w:ascii="Times New Roman" w:hAnsi="Times New Roman"/>
          <w:sz w:val="22"/>
          <w:color w:val="000000"/>
        </w:rPr>
        <w:t xml:space="preserve">475</w:t>
      </w:r>
    </w:p>
    <w:p>
      <w:pPr>
        <w:ind w:left="340"/>
        <w:spacing w:before="0" w:after="60"/>
        <w:tabs>
          <w:tab w:val="right" w:leader="dot" w:pos="9639"/>
        </w:tabs>
      </w:pPr>
      <w:r>
        <w:rPr>
          <w:rFonts w:ascii="Times New Roman" w:hAnsi="Times New Roman"/>
          <w:sz w:val="22"/>
          <w:color w:val="000000"/>
        </w:rPr>
        <w:t xml:space="preserve">7A41  OBSTRUCTIVE SLEEP APNOEA (OSA)</w:t>
      </w:r>
      <w:r>
        <w:tab/>
      </w:r>
      <w:r>
        <w:rPr>
          <w:rFonts w:ascii="Times New Roman" w:hAnsi="Times New Roman"/>
          <w:sz w:val="22"/>
          <w:color w:val="000000"/>
        </w:rPr>
        <w:t xml:space="preserve">479</w:t>
      </w:r>
    </w:p>
    <w:p>
      <w:pPr>
        <w:ind w:left="340"/>
        <w:spacing w:before="0" w:after="60"/>
        <w:tabs>
          <w:tab w:val="right" w:leader="dot" w:pos="9639"/>
        </w:tabs>
      </w:pPr>
      <w:r>
        <w:rPr>
          <w:rFonts w:ascii="Times New Roman" w:hAnsi="Times New Roman"/>
          <w:sz w:val="22"/>
          <w:color w:val="000000"/>
        </w:rPr>
        <w:t xml:space="preserve">7A60–7A65  CIRCADIAN RHYTHM SLEEP-WAKE DISORDERS</w:t>
      </w:r>
      <w:r>
        <w:tab/>
      </w:r>
      <w:r>
        <w:rPr>
          <w:rFonts w:ascii="Times New Roman" w:hAnsi="Times New Roman"/>
          <w:sz w:val="22"/>
          <w:color w:val="000000"/>
        </w:rPr>
        <w:t xml:space="preserve">482</w:t>
      </w:r>
    </w:p>
    <w:p>
      <w:pPr>
        <w:ind w:left="340"/>
        <w:spacing w:before="0" w:after="60"/>
        <w:tabs>
          <w:tab w:val="right" w:leader="dot" w:pos="9639"/>
        </w:tabs>
      </w:pPr>
      <w:r>
        <w:rPr>
          <w:rFonts w:ascii="Times New Roman" w:hAnsi="Times New Roman"/>
          <w:sz w:val="22"/>
          <w:color w:val="000000"/>
        </w:rPr>
        <w:t xml:space="preserve">7A21–7A26  HYPERSOMNIA</w:t>
      </w:r>
      <w:r>
        <w:tab/>
      </w:r>
      <w:r>
        <w:rPr>
          <w:rFonts w:ascii="Times New Roman" w:hAnsi="Times New Roman"/>
          <w:sz w:val="22"/>
          <w:color w:val="000000"/>
        </w:rPr>
        <w:t xml:space="preserve">484</w:t>
      </w:r>
    </w:p>
    <w:p>
      <w:pPr>
        <w:ind w:left="340"/>
        <w:spacing w:before="0" w:after="60"/>
        <w:tabs>
          <w:tab w:val="right" w:leader="dot" w:pos="9639"/>
        </w:tabs>
      </w:pPr>
      <w:r>
        <w:rPr>
          <w:rFonts w:ascii="Times New Roman" w:hAnsi="Times New Roman"/>
          <w:sz w:val="22"/>
          <w:color w:val="000000"/>
        </w:rPr>
        <w:t xml:space="preserve">7A20  NARCOLEPSY</w:t>
      </w:r>
      <w:r>
        <w:tab/>
      </w:r>
      <w:r>
        <w:rPr>
          <w:rFonts w:ascii="Times New Roman" w:hAnsi="Times New Roman"/>
          <w:sz w:val="22"/>
          <w:color w:val="000000"/>
        </w:rPr>
        <w:t xml:space="preserve">487</w:t>
      </w:r>
    </w:p>
    <w:p>
      <w:pPr>
        <w:ind w:left="0"/>
        <w:spacing w:before="0" w:after="60"/>
        <w:tabs>
          <w:tab w:val="right" w:leader="dot" w:pos="9639"/>
        </w:tabs>
      </w:pPr>
      <w:r>
        <w:rPr>
          <w:rFonts w:ascii="Times New Roman" w:hAnsi="Times New Roman"/>
          <w:b/>
          <w:sz w:val="22"/>
          <w:color w:val="000000"/>
        </w:rPr>
        <w:t xml:space="preserve">HA00–HA0Z  SEXUAL HEALTH</w:t>
      </w:r>
      <w:r>
        <w:tab/>
      </w:r>
      <w:r>
        <w:rPr>
          <w:rFonts w:ascii="Times New Roman" w:hAnsi="Times New Roman"/>
          <w:b/>
          <w:sz w:val="22"/>
          <w:color w:val="000000"/>
        </w:rPr>
        <w:t xml:space="preserve">491</w:t>
      </w:r>
    </w:p>
    <w:p>
      <w:pPr>
        <w:ind w:left="340"/>
        <w:spacing w:before="0" w:after="60"/>
        <w:tabs>
          <w:tab w:val="right" w:leader="dot" w:pos="9639"/>
        </w:tabs>
      </w:pPr>
      <w:r>
        <w:rPr>
          <w:rFonts w:ascii="Times New Roman" w:hAnsi="Times New Roman"/>
          <w:sz w:val="22"/>
          <w:color w:val="000000"/>
        </w:rPr>
        <w:t xml:space="preserve">HA01.1  MALE ERECTILE DYSFUNCTION (ED)</w:t>
      </w:r>
      <w:r>
        <w:tab/>
      </w:r>
      <w:r>
        <w:rPr>
          <w:rFonts w:ascii="Times New Roman" w:hAnsi="Times New Roman"/>
          <w:sz w:val="22"/>
          <w:color w:val="000000"/>
        </w:rPr>
        <w:t xml:space="preserve">491</w:t>
      </w:r>
    </w:p>
    <w:p>
      <w:pPr>
        <w:ind w:left="340"/>
        <w:spacing w:before="0" w:after="60"/>
        <w:tabs>
          <w:tab w:val="right" w:leader="dot" w:pos="9639"/>
        </w:tabs>
      </w:pPr>
      <w:r>
        <w:rPr>
          <w:rFonts w:ascii="Times New Roman" w:hAnsi="Times New Roman"/>
          <w:sz w:val="22"/>
          <w:color w:val="000000"/>
        </w:rPr>
        <w:t xml:space="preserve">HA03.0  MALE EARLY EJACULATION (PE)</w:t>
      </w:r>
      <w:r>
        <w:tab/>
      </w:r>
      <w:r>
        <w:rPr>
          <w:rFonts w:ascii="Times New Roman" w:hAnsi="Times New Roman"/>
          <w:sz w:val="22"/>
          <w:color w:val="000000"/>
        </w:rPr>
        <w:t xml:space="preserve">494</w:t>
      </w:r>
    </w:p>
    <w:p>
      <w:pPr>
        <w:ind w:left="340"/>
        <w:spacing w:before="0" w:after="60"/>
        <w:tabs>
          <w:tab w:val="right" w:leader="dot" w:pos="9639"/>
        </w:tabs>
      </w:pPr>
      <w:r>
        <w:rPr>
          <w:rFonts w:ascii="Times New Roman" w:hAnsi="Times New Roman"/>
          <w:sz w:val="22"/>
          <w:color w:val="000000"/>
        </w:rPr>
        <w:t xml:space="preserve">HA00  HYPOACTIVE SEXUAL DESIRE DYSFUNCTION (HSDD)</w:t>
      </w:r>
      <w:r>
        <w:tab/>
      </w:r>
      <w:r>
        <w:rPr>
          <w:rFonts w:ascii="Times New Roman" w:hAnsi="Times New Roman"/>
          <w:sz w:val="22"/>
          <w:color w:val="000000"/>
        </w:rPr>
        <w:t xml:space="preserve">497</w:t>
      </w:r>
    </w:p>
    <w:p>
      <w:pPr>
        <w:ind w:left="340"/>
        <w:spacing w:before="0" w:after="60"/>
        <w:tabs>
          <w:tab w:val="right" w:leader="dot" w:pos="9639"/>
        </w:tabs>
      </w:pPr>
      <w:r>
        <w:rPr>
          <w:rFonts w:ascii="Times New Roman" w:hAnsi="Times New Roman"/>
          <w:sz w:val="22"/>
          <w:color w:val="000000"/>
        </w:rPr>
        <w:t xml:space="preserve">HA02.0  ANORGASMIA</w:t>
      </w:r>
      <w:r>
        <w:tab/>
      </w:r>
      <w:r>
        <w:rPr>
          <w:rFonts w:ascii="Times New Roman" w:hAnsi="Times New Roman"/>
          <w:sz w:val="22"/>
          <w:color w:val="000000"/>
        </w:rPr>
        <w:t xml:space="preserve">501</w:t>
      </w:r>
    </w:p>
    <w:p>
      <w:pPr>
        <w:ind w:left="340"/>
        <w:spacing w:before="0" w:after="60"/>
        <w:tabs>
          <w:tab w:val="right" w:leader="dot" w:pos="9639"/>
        </w:tabs>
      </w:pPr>
      <w:r>
        <w:rPr>
          <w:rFonts w:ascii="Times New Roman" w:hAnsi="Times New Roman"/>
          <w:sz w:val="22"/>
          <w:color w:val="000000"/>
        </w:rPr>
        <w:t xml:space="preserve">HA20  SEXUAL PAIN-PENETRATION DISORDER (VAGINISMUS)</w:t>
      </w:r>
      <w:r>
        <w:tab/>
      </w:r>
      <w:r>
        <w:rPr>
          <w:rFonts w:ascii="Times New Roman" w:hAnsi="Times New Roman"/>
          <w:sz w:val="22"/>
          <w:color w:val="000000"/>
        </w:rPr>
        <w:t xml:space="preserve">504</w:t>
      </w:r>
    </w:p>
    <w:p>
      <w:pPr>
        <w:ind w:left="340"/>
        <w:spacing w:before="0" w:after="60"/>
        <w:tabs>
          <w:tab w:val="right" w:leader="dot" w:pos="9639"/>
        </w:tabs>
      </w:pPr>
      <w:r>
        <w:rPr>
          <w:rFonts w:ascii="Times New Roman" w:hAnsi="Times New Roman"/>
          <w:sz w:val="22"/>
          <w:color w:val="000000"/>
        </w:rPr>
        <w:t xml:space="preserve">HA40  AETIOLOGICAL CONSIDERATIONS IN SEXUAL DYSFUNCTIONS AND SEXUAL PAIN DISORDERS</w:t>
      </w:r>
      <w:r>
        <w:tab/>
      </w:r>
      <w:r>
        <w:rPr>
          <w:rFonts w:ascii="Times New Roman" w:hAnsi="Times New Roman"/>
          <w:sz w:val="22"/>
          <w:color w:val="000000"/>
        </w:rPr>
        <w:t xml:space="preserve">507</w:t>
      </w:r>
    </w:p>
    <w:p>
      <w:pPr>
        <w:ind w:left="0"/>
        <w:spacing w:before="0" w:after="60"/>
        <w:tabs>
          <w:tab w:val="right" w:leader="dot" w:pos="9639"/>
        </w:tabs>
      </w:pPr>
      <w:r>
        <w:rPr>
          <w:rFonts w:ascii="Times New Roman" w:hAnsi="Times New Roman"/>
          <w:b/>
          <w:sz w:val="22"/>
          <w:color w:val="000000"/>
        </w:rPr>
        <w:t xml:space="preserve">APPENDICES</w:t>
      </w:r>
      <w:r>
        <w:tab/>
      </w:r>
      <w:r>
        <w:rPr>
          <w:rFonts w:ascii="Times New Roman" w:hAnsi="Times New Roman"/>
          <w:b/>
          <w:sz w:val="22"/>
          <w:color w:val="000000"/>
        </w:rPr>
        <w:t xml:space="preserve">512</w:t>
      </w:r>
    </w:p>
    <w:p>
      <w:pPr>
        <w:ind w:left="0"/>
        <w:spacing w:before="0" w:after="60"/>
        <w:tabs>
          <w:tab w:val="right" w:leader="dot" w:pos="9639"/>
        </w:tabs>
      </w:pPr>
      <w:r>
        <w:rPr>
          <w:rFonts w:ascii="Times New Roman" w:hAnsi="Times New Roman"/>
          <w:b/>
          <w:sz w:val="22"/>
          <w:color w:val="000000"/>
        </w:rPr>
        <w:t xml:space="preserve">APPENDIX A</w:t>
      </w:r>
      <w:r>
        <w:tab/>
      </w:r>
      <w:r>
        <w:rPr>
          <w:rFonts w:ascii="Times New Roman" w:hAnsi="Times New Roman"/>
          <w:b/>
          <w:sz w:val="22"/>
          <w:color w:val="000000"/>
        </w:rPr>
        <w:t xml:space="preserve">513</w:t>
      </w:r>
    </w:p>
    <w:p>
      <w:pPr>
        <w:ind w:left="0"/>
        <w:spacing w:before="0" w:after="60"/>
        <w:tabs>
          <w:tab w:val="right" w:leader="dot" w:pos="9639"/>
        </w:tabs>
      </w:pPr>
      <w:r>
        <w:rPr>
          <w:rFonts w:ascii="Times New Roman" w:hAnsi="Times New Roman"/>
          <w:b/>
          <w:sz w:val="22"/>
          <w:color w:val="000000"/>
        </w:rPr>
        <w:t xml:space="preserve">APPENDIX C</w:t>
      </w:r>
      <w:r>
        <w:tab/>
      </w:r>
      <w:r>
        <w:rPr>
          <w:rFonts w:ascii="Times New Roman" w:hAnsi="Times New Roman"/>
          <w:b/>
          <w:sz w:val="22"/>
          <w:color w:val="000000"/>
        </w:rPr>
        <w:t xml:space="preserve">517</w:t>
      </w:r>
    </w:p>
    <w:p>
      <w:pPr>
        <w:ind w:left="0"/>
        <w:spacing w:before="0" w:after="60"/>
        <w:tabs>
          <w:tab w:val="right" w:leader="dot" w:pos="9639"/>
        </w:tabs>
      </w:pPr>
      <w:r>
        <w:rPr>
          <w:rFonts w:ascii="Times New Roman" w:hAnsi="Times New Roman"/>
          <w:b/>
          <w:sz w:val="22"/>
          <w:color w:val="000000"/>
        </w:rPr>
        <w:t xml:space="preserve">APPENDIX D</w:t>
      </w:r>
      <w:r>
        <w:tab/>
      </w:r>
      <w:r>
        <w:rPr>
          <w:rFonts w:ascii="Times New Roman" w:hAnsi="Times New Roman"/>
          <w:b/>
          <w:sz w:val="22"/>
          <w:color w:val="000000"/>
        </w:rPr>
        <w:t xml:space="preserve">521</w:t>
      </w:r>
    </w:p>
    <w:p>
      <w:pPr>
        <w:ind w:left="0"/>
        <w:spacing w:before="0" w:after="60"/>
        <w:tabs>
          <w:tab w:val="right" w:leader="dot" w:pos="9639"/>
        </w:tabs>
      </w:pPr>
      <w:r>
        <w:rPr>
          <w:rFonts w:ascii="Times New Roman" w:hAnsi="Times New Roman"/>
          <w:b/>
          <w:sz w:val="22"/>
          <w:color w:val="000000"/>
        </w:rPr>
        <w:t xml:space="preserve">APPENDIX E</w:t>
      </w:r>
      <w:r>
        <w:tab/>
      </w:r>
      <w:r>
        <w:rPr>
          <w:rFonts w:ascii="Times New Roman" w:hAnsi="Times New Roman"/>
          <w:b/>
          <w:sz w:val="22"/>
          <w:color w:val="000000"/>
        </w:rPr>
        <w:t xml:space="preserve">524</w:t>
      </w:r>
    </w:p>
    <w:p>
      <w:pPr>
        <w:ind w:left="0"/>
        <w:spacing w:before="0" w:after="60"/>
        <w:tabs>
          <w:tab w:val="right" w:leader="dot" w:pos="9639"/>
        </w:tabs>
      </w:pPr>
      <w:r>
        <w:rPr>
          <w:rFonts w:ascii="Times New Roman" w:hAnsi="Times New Roman"/>
          <w:b/>
          <w:sz w:val="22"/>
          <w:color w:val="000000"/>
        </w:rPr>
        <w:t xml:space="preserve">GENERAL SOURCES AND REFERENCES</w:t>
      </w:r>
      <w:r>
        <w:tab/>
      </w:r>
      <w:r>
        <w:rPr>
          <w:rFonts w:ascii="Times New Roman" w:hAnsi="Times New Roman"/>
          <w:b/>
          <w:sz w:val="22"/>
          <w:color w:val="000000"/>
        </w:rPr>
        <w:t xml:space="preserve">527</w:t>
      </w:r>
    </w:p>
    <w:p>
      <w:pPr>
        <w:ind w:left="0"/>
        <w:spacing w:before="0" w:after="60"/>
        <w:tabs>
          <w:tab w:val="right" w:leader="dot" w:pos="9639"/>
        </w:tabs>
      </w:pPr>
      <w:r>
        <w:rPr>
          <w:rFonts w:ascii="Times New Roman" w:hAnsi="Times New Roman"/>
          <w:b/>
          <w:sz w:val="22"/>
          <w:color w:val="000000"/>
        </w:rPr>
        <w:t xml:space="preserve">APPENDIX B</w:t>
      </w:r>
      <w:r>
        <w:tab/>
      </w:r>
      <w:r>
        <w:rPr>
          <w:rFonts w:ascii="Times New Roman" w:hAnsi="Times New Roman"/>
          <w:b/>
          <w:sz w:val="22"/>
          <w:color w:val="000000"/>
        </w:rPr>
        <w:t xml:space="preserve">529</w:t>
      </w:r>
    </w:p>
    <w:p>
      <w:pPr>
        <w:ind w:left="0"/>
        <w:spacing w:before="0" w:after="60"/>
        <w:tabs>
          <w:tab w:val="right" w:leader="dot" w:pos="9639"/>
        </w:tabs>
      </w:pPr>
      <w:r>
        <w:rPr>
          <w:rFonts w:ascii="Times New Roman" w:hAnsi="Times New Roman"/>
          <w:b/>
          <w:sz w:val="22"/>
          <w:color w:val="000000"/>
        </w:rPr>
        <w:t xml:space="preserve">FINAL RECOMMENDATIONS</w:t>
      </w:r>
      <w:r>
        <w:tab/>
      </w:r>
      <w:r>
        <w:rPr>
          <w:rFonts w:ascii="Times New Roman" w:hAnsi="Times New Roman"/>
          <w:b/>
          <w:sz w:val="22"/>
          <w:color w:val="000000"/>
        </w:rPr>
        <w:t xml:space="preserve">545</w:t>
      </w:r>
    </w:p>
    <w:p>
      <w:r>
        <w:br w:type="page"/>
      </w:r>
    </w:p>
    <w:p>
      <w:pPr>
        <w:pStyle w:val="Title"/>
      </w:pPr>
      <w:r>
        <w:t xml:space="preserve">CLINICAL PSYCHIATRY</w:t>
      </w:r>
    </w:p>
    <w:bookmarkStart w:id="11" w:name="müqəddi̇mə"/>
    <w:p>
      <w:pPr>
        <w:pStyle w:val="Heading1"/>
      </w:pPr>
      <w:r>
        <w:t xml:space="preserve">Preface</w:t>
      </w:r>
    </w:p>
    <w:bookmarkStart w:id="9" w:name="oxucuya-müraciət"/>
    <w:p>
      <w:pPr>
        <w:pStyle w:val="Heading2"/>
      </w:pPr>
      <w:r>
        <w:t xml:space="preserve">Address to the reader</w:t>
      </w:r>
    </w:p>
    <w:p>
      <w:pPr>
        <w:pStyle w:val="FirstParagraph"/>
      </w:pPr>
      <w:r>
        <w:t xml:space="preserve">Dear colleague — physician, clinical psychologist, psychotherapist, resident, student.</w:t>
      </w:r>
    </w:p>
    <w:p>
      <w:pPr>
        <w:pStyle w:val="BodyText"/>
      </w:pPr>
      <w:r>
        <w:t xml:space="preserve">This book grew out of an absence. I have been seeing patients for twenty-three years, and for most of that time I ran into the same wall: the diagnosis was clear — but the criteria that confirm it sat in one source, the order of investigation in another, the treatment algorithm in a third, and the prognosis nowhere at all. That road had to be walked again for every patient.</w:t>
      </w:r>
    </w:p>
    <w:p>
      <w:pPr>
        <w:pStyle w:val="BodyText"/>
      </w:pPr>
      <w:r>
        <w:t xml:space="preserve">Searching made it heavier, not lighter. On the first page of results an obsolete classification, a pharmaceutical brochure and somebody's evidence-free “method” stand side by side. Telling which one has a study behind it and which has only marketing takes hours you do not have: the patient is sitting opposite you and expects an answer now. Teaching residents made this plainer still — a wrong decision usually comes not from ignorance but from trusting the first source that appears.</w:t>
      </w:r>
    </w:p>
    <w:p>
      <w:pPr>
        <w:pStyle w:val="BodyText"/>
      </w:pPr>
      <w:r>
        <w:t xml:space="preserve">I looked for a ready solution for a long time. I did not find one, so I had to write it. Everything in this book follows from a single principle: one disorder, one page. Criteria, differential diagnosis, investigation, treatment, prognosis and the most persistent myths together, with the codes of three classifications and a named source behind every claim. Only what can be verified goes in; the rest is called by its name in a section of its own.</w:t>
      </w:r>
    </w:p>
    <w:p>
      <w:pPr>
        <w:pStyle w:val="BodyText"/>
      </w:pPr>
      <w:r>
        <w:t xml:space="preserve">What you have in front of you is “Clinical Psychiatry: Standards of Diagnosis and Therapy”, the first systematic clinical psychiatry reference in the Azerbaijani language. It was not written to be read through; it was written to be used. The patient is sitting opposite you and you have ten minutes. Every chapter is built the same way — eleven sections in a fixed order — so that you never have to hunt for what you need.</w:t>
      </w:r>
    </w:p>
    <w:p>
      <w:pPr>
        <w:pStyle w:val="BodyText"/>
      </w:pPr>
      <w:r>
        <w:t xml:space="preserve">The book is built on ICD-11. When that classification came into force in 2022 it changed more than the codes: it rewrote how we look at personality disorder, what we mean by trauma, and the old boundary between the organic and the functional. At the same time I have not abandoned the post-Soviet clinical school — the tradition of Popov and Vid. Where the international guideline is stronger, the guideline is cited; where the classical school sees more clearly, that is said as well. Disagreements are not smoothed over; they are named.</w:t>
      </w:r>
    </w:p>
    <w:p>
      <w:pPr>
        <w:pStyle w:val="BodyText"/>
      </w:pPr>
      <w:r>
        <w:t xml:space="preserve">Two of the protocols presented here are my own: the treatment algorithm for nocturnal enuresis in children and a two-stage strategy for psychogenic depression. Both are modifications of existing international guidelines, and I classify their level of evidence as IV — expert clinical experience rather than randomised controlled trials. I state this explicitly so that the reader knows precisely what the evidence base is. I invite you to test them, challenge them, and trial them in your own practice.</w:t>
      </w:r>
    </w:p>
    <w:p>
      <w:pPr>
        <w:pStyle w:val="BodyText"/>
      </w:pPr>
      <w:r>
        <w:t xml:space="preserve">One final request: please do not treat this book as the last word. Psychiatry evolves rapidly, and I intend this text to be a living document. If you identify an error or an omission, I would welcome your feedback. The next edition will be stronger for it.</w:t>
      </w:r>
    </w:p>
    <w:bookmarkEnd w:id="9"/>
    <w:bookmarkStart w:id="10" w:name="müəlli̇f-haqqinda"/>
    <w:p>
      <w:pPr>
        <w:pStyle w:val="Heading2"/>
      </w:pPr>
      <w:r>
        <w:t xml:space="preserve">ABOUT THE AUTHOR</w:t>
      </w:r>
    </w:p>
    <w:p>
      <w:pPr>
        <w:pStyle w:val="FirstParagraph"/>
      </w:pPr>
      <w:r>
        <w:t xml:space="preserve">The author of this book is Kenan Rahimov, a psychiatrist and psychotherapist with 23 years of clinical experience (since 2003). He graduated from Azerbaijan State Medical University in 2001 and completed his internship the same year at Clinical Psychiatric Hospital No. 2 in Baku. From 2001 to 2003 in Saint Petersburg, at the V. M. Bekhterev Psychoneurological Research Institute, he completed his clinical residency with honours: in the department of psychotherapy for neuroses under Professor B. D. Karvasarsky, Chief Psychotherapist of the Russian Federation and an internationally recognised specialist, and in the department of psychotherapy for psychoses under Professor V. D. Vid, one of the first psychoanalysts in the post-Soviet region certified by the International Psychoanalytical Association (IPA). Over 23 years of practice he has treated more than 1,000 patients with depressive disorders and more than 1,000 children with nocturnal enuresis; in 2025 alone his clinical team successfully treated more than 250 children. Since 2020 he has been the founder of the RAGIMOFF Professional School of Psychology; since 2021, the authorised representative in Azerbaijan of the Karvasarsky Institute in St Petersburg and head of its continuing professional education programme in clinical psychology; and since 2022, an ambassador of the International Psychotherapy Association (IPAS). The two clinical protocols of his own presented in this book — the treatment of nocturnal enuresis in children and a two-stage strategy for treating psychogenic depression — represent modifications of international evidence-based guidelines (NICE, APA, WFSBP) grounded in the author's long-term clinical experience and retrospective observations. They aim at higher clinical effectiveness in a shorter time than the standard international protocols; the level of evidence should be regarded as IV (expert clinical experience). The author's recommendations rest on clinical expertise and 23 years of uninterrupted practice; readers are invited to test them, evaluate them and, where necessary, adapt them in their own practice.</w:t>
      </w:r>
    </w:p>
    <w:bookmarkEnd w:id="10"/>
    <w:bookmarkEnd w:id="11"/>
    <w:bookmarkStart w:id="12" w:name="m16a006a0z-neurodevelopmental-disorders"/>
    <w:p>
      <w:pPr>
        <w:pageBreakBefore/>
        <w:pStyle w:val="Heading1"/>
      </w:pPr>
      <w:r>
        <w:t xml:space="preserve">6A00–6A0Z NEURODEVELOPMENTAL DISORDERS</w:t>
      </w:r>
    </w:p>
    <w:p>
      <w:pPr>
        <w:pStyle w:val="FirstParagraph"/>
      </w:pPr>
      <w:r>
        <w:t xml:space="preserve">Neurodevelopmental disorders</w:t>
      </w:r>
    </w:p>
    <w:bookmarkEnd w:id="1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 w:name="Xe677490e14d25d47981dba0adefae299f80e911"/>
            <w:r>
              <w:t xml:space="preserve">6A00 DISORDERS OF INTELLECTUAL DEVELOPMENT</w:t>
            </w:r>
            <w:bookmarkEnd w:id="13"/>
          </w:p>
          <w:p>
            <w:pPr>
              <w:pStyle w:val="Compact"/>
              <w:ind w:firstLine="0" w:left="0"/>
            </w:pPr>
            <w:r>
              <w:rPr>
                <w:lang w:val="en"/>
              </w:rPr>
              <w:t xml:space="preserve">Disorders of intellectual development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retardation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Developmental Disorder (Intellectual Disability)</w:t>
            </w:r>
          </w:p>
        </w:tc>
      </w:tr>
    </w:tbl>
    <w:bookmarkStart w:id="14" w:name="X3724295eabb11471c5de8fbd9076fc81b3093cf"/>
    <w:p>
      <w:pPr>
        <w:pStyle w:val="Heading3"/>
      </w:pPr>
      <w:r>
        <w:t xml:space="preserve">1. Definition and nosology</w:t>
      </w:r>
    </w:p>
    <w:p>
      <w:pPr>
        <w:pStyle w:val="FirstParagraph"/>
      </w:pPr>
      <w:r>
        <w:t xml:space="preserve">Disorders of intellectual development (ICD-11:</w:t>
      </w:r>
      <w:r>
        <w:t xml:space="preserve"> </w:t>
      </w:r>
      <w:r>
        <w:t xml:space="preserve">6A00</w:t>
      </w:r>
      <w:r>
        <w:t xml:space="preserve">; DSM-5-TR: F70–F73 Intellectual Developmental Disorder / formerly “Mental Retardation”) are neurodevelopmental disorders that begin during the developmental period (as a rule, before the age of 22) and are characterized by significant limitations both in intellectual functioning (approximately 2 standard deviations below the population mean, with scores below ~70 on standardized tests) and in adaptive behaviour (in the conceptual, social, and practical domains).</w:t>
      </w:r>
    </w:p>
    <w:p>
      <w:pPr>
        <w:pStyle w:val="BodyText"/>
      </w:pPr>
      <w:r>
        <w:t xml:space="preserve">The term “mental retardation” has been abandoned by the international scientific community since 2010 because of its stigma and imprecision (in the USA, Rosa's Law 2010 enacted the change at the federal legislative level).</w:t>
      </w:r>
    </w:p>
    <w:bookmarkEnd w:id="14"/>
    <w:bookmarkStart w:id="15" w:name="X87d7a44aaa7f78e09ce9a0c5a7ead090fd5d976"/>
    <w:p>
      <w:pPr>
        <w:pStyle w:val="Heading3"/>
      </w:pPr>
      <w:r>
        <w:t xml:space="preserve">2. History</w:t>
      </w:r>
    </w:p>
    <w:p>
      <w:pPr>
        <w:pStyle w:val="Compact"/>
        <w:numPr>
          <w:ilvl w:val="0"/>
          <w:numId w:val="1001"/>
        </w:numPr>
      </w:pPr>
      <w:r>
        <w:t xml:space="preserve">Esquirol (1838) introduced the term “idiotie”, distinguishing congenital intellectual limitation from dementia (an acquired impairment).</w:t>
      </w:r>
    </w:p>
    <w:p>
      <w:pPr>
        <w:pStyle w:val="Compact"/>
        <w:numPr>
          <w:ilvl w:val="0"/>
          <w:numId w:val="1001"/>
        </w:numPr>
      </w:pPr>
      <w:r>
        <w:t xml:space="preserve">Binet &amp; Simon (1905) developed the first standardized intelligence scale — the origin of the IQ concept (Stern's 1912 IQ formula).</w:t>
      </w:r>
    </w:p>
    <w:p>
      <w:pPr>
        <w:pStyle w:val="Compact"/>
        <w:numPr>
          <w:ilvl w:val="0"/>
          <w:numId w:val="1001"/>
        </w:numPr>
      </w:pPr>
      <w:r>
        <w:t xml:space="preserve">AAMR/AAIDD (1959, 1973, 1992, 2002, 2010, 2021): evolution of the definition — a shift from IQ alone to a model of adaptive behaviour + support needs. The AAIDD 12th edition (2021): intellectual functioning + adaptive behaviour + onset during the developmental period + assessment of individual support needs.</w:t>
      </w:r>
    </w:p>
    <w:p>
      <w:pPr>
        <w:pStyle w:val="Compact"/>
        <w:numPr>
          <w:ilvl w:val="0"/>
          <w:numId w:val="1001"/>
        </w:numPr>
      </w:pPr>
      <w:r>
        <w:t xml:space="preserve">DSM-IV (1994) “Mental Retardation” → DSM-5 (2013) “Intellectual Disability (Intellectual Developmental Disorder)”. The basis for severity grading was shifted from IQ to adaptive functioning.</w:t>
      </w:r>
    </w:p>
    <w:p>
      <w:pPr>
        <w:pStyle w:val="Compact"/>
        <w:numPr>
          <w:ilvl w:val="0"/>
          <w:numId w:val="1001"/>
        </w:numPr>
      </w:pPr>
      <w:r>
        <w:t xml:space="preserve">ICD-11 (2019) “Disorders of Intellectual Development” — the ICD-10 “Mental Retardation” group (F70–F79) was renamed, with the clinical and adaptive dimensions emphasized jointly.</w:t>
      </w:r>
    </w:p>
    <w:bookmarkEnd w:id="15"/>
    <w:bookmarkStart w:id="16" w:name="Xf9100a4d7ab3f96c5b51efe83312c8094f3e786"/>
    <w:p>
      <w:pPr>
        <w:pStyle w:val="Heading3"/>
      </w:pPr>
      <w:r>
        <w:t xml:space="preserve">3. Epidemiology</w:t>
      </w:r>
    </w:p>
    <w:p>
      <w:pPr>
        <w:pStyle w:val="Compact"/>
        <w:numPr>
          <w:ilvl w:val="0"/>
          <w:numId w:val="1002"/>
        </w:numPr>
      </w:pPr>
      <w:r>
        <w:t xml:space="preserve">Prevalence: ~1% in the general population (Maulik P.K. et al. Res Dev Disabil 2011 meta-analysis, 52 studies); rates are higher in low- and middle-income countries.</w:t>
      </w:r>
    </w:p>
    <w:p>
      <w:pPr>
        <w:pStyle w:val="Compact"/>
        <w:numPr>
          <w:ilvl w:val="0"/>
          <w:numId w:val="1002"/>
        </w:numPr>
      </w:pPr>
      <w:r>
        <w:t xml:space="preserve">Severity distribution: ~85% mild, ~10% moderate, ~3.5% severe, ~1.5% profound.</w:t>
      </w:r>
    </w:p>
    <w:p>
      <w:pPr>
        <w:pStyle w:val="Compact"/>
        <w:numPr>
          <w:ilvl w:val="0"/>
          <w:numId w:val="1002"/>
        </w:numPr>
      </w:pPr>
      <w:r>
        <w:t xml:space="preserve">Sex: more frequent in males (1.2–1.9 : 1), associated with X-linked genetic causes (e.g., Fragile X).</w:t>
      </w:r>
    </w:p>
    <w:p>
      <w:pPr>
        <w:pStyle w:val="Compact"/>
        <w:numPr>
          <w:ilvl w:val="0"/>
          <w:numId w:val="1002"/>
        </w:numPr>
      </w:pPr>
      <w:r>
        <w:t xml:space="preserve">Comorbidity: epilepsy 20–30%, motor disorders 20–40%, visual/hearing impairments 10–25%; psychiatric comorbidity is 3–4 times higher than in the general population (ASD, ADHD, anxiety, conduct disorders).</w:t>
      </w:r>
    </w:p>
    <w:p>
      <w:pPr>
        <w:pStyle w:val="Compact"/>
        <w:numPr>
          <w:ilvl w:val="0"/>
          <w:numId w:val="1002"/>
        </w:numPr>
      </w:pPr>
      <w:r>
        <w:t xml:space="preserve">Mortality: in severe and profound forms life expectancy is shortened — mainly due to aspiration pneumonias, status epilepticus, and cardiovascular anomalies.</w:t>
      </w:r>
    </w:p>
    <w:bookmarkEnd w:id="16"/>
    <w:bookmarkStart w:id="21" w:name="X71ce1ddafdab88722fde2b9dcb400ab4c61cb86"/>
    <w:p>
      <w:pPr>
        <w:pStyle w:val="Heading3"/>
      </w:pPr>
      <w:r>
        <w:t xml:space="preserve">4. Aetiology and pathogenesis</w:t>
      </w:r>
    </w:p>
    <w:bookmarkStart w:id="17" w:name="genetic-causes-5060-identified"/>
    <w:p>
      <w:pPr>
        <w:pStyle w:val="Heading4"/>
      </w:pPr>
      <w:r>
        <w:t xml:space="preserve">4.1 Genetic causes (50–60% identified)</w:t>
      </w:r>
    </w:p>
    <w:p>
      <w:pPr>
        <w:pStyle w:val="Compact"/>
        <w:numPr>
          <w:ilvl w:val="0"/>
          <w:numId w:val="1003"/>
        </w:numPr>
      </w:pPr>
      <w:r>
        <w:t xml:space="preserve">Chromosomal anomalies: Down syndrome (Trisomy 21) — the most frequent genetic cause, ~1/700 births; Edwards (T18), Patau (T13), 22q11.2 deletion (DiGeorge), Williams (7q11.23), Prader-Willi/Angelman (15q11-q13), Cri-du-chat (5p-).</w:t>
      </w:r>
    </w:p>
    <w:p>
      <w:pPr>
        <w:pStyle w:val="Compact"/>
        <w:numPr>
          <w:ilvl w:val="0"/>
          <w:numId w:val="1003"/>
        </w:numPr>
      </w:pPr>
      <w:r>
        <w:t xml:space="preserve">X-linked: Fragile X syndrome (FMR1 gene, CGG repeats) — the most frequent inherited form, ~1/4000 boys; Rett syndrome (MECP2, almost always in girls).</w:t>
      </w:r>
    </w:p>
    <w:p>
      <w:pPr>
        <w:pStyle w:val="Compact"/>
        <w:numPr>
          <w:ilvl w:val="0"/>
          <w:numId w:val="1003"/>
        </w:numPr>
      </w:pPr>
      <w:r>
        <w:t xml:space="preserve">Single-gene disorders: tuberous sclerosis (TSC1/TSC2), neurofibromatosis (NF1), phenylketonuria (PAH — treatable), Wilson disease.</w:t>
      </w:r>
    </w:p>
    <w:p>
      <w:pPr>
        <w:pStyle w:val="Compact"/>
        <w:numPr>
          <w:ilvl w:val="0"/>
          <w:numId w:val="1003"/>
        </w:numPr>
      </w:pPr>
      <w:r>
        <w:t xml:space="preserve">CNV (copy number variations): detected by microarray analysis — 10–20% of cases of unknown aetiology.</w:t>
      </w:r>
    </w:p>
    <w:bookmarkEnd w:id="17"/>
    <w:bookmarkStart w:id="18" w:name="prenatal-non-genetic-causes"/>
    <w:p>
      <w:pPr>
        <w:pStyle w:val="Heading4"/>
      </w:pPr>
      <w:r>
        <w:t xml:space="preserve">4.2 Prenatal non-genetic causes</w:t>
      </w:r>
    </w:p>
    <w:p>
      <w:pPr>
        <w:pStyle w:val="Compact"/>
        <w:numPr>
          <w:ilvl w:val="0"/>
          <w:numId w:val="1004"/>
        </w:numPr>
      </w:pPr>
      <w:r>
        <w:t xml:space="preserve">Infectious: TORCH (toxoplasma, rubella, cytomegalovirus, herpes), Zika, syphilis.</w:t>
      </w:r>
    </w:p>
    <w:p>
      <w:pPr>
        <w:pStyle w:val="Compact"/>
        <w:numPr>
          <w:ilvl w:val="0"/>
          <w:numId w:val="1004"/>
        </w:numPr>
      </w:pPr>
      <w:r>
        <w:t xml:space="preserve">Toxic: fetal alcohol spectrum disorders (FASD — a preventable cause!), valproate in pregnancy, isotretinoin, cocaine, lead.</w:t>
      </w:r>
    </w:p>
    <w:p>
      <w:pPr>
        <w:pStyle w:val="Compact"/>
        <w:numPr>
          <w:ilvl w:val="0"/>
          <w:numId w:val="1004"/>
        </w:numPr>
      </w:pPr>
      <w:r>
        <w:t xml:space="preserve">Metabolic and endocrine: untreated maternal hypothyroidism, severe diabetes, phenylketonuria.</w:t>
      </w:r>
    </w:p>
    <w:p>
      <w:pPr>
        <w:pStyle w:val="Compact"/>
        <w:numPr>
          <w:ilvl w:val="0"/>
          <w:numId w:val="1004"/>
        </w:numPr>
      </w:pPr>
      <w:r>
        <w:t xml:space="preserve">Ischaemic/hypoxic: placental insufficiency, intrauterine growth restriction.</w:t>
      </w:r>
    </w:p>
    <w:bookmarkEnd w:id="18"/>
    <w:bookmarkStart w:id="19" w:name="perinatal-causes"/>
    <w:p>
      <w:pPr>
        <w:pStyle w:val="Heading4"/>
      </w:pPr>
      <w:r>
        <w:t xml:space="preserve">4.3 Perinatal causes</w:t>
      </w:r>
    </w:p>
    <w:p>
      <w:pPr>
        <w:pStyle w:val="Compact"/>
        <w:numPr>
          <w:ilvl w:val="0"/>
          <w:numId w:val="1005"/>
        </w:numPr>
      </w:pPr>
      <w:r>
        <w:t xml:space="preserve">Severe prematurity (&lt;32 weeks), low birth weight (&lt;1500 g).</w:t>
      </w:r>
    </w:p>
    <w:p>
      <w:pPr>
        <w:pStyle w:val="Compact"/>
        <w:numPr>
          <w:ilvl w:val="0"/>
          <w:numId w:val="1005"/>
        </w:numPr>
      </w:pPr>
      <w:r>
        <w:t xml:space="preserve">Birth asphyxia, hypoxic-ischaemic encephalopathy.</w:t>
      </w:r>
    </w:p>
    <w:p>
      <w:pPr>
        <w:pStyle w:val="Compact"/>
        <w:numPr>
          <w:ilvl w:val="0"/>
          <w:numId w:val="1005"/>
        </w:numPr>
      </w:pPr>
      <w:r>
        <w:t xml:space="preserve">Neonatal kernicterus (treatable — phototherapy).</w:t>
      </w:r>
    </w:p>
    <w:p>
      <w:pPr>
        <w:pStyle w:val="Compact"/>
        <w:numPr>
          <w:ilvl w:val="0"/>
          <w:numId w:val="1005"/>
        </w:numPr>
      </w:pPr>
      <w:r>
        <w:t xml:space="preserve">Neonatal sepsis, meningitis.</w:t>
      </w:r>
    </w:p>
    <w:bookmarkEnd w:id="19"/>
    <w:bookmarkStart w:id="20" w:name="postnatal-causes"/>
    <w:p>
      <w:pPr>
        <w:pStyle w:val="Heading4"/>
      </w:pPr>
      <w:r>
        <w:t xml:space="preserve">4.4 Postnatal causes</w:t>
      </w:r>
    </w:p>
    <w:p>
      <w:pPr>
        <w:pStyle w:val="Compact"/>
        <w:numPr>
          <w:ilvl w:val="0"/>
          <w:numId w:val="1006"/>
        </w:numPr>
      </w:pPr>
      <w:r>
        <w:t xml:space="preserve">Bacterial meningitis (especially pneumococcal, meningococcal), viral encephalitis.</w:t>
      </w:r>
    </w:p>
    <w:p>
      <w:pPr>
        <w:pStyle w:val="Compact"/>
        <w:numPr>
          <w:ilvl w:val="0"/>
          <w:numId w:val="1006"/>
        </w:numPr>
      </w:pPr>
      <w:r>
        <w:t xml:space="preserve">Head trauma (TBI) — during childhood.</w:t>
      </w:r>
    </w:p>
    <w:p>
      <w:pPr>
        <w:pStyle w:val="Compact"/>
        <w:numPr>
          <w:ilvl w:val="0"/>
          <w:numId w:val="1006"/>
        </w:numPr>
      </w:pPr>
      <w:r>
        <w:t xml:space="preserve">Lead poisoning — a preventable cause (the CDC blood lead reference value has been 3.5 µg/dL since 2021, previously 5 µg/dL; no safe blood lead level in children has been identified).</w:t>
      </w:r>
    </w:p>
    <w:p>
      <w:pPr>
        <w:pStyle w:val="Compact"/>
        <w:numPr>
          <w:ilvl w:val="0"/>
          <w:numId w:val="1006"/>
        </w:numPr>
      </w:pPr>
      <w:r>
        <w:t xml:space="preserve">Severe iodine deficiency (endemic cretinism — largely eliminated through WHO prevention programmes).</w:t>
      </w:r>
    </w:p>
    <w:p>
      <w:pPr>
        <w:pStyle w:val="Compact"/>
        <w:numPr>
          <w:ilvl w:val="0"/>
          <w:numId w:val="1006"/>
        </w:numPr>
      </w:pPr>
      <w:r>
        <w:t xml:space="preserve">Socio-environmental deprivation — extremely severe psychological neglect can affect development (Romanian orphanage studies, Nelson C.A. et al. Science 2007).</w:t>
      </w:r>
    </w:p>
    <w:bookmarkEnd w:id="20"/>
    <w:bookmarkEnd w:id="21"/>
    <w:bookmarkStart w:id="23" w:name="X68092186b8d9eb4745ef4c600a916b9aa07a6ce"/>
    <w:p>
      <w:pPr>
        <w:pStyle w:val="Heading3"/>
      </w:pPr>
      <w:r>
        <w:t xml:space="preserve">5. Clinical features</w:t>
      </w:r>
    </w:p>
    <w:bookmarkStart w:id="22" w:name="X5183f926bea044c7778af658d35586f81a719e3"/>
    <w:p>
      <w:pPr>
        <w:pStyle w:val="Heading4"/>
      </w:pPr>
      <w:r>
        <w:t xml:space="preserve">Severity classification (DSM-5-TR / ICD-11 — based on adaptive functioning)</w:t>
      </w:r>
    </w:p>
    <w:p>
      <w:pPr>
        <w:pStyle w:val="DefinitionTerm"/>
      </w:pPr>
      <w:r>
        <w:t xml:space="preserve">Mild — IQ ~50–70, mild adaptive deficit</w:t>
      </w:r>
    </w:p>
    <w:p>
      <w:pPr>
        <w:pStyle w:val="Definition"/>
      </w:pPr>
      <w:r>
        <w:t xml:space="preserve">Academic delay may not be noticeable before school age. Reading, mathematics, and abstract thinking are difficult. Social naivety, easily deceived. Practical skills (self-care, household tasks) are achieved. Independent living is possible with support; suitable for supported employment.</w:t>
      </w:r>
    </w:p>
    <w:p>
      <w:pPr>
        <w:pStyle w:val="DefinitionTerm"/>
      </w:pPr>
      <w:r>
        <w:t xml:space="preserve">Moderate — IQ ~35–49</w:t>
      </w:r>
    </w:p>
    <w:p>
      <w:pPr>
        <w:pStyle w:val="Definition"/>
      </w:pPr>
      <w:r>
        <w:t xml:space="preserve">Delay is apparent in early childhood. Simple speech, concrete thinking. Self-care is acquired with training. Functions in structured social/occupational settings. Supervised living (group home, family) is typical.</w:t>
      </w:r>
    </w:p>
    <w:p>
      <w:pPr>
        <w:pStyle w:val="DefinitionTerm"/>
      </w:pPr>
      <w:r>
        <w:t xml:space="preserve">Severe — IQ ~20–34</w:t>
      </w:r>
    </w:p>
    <w:p>
      <w:pPr>
        <w:pStyle w:val="Definition"/>
      </w:pPr>
      <w:r>
        <w:t xml:space="preserve">Very little speech, understands simple requests. Continuous help with self-care. Medical and behavioural comorbidity are frequent.</w:t>
      </w:r>
    </w:p>
    <w:p>
      <w:pPr>
        <w:pStyle w:val="DefinitionTerm"/>
      </w:pPr>
      <w:r>
        <w:t xml:space="preserve">Profound — IQ &lt; 20</w:t>
      </w:r>
    </w:p>
    <w:p>
      <w:pPr>
        <w:pStyle w:val="Definition"/>
      </w:pPr>
      <w:r>
        <w:t xml:space="preserve">Very little or no speech, sensorimotor-level communication. Requires total care. Motor, visual, and hearing impairments are very frequent.</w:t>
      </w:r>
    </w:p>
    <w:p>
      <w:pPr>
        <w:pStyle w:val="FirstParagraph"/>
      </w:pPr>
      <w:r>
        <w:t xml:space="preserve">Developmental trajectory: early motor and speech delays (sitting, standing, first words); academic limitation at school age; the difference becomes more evident in adulthood as adaptive demands increase.</w:t>
      </w:r>
    </w:p>
    <w:bookmarkEnd w:id="22"/>
    <w:bookmarkEnd w:id="23"/>
    <w:bookmarkStart w:id="28" w:name="X97b04503c7854f49d3955e54217c0e534dcc0a3"/>
    <w:p>
      <w:pPr>
        <w:pStyle w:val="Heading3"/>
      </w:pPr>
      <w:r>
        <w:t xml:space="preserve">6. Diagnosis</w:t>
      </w:r>
    </w:p>
    <w:bookmarkStart w:id="24" w:name="X6b80ff6cf98204585bb3cf5edb83a7007acd6ac"/>
    <w:p>
      <w:pPr>
        <w:pStyle w:val="Heading4"/>
      </w:pPr>
      <w:r>
        <w:t xml:space="preserve">6.1 Unified diagnostic criteria (DSM-5-TR · ICD-11 · AAIDD 12th ed. consensus points)</w:t>
      </w:r>
    </w:p>
    <w:p>
      <w:pPr>
        <w:pStyle w:val="FirstParagraph"/>
      </w:pPr>
      <w:r>
        <w:t xml:space="preserve">A. Significant limitation in intellectual functioning — on a standardized, culturally contextualized test of intelligence, approximately 2 standard deviations below the mean (a score of ~70 or below, accounting for a measurement error of ±5 points).</w:t>
      </w:r>
    </w:p>
    <w:p>
      <w:pPr>
        <w:pStyle w:val="BodyText"/>
      </w:pPr>
      <w:r>
        <w:t xml:space="preserve">B. Significant limitation in adaptive behaviour — a score 2 SD below in at least one of the following three domains:</w:t>
      </w:r>
    </w:p>
    <w:p>
      <w:pPr>
        <w:pStyle w:val="Compact"/>
        <w:numPr>
          <w:ilvl w:val="0"/>
          <w:numId w:val="1007"/>
        </w:numPr>
      </w:pPr>
      <w:r>
        <w:t xml:space="preserve">Conceptual (language, reading, writing, mathematics, memory, problem-solving);</w:t>
      </w:r>
    </w:p>
    <w:p>
      <w:pPr>
        <w:pStyle w:val="Compact"/>
        <w:numPr>
          <w:ilvl w:val="0"/>
          <w:numId w:val="1007"/>
        </w:numPr>
      </w:pPr>
      <w:r>
        <w:t xml:space="preserve">Social (interpersonal skills, social responsibility, matters of gullibility);</w:t>
      </w:r>
    </w:p>
    <w:p>
      <w:pPr>
        <w:pStyle w:val="Compact"/>
        <w:numPr>
          <w:ilvl w:val="0"/>
          <w:numId w:val="1007"/>
        </w:numPr>
      </w:pPr>
      <w:r>
        <w:t xml:space="preserve">Practical (self-care, work, health, safety).</w:t>
      </w:r>
    </w:p>
    <w:p>
      <w:pPr>
        <w:pStyle w:val="FirstParagraph"/>
      </w:pPr>
      <w:r>
        <w:t xml:space="preserve">C. Onset during the developmental period — symptoms are apparent in childhood and adolescence (before adulthood).</w:t>
      </w:r>
    </w:p>
    <w:p>
      <w:pPr>
        <w:pStyle w:val="BodyText"/>
      </w:pPr>
      <w:r>
        <w:t xml:space="preserve">D. Exclusions — not fully explained by a sensory (visual, hearing) impairment, motor disorder, language origin, cultural-linguistic barrier, or a psychiatric disorder.</w:t>
      </w:r>
    </w:p>
    <w:bookmarkEnd w:id="24"/>
    <w:bookmarkStart w:id="25" w:name="differences-between-sources"/>
    <w:p>
      <w:pPr>
        <w:pStyle w:val="Heading4"/>
      </w:pPr>
      <w:r>
        <w:t xml:space="preserve">6.2 Differences between sources</w:t>
      </w:r>
    </w:p>
    <w:p>
      <w:pPr>
        <w:pStyle w:val="Compact"/>
        <w:numPr>
          <w:ilvl w:val="0"/>
          <w:numId w:val="1008"/>
        </w:numPr>
      </w:pPr>
      <w:r>
        <w:t xml:space="preserve">DSM-5-TR (319): severity is determined by adaptive functioning, IQ is noted only as an additional indicator. Onset “during the developmental period” (before 18 years is intended, but AAIDD's definition of 22 years may be accepted).</w:t>
      </w:r>
    </w:p>
    <w:p>
      <w:pPr>
        <w:pStyle w:val="Compact"/>
        <w:numPr>
          <w:ilvl w:val="0"/>
          <w:numId w:val="1008"/>
        </w:numPr>
      </w:pPr>
      <w:r>
        <w:t xml:space="preserve">ICD-11 (6A00): mild, moderate, severe, profound (the same terminology); severity is assessed jointly by both IQ and adaptive functioning; additional qualifiers — aetiology (genetic, prenatal, perinatal, postnatal, unknown) and comorbidities.</w:t>
      </w:r>
    </w:p>
    <w:p>
      <w:pPr>
        <w:pStyle w:val="Compact"/>
        <w:numPr>
          <w:ilvl w:val="0"/>
          <w:numId w:val="1008"/>
        </w:numPr>
      </w:pPr>
      <w:r>
        <w:t xml:space="preserve">AAIDD 12th ed. (Schalock R.L. et al. 2021): formal assessment of support needs (SIS — Supports Intensity Scale) is incorporated into the clinical formulation; age of onset up to 22 (unlike DSM); intellectual functioning is used not for exclusion but to determine support needs.</w:t>
      </w:r>
    </w:p>
    <w:p>
      <w:pPr>
        <w:pStyle w:val="Compact"/>
        <w:numPr>
          <w:ilvl w:val="0"/>
          <w:numId w:val="1008"/>
        </w:numPr>
      </w:pPr>
      <w:r>
        <w:t xml:space="preserve">AAP (Moeschler J.B., Shevell M.S., Pediatrics 2014, reaffirmed 2020): after the diagnosis is made, the search for aetiology is stepwise — first line: history, physical examination (dysmorphic features), chromosomal microarray, Fragile X, treatable metabolic screening (PKU, biotinidase, thyroid, liver, kidney); selective: brain MRI, EEG, whole-exome sequencing (WES).</w:t>
      </w:r>
    </w:p>
    <w:bookmarkEnd w:id="25"/>
    <w:bookmarkStart w:id="26" w:name="diagnostic-algorithm"/>
    <w:p>
      <w:pPr>
        <w:pStyle w:val="Heading4"/>
      </w:pPr>
      <w:r>
        <w:t xml:space="preserve">6.3 Diagnostic algorithm</w:t>
      </w:r>
    </w:p>
    <w:p>
      <w:pPr>
        <w:pStyle w:val="Compact"/>
        <w:numPr>
          <w:ilvl w:val="0"/>
          <w:numId w:val="1009"/>
        </w:numPr>
      </w:pPr>
      <w:r>
        <w:t xml:space="preserve">Developmental history (congenital, perinatal, postnatal) + family history (3 generations).</w:t>
      </w:r>
    </w:p>
    <w:p>
      <w:pPr>
        <w:pStyle w:val="Compact"/>
        <w:numPr>
          <w:ilvl w:val="0"/>
          <w:numId w:val="1009"/>
        </w:numPr>
      </w:pPr>
      <w:r>
        <w:t xml:space="preserve">Physical examination — height, head circumference, dysmorphic features, neurological, skin (café-au-lait, hypopigmentation).</w:t>
      </w:r>
    </w:p>
    <w:p>
      <w:pPr>
        <w:pStyle w:val="Compact"/>
        <w:numPr>
          <w:ilvl w:val="0"/>
          <w:numId w:val="1009"/>
        </w:numPr>
      </w:pPr>
      <w:r>
        <w:t xml:space="preserve">Standardized intellectual test (WISC-V 6–16 years; Stanford-Binet 5 2+ years; Bayley-III &lt;3.5 years).</w:t>
      </w:r>
    </w:p>
    <w:p>
      <w:pPr>
        <w:pStyle w:val="Compact"/>
        <w:numPr>
          <w:ilvl w:val="0"/>
          <w:numId w:val="1009"/>
        </w:numPr>
      </w:pPr>
      <w:r>
        <w:t xml:space="preserve">Adaptive behaviour assessment (Vineland-3, ABAS-3).</w:t>
      </w:r>
    </w:p>
    <w:p>
      <w:pPr>
        <w:pStyle w:val="Compact"/>
        <w:numPr>
          <w:ilvl w:val="0"/>
          <w:numId w:val="1009"/>
        </w:numPr>
      </w:pPr>
      <w:r>
        <w:t xml:space="preserve">Vision and hearing tests (exclusion of sensory impairment).</w:t>
      </w:r>
    </w:p>
    <w:p>
      <w:pPr>
        <w:pStyle w:val="Compact"/>
        <w:numPr>
          <w:ilvl w:val="0"/>
          <w:numId w:val="1009"/>
        </w:numPr>
      </w:pPr>
      <w:r>
        <w:t xml:space="preserve">First-line aetiological laboratory tests — chromosomal microarray analysis (CMA), Fragile X (FMR1), TSH, lead level, liver/kidney, creatine and amino acid profile.</w:t>
      </w:r>
    </w:p>
    <w:p>
      <w:pPr>
        <w:pStyle w:val="Compact"/>
        <w:numPr>
          <w:ilvl w:val="0"/>
          <w:numId w:val="1009"/>
        </w:numPr>
      </w:pPr>
      <w:r>
        <w:t xml:space="preserve">Selective: brain MRI (microcephaly, focal neurological signs), EEG (suspected epilepsy), trio exome sequencing (when CMA is negative).</w:t>
      </w:r>
    </w:p>
    <w:p>
      <w:pPr>
        <w:pStyle w:val="Compact"/>
        <w:numPr>
          <w:ilvl w:val="0"/>
          <w:numId w:val="1009"/>
        </w:numPr>
      </w:pPr>
      <w:r>
        <w:t xml:space="preserve">Comorbid screening: ASD (M-CHAT-R/F, ADOS-2), ADHD (Conners), anxiety, depression, conduct disorder.</w:t>
      </w:r>
    </w:p>
    <w:bookmarkEnd w:id="26"/>
    <w:bookmarkStart w:id="27" w:name="differential-diagnosis"/>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learning disorder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Discrete deficit in an academic domain, overall cognitive level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language disorder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Predominant deficit in the speech and language area; nonverbal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communication deficit and restricted repetitive behaviour predominate; IQ range is broad.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Global developmental delay (&lt;5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 provisional diagnosis before 5 years; standardized IQ tests are not reliable.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Acquired impairment — initially normal development, then decline.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Socio-environmental deprivation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functioning can recover in a stimulating environment.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Pseudo-intellectual impairment (chronic illness, depression)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Cognitive functioning recovers after correction of the mood or somatic factor.</w:t>
            </w:r>
          </w:p>
        </w:tc>
      </w:tr>
    </w:tbl>
    <w:bookmarkEnd w:id="27"/>
    <w:bookmarkEnd w:id="28"/>
    <w:bookmarkStart w:id="32" w:name="X2757ebf11b3abe3e330cec266c8246d48456824"/>
    <w:p>
      <w:pPr>
        <w:pStyle w:val="Heading3"/>
      </w:pPr>
      <w:r>
        <w:t xml:space="preserve">7. Examination and assessment</w:t>
      </w:r>
    </w:p>
    <w:bookmarkStart w:id="29" w:name="standardized-tests"/>
    <w:p>
      <w:pPr>
        <w:pStyle w:val="Heading4"/>
      </w:pPr>
      <w:r>
        <w:t xml:space="preserve">7.1 Standardized tests</w:t>
      </w:r>
    </w:p>
    <w:p>
      <w:pPr>
        <w:pStyle w:val="Compact"/>
        <w:numPr>
          <w:ilvl w:val="0"/>
          <w:numId w:val="1010"/>
        </w:numPr>
      </w:pPr>
      <w:r>
        <w:t xml:space="preserve">Intelligence: WISC-V (6–16 years), Stanford-Binet 5 (2+), WAIS-IV (16+), Bayley Scales of Infant Development 4 (&lt;3.5 years), Kaufman ABC-II.</w:t>
      </w:r>
    </w:p>
    <w:p>
      <w:pPr>
        <w:pStyle w:val="Compact"/>
        <w:numPr>
          <w:ilvl w:val="0"/>
          <w:numId w:val="1010"/>
        </w:numPr>
      </w:pPr>
      <w:r>
        <w:t xml:space="preserve">Adaptive behaviour: Vineland-3, ABAS-3, Scales of Independent Behavior-Revised.</w:t>
      </w:r>
    </w:p>
    <w:p>
      <w:pPr>
        <w:pStyle w:val="Compact"/>
        <w:numPr>
          <w:ilvl w:val="0"/>
          <w:numId w:val="1010"/>
        </w:numPr>
      </w:pPr>
      <w:r>
        <w:t xml:space="preserve">Support needs: SIS-A (adults), SIS-C (children) — AAIDD.</w:t>
      </w:r>
    </w:p>
    <w:bookmarkEnd w:id="29"/>
    <w:bookmarkStart w:id="30" w:name="Xac8a2981b6a383559dc8c42bee91d042f849c66"/>
    <w:p>
      <w:pPr>
        <w:pStyle w:val="Heading4"/>
      </w:pPr>
      <w:r>
        <w:t xml:space="preserve">7.2 Laboratory investigations (AAP 2014 / 2020 protocol)</w:t>
      </w:r>
    </w:p>
    <w:p>
      <w:pPr>
        <w:pStyle w:val="FirstParagraph"/>
      </w:pPr>
      <w:r>
        <w:t xml:space="preserve">First line (all cases): complete blood count, liver and kidney function, TSH, creatinine, ammonia, lactate, creatine and amino acid profile (urine and blood), lead level.</w:t>
      </w:r>
    </w:p>
    <w:p>
      <w:pPr>
        <w:pStyle w:val="BodyText"/>
      </w:pPr>
      <w:r>
        <w:t xml:space="preserve">First-line genetic: chromosomal microarray analysis (CMA — yield 15–20%), Fragile X (FMR1) in all boys (yield ~2%, in females ~1%).</w:t>
      </w:r>
    </w:p>
    <w:p>
      <w:pPr>
        <w:pStyle w:val="BodyText"/>
      </w:pPr>
      <w:r>
        <w:t xml:space="preserve">Selective: trio exome sequencing (WES — yield 25–40% when CMA is negative), MECP2 (suspected Rett in girls), specific syndromic genes.</w:t>
      </w:r>
    </w:p>
    <w:bookmarkEnd w:id="30"/>
    <w:bookmarkStart w:id="31" w:name="instrumental-investigations"/>
    <w:p>
      <w:pPr>
        <w:pStyle w:val="Heading4"/>
      </w:pPr>
      <w:r>
        <w:t xml:space="preserve">7.3 Instrumental investigations</w:t>
      </w:r>
    </w:p>
    <w:p>
      <w:pPr>
        <w:pStyle w:val="Compact"/>
        <w:numPr>
          <w:ilvl w:val="0"/>
          <w:numId w:val="1011"/>
        </w:numPr>
      </w:pPr>
      <w:r>
        <w:t xml:space="preserve">Brain MRI — in focal neurological signs, micro/macrocephaly, seizures, regression.</w:t>
      </w:r>
    </w:p>
    <w:p>
      <w:pPr>
        <w:pStyle w:val="Compact"/>
        <w:numPr>
          <w:ilvl w:val="0"/>
          <w:numId w:val="1011"/>
        </w:numPr>
      </w:pPr>
      <w:r>
        <w:t xml:space="preserve">EEG — suspected seizures, regression.</w:t>
      </w:r>
    </w:p>
    <w:p>
      <w:pPr>
        <w:pStyle w:val="Compact"/>
        <w:numPr>
          <w:ilvl w:val="0"/>
          <w:numId w:val="1011"/>
        </w:numPr>
      </w:pPr>
      <w:r>
        <w:t xml:space="preserve">Vision and hearing — baseline indicators in all cases.</w:t>
      </w:r>
    </w:p>
    <w:p>
      <w:pPr>
        <w:pStyle w:val="Compact"/>
        <w:numPr>
          <w:ilvl w:val="0"/>
          <w:numId w:val="1011"/>
        </w:numPr>
      </w:pPr>
      <w:r>
        <w:t xml:space="preserve">Cardiac echocardiography and EKG — in syndromes such as Down and 22q11.2 deletion.</w:t>
      </w:r>
    </w:p>
    <w:bookmarkEnd w:id="31"/>
    <w:bookmarkEnd w:id="32"/>
    <w:bookmarkStart w:id="36" w:name="Xd557deb0ae49781323d7e2a49e9e082e8c530d2"/>
    <w:p>
      <w:pPr>
        <w:pStyle w:val="Heading3"/>
      </w:pPr>
      <w:r>
        <w:t xml:space="preserve">8. Treatment</w:t>
      </w:r>
    </w:p>
    <w:bookmarkStart w:id="33" w:name="X09a2e2f60fb0ed3ffb63727fa676e740361b6a1"/>
    <w:p>
      <w:pPr>
        <w:pStyle w:val="Heading4"/>
      </w:pPr>
      <w:r>
        <w:t xml:space="preserve">8.1 General principles (AAIDD 12th ed. · AAP 2014 · NICE NG54 · WHO mhGAP consensus)</w:t>
      </w:r>
    </w:p>
    <w:p>
      <w:pPr>
        <w:pStyle w:val="Compact"/>
        <w:numPr>
          <w:ilvl w:val="0"/>
          <w:numId w:val="1012"/>
        </w:numPr>
      </w:pPr>
      <w:r>
        <w:t xml:space="preserve">There is no “cure” for intellectual developmental disorder — intellectual functioning itself is not restored pharmacologically. Intervention is directed at individualized support, education, behaviour, and management of comorbid symptoms.</w:t>
      </w:r>
    </w:p>
    <w:p>
      <w:pPr>
        <w:pStyle w:val="Compact"/>
        <w:numPr>
          <w:ilvl w:val="0"/>
          <w:numId w:val="1012"/>
        </w:numPr>
      </w:pPr>
      <w:r>
        <w:t xml:space="preserve">Identification of aetiology: early detection of treatable causes (PKU, congenital hypothyroidism, lead, biotinidase deficiency) is critical — the basis of newborn screening programmes.</w:t>
      </w:r>
    </w:p>
    <w:p>
      <w:pPr>
        <w:pStyle w:val="Compact"/>
        <w:numPr>
          <w:ilvl w:val="0"/>
          <w:numId w:val="1012"/>
        </w:numPr>
      </w:pPr>
      <w:r>
        <w:t xml:space="preserve">Early intervention (0–3 years): the period with the strongest evidence base (IDEA Part C in the USA; similar programmes in all developed countries). Improves social and cognitive outcomes.</w:t>
      </w:r>
    </w:p>
    <w:p>
      <w:pPr>
        <w:pStyle w:val="Compact"/>
        <w:numPr>
          <w:ilvl w:val="0"/>
          <w:numId w:val="1012"/>
        </w:numPr>
      </w:pPr>
      <w:r>
        <w:t xml:space="preserve">Individualized education programme (IEP): academic and adaptive goals at school; AAIDD support-needs-based approach.</w:t>
      </w:r>
    </w:p>
    <w:p>
      <w:pPr>
        <w:pStyle w:val="Compact"/>
        <w:numPr>
          <w:ilvl w:val="0"/>
          <w:numId w:val="1012"/>
        </w:numPr>
      </w:pPr>
      <w:r>
        <w:t xml:space="preserve">Behavioural interventions: Applied Behavior Analysis (ABA) and positive behaviour support (PBS) — effective in reducing challenging behaviours and developing new skills.</w:t>
      </w:r>
    </w:p>
    <w:p>
      <w:pPr>
        <w:pStyle w:val="Compact"/>
        <w:numPr>
          <w:ilvl w:val="0"/>
          <w:numId w:val="1012"/>
        </w:numPr>
      </w:pPr>
      <w:r>
        <w:t xml:space="preserve">Family support: psychoeducation, respite care, peer support groups, social service coordination.</w:t>
      </w:r>
    </w:p>
    <w:p>
      <w:pPr>
        <w:pStyle w:val="Compact"/>
        <w:numPr>
          <w:ilvl w:val="0"/>
          <w:numId w:val="1012"/>
        </w:numPr>
      </w:pPr>
      <w:r>
        <w:t xml:space="preserve">Treatment of comorbidity: epilepsy (standard antiepileptics), ADHD (stimulants; the Cortese 2018 network meta-analysis makes methylphenidate the first choice in children, but it excluded trials with comorbid disorders — the evidence base in IDD is separate and thinner), anxiety/depression (start SSRI at a low dose), aggression (behavioural intervention is first line; risperidone or aripiprazole only in severe cases — FDA approved for irritability in ASD: risperidone ages 5–16, aripiprazole ages 6–17; no official approval for IDD, evidence base limited).</w:t>
      </w:r>
    </w:p>
    <w:p>
      <w:pPr>
        <w:pStyle w:val="Compact"/>
        <w:numPr>
          <w:ilvl w:val="0"/>
          <w:numId w:val="1012"/>
        </w:numPr>
      </w:pPr>
      <w:r>
        <w:t xml:space="preserve">Medical monitoring: in Down syndrome — thyroid, heart, hearing, atlanto-axial instability (AAP Health Supervision for Children with Down Syndrome 2022).</w:t>
      </w:r>
    </w:p>
    <w:p>
      <w:pPr>
        <w:pStyle w:val="Compact"/>
        <w:numPr>
          <w:ilvl w:val="0"/>
          <w:numId w:val="1012"/>
        </w:numPr>
      </w:pPr>
      <w:r>
        <w:t xml:space="preserve">Transition to adulthood: supported employment (IPS model), independent living options, coordination of social and medical services.</w:t>
      </w:r>
    </w:p>
    <w:bookmarkEnd w:id="33"/>
    <w:bookmarkStart w:id="34" w:name="treatment-methods"/>
    <w:p>
      <w:pPr>
        <w:pStyle w:val="Heading4"/>
      </w:pPr>
      <w:r>
        <w:t xml:space="preserve">8.2 Treatment methods</w:t>
      </w:r>
    </w:p>
    <w:p>
      <w:pPr>
        <w:pStyle w:val="Compact"/>
        <w:numPr>
          <w:ilvl w:val="0"/>
          <w:numId w:val="1013"/>
        </w:numPr>
      </w:pPr>
      <w:r>
        <w:t xml:space="preserve">Applied Behavior Analysis (ABA) — Shaping and reducing specific target behaviours based on a functional analysis of behaviour; the antecedent-behaviour-consequence (ABC) framework, discrete trial training (DTT), naturalistic behavioural interventions. Effect: moderate-to-high effect size in acquiring adaptive skills and reducing challenging behaviour, especially in cases comorbid with autism and IDD (Eldevik S. et al. J Clin Child Adolesc Psychol 2009 meta-analysis). Can be adapted to home, school, and community settings at all stages.</w:t>
      </w:r>
    </w:p>
    <w:p>
      <w:pPr>
        <w:pStyle w:val="Compact"/>
        <w:numPr>
          <w:ilvl w:val="0"/>
          <w:numId w:val="1013"/>
        </w:numPr>
      </w:pPr>
      <w:r>
        <w:t xml:space="preserve">Early Intervention (0–3 years) — Multidisciplinary (developmental, physical, occupational, speech therapies + family training) home- or centre-based programmes. Evidence: the Carolina Abecedarian Project (Ramey C.T., Campbell F.A. — 30+ years of follow-up) improved IQ, academic, and employment outcomes in low-resource children. IDEA Part C.</w:t>
      </w:r>
    </w:p>
    <w:p>
      <w:pPr>
        <w:pStyle w:val="Compact"/>
        <w:numPr>
          <w:ilvl w:val="0"/>
          <w:numId w:val="1013"/>
        </w:numPr>
      </w:pPr>
      <w:r>
        <w:t xml:space="preserve">Individualized Education Program (IEP) — A legal document that documents academic and adaptive goals, support measures, and assessment intervals. Mandatory in the USA under IDEA, with similar frameworks in other countries (United Kingdom — EHCP).</w:t>
      </w:r>
    </w:p>
    <w:p>
      <w:pPr>
        <w:pStyle w:val="Compact"/>
        <w:numPr>
          <w:ilvl w:val="0"/>
          <w:numId w:val="1013"/>
        </w:numPr>
      </w:pPr>
      <w:r>
        <w:t xml:space="preserve">Positive Behaviour Support (PBS) — Functional analysis of challenging behaviours and replacement of behaviour (teaching an appropriate behaviour with the same function). Not punishment, but changing the environment and new skills. NICE NG11 (2015) makes it first line in managing challenging behaviour.</w:t>
      </w:r>
    </w:p>
    <w:p>
      <w:pPr>
        <w:pStyle w:val="Compact"/>
        <w:numPr>
          <w:ilvl w:val="0"/>
          <w:numId w:val="1013"/>
        </w:numPr>
      </w:pPr>
      <w:r>
        <w:t xml:space="preserve">Vineland Adaptive Behavior Scales-3 (Vineland-3) — The “gold standard” assessment of adaptive behaviour — communication, daily living, social, and motor domains. Interview (parent/caregiver) and teacher forms.</w:t>
      </w:r>
    </w:p>
    <w:p>
      <w:pPr>
        <w:pStyle w:val="Compact"/>
        <w:numPr>
          <w:ilvl w:val="0"/>
          <w:numId w:val="1013"/>
        </w:numPr>
      </w:pPr>
      <w:r>
        <w:t xml:space="preserve">WISC-V / Stanford-Binet 5 — Standardized intelligence tests; WISC-V — 6–16 years, 5 main indices (verbal, visuo-spatial, abstract reasoning, working memory, processing speed); Stanford-Binet 5 — from 2 years to adulthood.</w:t>
      </w:r>
    </w:p>
    <w:p>
      <w:pPr>
        <w:pStyle w:val="Compact"/>
        <w:numPr>
          <w:ilvl w:val="0"/>
          <w:numId w:val="1013"/>
        </w:numPr>
      </w:pPr>
      <w:r>
        <w:t xml:space="preserve">Supports Intensity Scale (SIS, AAIDD) — A scale that measures the intensity of support needs; SIS-A for adults, SIS-C for ages 5–16. For clinical planning and allocation of services.</w:t>
      </w:r>
    </w:p>
    <w:bookmarkEnd w:id="34"/>
    <w:bookmarkStart w:id="35" w:name="differences-between-sources-1"/>
    <w:p>
      <w:pPr>
        <w:pStyle w:val="Heading4"/>
      </w:pPr>
      <w:r>
        <w:t xml:space="preserve">8.3 Differences between sources</w:t>
      </w:r>
    </w:p>
    <w:p>
      <w:pPr>
        <w:pStyle w:val="Compact"/>
        <w:numPr>
          <w:ilvl w:val="0"/>
          <w:numId w:val="1014"/>
        </w:numPr>
      </w:pPr>
      <w:r>
        <w:t xml:space="preserve">AAIDD 12th ed. (2021): “supports model” — planning tailored to the individual's support needs rather than to a given severity level; intermittent, limited, extensive, pervasive support categories.</w:t>
      </w:r>
    </w:p>
    <w:p>
      <w:pPr>
        <w:pStyle w:val="Compact"/>
        <w:numPr>
          <w:ilvl w:val="0"/>
          <w:numId w:val="1014"/>
        </w:numPr>
      </w:pPr>
      <w:r>
        <w:t xml:space="preserve">AAP 2014/2020: screening intervals and treatment algorithms for comorbidity (autism, ADHD, conduct); a separate AAP 2022 protocol for Down syndrome.</w:t>
      </w:r>
    </w:p>
    <w:p>
      <w:pPr>
        <w:pStyle w:val="Compact"/>
        <w:numPr>
          <w:ilvl w:val="0"/>
          <w:numId w:val="1014"/>
        </w:numPr>
      </w:pPr>
      <w:r>
        <w:t xml:space="preserve">NICE NG54 (2016) — Mental health problems in people with learning disabilities: diagnosis and treatment of psychiatric comorbidity; behavioural intervention is first line; nonspecific use of psychotropic drugs is not recommended — even though this is seen as a popular “safe” practice, the burden of side effects and the risk of interactions are high.</w:t>
      </w:r>
    </w:p>
    <w:p>
      <w:pPr>
        <w:pStyle w:val="Compact"/>
        <w:numPr>
          <w:ilvl w:val="0"/>
          <w:numId w:val="1014"/>
        </w:numPr>
      </w:pPr>
      <w:r>
        <w:t xml:space="preserve">WHO mhGAP Intervention Guide v2.0: assessment and basic intervention at the primary care level in low- and middle-income countries; family training and community rehabilitation are emphasized.</w:t>
      </w:r>
    </w:p>
    <w:bookmarkEnd w:id="35"/>
    <w:bookmarkEnd w:id="36"/>
    <w:bookmarkStart w:id="40" w:name="X355c81d68b36e8a160fd292aa3eab46ed9bae85"/>
    <w:p>
      <w:pPr>
        <w:pStyle w:val="Heading3"/>
      </w:pPr>
      <w:r>
        <w:t xml:space="preserve">9. Prognosis</w:t>
      </w:r>
    </w:p>
    <w:bookmarkStart w:id="37" w:name="good-prognostic-factors"/>
    <w:p>
      <w:pPr>
        <w:pStyle w:val="Heading4"/>
      </w:pPr>
      <w:r>
        <w:t xml:space="preserve">Good prognostic factors</w:t>
      </w:r>
    </w:p>
    <w:p>
      <w:pPr>
        <w:pStyle w:val="Compact"/>
        <w:numPr>
          <w:ilvl w:val="0"/>
          <w:numId w:val="1015"/>
        </w:numPr>
      </w:pPr>
      <w:r>
        <w:t xml:space="preserve">Mild severity (~85% of all IDD); intellectual and adaptive functioning at a close level.</w:t>
      </w:r>
    </w:p>
    <w:p>
      <w:pPr>
        <w:pStyle w:val="Compact"/>
        <w:numPr>
          <w:ilvl w:val="0"/>
          <w:numId w:val="1015"/>
        </w:numPr>
      </w:pPr>
      <w:r>
        <w:t xml:space="preserve">Treatable aetiology (PKU, congenital hypothyroidism, lead) — early detection.</w:t>
      </w:r>
    </w:p>
    <w:p>
      <w:pPr>
        <w:pStyle w:val="Compact"/>
        <w:numPr>
          <w:ilvl w:val="0"/>
          <w:numId w:val="1015"/>
        </w:numPr>
      </w:pPr>
      <w:r>
        <w:t xml:space="preserve">Early intervention (&lt;3 years).</w:t>
      </w:r>
    </w:p>
    <w:p>
      <w:pPr>
        <w:pStyle w:val="Compact"/>
        <w:numPr>
          <w:ilvl w:val="0"/>
          <w:numId w:val="1015"/>
        </w:numPr>
      </w:pPr>
      <w:r>
        <w:t xml:space="preserve">Stable and supportive family environment.</w:t>
      </w:r>
    </w:p>
    <w:p>
      <w:pPr>
        <w:pStyle w:val="Compact"/>
        <w:numPr>
          <w:ilvl w:val="0"/>
          <w:numId w:val="1015"/>
        </w:numPr>
      </w:pPr>
      <w:r>
        <w:t xml:space="preserve">Active treatment of comorbid psychiatric and medical conditions.</w:t>
      </w:r>
    </w:p>
    <w:p>
      <w:pPr>
        <w:pStyle w:val="Compact"/>
        <w:numPr>
          <w:ilvl w:val="0"/>
          <w:numId w:val="1015"/>
        </w:numPr>
      </w:pPr>
      <w:r>
        <w:t xml:space="preserve">Accessibility of community and school resources.</w:t>
      </w:r>
    </w:p>
    <w:bookmarkEnd w:id="37"/>
    <w:bookmarkStart w:id="38" w:name="poor-prognostic-factors"/>
    <w:p>
      <w:pPr>
        <w:pStyle w:val="Heading4"/>
      </w:pPr>
      <w:r>
        <w:t xml:space="preserve">Poor prognostic factors</w:t>
      </w:r>
    </w:p>
    <w:p>
      <w:pPr>
        <w:pStyle w:val="Compact"/>
        <w:numPr>
          <w:ilvl w:val="0"/>
          <w:numId w:val="1016"/>
        </w:numPr>
      </w:pPr>
      <w:r>
        <w:t xml:space="preserve">Profound or severe severity.</w:t>
      </w:r>
    </w:p>
    <w:p>
      <w:pPr>
        <w:pStyle w:val="Compact"/>
        <w:numPr>
          <w:ilvl w:val="0"/>
          <w:numId w:val="1016"/>
        </w:numPr>
      </w:pPr>
      <w:r>
        <w:t xml:space="preserve">Genetic syndrome with a complex phenotype (epilepsy, cardiac anomalies, motor).</w:t>
      </w:r>
    </w:p>
    <w:p>
      <w:pPr>
        <w:pStyle w:val="Compact"/>
        <w:numPr>
          <w:ilvl w:val="0"/>
          <w:numId w:val="1016"/>
        </w:numPr>
      </w:pPr>
      <w:r>
        <w:t xml:space="preserve">Severe behavioural disorders, self-harm.</w:t>
      </w:r>
    </w:p>
    <w:p>
      <w:pPr>
        <w:pStyle w:val="Compact"/>
        <w:numPr>
          <w:ilvl w:val="0"/>
          <w:numId w:val="1016"/>
        </w:numPr>
      </w:pPr>
      <w:r>
        <w:t xml:space="preserve">Absence of family support and community resources.</w:t>
      </w:r>
    </w:p>
    <w:p>
      <w:pPr>
        <w:pStyle w:val="Compact"/>
        <w:numPr>
          <w:ilvl w:val="0"/>
          <w:numId w:val="1016"/>
        </w:numPr>
      </w:pPr>
      <w:r>
        <w:t xml:space="preserve">Unidentified and untreated comorbidity (epilepsy, ASD, ADHD).</w:t>
      </w:r>
    </w:p>
    <w:bookmarkEnd w:id="38"/>
    <w:bookmarkStart w:id="39" w:name="follow-up-targets"/>
    <w:p>
      <w:pPr>
        <w:pStyle w:val="Heading4"/>
      </w:pPr>
      <w:r>
        <w:t xml:space="preserve">Follow-up targets</w:t>
      </w:r>
    </w:p>
    <w:p>
      <w:pPr>
        <w:pStyle w:val="Compact"/>
        <w:numPr>
          <w:ilvl w:val="0"/>
          <w:numId w:val="1017"/>
        </w:numPr>
      </w:pPr>
      <w:r>
        <w:t xml:space="preserve">Annual reassessment of adaptive development.</w:t>
      </w:r>
    </w:p>
    <w:p>
      <w:pPr>
        <w:pStyle w:val="Compact"/>
        <w:numPr>
          <w:ilvl w:val="0"/>
          <w:numId w:val="1017"/>
        </w:numPr>
      </w:pPr>
      <w:r>
        <w:t xml:space="preserve">Medical monitoring — according to syndrome-specific protocols (e.g., AAP Down 2022).</w:t>
      </w:r>
    </w:p>
    <w:p>
      <w:pPr>
        <w:pStyle w:val="Compact"/>
        <w:numPr>
          <w:ilvl w:val="0"/>
          <w:numId w:val="1017"/>
        </w:numPr>
      </w:pPr>
      <w:r>
        <w:t xml:space="preserve">Screening for comorbid psychiatric conditions (ASD, ADHD, anxiety, depression).</w:t>
      </w:r>
    </w:p>
    <w:p>
      <w:pPr>
        <w:pStyle w:val="Compact"/>
        <w:numPr>
          <w:ilvl w:val="0"/>
          <w:numId w:val="1017"/>
        </w:numPr>
      </w:pPr>
      <w:r>
        <w:t xml:space="preserve">Functional analysis and intervention for behavioural disorders.</w:t>
      </w:r>
    </w:p>
    <w:p>
      <w:pPr>
        <w:pStyle w:val="Compact"/>
        <w:numPr>
          <w:ilvl w:val="0"/>
          <w:numId w:val="1017"/>
        </w:numPr>
      </w:pPr>
      <w:r>
        <w:t xml:space="preserve">Transition planning for supported employment and living options in adulthood.</w:t>
      </w:r>
    </w:p>
    <w:p>
      <w:pPr>
        <w:pStyle w:val="Compact"/>
        <w:numPr>
          <w:ilvl w:val="0"/>
          <w:numId w:val="1017"/>
        </w:numPr>
      </w:pPr>
      <w:r>
        <w:t xml:space="preserve">Offering the family respite care and peer support.</w:t>
      </w:r>
    </w:p>
    <w:bookmarkEnd w:id="39"/>
    <w:bookmarkEnd w:id="40"/>
    <w:bookmarkStart w:id="56" w:name="X893af42e028d65fd99109d5d1f87d3a27f5c5f9"/>
    <w:p>
      <w:pPr>
        <w:pStyle w:val="Heading3"/>
      </w:pPr>
      <w:r>
        <w:t xml:space="preserve">10. Myths and misconceptions</w:t>
      </w:r>
    </w:p>
    <w:bookmarkStart w:id="44" w:name="aetiology-myths"/>
    <w:p>
      <w:pPr>
        <w:pStyle w:val="Heading4"/>
      </w:pPr>
      <w:r>
        <w:t xml:space="preserve">10.1 Aetiology myths</w:t>
      </w:r>
    </w:p>
    <w:bookmarkStart w:id="41" w:name="X433cc9418a30d16a901f587767668b8e3f05c70"/>
    <w:p>
      <w:pPr>
        <w:pStyle w:val="Heading5"/>
      </w:pPr>
      <w:r>
        <w:t xml:space="preserve">Myth 1: “Intellectual disability is the parent's fault / punishment”</w:t>
      </w:r>
    </w:p>
    <w:p>
      <w:pPr>
        <w:pStyle w:val="FirstParagraph"/>
      </w:pPr>
      <w:r>
        <w:t xml:space="preserve">Why it is widespread: a cultural and religious-moral explanatory framework; the image of a “child atoning for sin”; a mechanism of blaming the parent (especially the mother) in poorly educated communities.</w:t>
      </w:r>
    </w:p>
    <w:p>
      <w:pPr>
        <w:pStyle w:val="BodyText"/>
      </w:pPr>
      <w:r>
        <w:t xml:space="preserve">Biological logic and evidence: The aetiology of IDD is broad — genetic (Down, Fragile X), prenatal infections, fetal alcohol spectrum (the only one completely preventable through parental intervention), perinatal asphyxia, postnatal trauma or meningitis. The position of AAIDD, WHO, and APA — IDD is a biomedical and/or developmental aetiological disorder, not a matter of moral judgement.</w:t>
      </w:r>
    </w:p>
    <w:p>
      <w:pPr>
        <w:pStyle w:val="BodyText"/>
      </w:pPr>
      <w:r>
        <w:t xml:space="preserve">Real clinical step: the search for aetiology (genetic counselling, syndromic and metabolic screening) — turns blame into a precise risk calculation for a future pregnancy.</w:t>
      </w:r>
    </w:p>
    <w:bookmarkEnd w:id="41"/>
    <w:bookmarkStart w:id="42" w:name="myth-2-vaccines-especially-mmr-cause-idd"/>
    <w:p>
      <w:pPr>
        <w:pStyle w:val="Heading5"/>
      </w:pPr>
      <w:r>
        <w:t xml:space="preserve">Myth 2: “Vaccines (especially MMR) cause IDD”</w:t>
      </w:r>
    </w:p>
    <w:p>
      <w:pPr>
        <w:pStyle w:val="FirstParagraph"/>
      </w:pPr>
      <w:r>
        <w:t xml:space="preserve">Why it is widespread: Wakefield A.J. Lancet 1998 — a study later retracted for fraud, which attempted to link autism with MMR (not IDD, but in popular belief both conditions are conflated).</w:t>
      </w:r>
    </w:p>
    <w:p>
      <w:pPr>
        <w:pStyle w:val="BodyText"/>
      </w:pPr>
      <w:r>
        <w:t xml:space="preserve">Evidence: Taylor L.E., Swerdfeger A.L. et al. Vaccine 2014 meta-analysis n&gt;1.2 million children — there is no association between vaccines and autism or IDD. The position of the CDC, WHO, and NICE is the same. Down syndrome arises from nondisjunction of chromosome 21 in meiosis (most often maternal meiosis I) — mechanistically it cannot be related to vaccines.</w:t>
      </w:r>
    </w:p>
    <w:bookmarkEnd w:id="42"/>
    <w:bookmarkStart w:id="43" w:name="X4901ca12bc8901a9c0f47b76e5ba2222624c260"/>
    <w:p>
      <w:pPr>
        <w:pStyle w:val="Heading5"/>
      </w:pPr>
      <w:r>
        <w:t xml:space="preserve">Myth 3: “‘Stress’ or ‘bad thoughts’ during pregnancy cause IDD”</w:t>
      </w:r>
    </w:p>
    <w:p>
      <w:pPr>
        <w:pStyle w:val="FirstParagraph"/>
      </w:pPr>
      <w:r>
        <w:t xml:space="preserve">Evidence: psychological stress may be a modest risk factor for neurodevelopment in the prenatal period, but it is not identified as a direct cause of IDD. Established prenatal risks — alcohol (FAS — the most preventable cause), valproate, infections (TORCH), nutritional deficiency (iodine, folate). Reducing stress is beneficial for general health, but it is defined medical protective measures (vaccination, abstaining from alcohol, perinatal care) that are effective, not “correct thoughts”.</w:t>
      </w:r>
    </w:p>
    <w:bookmarkEnd w:id="43"/>
    <w:bookmarkEnd w:id="44"/>
    <w:bookmarkStart w:id="49" w:name="harmful-treatment-methods"/>
    <w:p>
      <w:pPr>
        <w:pStyle w:val="Heading4"/>
      </w:pPr>
      <w:r>
        <w:t xml:space="preserve">10.2 Harmful “treatment” methods</w:t>
      </w:r>
    </w:p>
    <w:bookmarkStart w:id="45" w:name="X7c25ec0b86041bffbeea86803f3e5157721194a"/>
    <w:p>
      <w:pPr>
        <w:pStyle w:val="Heading5"/>
      </w:pPr>
      <w:r>
        <w:t xml:space="preserve">Myth 4: “Chelation therapy cures IDD by removing heavy metals”</w:t>
      </w:r>
    </w:p>
    <w:p>
      <w:pPr>
        <w:pStyle w:val="FirstParagraph"/>
      </w:pPr>
      <w:r>
        <w:t xml:space="preserve">Why it is widespread: the expansion of the “heavy metals” concept in mass media; the marketing of alternative medicine centres.</w:t>
      </w:r>
    </w:p>
    <w:p>
      <w:pPr>
        <w:pStyle w:val="BodyText"/>
      </w:pPr>
      <w:r>
        <w:t xml:space="preserve">Evidence and risk: AAP 2010 and FDA warning: in 2005 a 5-year-old child during a chelation procedure died (cardiac arrest due to calcium deficiency). Chelation is applied only for confirmed heavy metal poisoning (high lead, mercury) on medical indication. There is no evidence of effect for IDD.</w:t>
      </w:r>
    </w:p>
    <w:bookmarkEnd w:id="45"/>
    <w:bookmarkStart w:id="46" w:name="X5ff948ef594abc66fb9f27e204ddd7a159114a3"/>
    <w:p>
      <w:pPr>
        <w:pStyle w:val="Heading5"/>
      </w:pPr>
      <w:r>
        <w:t xml:space="preserve">Myth 5: “Stem cell injections (in unofficial clinics) cure IDD”</w:t>
      </w:r>
    </w:p>
    <w:p>
      <w:pPr>
        <w:pStyle w:val="FirstParagraph"/>
      </w:pPr>
      <w:r>
        <w:t xml:space="preserve">Evidence and risk: The position of the ISSCR (International Society for Stem Cell Research) and the FDA: for IDD (and neurodevelopmental disorders in general) there is no approved stem cell treatment. Illegal “clinics” have caused serious adverse effects accompanied by infections, brain tumours, and deaths (Berkowitz A.L. et al. NEJM 2016).</w:t>
      </w:r>
    </w:p>
    <w:bookmarkEnd w:id="46"/>
    <w:bookmarkStart w:id="47" w:name="X1b4878694d93271ecabce7d5dfd1f68e59963e4"/>
    <w:p>
      <w:pPr>
        <w:pStyle w:val="Heading5"/>
      </w:pPr>
      <w:r>
        <w:t xml:space="preserve">Myth 6: “The hyperbaric oxygen chamber (HBOT) is a treatment for IDD and autism”</w:t>
      </w:r>
    </w:p>
    <w:p>
      <w:pPr>
        <w:pStyle w:val="FirstParagraph"/>
      </w:pPr>
      <w:r>
        <w:t xml:space="preserve">Evidence: Cochrane (Xiong T. et al. 2016) — there is no evidence of effect for autism; there is also no evidence base for IDD. Risks: pneumothorax, ear barotrauma, fire (oxygen + static electricity).</w:t>
      </w:r>
    </w:p>
    <w:bookmarkEnd w:id="47"/>
    <w:bookmarkStart w:id="48" w:name="X6907987529b17f7853fa24a9086bf8f28b169fd"/>
    <w:p>
      <w:pPr>
        <w:pStyle w:val="Heading5"/>
      </w:pPr>
      <w:r>
        <w:t xml:space="preserve">Myth 7: “Miracle Mineral Solution (MMS) / chlorine dioxide”</w:t>
      </w:r>
    </w:p>
    <w:p>
      <w:pPr>
        <w:pStyle w:val="FirstParagraph"/>
      </w:pPr>
      <w:r>
        <w:t xml:space="preserve">Evidence: FDA 2019, EMA warning — caustic (chlorine dioxide), liver and kidney damage, and deaths have been recorded. All clinical use is prohibited.</w:t>
      </w:r>
    </w:p>
    <w:bookmarkEnd w:id="48"/>
    <w:bookmarkEnd w:id="49"/>
    <w:bookmarkStart w:id="55" w:name="X9f4ca2bac0f2723f80835336462f78229b96819"/>
    <w:p>
      <w:pPr>
        <w:pStyle w:val="Heading4"/>
      </w:pPr>
      <w:r>
        <w:t xml:space="preserve">10.3 Ineffective methods or those that delay essential support</w:t>
      </w:r>
    </w:p>
    <w:bookmarkStart w:id="50" w:name="X9b3b01da309ab7ee6658dbb6e5b94c7d48e2f6c"/>
    <w:p>
      <w:pPr>
        <w:pStyle w:val="Heading5"/>
      </w:pPr>
      <w:r>
        <w:t xml:space="preserve">Myth 8: “Mega-doses of vitamin B complex / niacin restore cognitive functioning in IDD”</w:t>
      </w:r>
    </w:p>
    <w:p>
      <w:pPr>
        <w:pStyle w:val="FirstParagraph"/>
      </w:pPr>
      <w:r>
        <w:t xml:space="preserve">Evidence: the “orthomolecular” psychiatry approach (Hoffer A., Osmond H. 1950–70) has not shown efficacy in IDD or autism. Pfeiffer S.I. et al. (J Autism Dev Disord 1995) reviewed 12 B6/magnesium studies and, due to methodological flaws, could draw no firm conclusion (see also Nye C., Brice A. Cochrane 2005 — the same finding); mega-doses of niacin are a separate issue — they cause liver damage and hyperuricaemia. AAP and AAIDD recommend neither.</w:t>
      </w:r>
    </w:p>
    <w:bookmarkEnd w:id="50"/>
    <w:bookmarkStart w:id="51" w:name="myth-9-patterning-doman-delacato-method"/>
    <w:p>
      <w:pPr>
        <w:pStyle w:val="Heading5"/>
      </w:pPr>
      <w:r>
        <w:t xml:space="preserve">Myth 9: “Patterning” (Doman-Delacato method)</w:t>
      </w:r>
    </w:p>
    <w:p>
      <w:pPr>
        <w:pStyle w:val="FirstParagraph"/>
      </w:pPr>
      <w:r>
        <w:t xml:space="preserve">Why it is widespread: it gained mass popularity in the 1960s–80s; the claim of “reprogramming the brain”.</w:t>
      </w:r>
    </w:p>
    <w:p>
      <w:pPr>
        <w:pStyle w:val="BodyText"/>
      </w:pPr>
      <w:r>
        <w:t xml:space="preserve">Evidence: AAP 1968 and 2010 separate Statements: no evidence of effect; excessive burden and emotional strain on the family; delays children’s access to other evidence-based interventions. AAP — strongly does not recommend it.</w:t>
      </w:r>
    </w:p>
    <w:bookmarkEnd w:id="51"/>
    <w:bookmarkStart w:id="52" w:name="X85e1aacce8e0495663de4a3f41605fad1802145"/>
    <w:p>
      <w:pPr>
        <w:pStyle w:val="Heading5"/>
      </w:pPr>
      <w:r>
        <w:t xml:space="preserve">Myth 10: “Auditory Integration Training (AIT)”</w:t>
      </w:r>
    </w:p>
    <w:p>
      <w:pPr>
        <w:pStyle w:val="FirstParagraph"/>
      </w:pPr>
      <w:r>
        <w:t xml:space="preserve">Evidence: ASHA (American Speech-Language-Hearing Association) Position Statement 2004 — there is no evidence of effect of AIT in IDD and autism; it is considered an experimental intervention.</w:t>
      </w:r>
    </w:p>
    <w:bookmarkEnd w:id="52"/>
    <w:bookmarkStart w:id="53" w:name="X9219831dde7cb9f65b8bf9a7a87035855fc54dc"/>
    <w:p>
      <w:pPr>
        <w:pStyle w:val="Heading5"/>
      </w:pPr>
      <w:r>
        <w:t xml:space="preserve">Myth 11: “IDD will resolve on its own if the child is stimulated”</w:t>
      </w:r>
    </w:p>
    <w:p>
      <w:pPr>
        <w:pStyle w:val="FirstParagraph"/>
      </w:pPr>
      <w:r>
        <w:t xml:space="preserve">Reality: early intervention improves adaptation, but IDD is not a temporary condition but a neurodevelopmental disorder — when the aetiology is genetic or structural, intellectual ability does not change significantly. Some specific causes (PKU, congenital hypothyroidism) can be completely prevented through early detection — this is not “resolving”, but timely prevention.</w:t>
      </w:r>
    </w:p>
    <w:p>
      <w:pPr>
        <w:pStyle w:val="BodyText"/>
      </w:pPr>
      <w:r>
        <w:t xml:space="preserve">Real clinical step: the AAIDD support model — the goal is not elimination of the disorder, but ensuring a meaningful and independent life; supporting the family with realistic expectations.</w:t>
      </w:r>
    </w:p>
    <w:bookmarkEnd w:id="53"/>
    <w:bookmarkStart w:id="54" w:name="X5447e8c6d4be369740134fc2fd7ae931f4628a8"/>
    <w:p>
      <w:pPr>
        <w:pStyle w:val="Heading5"/>
      </w:pPr>
      <w:r>
        <w:t xml:space="preserve">Myth 12: “IDD will improve if the parent applies a special diet (gluten-free, casein-free)”</w:t>
      </w:r>
    </w:p>
    <w:p>
      <w:pPr>
        <w:pStyle w:val="FirstParagraph"/>
      </w:pPr>
      <w:r>
        <w:t xml:space="preserve">Evidence: Hyman S.L. et al. (AAP 2020 Clinical Report on ASD): in children without gastrointestinal problems, the effect of special diets on cognitive functioning has not been proven. If coeliac disease is proven — a gluten-free diet, but not for IDD.</w:t>
      </w:r>
    </w:p>
    <w:bookmarkEnd w:id="54"/>
    <w:bookmarkEnd w:id="55"/>
    <w:bookmarkEnd w:id="56"/>
    <w:bookmarkStart w:id="3002" w:name="X88b066c105e6452406f70ea7b64a8ef220c58fb"/>
    <w:p>
      <w:pPr>
        <w:pStyle w:val="Heading3"/>
      </w:pPr>
      <w:r>
        <w:t xml:space="preserve">11. Sources</w:t>
      </w:r>
    </w:p>
    <w:p>
      <w:pPr>
        <w:pStyle w:val="Compact"/>
        <w:numPr>
          <w:ilvl w:val="0"/>
          <w:numId w:val="1018"/>
        </w:numPr>
      </w:pPr>
      <w:r>
        <w:t xml:space="preserve">Schalock R.L., Luckasson R., Tassé M.J. Intellectual Disability: Definition, Diagnosis, Classification, and Systems of Supports, 12th ed. AAIDD; 2021.</w:t>
      </w:r>
    </w:p>
    <w:p>
      <w:pPr>
        <w:pStyle w:val="Compact"/>
        <w:numPr>
          <w:ilvl w:val="0"/>
          <w:numId w:val="1018"/>
        </w:numPr>
      </w:pPr>
      <w:r>
        <w:t xml:space="preserve">American Psychiatric Association. DSM-5-TR. Washington DC: APA Publishing; 2022.</w:t>
      </w:r>
    </w:p>
    <w:p>
      <w:pPr>
        <w:pStyle w:val="Compact"/>
        <w:numPr>
          <w:ilvl w:val="0"/>
          <w:numId w:val="1018"/>
        </w:numPr>
      </w:pPr>
      <w:r>
        <w:t xml:space="preserve">WHO. ICD-11 for Mortality and Morbidity Statistics. 6A00 Disorders of Intellectual Development. 2024.</w:t>
      </w:r>
    </w:p>
    <w:p>
      <w:pPr>
        <w:pStyle w:val="Compact"/>
        <w:numPr>
          <w:ilvl w:val="0"/>
          <w:numId w:val="1018"/>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18"/>
        </w:numPr>
      </w:pPr>
      <w:r>
        <w:t xml:space="preserve">NICE Guideline NG54. Mental health problems in people with learning disabilities. 2016.</w:t>
      </w:r>
    </w:p>
    <w:p>
      <w:pPr>
        <w:pStyle w:val="Compact"/>
        <w:numPr>
          <w:ilvl w:val="0"/>
          <w:numId w:val="1018"/>
        </w:numPr>
      </w:pPr>
      <w:r>
        <w:t xml:space="preserve">NICE Guideline NG11. Challenging behaviour and learning disabilities: prevention and interventions for people with learning disabilities whose behaviour challenges. 2015.</w:t>
      </w:r>
    </w:p>
    <w:p>
      <w:pPr>
        <w:pStyle w:val="Compact"/>
        <w:numPr>
          <w:ilvl w:val="0"/>
          <w:numId w:val="1018"/>
        </w:numPr>
      </w:pPr>
      <w:r>
        <w:t xml:space="preserve">WHO mhGAP Intervention Guide for mental, neurological and substance use disorders, version 2.0. Geneva; 2016.</w:t>
      </w:r>
    </w:p>
    <w:p>
      <w:pPr>
        <w:pStyle w:val="Compact"/>
        <w:numPr>
          <w:ilvl w:val="0"/>
          <w:numId w:val="1018"/>
        </w:numPr>
      </w:pPr>
      <w:r>
        <w:t xml:space="preserve">Maulik P.K., Mascarenhas M.N., Mathers C.D. et al. Prevalence of intellectual disability: a meta-analysis of population-based studies. Res Dev Disabil 2011;32(2):419–436.</w:t>
      </w:r>
    </w:p>
    <w:p>
      <w:pPr>
        <w:pStyle w:val="Compact"/>
        <w:numPr>
          <w:ilvl w:val="0"/>
          <w:numId w:val="1018"/>
        </w:numPr>
      </w:pPr>
      <w:r>
        <w:t xml:space="preserve">Bull M.J. et al. AAP Health Supervision for Children and Adolescents With Down Syndrome. Pediatrics 2022;149(5):e2022057010.</w:t>
      </w:r>
    </w:p>
    <w:p>
      <w:pPr>
        <w:pStyle w:val="Compact"/>
        <w:numPr>
          <w:ilvl w:val="0"/>
          <w:numId w:val="1018"/>
        </w:numPr>
      </w:pPr>
      <w:r>
        <w:t xml:space="preserve">Eldevik S., Hastings R.P., Hughes J.C. et al. Meta-analysis of Early Intensive Behavioral Intervention for children with autism. J Clin Child Adolesc Psychol 2009;38(3):439–450.</w:t>
      </w:r>
    </w:p>
    <w:p>
      <w:pPr>
        <w:pStyle w:val="Compact"/>
        <w:numPr>
          <w:ilvl w:val="0"/>
          <w:numId w:val="1018"/>
        </w:numPr>
      </w:pPr>
      <w:r>
        <w:t xml:space="preserve">Ramey C.T., Campbell F.A. Carolina Abecedarian Project — long-term outcomes. Applied Developmental Science 2002;6(1):42–57.</w:t>
      </w:r>
    </w:p>
    <w:p>
      <w:pPr>
        <w:pStyle w:val="Compact"/>
        <w:numPr>
          <w:ilvl w:val="0"/>
          <w:numId w:val="1018"/>
        </w:numPr>
      </w:pPr>
      <w:r>
        <w:t xml:space="preserve">Nelson C.A., Zeanah C.H., Fox N.A. et al. Cognitive recovery in socially deprived young children: the Bucharest Early Intervention Project. Science 2007;318(5858):1937–1940.</w:t>
      </w:r>
    </w:p>
    <w:p>
      <w:pPr>
        <w:pStyle w:val="Compact"/>
        <w:numPr>
          <w:ilvl w:val="0"/>
          <w:numId w:val="1018"/>
        </w:numPr>
      </w:pPr>
      <w:r>
        <w:t xml:space="preserve">Taylor L.E., Swerdfeger A.L., Eslick G.D. Vaccines are not associated with autism: an evidence-based meta-analysis. Vaccine 2014;32(29):3623–3629.</w:t>
      </w:r>
    </w:p>
    <w:p>
      <w:pPr>
        <w:pStyle w:val="Compact"/>
        <w:numPr>
          <w:ilvl w:val="0"/>
          <w:numId w:val="1018"/>
        </w:numPr>
      </w:pPr>
      <w:r>
        <w:t xml:space="preserve">Berkowitz A.L., Miller M.B., Mir S.A. et al. Glioproliferative lesion of the spinal cord as a complication of “stem-cell tourism”. NEJM 2016;375(2):196–198.</w:t>
      </w:r>
    </w:p>
    <w:p>
      <w:pPr>
        <w:pStyle w:val="Compact"/>
        <w:numPr>
          <w:ilvl w:val="0"/>
          <w:numId w:val="1018"/>
        </w:numPr>
      </w:pPr>
      <w:r>
        <w:t xml:space="preserve">Xiong T., Chen H., Luo R., Mu D. Hyperbaric oxygen therapy for people with autism spectrum disorder. Cochrane Database Syst Rev 2016;(10):CD010922.</w:t>
      </w:r>
    </w:p>
    <w:p>
      <w:pPr>
        <w:pStyle w:val="Compact"/>
        <w:numPr>
          <w:ilvl w:val="0"/>
          <w:numId w:val="1018"/>
        </w:numPr>
      </w:pPr>
      <w:r>
        <w:t xml:space="preserve">Hyman S.L., Levy S.E., Myers S.M.; AAP Council on Children with Disabilities. Identification, Evaluation, and Management of Children With Autism Spectrum Disorder.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 w:name="X268a6d9ec5f1d83ead021f450dc7e60767ffeb9"/>
            <w:r>
              <w:t xml:space="preserve">6A01 DEVELOPMENTAL SPEECH OR LANGUAGE DISORDERS</w:t>
            </w:r>
            <w:bookmarkEnd w:id="57"/>
          </w:p>
          <w:p>
            <w:pPr>
              <w:pStyle w:val="Compact"/>
              <w:ind w:firstLine="0" w:left="0"/>
            </w:pPr>
            <w:r>
              <w:rPr>
                <w:lang w:val="en"/>
              </w:rPr>
              <w:t xml:space="preserve">Developmental speech or language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developmental disorders of speech and language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Language Disorder</w:t>
            </w:r>
          </w:p>
        </w:tc>
      </w:tr>
    </w:tbl>
    <w:bookmarkStart w:id="58" w:name="X6b7bf9c59d96dae742ae814afe080ef5c46ca41"/>
    <w:p>
      <w:pPr>
        <w:pStyle w:val="Heading3"/>
      </w:pPr>
      <w:r>
        <w:t xml:space="preserve">1. Definition and nosology</w:t>
      </w:r>
    </w:p>
    <w:p>
      <w:pPr>
        <w:pStyle w:val="FirstParagraph"/>
      </w:pPr>
      <w:r>
        <w:t xml:space="preserve">Developmental speech or language disorders are a group of neurodevelopmental disorders manifesting as persistent and significant difficulties in the acquisition of language and/or speech that are not fully explained by hearing impairment, an intellectual disorder or another neurological cause. In ICD-11, under the</w:t>
      </w:r>
      <w:r>
        <w:t xml:space="preserve"> </w:t>
      </w:r>
      <w:r>
        <w:t xml:space="preserve">6A01</w:t>
      </w:r>
      <w:r>
        <w:t xml:space="preserve"> </w:t>
      </w:r>
      <w:r>
        <w:t xml:space="preserve">code, four subtypes are coded:</w:t>
      </w:r>
    </w:p>
    <w:p>
      <w:pPr>
        <w:pStyle w:val="Compact"/>
        <w:numPr>
          <w:ilvl w:val="0"/>
          <w:numId w:val="1019"/>
        </w:numPr>
      </w:pPr>
      <w:r>
        <w:t xml:space="preserve">6A01.0</w:t>
      </w:r>
      <w:r>
        <w:t xml:space="preserve"> </w:t>
      </w:r>
      <w:r>
        <w:t xml:space="preserve">— Developmental speech sound disorder — a deficit in the articulation and phonological formation of speech sounds;</w:t>
      </w:r>
    </w:p>
    <w:p>
      <w:pPr>
        <w:pStyle w:val="Compact"/>
        <w:numPr>
          <w:ilvl w:val="0"/>
          <w:numId w:val="1019"/>
        </w:numPr>
      </w:pPr>
      <w:r>
        <w:t xml:space="preserve">6A01.1</w:t>
      </w:r>
      <w:r>
        <w:t xml:space="preserve"> </w:t>
      </w:r>
      <w:r>
        <w:t xml:space="preserve">— Developmental speech fluency disorder — stuttering;</w:t>
      </w:r>
    </w:p>
    <w:p>
      <w:pPr>
        <w:pStyle w:val="Compact"/>
        <w:numPr>
          <w:ilvl w:val="0"/>
          <w:numId w:val="1019"/>
        </w:numPr>
      </w:pPr>
      <w:r>
        <w:t xml:space="preserve">6A01.2</w:t>
      </w:r>
      <w:r>
        <w:t xml:space="preserve"> </w:t>
      </w:r>
      <w:r>
        <w:t xml:space="preserve">— Developmental language disorder (DLD) — impairment in the development of receptive and/or expressive language (sub-specifiers: 6A01.20 receptive-expressive, 6A01.21 mainly expressive, 6A01.22 mainly pragmatic);</w:t>
      </w:r>
    </w:p>
    <w:p>
      <w:pPr>
        <w:pStyle w:val="Compact"/>
        <w:numPr>
          <w:ilvl w:val="0"/>
          <w:numId w:val="1019"/>
        </w:numPr>
      </w:pPr>
      <w:r>
        <w:t xml:space="preserve">6A01.3</w:t>
      </w:r>
      <w:r>
        <w:t xml:space="preserve"> </w:t>
      </w:r>
      <w:r>
        <w:t xml:space="preserve">— Other specified.</w:t>
      </w:r>
    </w:p>
    <w:p>
      <w:pPr>
        <w:pStyle w:val="FirstParagraph"/>
      </w:pPr>
      <w:r>
        <w:t xml:space="preserve">Parallel terminology in DSM-5-TR: Language Disorder (F80.2), Speech Sound Disorder (F80.0), Childhood-Onset Fluency Disorder/Stuttering (F80.81), Social (Pragmatic) Communication Disorder (F80.82).</w:t>
      </w:r>
    </w:p>
    <w:bookmarkEnd w:id="58"/>
    <w:bookmarkStart w:id="59" w:name="Xb8a2633bfab75c97ec456cc79ff276f900a4b29"/>
    <w:p>
      <w:pPr>
        <w:pStyle w:val="Heading3"/>
      </w:pPr>
      <w:r>
        <w:t xml:space="preserve">2. History</w:t>
      </w:r>
    </w:p>
    <w:p>
      <w:pPr>
        <w:pStyle w:val="Compact"/>
        <w:numPr>
          <w:ilvl w:val="0"/>
          <w:numId w:val="1020"/>
        </w:numPr>
      </w:pPr>
      <w:r>
        <w:t xml:space="preserve">Specific Language Impairment (SLI) — the term used from the 1980s until the 2010s; the word “specific” came to be criticised over time, because language disorder overlaps with numerous cognitive and behavioural domains.</w:t>
      </w:r>
    </w:p>
    <w:p>
      <w:pPr>
        <w:pStyle w:val="Compact"/>
        <w:numPr>
          <w:ilvl w:val="0"/>
          <w:numId w:val="1020"/>
        </w:numPr>
      </w:pPr>
      <w:r>
        <w:t xml:space="preserve">CATALISE consensus (Bishop D.V.M. et al. PLoS One 2016; J Child Psychol Psychiatry 2017) — a Delphi consensus of 59 international experts: the term “SLI” was replaced with “Developmental Language Disorder” (DLD). The IQ cut-off (≥85) for the diagnosis was abolished, with functional impairment adopted as the primary criterion.</w:t>
      </w:r>
    </w:p>
    <w:p>
      <w:pPr>
        <w:pStyle w:val="Compact"/>
        <w:numPr>
          <w:ilvl w:val="0"/>
          <w:numId w:val="1020"/>
        </w:numPr>
      </w:pPr>
      <w:r>
        <w:t xml:space="preserve">DSM-5 (2013) and ICD-11 (2019) — the term DLD was adopted; social (pragmatic) communication disorder was recognised as a category separate from autism spectrum disorder (new in DSM-5; as subtype 6A01.22 in ICD-11).</w:t>
      </w:r>
    </w:p>
    <w:p>
      <w:pPr>
        <w:pStyle w:val="Compact"/>
        <w:numPr>
          <w:ilvl w:val="0"/>
          <w:numId w:val="1020"/>
        </w:numPr>
      </w:pPr>
      <w:r>
        <w:t xml:space="preserve">Stuttering — the biological-genetic conception has been dominant since the 2000s (GNPTAB, GNPTG, NAGPA mutations — Kang C. et al. NEJM 2010).</w:t>
      </w:r>
    </w:p>
    <w:bookmarkEnd w:id="59"/>
    <w:bookmarkStart w:id="60" w:name="X6778a03be7cb2c318ffc59d124214131b007498"/>
    <w:p>
      <w:pPr>
        <w:pStyle w:val="Heading3"/>
      </w:pPr>
      <w:r>
        <w:t xml:space="preserve">3. Epidemiology</w:t>
      </w:r>
    </w:p>
    <w:p>
      <w:pPr>
        <w:pStyle w:val="Compact"/>
        <w:numPr>
          <w:ilvl w:val="0"/>
          <w:numId w:val="1021"/>
        </w:numPr>
      </w:pPr>
      <w:r>
        <w:t xml:space="preserve">DLD (6A01.2): prevalence at 5–6 years of age 7.58% (Norbury C.F. et al. J Child Psychol Psychiatry 2016, population-based study, n=7267, England).</w:t>
      </w:r>
    </w:p>
    <w:p>
      <w:pPr>
        <w:pStyle w:val="Compact"/>
        <w:numPr>
          <w:ilvl w:val="0"/>
          <w:numId w:val="1021"/>
        </w:numPr>
      </w:pPr>
      <w:r>
        <w:t xml:space="preserve">Speech sound disorder (6A01.0): ~3.8% at 6 years of age (Shriberg L.D. et al. J Speech Lang Hear Res 1999); higher at preschool age.</w:t>
      </w:r>
    </w:p>
    <w:p>
      <w:pPr>
        <w:pStyle w:val="Compact"/>
        <w:numPr>
          <w:ilvl w:val="0"/>
          <w:numId w:val="1021"/>
        </w:numPr>
      </w:pPr>
      <w:r>
        <w:t xml:space="preserve">Stuttering (6A01.1): cumulative incidence in childhood 5–8% (roughly one in every 20 children stutters at some point); persisting prevalence in adulthood ~1% (Yairi E., Ambrose N. J Fluency Disord 2013).</w:t>
      </w:r>
    </w:p>
    <w:p>
      <w:pPr>
        <w:pStyle w:val="Compact"/>
        <w:numPr>
          <w:ilvl w:val="0"/>
          <w:numId w:val="1021"/>
        </w:numPr>
      </w:pPr>
      <w:r>
        <w:t xml:space="preserve">Sex: 2–4 times higher in boys across all subtypes.</w:t>
      </w:r>
    </w:p>
    <w:p>
      <w:pPr>
        <w:pStyle w:val="Compact"/>
        <w:numPr>
          <w:ilvl w:val="0"/>
          <w:numId w:val="1021"/>
        </w:numPr>
      </w:pPr>
      <w:r>
        <w:t xml:space="preserve">Comorbidity: learning disorders 40–60%, ADHD 20–30%, autism spectrum 5–10%, increased risk of anxiety and conduct disorders.</w:t>
      </w:r>
    </w:p>
    <w:bookmarkEnd w:id="60"/>
    <w:bookmarkStart w:id="65" w:name="Xbe7de4a3628be988c9b3dc34da7548c2d0e390e"/>
    <w:p>
      <w:pPr>
        <w:pStyle w:val="Heading3"/>
      </w:pPr>
      <w:r>
        <w:t xml:space="preserve">4. Aetiology and pathogenesis</w:t>
      </w:r>
    </w:p>
    <w:bookmarkStart w:id="61" w:name="genetic-factors"/>
    <w:p>
      <w:pPr>
        <w:pStyle w:val="Heading4"/>
      </w:pPr>
      <w:r>
        <w:t xml:space="preserve">4.1 Genetic factors</w:t>
      </w:r>
    </w:p>
    <w:p>
      <w:pPr>
        <w:pStyle w:val="Compact"/>
        <w:numPr>
          <w:ilvl w:val="0"/>
          <w:numId w:val="1022"/>
        </w:numPr>
      </w:pPr>
      <w:r>
        <w:t xml:space="preserve">DLD heritability 50–75% in twin studies (Bishop D.V.M. Trends Cogn Sci 2014).</w:t>
      </w:r>
    </w:p>
    <w:p>
      <w:pPr>
        <w:pStyle w:val="Compact"/>
        <w:numPr>
          <w:ilvl w:val="0"/>
          <w:numId w:val="1022"/>
        </w:numPr>
      </w:pPr>
      <w:r>
        <w:t xml:space="preserve">FOXP2 mutations — rare severe speech and language disorder in the KE family (Lai C.S. et al. Nature 2001); polygenic nature in most cases.</w:t>
      </w:r>
    </w:p>
    <w:p>
      <w:pPr>
        <w:pStyle w:val="Compact"/>
        <w:numPr>
          <w:ilvl w:val="0"/>
          <w:numId w:val="1022"/>
        </w:numPr>
      </w:pPr>
      <w:r>
        <w:t xml:space="preserve">Stuttering: ~70% heritability (Felsenfeld S. et al. Behav Genet 2000 twin study); mutations in lysosomal pathway genes (GNPTAB, GNPTG, NAGPA) are detected rarely (~9%).</w:t>
      </w:r>
    </w:p>
    <w:p>
      <w:pPr>
        <w:pStyle w:val="Compact"/>
        <w:numPr>
          <w:ilvl w:val="0"/>
          <w:numId w:val="1022"/>
        </w:numPr>
      </w:pPr>
      <w:r>
        <w:t xml:space="preserve">CNV and GWAS studies — a polygenic risk architecture is also characteristic of DLD.</w:t>
      </w:r>
    </w:p>
    <w:bookmarkEnd w:id="61"/>
    <w:bookmarkStart w:id="62" w:name="neurobiology"/>
    <w:p>
      <w:pPr>
        <w:pStyle w:val="Heading4"/>
      </w:pPr>
      <w:r>
        <w:t xml:space="preserve">4.2 Neurobiology</w:t>
      </w:r>
    </w:p>
    <w:p>
      <w:pPr>
        <w:pStyle w:val="Compact"/>
        <w:numPr>
          <w:ilvl w:val="0"/>
          <w:numId w:val="1023"/>
        </w:numPr>
      </w:pPr>
      <w:r>
        <w:t xml:space="preserve">Atypical patterns in the development of the left perisylvian region (around Broca and Wernicke areas), the arcuate fasciculus, and the basal ganglia.</w:t>
      </w:r>
    </w:p>
    <w:p>
      <w:pPr>
        <w:pStyle w:val="Compact"/>
        <w:numPr>
          <w:ilvl w:val="0"/>
          <w:numId w:val="1023"/>
        </w:numPr>
      </w:pPr>
      <w:r>
        <w:t xml:space="preserve">In stuttering, dopaminergic dysfunction in the basal ganglia–supplementary motor area connection (Maguire G.A. et al. Curr Med Res Opin 2020 review).</w:t>
      </w:r>
    </w:p>
    <w:p>
      <w:pPr>
        <w:pStyle w:val="Compact"/>
        <w:numPr>
          <w:ilvl w:val="0"/>
          <w:numId w:val="1023"/>
        </w:numPr>
      </w:pPr>
      <w:r>
        <w:t xml:space="preserve">Early brain asymmetry — in DLD, weakening of the typical dominance of left-hemisphere language areas.</w:t>
      </w:r>
    </w:p>
    <w:bookmarkEnd w:id="62"/>
    <w:bookmarkStart w:id="63" w:name="risk-factors"/>
    <w:p>
      <w:pPr>
        <w:pStyle w:val="Heading4"/>
      </w:pPr>
      <w:r>
        <w:t xml:space="preserve">4.3 Risk factors</w:t>
      </w:r>
    </w:p>
    <w:p>
      <w:pPr>
        <w:pStyle w:val="Compact"/>
        <w:numPr>
          <w:ilvl w:val="0"/>
          <w:numId w:val="1024"/>
        </w:numPr>
      </w:pPr>
      <w:r>
        <w:t xml:space="preserve">Family history of language/speech disorder (the strongest risk factor).</w:t>
      </w:r>
    </w:p>
    <w:p>
      <w:pPr>
        <w:pStyle w:val="Compact"/>
        <w:numPr>
          <w:ilvl w:val="0"/>
          <w:numId w:val="1024"/>
        </w:numPr>
      </w:pPr>
      <w:r>
        <w:t xml:space="preserve">Preterm birth, low birth weight.</w:t>
      </w:r>
    </w:p>
    <w:p>
      <w:pPr>
        <w:pStyle w:val="Compact"/>
        <w:numPr>
          <w:ilvl w:val="0"/>
          <w:numId w:val="1024"/>
        </w:numPr>
      </w:pPr>
      <w:r>
        <w:t xml:space="preserve">Chronic otitis media in early childhood — hearing fluctuation may affect language acquisition.</w:t>
      </w:r>
    </w:p>
    <w:p>
      <w:pPr>
        <w:pStyle w:val="Compact"/>
        <w:numPr>
          <w:ilvl w:val="0"/>
          <w:numId w:val="1024"/>
        </w:numPr>
      </w:pPr>
      <w:r>
        <w:t xml:space="preserve">Low socioeconomic status — cited as a risk factor but not an aetiology; a deprived environment affects the expression of language development.</w:t>
      </w:r>
    </w:p>
    <w:p>
      <w:pPr>
        <w:pStyle w:val="Compact"/>
        <w:numPr>
          <w:ilvl w:val="0"/>
          <w:numId w:val="1024"/>
        </w:numPr>
      </w:pPr>
      <w:r>
        <w:t xml:space="preserve">Bilingualism — is not a risk factor (expanded topic §10).</w:t>
      </w:r>
    </w:p>
    <w:bookmarkEnd w:id="63"/>
    <w:bookmarkStart w:id="64" w:name="preventable-and-treatable-causes"/>
    <w:p>
      <w:pPr>
        <w:pStyle w:val="Heading4"/>
      </w:pPr>
      <w:r>
        <w:t xml:space="preserve">4.4 Preventable and treatable causes</w:t>
      </w:r>
    </w:p>
    <w:p>
      <w:pPr>
        <w:pStyle w:val="Compact"/>
        <w:numPr>
          <w:ilvl w:val="0"/>
          <w:numId w:val="1025"/>
        </w:numPr>
      </w:pPr>
      <w:r>
        <w:t xml:space="preserve">Hearing impairment — the newborn hearing screening programme (UNHS) and timely treatment of otitis media are critical.</w:t>
      </w:r>
    </w:p>
    <w:p>
      <w:pPr>
        <w:pStyle w:val="Compact"/>
        <w:numPr>
          <w:ilvl w:val="0"/>
          <w:numId w:val="1025"/>
        </w:numPr>
      </w:pPr>
      <w:r>
        <w:t xml:space="preserve">Congenital cleft lip and palate — surgical correction + speech therapy.</w:t>
      </w:r>
    </w:p>
    <w:p>
      <w:pPr>
        <w:pStyle w:val="Compact"/>
        <w:numPr>
          <w:ilvl w:val="0"/>
          <w:numId w:val="1025"/>
        </w:numPr>
      </w:pPr>
      <w:r>
        <w:t xml:space="preserve">Hypothyroidism — newborn screening.</w:t>
      </w:r>
    </w:p>
    <w:bookmarkEnd w:id="64"/>
    <w:bookmarkEnd w:id="65"/>
    <w:bookmarkStart w:id="70" w:name="Xde29287fd4f66489db36f1d959846d474a80929"/>
    <w:p>
      <w:pPr>
        <w:pStyle w:val="Heading3"/>
      </w:pPr>
      <w:r>
        <w:t xml:space="preserve">5. Clinical features</w:t>
      </w:r>
    </w:p>
    <w:bookmarkStart w:id="66" w:name="a01.0-speech-sound-disorder"/>
    <w:p>
      <w:pPr>
        <w:pStyle w:val="Heading4"/>
      </w:pPr>
      <w:r>
        <w:t xml:space="preserve">6A01.0 Speech sound disorder</w:t>
      </w:r>
    </w:p>
    <w:p>
      <w:pPr>
        <w:pStyle w:val="Compact"/>
        <w:numPr>
          <w:ilvl w:val="0"/>
          <w:numId w:val="1026"/>
        </w:numPr>
      </w:pPr>
      <w:r>
        <w:t xml:space="preserve">Age-inappropriate sound omission, substitution, distortion (for example, “r” → “l”, “s” → “t”).</w:t>
      </w:r>
    </w:p>
    <w:p>
      <w:pPr>
        <w:pStyle w:val="Compact"/>
        <w:numPr>
          <w:ilvl w:val="0"/>
          <w:numId w:val="1026"/>
        </w:numPr>
      </w:pPr>
      <w:r>
        <w:t xml:space="preserve">Unintelligibility — unfamiliar people have difficulty understanding the speech.</w:t>
      </w:r>
    </w:p>
    <w:p>
      <w:pPr>
        <w:pStyle w:val="Compact"/>
        <w:numPr>
          <w:ilvl w:val="0"/>
          <w:numId w:val="1026"/>
        </w:numPr>
      </w:pPr>
      <w:r>
        <w:t xml:space="preserve">Up to 4 years of age it is considered “mild” within the developmental framework; those persisting beyond 4 years should be reviewed diagnostically.</w:t>
      </w:r>
    </w:p>
    <w:bookmarkEnd w:id="66"/>
    <w:bookmarkStart w:id="67" w:name="a01.1-speech-fluency-disorder-stuttering"/>
    <w:p>
      <w:pPr>
        <w:pStyle w:val="Heading4"/>
      </w:pPr>
      <w:r>
        <w:t xml:space="preserve">6A01.1 Speech fluency disorder (stuttering)</w:t>
      </w:r>
    </w:p>
    <w:p>
      <w:pPr>
        <w:pStyle w:val="Compact"/>
        <w:numPr>
          <w:ilvl w:val="0"/>
          <w:numId w:val="1027"/>
        </w:numPr>
      </w:pPr>
      <w:r>
        <w:t xml:space="preserve">Repetition of sounds and syllables (f-f-f-fish), prolongation (ssshello), blocks (a pause without initiating the sound).</w:t>
      </w:r>
    </w:p>
    <w:p>
      <w:pPr>
        <w:pStyle w:val="Compact"/>
        <w:numPr>
          <w:ilvl w:val="0"/>
          <w:numId w:val="1027"/>
        </w:numPr>
      </w:pPr>
      <w:r>
        <w:t xml:space="preserve">Secondary behaviours — gaze aversion, head shaking, avoidance.</w:t>
      </w:r>
    </w:p>
    <w:p>
      <w:pPr>
        <w:pStyle w:val="Compact"/>
        <w:numPr>
          <w:ilvl w:val="0"/>
          <w:numId w:val="1027"/>
        </w:numPr>
      </w:pPr>
      <w:r>
        <w:t xml:space="preserve">Onset typically between 2–5 years of age; ~70–80% of children who stutter recover spontaneously or with intervention within 5 years (Yairi E., Ambrose N. 2013).</w:t>
      </w:r>
    </w:p>
    <w:p>
      <w:pPr>
        <w:pStyle w:val="Compact"/>
        <w:numPr>
          <w:ilvl w:val="0"/>
          <w:numId w:val="1027"/>
        </w:numPr>
      </w:pPr>
      <w:r>
        <w:t xml:space="preserve">Social and emotional burden — social anxiety, school adjustment problems.</w:t>
      </w:r>
    </w:p>
    <w:bookmarkEnd w:id="67"/>
    <w:bookmarkStart w:id="68" w:name="X447d320d662f18106a0c5e61577ace46b97932f"/>
    <w:p>
      <w:pPr>
        <w:pStyle w:val="Heading4"/>
      </w:pPr>
      <w:r>
        <w:t xml:space="preserve">6A01.2 Developmental language disorder (DLD)</w:t>
      </w:r>
    </w:p>
    <w:p>
      <w:pPr>
        <w:pStyle w:val="Compact"/>
        <w:numPr>
          <w:ilvl w:val="0"/>
          <w:numId w:val="1028"/>
        </w:numPr>
      </w:pPr>
      <w:r>
        <w:t xml:space="preserve">Expressive component: limited vocabulary, short sentences, errors in grammatical morphology (especially tense and case endings), word-finding difficulty.</w:t>
      </w:r>
    </w:p>
    <w:p>
      <w:pPr>
        <w:pStyle w:val="Compact"/>
        <w:numPr>
          <w:ilvl w:val="0"/>
          <w:numId w:val="1028"/>
        </w:numPr>
      </w:pPr>
      <w:r>
        <w:t xml:space="preserve">Receptive component: difficulty understanding complex sentences, problems responding to behavioural instructions, delayed acquisition of multiple meanings and abstract language.</w:t>
      </w:r>
    </w:p>
    <w:p>
      <w:pPr>
        <w:pStyle w:val="Compact"/>
        <w:numPr>
          <w:ilvl w:val="0"/>
          <w:numId w:val="1028"/>
        </w:numPr>
      </w:pPr>
      <w:r>
        <w:t xml:space="preserve">Pragmatic component (6A01.22): deficit in the use of social language (turn-taking, context, indirect speech); unlike autism, social interest and non-verbal communication are relatively preserved.</w:t>
      </w:r>
    </w:p>
    <w:bookmarkEnd w:id="68"/>
    <w:bookmarkStart w:id="69" w:name="developmental-trajectory"/>
    <w:p>
      <w:pPr>
        <w:pStyle w:val="Heading4"/>
      </w:pPr>
      <w:r>
        <w:t xml:space="preserve">Developmental trajectory</w:t>
      </w:r>
    </w:p>
    <w:p>
      <w:pPr>
        <w:pStyle w:val="FirstParagraph"/>
      </w:pPr>
      <w:r>
        <w:t xml:space="preserve">“Late talker” is a category at 2 years of age — 50–70% catch up by 4 years of age; however, the persisting group represents a high risk for DLD. Early identification of this group is based on the features of family history, receptive deficit, and low use of non-verbal gestures.</w:t>
      </w:r>
    </w:p>
    <w:bookmarkEnd w:id="69"/>
    <w:bookmarkEnd w:id="70"/>
    <w:bookmarkStart w:id="75" w:name="X7ac84ad7853116a3afb9f587f520767b03a0ee9"/>
    <w:p>
      <w:pPr>
        <w:pStyle w:val="Heading3"/>
      </w:pPr>
      <w:r>
        <w:t xml:space="preserve">6. Diagnosis</w:t>
      </w:r>
    </w:p>
    <w:bookmarkStart w:id="71" w:name="X44cba5564252820dcea2a8397afe6315c3f0aaf"/>
    <w:p>
      <w:pPr>
        <w:pStyle w:val="Heading4"/>
      </w:pPr>
      <w:r>
        <w:t xml:space="preserve">6.1 Unified diagnostic criteria (DSM-5-TR · ICD-11 · CATALISE 2017 consensus points)</w:t>
      </w:r>
    </w:p>
    <w:p>
      <w:pPr>
        <w:pStyle w:val="FirstParagraph"/>
      </w:pPr>
      <w:r>
        <w:t xml:space="preserve">A. Persistent deficit in language or speech acquisition — performance below the age-appropriate normal level in one or more domains (vocabulary, syntax, phonology, fluency, pragmatics).</w:t>
      </w:r>
    </w:p>
    <w:p>
      <w:pPr>
        <w:pStyle w:val="BodyText"/>
      </w:pPr>
      <w:r>
        <w:t xml:space="preserve">B. Functional impairment — significant limitation in one or more of academic achievement, social communication, occupational functioning, or daily life (CATALISE: functional impairment is essential for the diagnosis, an IQ cut-off is not).</w:t>
      </w:r>
    </w:p>
    <w:p>
      <w:pPr>
        <w:pStyle w:val="BodyText"/>
      </w:pPr>
      <w:r>
        <w:t xml:space="preserve">C. Onset during the developmental period.</w:t>
      </w:r>
    </w:p>
    <w:p>
      <w:pPr>
        <w:pStyle w:val="BodyText"/>
      </w:pPr>
      <w:r>
        <w:t xml:space="preserve">D. Exclusions — not fully explained by hearing impairment, a neurological condition, intellectual disability, autism spectrum disorder, or another medical/psychiatric condition. However, when there is comorbid coexistence both diagnoses are made.</w:t>
      </w:r>
    </w:p>
    <w:bookmarkEnd w:id="71"/>
    <w:bookmarkStart w:id="72" w:name="differences-between-sources-2"/>
    <w:p>
      <w:pPr>
        <w:pStyle w:val="Heading4"/>
      </w:pPr>
      <w:r>
        <w:t xml:space="preserve">6.2 Differences between sources</w:t>
      </w:r>
    </w:p>
    <w:p>
      <w:pPr>
        <w:pStyle w:val="Compact"/>
        <w:numPr>
          <w:ilvl w:val="0"/>
          <w:numId w:val="1029"/>
        </w:numPr>
      </w:pPr>
      <w:r>
        <w:t xml:space="preserve">CATALISE 2017 (Bishop D.V.M. et al.): the term “specific” is abolished; the IQ cut-off of 85 is abolished (DLD can also be diagnosed against a background of intellectual disability); under the “language disorder” umbrella, co-morbid neurodevelopmental conditions and risk factors are indicated as qualifiers.</w:t>
      </w:r>
    </w:p>
    <w:p>
      <w:pPr>
        <w:pStyle w:val="Compact"/>
        <w:numPr>
          <w:ilvl w:val="0"/>
          <w:numId w:val="1029"/>
        </w:numPr>
      </w:pPr>
      <w:r>
        <w:t xml:space="preserve">ICD-11 (6A01): separation of subtypes (sound, fluency, language); 3 sub-specifications for language disorder (receptive-expressive, predominantly expressive, predominantly pragmatic).</w:t>
      </w:r>
    </w:p>
    <w:p>
      <w:pPr>
        <w:pStyle w:val="Compact"/>
        <w:numPr>
          <w:ilvl w:val="0"/>
          <w:numId w:val="1029"/>
        </w:numPr>
      </w:pPr>
      <w:r>
        <w:t xml:space="preserve">DSM-5-TR: Social Communication Disorder as separate category (F80.2); typical onset age for stuttering &lt;6 years.</w:t>
      </w:r>
    </w:p>
    <w:p>
      <w:pPr>
        <w:pStyle w:val="Compact"/>
        <w:numPr>
          <w:ilvl w:val="0"/>
          <w:numId w:val="1029"/>
        </w:numPr>
      </w:pPr>
      <w:r>
        <w:t xml:space="preserve">ASHA Practice Portal: for diagnosis, standardized assessment by a certified speech-language pathologist (SLP), together with a parent interview and naturalistic observation, is required.</w:t>
      </w:r>
    </w:p>
    <w:p>
      <w:pPr>
        <w:pStyle w:val="Compact"/>
        <w:numPr>
          <w:ilvl w:val="0"/>
          <w:numId w:val="1029"/>
        </w:numPr>
      </w:pPr>
      <w:r>
        <w:t xml:space="preserve">RCSLT (Royal College of Speech and Language Therapists): the same framework in the United Kingdom; multidisciplinary assessment (hearing + speech-language + development).</w:t>
      </w:r>
    </w:p>
    <w:bookmarkEnd w:id="72"/>
    <w:bookmarkStart w:id="73" w:name="diagnostic-algorithm-1"/>
    <w:p>
      <w:pPr>
        <w:pStyle w:val="Heading4"/>
      </w:pPr>
      <w:r>
        <w:t xml:space="preserve">6.3 Diagnostic algorithm</w:t>
      </w:r>
    </w:p>
    <w:p>
      <w:pPr>
        <w:pStyle w:val="Compact"/>
        <w:numPr>
          <w:ilvl w:val="0"/>
          <w:numId w:val="1030"/>
        </w:numPr>
      </w:pPr>
      <w:r>
        <w:t xml:space="preserve">Parent and teacher interview (developmental history, language milestones).</w:t>
      </w:r>
    </w:p>
    <w:p>
      <w:pPr>
        <w:pStyle w:val="Compact"/>
        <w:numPr>
          <w:ilvl w:val="0"/>
          <w:numId w:val="1030"/>
        </w:numPr>
      </w:pPr>
      <w:r>
        <w:t xml:space="preserve">Hearing test (audiometry — mandatory in all cases).</w:t>
      </w:r>
    </w:p>
    <w:p>
      <w:pPr>
        <w:pStyle w:val="Compact"/>
        <w:numPr>
          <w:ilvl w:val="0"/>
          <w:numId w:val="1030"/>
        </w:numPr>
      </w:pPr>
      <w:r>
        <w:t xml:space="preserve">Standardized speech and language assessment (CELF-5, PLS-5, GFTA-3, DELV).</w:t>
      </w:r>
    </w:p>
    <w:p>
      <w:pPr>
        <w:pStyle w:val="Compact"/>
        <w:numPr>
          <w:ilvl w:val="0"/>
          <w:numId w:val="1030"/>
        </w:numPr>
      </w:pPr>
      <w:r>
        <w:t xml:space="preserve">Naturalistic speech sample (in a play or conversation setting).</w:t>
      </w:r>
    </w:p>
    <w:p>
      <w:pPr>
        <w:pStyle w:val="Compact"/>
        <w:numPr>
          <w:ilvl w:val="0"/>
          <w:numId w:val="1030"/>
        </w:numPr>
      </w:pPr>
      <w:r>
        <w:t xml:space="preserve">Non-verbal IQ measure (for the exclusion of ASD and intellectual disability).</w:t>
      </w:r>
    </w:p>
    <w:p>
      <w:pPr>
        <w:pStyle w:val="Compact"/>
        <w:numPr>
          <w:ilvl w:val="0"/>
          <w:numId w:val="1030"/>
        </w:numPr>
      </w:pPr>
      <w:r>
        <w:t xml:space="preserve">Autism spectrum screening (M-CHAT-R/F &lt; 30 months; SCQ preschool).</w:t>
      </w:r>
    </w:p>
    <w:p>
      <w:pPr>
        <w:pStyle w:val="Compact"/>
        <w:numPr>
          <w:ilvl w:val="0"/>
          <w:numId w:val="1030"/>
        </w:numPr>
      </w:pPr>
      <w:r>
        <w:t xml:space="preserve">Social-emotional and behavioural screening.</w:t>
      </w:r>
    </w:p>
    <w:p>
      <w:pPr>
        <w:pStyle w:val="Compact"/>
        <w:numPr>
          <w:ilvl w:val="0"/>
          <w:numId w:val="1030"/>
        </w:numPr>
      </w:pPr>
      <w:r>
        <w:t xml:space="preserve">Medical examination — neurological, cleft lip and palate examination, motor examination.</w:t>
      </w:r>
    </w:p>
    <w:bookmarkEnd w:id="73"/>
    <w:bookmarkStart w:id="74" w:name="differential-diagnosis-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disability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The general cognitive deficit extends to all domains beyond language disorder. May be comorbid.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Triad of social interaction and restricted-repetitive behaviour; pragmatic language is also impaired, but social motivation is the core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Hearing impairment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Audiometry abnormal; receptive deficit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Failure to speak in certain social situations (school), normal speech in other contexts (home).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Transient effect of a multilingual environment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Age-appropriate acquisition of the local-environment language is ongoing; speech develops dynamically.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“Code-mixing” in bilingualism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Typical and developmentally appropriate, not a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Childhood apraxia of speech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Motor-planning deficit, variable sound production, sequencing problem.</w:t>
            </w:r>
          </w:p>
        </w:tc>
      </w:tr>
    </w:tbl>
    <w:bookmarkEnd w:id="74"/>
    <w:bookmarkEnd w:id="75"/>
    <w:bookmarkStart w:id="79" w:name="X1ff615c1f5c928a2d89568e29f3472ba2a07c71"/>
    <w:p>
      <w:pPr>
        <w:pStyle w:val="Heading3"/>
      </w:pPr>
      <w:r>
        <w:t xml:space="preserve">7. Examination and assessment</w:t>
      </w:r>
    </w:p>
    <w:bookmarkStart w:id="76" w:name="standardized-tests-1"/>
    <w:p>
      <w:pPr>
        <w:pStyle w:val="Heading4"/>
      </w:pPr>
      <w:r>
        <w:t xml:space="preserve">7.1 Standardized tests</w:t>
      </w:r>
    </w:p>
    <w:p>
      <w:pPr>
        <w:pStyle w:val="Compact"/>
        <w:numPr>
          <w:ilvl w:val="0"/>
          <w:numId w:val="1031"/>
        </w:numPr>
      </w:pPr>
      <w:r>
        <w:t xml:space="preserve">Language: CELF-5 (Clinical Evaluation of Language Fundamentals, 5–21 years), PLS-5 (Preschool Language Scales, &lt;7 years), CASL-2, Reynell Developmental Language Scales.</w:t>
      </w:r>
    </w:p>
    <w:p>
      <w:pPr>
        <w:pStyle w:val="Compact"/>
        <w:numPr>
          <w:ilvl w:val="0"/>
          <w:numId w:val="1031"/>
        </w:numPr>
      </w:pPr>
      <w:r>
        <w:t xml:space="preserve">Vocabulary: PPVT-5 (Peabody Picture Vocabulary Test), EVT-3, MacArthur-Bates CDI (up to 24 months).</w:t>
      </w:r>
    </w:p>
    <w:p>
      <w:pPr>
        <w:pStyle w:val="Compact"/>
        <w:numPr>
          <w:ilvl w:val="0"/>
          <w:numId w:val="1031"/>
        </w:numPr>
      </w:pPr>
      <w:r>
        <w:t xml:space="preserve">Speech sound: GFTA-3 (Goldman-Fristoe Test of Articulation), DEAP.</w:t>
      </w:r>
    </w:p>
    <w:p>
      <w:pPr>
        <w:pStyle w:val="Compact"/>
        <w:numPr>
          <w:ilvl w:val="0"/>
          <w:numId w:val="1031"/>
        </w:numPr>
      </w:pPr>
      <w:r>
        <w:t xml:space="preserve">Pragmatic language: CCC-2 (Children's Communication Checklist), Test of Pragmatic Language (TOPL-2).</w:t>
      </w:r>
    </w:p>
    <w:p>
      <w:pPr>
        <w:pStyle w:val="Compact"/>
        <w:numPr>
          <w:ilvl w:val="0"/>
          <w:numId w:val="1031"/>
        </w:numPr>
      </w:pPr>
      <w:r>
        <w:t xml:space="preserve">Non-verbal IQ: Leiter-3, RIAS-2 (independent of the verbal component).</w:t>
      </w:r>
    </w:p>
    <w:bookmarkEnd w:id="76"/>
    <w:bookmarkStart w:id="77" w:name="laboratory-investigations"/>
    <w:p>
      <w:pPr>
        <w:pStyle w:val="Heading4"/>
      </w:pPr>
      <w:r>
        <w:t xml:space="preserve">7.2 Laboratory investigations</w:t>
      </w:r>
    </w:p>
    <w:p>
      <w:pPr>
        <w:pStyle w:val="FirstParagraph"/>
      </w:pPr>
      <w:r>
        <w:t xml:space="preserve">Not mandatory; based on specific suspicion:</w:t>
      </w:r>
    </w:p>
    <w:p>
      <w:pPr>
        <w:pStyle w:val="Compact"/>
        <w:numPr>
          <w:ilvl w:val="0"/>
          <w:numId w:val="1032"/>
        </w:numPr>
      </w:pPr>
      <w:r>
        <w:t xml:space="preserve">Hearing test — mandatory in all cases (audiometry, tympanometry, otoacoustic emissions).</w:t>
      </w:r>
    </w:p>
    <w:p>
      <w:pPr>
        <w:pStyle w:val="Compact"/>
        <w:numPr>
          <w:ilvl w:val="0"/>
          <w:numId w:val="1032"/>
        </w:numPr>
      </w:pPr>
      <w:r>
        <w:t xml:space="preserve">Fragile X (FMR1) — in cases of severe DLD + comorbid intellectual disability.</w:t>
      </w:r>
    </w:p>
    <w:p>
      <w:pPr>
        <w:pStyle w:val="Compact"/>
        <w:numPr>
          <w:ilvl w:val="0"/>
          <w:numId w:val="1032"/>
        </w:numPr>
      </w:pPr>
      <w:r>
        <w:t xml:space="preserve">Thyroid function (TSH, T4) — if congenital hypothyroidism has not been detected.</w:t>
      </w:r>
    </w:p>
    <w:p>
      <w:pPr>
        <w:pStyle w:val="Compact"/>
        <w:numPr>
          <w:ilvl w:val="0"/>
          <w:numId w:val="1032"/>
        </w:numPr>
      </w:pPr>
      <w:r>
        <w:t xml:space="preserve">Lead level — if risk factors are present.</w:t>
      </w:r>
    </w:p>
    <w:bookmarkEnd w:id="77"/>
    <w:bookmarkStart w:id="78" w:name="instrumental-investigations-1"/>
    <w:p>
      <w:pPr>
        <w:pStyle w:val="Heading4"/>
      </w:pPr>
      <w:r>
        <w:t xml:space="preserve">7.3 Instrumental investigations</w:t>
      </w:r>
    </w:p>
    <w:p>
      <w:pPr>
        <w:pStyle w:val="Compact"/>
        <w:numPr>
          <w:ilvl w:val="0"/>
          <w:numId w:val="1033"/>
        </w:numPr>
      </w:pPr>
      <w:r>
        <w:t xml:space="preserve">Brain MRI — when there are focal neurological signs, regression, macro/microcephaly, or seizures. Not indicated in routine DLD.</w:t>
      </w:r>
    </w:p>
    <w:p>
      <w:pPr>
        <w:pStyle w:val="Compact"/>
        <w:numPr>
          <w:ilvl w:val="0"/>
          <w:numId w:val="1033"/>
        </w:numPr>
      </w:pPr>
      <w:r>
        <w:t xml:space="preserve">EEG — when a seizure is suspected, for the exclusion of Landau-Kleffner syndrome.</w:t>
      </w:r>
    </w:p>
    <w:bookmarkEnd w:id="78"/>
    <w:bookmarkEnd w:id="79"/>
    <w:bookmarkStart w:id="86" w:name="Xeea86a287ed58ba0ced6c35ccee498bc176cfc5"/>
    <w:p>
      <w:pPr>
        <w:pStyle w:val="Heading3"/>
      </w:pPr>
      <w:r>
        <w:t xml:space="preserve">8. Treatment</w:t>
      </w:r>
    </w:p>
    <w:bookmarkStart w:id="80" w:name="X28cf7a48879a0c5862e14e067679664b0f6289b"/>
    <w:p>
      <w:pPr>
        <w:pStyle w:val="Heading4"/>
      </w:pPr>
      <w:r>
        <w:t xml:space="preserve">8.1 General principles (ASHA · RCSLT · CATALISE · NICE consensus)</w:t>
      </w:r>
    </w:p>
    <w:p>
      <w:pPr>
        <w:pStyle w:val="Compact"/>
        <w:numPr>
          <w:ilvl w:val="0"/>
          <w:numId w:val="1034"/>
        </w:numPr>
      </w:pPr>
      <w:r>
        <w:t xml:space="preserve">Individual speech-language therapy by a certified speech-language pathologist (SLP) is the first-line intervention for all disorders.</w:t>
      </w:r>
    </w:p>
    <w:p>
      <w:pPr>
        <w:pStyle w:val="Compact"/>
        <w:numPr>
          <w:ilvl w:val="0"/>
          <w:numId w:val="1034"/>
        </w:numPr>
      </w:pPr>
      <w:r>
        <w:t xml:space="preserve">Early intervention — intervention between 2–4 years of age shows a greater effect; a “wait and see” approach is harmful when certain risk factors (family history, receptive deficit) are present.</w:t>
      </w:r>
    </w:p>
    <w:p>
      <w:pPr>
        <w:pStyle w:val="Compact"/>
        <w:numPr>
          <w:ilvl w:val="0"/>
          <w:numId w:val="1034"/>
        </w:numPr>
      </w:pPr>
      <w:r>
        <w:t xml:space="preserve">Parent-coached interventions at a young age — the Hanen “It Takes Two to Talk” programme has shown effect in RCTs.</w:t>
      </w:r>
    </w:p>
    <w:p>
      <w:pPr>
        <w:pStyle w:val="Compact"/>
        <w:numPr>
          <w:ilvl w:val="0"/>
          <w:numId w:val="1034"/>
        </w:numPr>
      </w:pPr>
      <w:r>
        <w:t xml:space="preserve">Intensity and duration — 1–3 sessions per week, 6–18 months, individualized according to behavioural and academic components.</w:t>
      </w:r>
    </w:p>
    <w:p>
      <w:pPr>
        <w:pStyle w:val="Compact"/>
        <w:numPr>
          <w:ilvl w:val="0"/>
          <w:numId w:val="1034"/>
        </w:numPr>
      </w:pPr>
      <w:r>
        <w:t xml:space="preserve">Multidisciplinary approach — SLP + teacher + paediatrician + audiologist, occupational therapist, psychologist as needed.</w:t>
      </w:r>
    </w:p>
    <w:p>
      <w:pPr>
        <w:pStyle w:val="Compact"/>
        <w:numPr>
          <w:ilvl w:val="0"/>
          <w:numId w:val="1034"/>
        </w:numPr>
      </w:pPr>
      <w:r>
        <w:t xml:space="preserve">School support — individual education plan (IEP / EHCP), classroom modifications, one-to-one support as needed.</w:t>
      </w:r>
    </w:p>
    <w:p>
      <w:pPr>
        <w:pStyle w:val="Compact"/>
        <w:numPr>
          <w:ilvl w:val="0"/>
          <w:numId w:val="1034"/>
        </w:numPr>
      </w:pPr>
      <w:r>
        <w:t xml:space="preserve">Bilingualism is preserved — support maintaining the child's two languages; “abandoning” one language is not recommended (ASHA Position 2004).</w:t>
      </w:r>
    </w:p>
    <w:p>
      <w:pPr>
        <w:pStyle w:val="Compact"/>
        <w:numPr>
          <w:ilvl w:val="0"/>
          <w:numId w:val="1034"/>
        </w:numPr>
      </w:pPr>
      <w:r>
        <w:t xml:space="preserve">Pharmacotherapy is not approved for the speech-language disorder itself. Separate intervention for comorbid ADHD, anxiety, or autism.</w:t>
      </w:r>
    </w:p>
    <w:bookmarkEnd w:id="80"/>
    <w:bookmarkStart w:id="81" w:name="X7b8c5aa5892d271cafa634cd74c50a96b66e99d"/>
    <w:p>
      <w:pPr>
        <w:pStyle w:val="Heading4"/>
      </w:pPr>
      <w:r>
        <w:t xml:space="preserve">8.2 Intervention in speech sound disorder (6A01.0)</w:t>
      </w:r>
    </w:p>
    <w:p>
      <w:pPr>
        <w:pStyle w:val="Compact"/>
        <w:numPr>
          <w:ilvl w:val="0"/>
          <w:numId w:val="1035"/>
        </w:numPr>
      </w:pPr>
      <w:r>
        <w:t xml:space="preserve">Articulation therapy — a phoneme-by-phoneme approach (van Riper); minimal pair training (comparison of contrastive pairs of similar sounds).</w:t>
      </w:r>
    </w:p>
    <w:p>
      <w:pPr>
        <w:pStyle w:val="Compact"/>
        <w:numPr>
          <w:ilvl w:val="0"/>
          <w:numId w:val="1035"/>
        </w:numPr>
      </w:pPr>
      <w:r>
        <w:t xml:space="preserve">Reduction of phonological processes — systematic process-based therapy (Bowen C., Cupples L. 1999).</w:t>
      </w:r>
    </w:p>
    <w:p>
      <w:pPr>
        <w:pStyle w:val="Compact"/>
        <w:numPr>
          <w:ilvl w:val="0"/>
          <w:numId w:val="1035"/>
        </w:numPr>
      </w:pPr>
      <w:r>
        <w:t xml:space="preserve">In complex and severe cases — PROMPT, a multisensory approach.</w:t>
      </w:r>
    </w:p>
    <w:bookmarkEnd w:id="81"/>
    <w:bookmarkStart w:id="82" w:name="intervention-in-stuttering-6a01.1"/>
    <w:p>
      <w:pPr>
        <w:pStyle w:val="Heading4"/>
      </w:pPr>
      <w:r>
        <w:t xml:space="preserve">8.3 Intervention in stuttering (6A01.1)</w:t>
      </w:r>
    </w:p>
    <w:p>
      <w:pPr>
        <w:pStyle w:val="Compact"/>
        <w:numPr>
          <w:ilvl w:val="0"/>
          <w:numId w:val="1036"/>
        </w:numPr>
      </w:pPr>
      <w:r>
        <w:t xml:space="preserve">The Lidcombe Program (Onslow M., Australian Stuttering Research Centre) — first-line at 3–6 years of age; a parent-coached, home-administered operant programme based on positive reinforcement. Evidence: Jones M. et al. BMJ 2005 RCT, n=54 — at 9 months the proportion of syllables stuttered was 1.5% (SD 1.4) in the treatment arm and 3.9% (SD 3.5) in the control arm; difference 2.3 percentage points (95% CI 0.8–3.9; p=0.003). Cochrane 2021 rates the evidence as very low certainty.</w:t>
      </w:r>
    </w:p>
    <w:p>
      <w:pPr>
        <w:pStyle w:val="Compact"/>
        <w:numPr>
          <w:ilvl w:val="0"/>
          <w:numId w:val="1036"/>
        </w:numPr>
      </w:pPr>
      <w:r>
        <w:t xml:space="preserve">Demands and Capacities Model (DCM) — Starkweather C.W. — adaptation of communicative demands to the child's current capacity.</w:t>
      </w:r>
    </w:p>
    <w:p>
      <w:pPr>
        <w:pStyle w:val="Compact"/>
        <w:numPr>
          <w:ilvl w:val="0"/>
          <w:numId w:val="1036"/>
        </w:numPr>
      </w:pPr>
      <w:r>
        <w:t xml:space="preserve">Older children/adults — Stuttering Modification (Van Riper), Fluency Shaping (Webster); family and group support.</w:t>
      </w:r>
    </w:p>
    <w:p>
      <w:pPr>
        <w:pStyle w:val="Compact"/>
        <w:numPr>
          <w:ilvl w:val="0"/>
          <w:numId w:val="1036"/>
        </w:numPr>
      </w:pPr>
      <w:r>
        <w:t xml:space="preserve">Pharmacotherapy: There is no drug officially approved by the FDA for stuttering. Off-label dopamine antagonists (risperidone, olanzapine) and SSRIs (paroxetine) have been studied in selected adult cases, but the effect is modest and the side-effect profile is significant (Maguire G.A. et al. 2020 review).</w:t>
      </w:r>
    </w:p>
    <w:bookmarkEnd w:id="82"/>
    <w:bookmarkStart w:id="83" w:name="X3b406fc8a8047cd8409175b60319288f0c5af29"/>
    <w:p>
      <w:pPr>
        <w:pStyle w:val="Heading4"/>
      </w:pPr>
      <w:r>
        <w:t xml:space="preserve">8.4 Intervention in developmental language disorder (6A01.2)</w:t>
      </w:r>
    </w:p>
    <w:p>
      <w:pPr>
        <w:pStyle w:val="Compact"/>
        <w:numPr>
          <w:ilvl w:val="0"/>
          <w:numId w:val="1037"/>
        </w:numPr>
      </w:pPr>
      <w:r>
        <w:t xml:space="preserve">Hanen “It Takes Two to Talk” — a parent-coached group programme at 2–4 years of age; following the child's lead, expanding dialogue. Evidence: Roberts M.Y., Kaiser A.P. Am J Speech Lang Pathol 2011 meta-analysis — a moderate effect on expressive and receptive language measures.</w:t>
      </w:r>
    </w:p>
    <w:p>
      <w:pPr>
        <w:pStyle w:val="Compact"/>
        <w:numPr>
          <w:ilvl w:val="0"/>
          <w:numId w:val="1037"/>
        </w:numPr>
      </w:pPr>
      <w:r>
        <w:t xml:space="preserve">Naturalistic language intervention (enhanced milieu teaching, focused stimulation) — presenting language models in the context of the child's interests.</w:t>
      </w:r>
    </w:p>
    <w:p>
      <w:pPr>
        <w:pStyle w:val="Compact"/>
        <w:numPr>
          <w:ilvl w:val="0"/>
          <w:numId w:val="1037"/>
        </w:numPr>
      </w:pPr>
      <w:r>
        <w:t xml:space="preserve">Structured morpho-syntactic therapy — targeted training of grammatical forms (for example, past tense, plural).</w:t>
      </w:r>
    </w:p>
    <w:p>
      <w:pPr>
        <w:pStyle w:val="Compact"/>
        <w:numPr>
          <w:ilvl w:val="0"/>
          <w:numId w:val="1037"/>
        </w:numPr>
      </w:pPr>
      <w:r>
        <w:t xml:space="preserve">Pragmatic language interventions (6A01.22) — social Stories (Carol Gray), video-modelling, group training.</w:t>
      </w:r>
    </w:p>
    <w:p>
      <w:pPr>
        <w:pStyle w:val="Compact"/>
        <w:numPr>
          <w:ilvl w:val="0"/>
          <w:numId w:val="1037"/>
        </w:numPr>
      </w:pPr>
      <w:r>
        <w:t xml:space="preserve">Academic support at school age — a Structured Literacy approach due to the high comorbidity of reading difficulties; assessment for learning disorder.</w:t>
      </w:r>
    </w:p>
    <w:bookmarkEnd w:id="83"/>
    <w:bookmarkStart w:id="84" w:name="treatment-methods-1"/>
    <w:p>
      <w:pPr>
        <w:pStyle w:val="Heading4"/>
      </w:pPr>
      <w:r>
        <w:t xml:space="preserve">8.5 Treatment methods</w:t>
      </w:r>
    </w:p>
    <w:p>
      <w:pPr>
        <w:pStyle w:val="Compact"/>
        <w:numPr>
          <w:ilvl w:val="0"/>
          <w:numId w:val="1038"/>
        </w:numPr>
      </w:pPr>
      <w:r>
        <w:t xml:space="preserve">Hanen “It Takes Two to Talk” — a parent training programme developed by the Hanen Centre in Canada for late talkers and children at risk of DLD aged 2–4 years. 8 group sessions + 3 individual home visits; the principles of “OWL” (Observe, Wait, Listen) and following the child's lead. Evidence: Roberts M.Y., Kaiser A.P. Am J Speech Lang Pathol 2011 meta-analysis. hanen.org.</w:t>
      </w:r>
    </w:p>
    <w:p>
      <w:pPr>
        <w:pStyle w:val="Compact"/>
        <w:numPr>
          <w:ilvl w:val="0"/>
          <w:numId w:val="1038"/>
        </w:numPr>
      </w:pPr>
      <w:r>
        <w:t xml:space="preserve">The Lidcombe Program — a behaviourally based, parent-coached programme for preschool-age stuttering developed by Onslow M. in Australia. The parent reinforces the child's fluent speech in a daily 10–15 min structured play session. Evidence: Jones M. et al. BMJ 2005 RCT n=54, 9 months; Onslow M. et al. reviews. lidcombeprogram.org.</w:t>
      </w:r>
    </w:p>
    <w:p>
      <w:pPr>
        <w:pStyle w:val="Compact"/>
        <w:numPr>
          <w:ilvl w:val="0"/>
          <w:numId w:val="1038"/>
        </w:numPr>
      </w:pPr>
      <w:r>
        <w:t xml:space="preserve">Enhanced Milieu Teaching (EMT) — Naturalistic language intervention — the presentation and expansion of consistent language models in the context of the child's play and daily routine. Evidence: Kaiser A.P., Roberts M.Y. Am J Speech Lang Pathol 2013.</w:t>
      </w:r>
    </w:p>
    <w:p>
      <w:pPr>
        <w:pStyle w:val="Compact"/>
        <w:numPr>
          <w:ilvl w:val="0"/>
          <w:numId w:val="1038"/>
        </w:numPr>
      </w:pPr>
      <w:r>
        <w:t xml:space="preserve">PROMPT method (Prompts for Restructuring Oral Muscular Phonetic Targets) — a tactile-kinaesthetic speech motor intervention — indicating the correct place of articulation with a physical sensory cue to the child's oral muscles. Used in complex speech sound disorder and childhood apraxia of speech. The evidence base is developing; Rogers S.J. et al. 2006 (against a background of autism) and other pilot studies.</w:t>
      </w:r>
    </w:p>
    <w:p>
      <w:pPr>
        <w:pStyle w:val="Compact"/>
        <w:numPr>
          <w:ilvl w:val="0"/>
          <w:numId w:val="1038"/>
        </w:numPr>
      </w:pPr>
      <w:r>
        <w:t xml:space="preserve">Social Stories — Carol Gray — training appropriate behaviour in a social context in a short, individualized story format. In building pragmatic skills in pragmatic language disorder and the autism spectrum. carolgraysocialstories.com.</w:t>
      </w:r>
    </w:p>
    <w:p>
      <w:pPr>
        <w:pStyle w:val="Compact"/>
        <w:numPr>
          <w:ilvl w:val="0"/>
          <w:numId w:val="1038"/>
        </w:numPr>
      </w:pPr>
      <w:r>
        <w:t xml:space="preserve">Clinical Evaluation of Language Fundamentals (CELF-5) — a standardized comprehensive assessment of language for ages 5–21 — receptive, expressive, language memory, word-sentence structure.</w:t>
      </w:r>
    </w:p>
    <w:p>
      <w:pPr>
        <w:pStyle w:val="Compact"/>
        <w:numPr>
          <w:ilvl w:val="0"/>
          <w:numId w:val="1038"/>
        </w:numPr>
      </w:pPr>
      <w:r>
        <w:t xml:space="preserve">Preschool Language Scales (PLS-5) — language assessment from birth to 7 years — auditory comprehension and expressive communication scales.</w:t>
      </w:r>
    </w:p>
    <w:p>
      <w:pPr>
        <w:pStyle w:val="Compact"/>
        <w:numPr>
          <w:ilvl w:val="0"/>
          <w:numId w:val="1038"/>
        </w:numPr>
      </w:pPr>
      <w:r>
        <w:t xml:space="preserve">Children's Communication Checklist (CCC-2) — parent/teacher assessment of pragmatic language and general communicative function; assists in the sub-typing of DLD.</w:t>
      </w:r>
    </w:p>
    <w:bookmarkEnd w:id="84"/>
    <w:bookmarkStart w:id="85" w:name="differences-between-sources-3"/>
    <w:p>
      <w:pPr>
        <w:pStyle w:val="Heading4"/>
      </w:pPr>
      <w:r>
        <w:t xml:space="preserve">8.6 Differences between sources</w:t>
      </w:r>
    </w:p>
    <w:p>
      <w:pPr>
        <w:pStyle w:val="Compact"/>
        <w:numPr>
          <w:ilvl w:val="0"/>
          <w:numId w:val="1039"/>
        </w:numPr>
      </w:pPr>
      <w:r>
        <w:t xml:space="preserve">ASHA Practice Portal: an evidence-based practice framework — the triad of clinician judgement + evidence + family values; certification and continuing education requirements.</w:t>
      </w:r>
    </w:p>
    <w:p>
      <w:pPr>
        <w:pStyle w:val="Compact"/>
        <w:numPr>
          <w:ilvl w:val="0"/>
          <w:numId w:val="1039"/>
        </w:numPr>
      </w:pPr>
      <w:r>
        <w:t xml:space="preserve">RCSLT (2017 Position Paper on DLD): proposes early identification and service accessibility; the “Bercow” report (2008, 2018) shaped the service structure in England.</w:t>
      </w:r>
    </w:p>
    <w:p>
      <w:pPr>
        <w:pStyle w:val="Compact"/>
        <w:numPr>
          <w:ilvl w:val="0"/>
          <w:numId w:val="1039"/>
        </w:numPr>
      </w:pPr>
      <w:r>
        <w:t xml:space="preserve">NICE NG (a separate full guideline for child speech and language is still under development; existing guidance is directed at the coordination of education and health services).</w:t>
      </w:r>
    </w:p>
    <w:p>
      <w:pPr>
        <w:pStyle w:val="Compact"/>
        <w:numPr>
          <w:ilvl w:val="0"/>
          <w:numId w:val="1039"/>
        </w:numPr>
      </w:pPr>
      <w:r>
        <w:t xml:space="preserve">WHO mhGAP IG v2.0: assessment at the primary care level in low- and middle-income countries; parent training and community-based rehabilitation are emphasized.</w:t>
      </w:r>
    </w:p>
    <w:bookmarkEnd w:id="85"/>
    <w:bookmarkEnd w:id="86"/>
    <w:bookmarkStart w:id="90" w:name="Xa89bbcd39b300488a236ba6e2406085ecd9cd8f"/>
    <w:p>
      <w:pPr>
        <w:pStyle w:val="Heading3"/>
      </w:pPr>
      <w:r>
        <w:t xml:space="preserve">9. Prognosis</w:t>
      </w:r>
    </w:p>
    <w:bookmarkStart w:id="87" w:name="good-prognostic-factors-1"/>
    <w:p>
      <w:pPr>
        <w:pStyle w:val="Heading4"/>
      </w:pPr>
      <w:r>
        <w:t xml:space="preserve">Good prognostic factors</w:t>
      </w:r>
    </w:p>
    <w:p>
      <w:pPr>
        <w:pStyle w:val="Compact"/>
        <w:numPr>
          <w:ilvl w:val="0"/>
          <w:numId w:val="1040"/>
        </w:numPr>
      </w:pPr>
      <w:r>
        <w:t xml:space="preserve">Mild-to-moderate severity, expressive component only.</w:t>
      </w:r>
    </w:p>
    <w:p>
      <w:pPr>
        <w:pStyle w:val="Compact"/>
        <w:numPr>
          <w:ilvl w:val="0"/>
          <w:numId w:val="1040"/>
        </w:numPr>
      </w:pPr>
      <w:r>
        <w:t xml:space="preserve">Early identification (&lt;3 years) and intervention.</w:t>
      </w:r>
    </w:p>
    <w:p>
      <w:pPr>
        <w:pStyle w:val="Compact"/>
        <w:numPr>
          <w:ilvl w:val="0"/>
          <w:numId w:val="1040"/>
        </w:numPr>
      </w:pPr>
      <w:r>
        <w:t xml:space="preserve">High non-verbal IQ.</w:t>
      </w:r>
    </w:p>
    <w:p>
      <w:pPr>
        <w:pStyle w:val="Compact"/>
        <w:numPr>
          <w:ilvl w:val="0"/>
          <w:numId w:val="1040"/>
        </w:numPr>
      </w:pPr>
      <w:r>
        <w:t xml:space="preserve">Absence of comorbid disorders (ASD, intellectual disability).</w:t>
      </w:r>
    </w:p>
    <w:p>
      <w:pPr>
        <w:pStyle w:val="Compact"/>
        <w:numPr>
          <w:ilvl w:val="0"/>
          <w:numId w:val="1040"/>
        </w:numPr>
      </w:pPr>
      <w:r>
        <w:t xml:space="preserve">Parental involvement and a language-rich environment at home.</w:t>
      </w:r>
    </w:p>
    <w:bookmarkEnd w:id="87"/>
    <w:bookmarkStart w:id="88" w:name="poor-prognostic-factors-1"/>
    <w:p>
      <w:pPr>
        <w:pStyle w:val="Heading4"/>
      </w:pPr>
      <w:r>
        <w:t xml:space="preserve">Poor prognostic factors</w:t>
      </w:r>
    </w:p>
    <w:p>
      <w:pPr>
        <w:pStyle w:val="Compact"/>
        <w:numPr>
          <w:ilvl w:val="0"/>
          <w:numId w:val="1041"/>
        </w:numPr>
      </w:pPr>
      <w:r>
        <w:t xml:space="preserve">Severity of the receptive component (poorer prognosis than expressive only).</w:t>
      </w:r>
    </w:p>
    <w:p>
      <w:pPr>
        <w:pStyle w:val="Compact"/>
        <w:numPr>
          <w:ilvl w:val="0"/>
          <w:numId w:val="1041"/>
        </w:numPr>
      </w:pPr>
      <w:r>
        <w:t xml:space="preserve">Comorbid intellectual disability or ASD.</w:t>
      </w:r>
    </w:p>
    <w:p>
      <w:pPr>
        <w:pStyle w:val="Compact"/>
        <w:numPr>
          <w:ilvl w:val="0"/>
          <w:numId w:val="1041"/>
        </w:numPr>
      </w:pPr>
      <w:r>
        <w:t xml:space="preserve">Late identification (&gt;5 years).</w:t>
      </w:r>
    </w:p>
    <w:p>
      <w:pPr>
        <w:pStyle w:val="Compact"/>
        <w:numPr>
          <w:ilvl w:val="0"/>
          <w:numId w:val="1041"/>
        </w:numPr>
      </w:pPr>
      <w:r>
        <w:t xml:space="preserve">Persistent DLD in the family history.</w:t>
      </w:r>
    </w:p>
    <w:p>
      <w:pPr>
        <w:pStyle w:val="Compact"/>
        <w:numPr>
          <w:ilvl w:val="0"/>
          <w:numId w:val="1041"/>
        </w:numPr>
      </w:pPr>
      <w:r>
        <w:t xml:space="preserve">Low socioeconomic support, limited service accessibility.</w:t>
      </w:r>
    </w:p>
    <w:bookmarkEnd w:id="88"/>
    <w:bookmarkStart w:id="89" w:name="follow-up-targets-1"/>
    <w:p>
      <w:pPr>
        <w:pStyle w:val="Heading4"/>
      </w:pPr>
      <w:r>
        <w:t xml:space="preserve">Follow-up targets</w:t>
      </w:r>
    </w:p>
    <w:p>
      <w:pPr>
        <w:pStyle w:val="Compact"/>
        <w:numPr>
          <w:ilvl w:val="0"/>
          <w:numId w:val="1042"/>
        </w:numPr>
      </w:pPr>
      <w:r>
        <w:t xml:space="preserve">High comorbidity of reading and writing difficulties in children with DLD (40–60%) — phonological awareness training at preschool age; then Structured Literacy.</w:t>
      </w:r>
    </w:p>
    <w:p>
      <w:pPr>
        <w:pStyle w:val="Compact"/>
        <w:numPr>
          <w:ilvl w:val="0"/>
          <w:numId w:val="1042"/>
        </w:numPr>
      </w:pPr>
      <w:r>
        <w:t xml:space="preserve">Social-emotional health — increased risk of anxiety and depression in adolescents with DLD (Conti-Ramsden G., Botting N. J Child Psychol Psychiatry 2008).</w:t>
      </w:r>
    </w:p>
    <w:p>
      <w:pPr>
        <w:pStyle w:val="Compact"/>
        <w:numPr>
          <w:ilvl w:val="0"/>
          <w:numId w:val="1042"/>
        </w:numPr>
      </w:pPr>
      <w:r>
        <w:t xml:space="preserve">Screening for conduct disorder and ADHD.</w:t>
      </w:r>
    </w:p>
    <w:p>
      <w:pPr>
        <w:pStyle w:val="Compact"/>
        <w:numPr>
          <w:ilvl w:val="0"/>
          <w:numId w:val="1042"/>
        </w:numPr>
      </w:pPr>
      <w:r>
        <w:t xml:space="preserve">Vocational and academic support planning in adolescence.</w:t>
      </w:r>
    </w:p>
    <w:p>
      <w:pPr>
        <w:pStyle w:val="Compact"/>
        <w:numPr>
          <w:ilvl w:val="0"/>
          <w:numId w:val="1042"/>
        </w:numPr>
      </w:pPr>
      <w:r>
        <w:t xml:space="preserve">After stuttering has reached remission, monitoring for relapse (during stressful periods).</w:t>
      </w:r>
    </w:p>
    <w:bookmarkEnd w:id="89"/>
    <w:bookmarkEnd w:id="90"/>
    <w:bookmarkStart w:id="104" w:name="Xc737cc80e408b0d3c3db969e089361486d04383"/>
    <w:p>
      <w:pPr>
        <w:pStyle w:val="Heading3"/>
      </w:pPr>
      <w:r>
        <w:t xml:space="preserve">10. Myths and misconceptions</w:t>
      </w:r>
    </w:p>
    <w:bookmarkStart w:id="94" w:name="aetiology-myths-1"/>
    <w:p>
      <w:pPr>
        <w:pStyle w:val="Heading4"/>
      </w:pPr>
      <w:r>
        <w:t xml:space="preserve">10.1 Aetiology myths</w:t>
      </w:r>
    </w:p>
    <w:bookmarkStart w:id="91" w:name="Xef4d41d753f184e45bdda686c46ad159cc94def"/>
    <w:p>
      <w:pPr>
        <w:pStyle w:val="Heading5"/>
      </w:pPr>
      <w:r>
        <w:t xml:space="preserve">Myth 1: “Bilingualism (speaking two languages) causes a child to develop a language disorder”</w:t>
      </w:r>
    </w:p>
    <w:p>
      <w:pPr>
        <w:pStyle w:val="FirstParagraph"/>
      </w:pPr>
      <w:r>
        <w:t xml:space="preserve">Why it is widespread: it is instilled by families and sometimes paediatricians as the belief that “mixing languages” “confuses the child”; in late-talking bilingual children the vocabulary in each language separately may appear small compared with monolingual children (but total conceptual vocabulary is equivalent).</w:t>
      </w:r>
    </w:p>
    <w:p>
      <w:pPr>
        <w:pStyle w:val="BodyText"/>
      </w:pPr>
      <w:r>
        <w:t xml:space="preserve">Clinical and biological rationale: The human brain is adapted from birth to develop in several languages; bilingualism has a superior effect on executive function and cognitive flexibility (Bialystok E. et al. Trends Cogn Sci 2012 review). Bilingual children with DLD show impairment in the same pattern in both languages — this is related not to the number of languages but to the neurodevelopmental disorder.</w:t>
      </w:r>
    </w:p>
    <w:p>
      <w:pPr>
        <w:pStyle w:val="BodyText"/>
      </w:pPr>
      <w:r>
        <w:t xml:space="preserve">Evidence: Paradis J., Genesee F., Crago M.B. (2011) — in bilingual children, language acquisition develops in parallel with monolingual patterns; DLD arises not from bilingualism but on a neurodevelopmental basis.</w:t>
      </w:r>
    </w:p>
    <w:p>
      <w:pPr>
        <w:pStyle w:val="BodyText"/>
      </w:pPr>
      <w:r>
        <w:t xml:space="preserve">Real clinical step: a DLD diagnosis in a bilingual child can be made only when impairment in both languages is documented. Cutting off the family's mother tongue is not recommended — social-emotional harm and disruption of the family bond.</w:t>
      </w:r>
    </w:p>
    <w:bookmarkEnd w:id="91"/>
    <w:bookmarkStart w:id="92" w:name="X30fab7c05ae5f7e65303e66c6a7d49a650bc09b"/>
    <w:p>
      <w:pPr>
        <w:pStyle w:val="Heading5"/>
      </w:pPr>
      <w:r>
        <w:t xml:space="preserve">Myth 2: “Stuttering arises from the parent's improper behaviour (impatience, harshness)”</w:t>
      </w:r>
    </w:p>
    <w:p>
      <w:pPr>
        <w:pStyle w:val="FirstParagraph"/>
      </w:pPr>
      <w:r>
        <w:t xml:space="preserve">Why it is widespread: Wendell Johnson's “Diagnosogenic Theory” in the 1940s–1950s — the claim that stuttering arises as a result of the parent drawing attention to the child's normal disfluency; subsequently refuted, but it has remained in popular belief.</w:t>
      </w:r>
    </w:p>
    <w:p>
      <w:pPr>
        <w:pStyle w:val="BodyText"/>
      </w:pPr>
      <w:r>
        <w:t xml:space="preserve">Biological logic and evidence: Stuttering is genetically and neurobiologically based — heritability ~70% (Felsenfeld 2000); GNPTAB and related lysosomal pathway mutations in rare forms (Kang C. NEJM 2010); fMRI studies show functional impairment in the basal ganglia-supplementary motor area circuit (Maguire 2020). The parent's reaction may affect the persistence of stuttering (increase in a stress context), but is not the cause of the onset of stuttering.</w:t>
      </w:r>
    </w:p>
    <w:p>
      <w:pPr>
        <w:pStyle w:val="BodyText"/>
      </w:pPr>
      <w:r>
        <w:t xml:space="preserve">Real clinical step: support for the family — creating a calm, listening environment; an evidence-based parent-coached intervention such as the Lidcombe Program.</w:t>
      </w:r>
    </w:p>
    <w:bookmarkEnd w:id="92"/>
    <w:bookmarkStart w:id="93" w:name="X9f0acc15ef7f9f6eaf53ddb9139e6e7037e1bbf"/>
    <w:p>
      <w:pPr>
        <w:pStyle w:val="Heading5"/>
      </w:pPr>
      <w:r>
        <w:t xml:space="preserve">Myth 3: “If a child does not talk, it is because they are ‘lazy’ or 'too young, let's wait'”</w:t>
      </w:r>
    </w:p>
    <w:p>
      <w:pPr>
        <w:pStyle w:val="FirstParagraph"/>
      </w:pPr>
      <w:r>
        <w:t xml:space="preserve">Evidence: The “wait and see” approach is appropriate only for a late talker WITHOUT risk factors — 70–80% of this group catch up by 4 years of age. However, when risk factors are present (family history, receptive deficit, low use of non-verbal gestures, hearing suspicion), waiting loses the critical intervention window — Roos E.M., Weismer S.E. Top Lang Disord 2008.</w:t>
      </w:r>
    </w:p>
    <w:p>
      <w:pPr>
        <w:pStyle w:val="BodyText"/>
      </w:pPr>
      <w:r>
        <w:t xml:space="preserve">Real clinical step: screening at 18–24 months (CDI, ASQ); SLP assessment if risk factors are present.</w:t>
      </w:r>
    </w:p>
    <w:bookmarkEnd w:id="93"/>
    <w:bookmarkEnd w:id="94"/>
    <w:bookmarkStart w:id="98" w:name="X8881cda9ed7cdb1a51f8fe6dec78691d3f208cd"/>
    <w:p>
      <w:pPr>
        <w:pStyle w:val="Heading4"/>
      </w:pPr>
      <w:r>
        <w:t xml:space="preserve">10.2 Harmful methods or those that delay the primary intervention</w:t>
      </w:r>
    </w:p>
    <w:bookmarkStart w:id="95" w:name="X520fb1b5263c310af6c65d7a1a070d29b5f27c1"/>
    <w:p>
      <w:pPr>
        <w:pStyle w:val="Heading5"/>
      </w:pPr>
      <w:r>
        <w:t xml:space="preserve">Myth 4: “Tongue-tie (ankyloglossia) surgery will solve the speech problem”</w:t>
      </w:r>
    </w:p>
    <w:p>
      <w:pPr>
        <w:pStyle w:val="FirstParagraph"/>
      </w:pPr>
      <w:r>
        <w:t xml:space="preserve">Why it is widespread: the commercial popularity of “frenotomy” and “frenuloplasty” procedures; the existence of some indications in breastfeeding problems.</w:t>
      </w:r>
    </w:p>
    <w:p>
      <w:pPr>
        <w:pStyle w:val="BodyText"/>
      </w:pPr>
      <w:r>
        <w:t xml:space="preserve">Evidence: Only severe anatomical restriction (Coryllos III–IV) with a breastfeeding problem makes frenotomy effective (AAP, ABM 2020 protocols). There is no systematic evidence for speech sound disorder — Webb A.N. et al. Int J Pediatr Otorhinolaryngol 2013 review. Erroneous surgery — bleeding, infection, formation of a double frenulum, difficulty with normal breastfeeding.</w:t>
      </w:r>
    </w:p>
    <w:p>
      <w:pPr>
        <w:pStyle w:val="BodyText"/>
      </w:pPr>
      <w:r>
        <w:t xml:space="preserve">Real clinical step: first-line for speech sound disorder — SLP assessment and articulation therapy, not frenotomy.</w:t>
      </w:r>
    </w:p>
    <w:bookmarkEnd w:id="95"/>
    <w:bookmarkStart w:id="96" w:name="Xbe11f8dad97b05664a136e0a1d0a746930eb549"/>
    <w:p>
      <w:pPr>
        <w:pStyle w:val="Heading5"/>
      </w:pPr>
      <w:r>
        <w:t xml:space="preserve">Myth 5: “Auditory Integration Training (AIT) — the Berard or Tomatis method”</w:t>
      </w:r>
    </w:p>
    <w:p>
      <w:pPr>
        <w:pStyle w:val="FirstParagraph"/>
      </w:pPr>
      <w:r>
        <w:t xml:space="preserve">Why it is widespread: alternative-clinic marketing; the claim of “reprogramming the auditory system”.</w:t>
      </w:r>
    </w:p>
    <w:p>
      <w:pPr>
        <w:pStyle w:val="BodyText"/>
      </w:pPr>
      <w:r>
        <w:t xml:space="preserve">Evidence: ASHA Position Statement 2004 — no evidence of effect in auditory-language disorders or autism; experimental status. AAP 1998 Statement — does not recommend AIT.</w:t>
      </w:r>
    </w:p>
    <w:bookmarkEnd w:id="96"/>
    <w:bookmarkStart w:id="97" w:name="X974efd9a9dc92027aa69e1acf12077920e254c0"/>
    <w:p>
      <w:pPr>
        <w:pStyle w:val="Heading5"/>
      </w:pPr>
      <w:r>
        <w:t xml:space="preserve">Myth 6: “Complete cure of stuttering with hypnotherapy or ear devices (DAF — delayed auditory feedback)”</w:t>
      </w:r>
    </w:p>
    <w:p>
      <w:pPr>
        <w:pStyle w:val="FirstParagraph"/>
      </w:pPr>
      <w:r>
        <w:t xml:space="preserve">Evidence: Hypnotherapy — no evidence of effect for stuttering (Bothe A.K. et al. Am J Speech Lang Pathol 2006 review). DAF devices (SpeechEasy and similar) may provide a short-term increase in fluency in some adults, but the long-term effect is limited and superiority over behavioural therapy has not been confirmed (Lincoln M., Packman A. J Fluency Disord 2007).</w:t>
      </w:r>
    </w:p>
    <w:bookmarkEnd w:id="97"/>
    <w:bookmarkEnd w:id="98"/>
    <w:bookmarkStart w:id="103" w:name="Xeaa2018210aa4a120922989cb70d1a165a00f52"/>
    <w:p>
      <w:pPr>
        <w:pStyle w:val="Heading4"/>
      </w:pPr>
      <w:r>
        <w:t xml:space="preserve">10.3 Ineffective or scientifically unfounded methods</w:t>
      </w:r>
    </w:p>
    <w:bookmarkStart w:id="99" w:name="X5ad026a8dcdc09c800e815c918444f908dc2094"/>
    <w:p>
      <w:pPr>
        <w:pStyle w:val="Heading5"/>
      </w:pPr>
      <w:r>
        <w:t xml:space="preserve">Myth 7: “Non-Speech Oral Motor Exercises (NSOME) — tongue, lip, and jaw exercises correct speech sounds”</w:t>
      </w:r>
    </w:p>
    <w:p>
      <w:pPr>
        <w:pStyle w:val="FirstParagraph"/>
      </w:pPr>
      <w:r>
        <w:t xml:space="preserve">Why it is widespread: an intuitive basis — “if a muscle is exercised, it works better”; still applied by some therapists.</w:t>
      </w:r>
    </w:p>
    <w:p>
      <w:pPr>
        <w:pStyle w:val="BodyText"/>
      </w:pPr>
      <w:r>
        <w:t xml:space="preserve">Evidence: ASHA 2009 and update — there is no evidence of effect of non-speech oral motor exercises in speech sound disorder; speech and non-speech oral movements are separate neuromotor programmes (McCauley R.J., Strand E., Lof G.L. Am J Speech Lang Pathol 2009 systematic review). The use of NSOME diverts therapy time from evidence-based speech-based intervention.</w:t>
      </w:r>
    </w:p>
    <w:p>
      <w:pPr>
        <w:pStyle w:val="BodyText"/>
      </w:pPr>
      <w:r>
        <w:t xml:space="preserve">Real clinical step: for speech sound disorder — direct articulation therapy (phoneme-by-phoneme or phonological processes); NSOME is avoided.</w:t>
      </w:r>
    </w:p>
    <w:bookmarkEnd w:id="99"/>
    <w:bookmarkStart w:id="100" w:name="X5a82065e60d06e3da6060aa570b4b2e8a46d758"/>
    <w:p>
      <w:pPr>
        <w:pStyle w:val="Heading5"/>
      </w:pPr>
      <w:r>
        <w:t xml:space="preserve">Myth 8: “Brain Gym / Edu-K — brain coordination exercises cure language disorder”</w:t>
      </w:r>
    </w:p>
    <w:p>
      <w:pPr>
        <w:pStyle w:val="FirstParagraph"/>
      </w:pPr>
      <w:r>
        <w:t xml:space="preserve">Evidence: Reviews (Hyatt K.J. Remedial Spec Educ 2007) — “Brain Gym” claims do not conform to neurobiology; no effect on learning outcomes. Criticized as a commercial programme.</w:t>
      </w:r>
    </w:p>
    <w:bookmarkEnd w:id="100"/>
    <w:bookmarkStart w:id="101" w:name="Xc7b06c61ae4822927e5f3241d49ea0ca19c922d"/>
    <w:p>
      <w:pPr>
        <w:pStyle w:val="Heading5"/>
      </w:pPr>
      <w:r>
        <w:t xml:space="preserve">Myth 9: “Hyperbaric oxygen chamber (HBOT) and stem cell injections cure language disorder”</w:t>
      </w:r>
    </w:p>
    <w:p>
      <w:pPr>
        <w:pStyle w:val="FirstParagraph"/>
      </w:pPr>
      <w:r>
        <w:t xml:space="preserve">Evidence: Cochrane (Xiong T. 2016 — autism; a similar position for DLD) — no evidence of effect; risks of pneumothorax and barotrauma with HBOT; deaths in unregulated stem cell clinics (Berkowitz NEJM 2016).</w:t>
      </w:r>
    </w:p>
    <w:bookmarkEnd w:id="101"/>
    <w:bookmarkStart w:id="102" w:name="X86c8177162f143aafc6b2f0f693010ffb8bbc47"/>
    <w:p>
      <w:pPr>
        <w:pStyle w:val="Heading5"/>
      </w:pPr>
      <w:r>
        <w:t xml:space="preserve">Myth 10: “A special diet (gluten-free, casein-free) cures language disorder”</w:t>
      </w:r>
    </w:p>
    <w:p>
      <w:pPr>
        <w:pStyle w:val="FirstParagraph"/>
      </w:pPr>
      <w:r>
        <w:t xml:space="preserve">Evidence: ASHA, AAP, AACAP — the effect of special diets on speech and language disorders has not been proven. If coeliac disease or a confirmed food allergy is present, a diet is a medical indication, but it has no effect on language-speech development.</w:t>
      </w:r>
    </w:p>
    <w:bookmarkEnd w:id="102"/>
    <w:bookmarkEnd w:id="103"/>
    <w:bookmarkEnd w:id="104"/>
    <w:bookmarkStart w:id="3001" w:name="Xfb6509a7a2ea1a88cff7f856d6890306a78cc97"/>
    <w:p>
      <w:pPr>
        <w:pStyle w:val="Heading3"/>
      </w:pPr>
      <w:r>
        <w:t xml:space="preserve">11. Sources</w:t>
      </w:r>
    </w:p>
    <w:p>
      <w:pPr>
        <w:pStyle w:val="Compact"/>
        <w:numPr>
          <w:ilvl w:val="0"/>
          <w:numId w:val="1043"/>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043"/>
        </w:numPr>
      </w:pPr>
      <w:r>
        <w:t xml:space="preserve">WHO. ICD-11 for Mortality and Morbidity Statistics. 6A01 Developmental speech or language disorders. 2024.</w:t>
      </w:r>
    </w:p>
    <w:p>
      <w:pPr>
        <w:pStyle w:val="Compact"/>
        <w:numPr>
          <w:ilvl w:val="0"/>
          <w:numId w:val="1043"/>
        </w:numPr>
      </w:pPr>
      <w:r>
        <w:t xml:space="preserve">American Psychiatric Association. DSM-5-TR. Washington DC: APA Publishing; 2022.</w:t>
      </w:r>
    </w:p>
    <w:p>
      <w:pPr>
        <w:pStyle w:val="Compact"/>
        <w:numPr>
          <w:ilvl w:val="0"/>
          <w:numId w:val="1043"/>
        </w:numPr>
      </w:pPr>
      <w:r>
        <w:t xml:space="preserve">ASHA Practice Portal — Language Disorders, Speech Sound Disorders, Fluency Disorders. American Speech-Language-Hearing Association. asha.org/practice-portal.</w:t>
      </w:r>
    </w:p>
    <w:p>
      <w:pPr>
        <w:pStyle w:val="Compact"/>
        <w:numPr>
          <w:ilvl w:val="0"/>
          <w:numId w:val="1043"/>
        </w:numPr>
      </w:pPr>
      <w:r>
        <w:t xml:space="preserve">RCSLT — Developmental Language Disorder. Royal College of Speech and Language Therapists. rcslt.org.</w:t>
      </w:r>
    </w:p>
    <w:p>
      <w:pPr>
        <w:pStyle w:val="Compact"/>
        <w:numPr>
          <w:ilvl w:val="0"/>
          <w:numId w:val="1043"/>
        </w:numPr>
      </w:pPr>
      <w:r>
        <w:t xml:space="preserve">Norbury C.F., Gooch D., Wray C. et al. The impact of nonverbal ability on prevalence and clinical presentation of language disorder. J Child Psychol Psychiatry 2016;57(11):1247–1257.</w:t>
      </w:r>
    </w:p>
    <w:p>
      <w:pPr>
        <w:pStyle w:val="Compact"/>
        <w:numPr>
          <w:ilvl w:val="0"/>
          <w:numId w:val="1043"/>
        </w:numPr>
      </w:pPr>
      <w:r>
        <w:t xml:space="preserve">Yairi E., Ambrose N. Epidemiology of stuttering: 21st century advances. J Fluency Disord 2013;38(2):66–87.</w:t>
      </w:r>
    </w:p>
    <w:p>
      <w:pPr>
        <w:pStyle w:val="Compact"/>
        <w:numPr>
          <w:ilvl w:val="0"/>
          <w:numId w:val="1043"/>
        </w:numPr>
      </w:pPr>
      <w:r>
        <w:t xml:space="preserve">Jones M., Onslow M., Packman A. et al. Randomised controlled trial of the Lidcombe programme of early stuttering intervention. BMJ 2005;331(7518):659.</w:t>
      </w:r>
    </w:p>
    <w:p>
      <w:pPr>
        <w:pStyle w:val="Compact"/>
        <w:numPr>
          <w:ilvl w:val="0"/>
          <w:numId w:val="1043"/>
        </w:numPr>
      </w:pPr>
      <w:r>
        <w:t xml:space="preserve">Roberts M.Y., Kaiser A.P. The effectiveness of parent-implemented language interventions: a meta-analysis. Am J Speech Lang Pathol 2011;20(3):180–199.</w:t>
      </w:r>
    </w:p>
    <w:p>
      <w:pPr>
        <w:pStyle w:val="Compact"/>
        <w:numPr>
          <w:ilvl w:val="0"/>
          <w:numId w:val="1043"/>
        </w:numPr>
      </w:pPr>
      <w:r>
        <w:t xml:space="preserve">McCauley R.J., Strand E., Lof G.L. et al. Evidence-based systematic review: effects of nonspeech oral motor exercises on speech. Am J Speech Lang Pathol 2009;18(4):343–360.</w:t>
      </w:r>
    </w:p>
    <w:p>
      <w:pPr>
        <w:pStyle w:val="Compact"/>
        <w:numPr>
          <w:ilvl w:val="0"/>
          <w:numId w:val="1043"/>
        </w:numPr>
      </w:pPr>
      <w:r>
        <w:t xml:space="preserve">Bishop D.V.M. Ten questions about terminology for children with unexplained language problems. Int J Lang Commun Disord 2014;49(4):381–415.</w:t>
      </w:r>
    </w:p>
    <w:p>
      <w:pPr>
        <w:pStyle w:val="Compact"/>
        <w:numPr>
          <w:ilvl w:val="0"/>
          <w:numId w:val="1043"/>
        </w:numPr>
      </w:pPr>
      <w:r>
        <w:t xml:space="preserve">Felsenfeld S., Kirk K.M., Zhu G. et al. A study of the genetic and environmental etiology of stuttering in a selected twin sample. Behav Genet 2000;30(5):359–366.</w:t>
      </w:r>
    </w:p>
    <w:p>
      <w:pPr>
        <w:pStyle w:val="Compact"/>
        <w:numPr>
          <w:ilvl w:val="0"/>
          <w:numId w:val="1043"/>
        </w:numPr>
      </w:pPr>
      <w:r>
        <w:t xml:space="preserve">Kang C., Riazuddin S., Mundorff J. et al. Mutations in the lysosomal enzyme-targeting pathway and persistent stuttering. NEJM 2010;362(8):677–685.</w:t>
      </w:r>
    </w:p>
    <w:p>
      <w:pPr>
        <w:pStyle w:val="Compact"/>
        <w:numPr>
          <w:ilvl w:val="0"/>
          <w:numId w:val="1043"/>
        </w:numPr>
      </w:pPr>
      <w:r>
        <w:t xml:space="preserve">Maguire G.A., Yeh C.Y., Ito B.S. Overview of the diagnosis and treatment of stuttering. Curr Med Res Opin 2020;36(8):1399–1407.</w:t>
      </w:r>
    </w:p>
    <w:p>
      <w:pPr>
        <w:pStyle w:val="Compact"/>
        <w:numPr>
          <w:ilvl w:val="0"/>
          <w:numId w:val="1043"/>
        </w:numPr>
      </w:pPr>
      <w:r>
        <w:t xml:space="preserve">Paradis J., Genesee F., Crago M.B. Dual Language Development and Disorders: A Handbook on Bilingualism and Second Language Learning. 2nd ed. Brookes Publishing; 2011.</w:t>
      </w:r>
    </w:p>
    <w:p>
      <w:pPr>
        <w:pStyle w:val="Compact"/>
        <w:numPr>
          <w:ilvl w:val="0"/>
          <w:numId w:val="1043"/>
        </w:numPr>
      </w:pPr>
      <w:r>
        <w:t xml:space="preserve">Bialystok E., Craik F.I.M., Luk G. Bilingualism: consequences for mind and brain. Trends Cogn Sci 2012;16(4):240–250.</w:t>
      </w:r>
    </w:p>
    <w:p>
      <w:pPr>
        <w:pStyle w:val="Compact"/>
        <w:numPr>
          <w:ilvl w:val="0"/>
          <w:numId w:val="1043"/>
        </w:numPr>
      </w:pPr>
      <w:r>
        <w:t xml:space="preserve">Conti-Ramsden G., Botting N. Emotional health in adolescents with and without a history of specific language impairment. J Child Psychol Psychiatry 2008;49(5):516–525.</w:t>
      </w:r>
    </w:p>
    <w:p>
      <w:pPr>
        <w:pStyle w:val="Compact"/>
        <w:numPr>
          <w:ilvl w:val="0"/>
          <w:numId w:val="1043"/>
        </w:numPr>
      </w:pPr>
      <w:r>
        <w:t xml:space="preserve">Starkweather C.W. Fluency and Stuttering. Englewood Cliffs: Prentice-Hall, 1987.</w:t>
      </w:r>
    </w:p>
    <w:p>
      <w:pPr>
        <w:pStyle w:val="Compact"/>
        <w:numPr>
          <w:ilvl w:val="0"/>
          <w:numId w:val="1043"/>
        </w:numPr>
      </w:pPr>
      <w:r>
        <w:t xml:space="preserve">Shriberg L.D., Tomblin J.B., McSweeny J.L. Prevalence of speech delay in 6-year-old children and comorbidity with language impairment. J Speech Lang Hear Res 1999;42(6):1461–1481.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5" w:name="m46a02-autism-spectrum-disorder-asd"/>
            <w:r>
              <w:t xml:space="preserve">6A02 AUTISM SPECTRUM DISORDER (ASD)</w:t>
            </w:r>
            <w:bookmarkEnd w:id="105"/>
          </w:p>
          <w:p>
            <w:pPr>
              <w:pStyle w:val="Compact"/>
              <w:ind w:firstLine="0" w:left="0"/>
            </w:pPr>
            <w:r>
              <w:rPr>
                <w:lang w:val="en"/>
              </w:rPr>
              <w:t xml:space="preserve">Autism spectrum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Childhood autism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w:t>
            </w:r>
          </w:p>
        </w:tc>
      </w:tr>
    </w:tbl>
    <w:bookmarkStart w:id="106" w:name="X5b114f2b67e18a27200dc66351a88ffac9f0460"/>
    <w:p>
      <w:pPr>
        <w:pStyle w:val="Heading3"/>
      </w:pPr>
      <w:r>
        <w:t xml:space="preserve">1. Definition and nosology</w:t>
      </w:r>
    </w:p>
    <w:p>
      <w:pPr>
        <w:pStyle w:val="FirstParagraph"/>
      </w:pPr>
      <w:r>
        <w:t xml:space="preserve">Autism spectrum disorder (ASD; ICD-11:</w:t>
      </w:r>
      <w:r>
        <w:t xml:space="preserve"> </w:t>
      </w:r>
      <w:r>
        <w:t xml:space="preserve">6A02</w:t>
      </w:r>
      <w:r>
        <w:t xml:space="preserve">; DSM-5-TR: F84.0 Autism Spectrum Disorder) is a neurodevelopmental disorder with onset in the early developmental period, accompanied by persistent deficits in two core domains:</w:t>
      </w:r>
    </w:p>
    <w:p>
      <w:pPr>
        <w:pStyle w:val="Compact"/>
        <w:numPr>
          <w:ilvl w:val="0"/>
          <w:numId w:val="1044"/>
        </w:numPr>
      </w:pPr>
      <w:r>
        <w:t xml:space="preserve">Persistent deficits in social communication and social interaction — reciprocal social-emotional exchange, non-verbal communicative behaviour, and the development and maintenance of relationships.</w:t>
      </w:r>
    </w:p>
    <w:p>
      <w:pPr>
        <w:pStyle w:val="Compact"/>
        <w:numPr>
          <w:ilvl w:val="0"/>
          <w:numId w:val="1044"/>
        </w:numPr>
      </w:pPr>
      <w:r>
        <w:t xml:space="preserve">Restricted, repetitive patterns of behaviour, interests, or activities — stereotyped motor movements or speech, adherence to fixed rituals and routines, restricted high-intensity interests, atypical reactivity to sensory stimuli.</w:t>
      </w:r>
    </w:p>
    <w:p>
      <w:pPr>
        <w:pStyle w:val="FirstParagraph"/>
      </w:pPr>
      <w:r>
        <w:t xml:space="preserve">In ICD-11, the diagnosis is specified with qualifiers: with/without intellectual developmental disorder; impairment of functional language (absent / mild-to-moderate / severe); overall persistent clinical course (stable, worsening, improving).</w:t>
      </w:r>
    </w:p>
    <w:bookmarkEnd w:id="106"/>
    <w:bookmarkStart w:id="107" w:name="X0dea51023dd62fd4b470b520f5155b7fed98f59"/>
    <w:p>
      <w:pPr>
        <w:pStyle w:val="Heading3"/>
      </w:pPr>
      <w:r>
        <w:t xml:space="preserve">2. History</w:t>
      </w:r>
    </w:p>
    <w:p>
      <w:pPr>
        <w:pStyle w:val="Compact"/>
        <w:numPr>
          <w:ilvl w:val="0"/>
          <w:numId w:val="1045"/>
        </w:numPr>
      </w:pPr>
      <w:r>
        <w:t xml:space="preserve">Kanner L. (1943) — “early infantile autism” — observed social isolation, resistance to change, and language disturbances in 11 children.</w:t>
      </w:r>
    </w:p>
    <w:p>
      <w:pPr>
        <w:pStyle w:val="Compact"/>
        <w:numPr>
          <w:ilvl w:val="0"/>
          <w:numId w:val="1045"/>
        </w:numPr>
      </w:pPr>
      <w:r>
        <w:t xml:space="preserve">Asperger H. (1944) — “autistic psychopathy” — described deficits in social interaction with normal intelligence and language. (Asperger's history of collaboration with the Nazi regime has come to light in recent decades — Czech H. Mol Autism 2018.)</w:t>
      </w:r>
    </w:p>
    <w:p>
      <w:pPr>
        <w:pStyle w:val="Compact"/>
        <w:numPr>
          <w:ilvl w:val="0"/>
          <w:numId w:val="1045"/>
        </w:numPr>
      </w:pPr>
      <w:r>
        <w:t xml:space="preserve">Wing L., Gould J. (1979) — the “autistic spectrum” concept; the “triad of impairments” — social interaction, communication, imagination/behaviour.</w:t>
      </w:r>
    </w:p>
    <w:p>
      <w:pPr>
        <w:pStyle w:val="Compact"/>
        <w:numPr>
          <w:ilvl w:val="0"/>
          <w:numId w:val="1045"/>
        </w:numPr>
      </w:pPr>
      <w:r>
        <w:t xml:space="preserve">DSM-III (1980) → DSM-IV (1994): the Pervasive Developmental Disorders category — Autistic Disorder, Asperger's Disorder, Childhood Disintegrative Disorder, Rett's Disorder, and PDD-NOS as separate diagnoses.</w:t>
      </w:r>
    </w:p>
    <w:p>
      <w:pPr>
        <w:pStyle w:val="Compact"/>
        <w:numPr>
          <w:ilvl w:val="0"/>
          <w:numId w:val="1045"/>
        </w:numPr>
      </w:pPr>
      <w:r>
        <w:t xml:space="preserve">DSM-5 (2013) and ICD-11 (2019): all subtypes were merged into the single category of “Autism Spectrum Disorder”. The rationale: the evidence base for a reliable and valid separation of the subtypes was weak. In DSM-5, severity is divided into 3 levels (1 — requiring support; 2 — requiring substantial support; 3 — requiring very substantial support). In ICD-11, severity is not a separate qualifier — sub-specification is based on intellectual and language impairment.</w:t>
      </w:r>
    </w:p>
    <w:p>
      <w:pPr>
        <w:pStyle w:val="Compact"/>
        <w:numPr>
          <w:ilvl w:val="0"/>
          <w:numId w:val="1045"/>
        </w:numPr>
      </w:pPr>
      <w:r>
        <w:t xml:space="preserve">Childhood disintegrative disorder is preserved in ICD-11 with a separate code (atypical course qualifier).</w:t>
      </w:r>
    </w:p>
    <w:bookmarkEnd w:id="107"/>
    <w:bookmarkStart w:id="108" w:name="X37b6c7af59129b364df12448a49434431d0a19f"/>
    <w:p>
      <w:pPr>
        <w:pStyle w:val="Heading3"/>
      </w:pPr>
      <w:r>
        <w:t xml:space="preserve">3. Epidemiology</w:t>
      </w:r>
    </w:p>
    <w:p>
      <w:pPr>
        <w:pStyle w:val="Compact"/>
        <w:numPr>
          <w:ilvl w:val="0"/>
          <w:numId w:val="1046"/>
        </w:numPr>
      </w:pPr>
      <w:r>
        <w:t xml:space="preserve">Prevalence: CDC ADDM Network 2023 report (8-year-old children, 2020 data): 1/36 (2.8%) — increase recorded in recent decades (1/150 — 2000; 1/68 — 2012). Most of the increase is explained by expansion of diagnostic criteria, increased awareness, and application of screening.</w:t>
      </w:r>
    </w:p>
    <w:p>
      <w:pPr>
        <w:pStyle w:val="Compact"/>
        <w:numPr>
          <w:ilvl w:val="0"/>
          <w:numId w:val="1046"/>
        </w:numPr>
      </w:pPr>
      <w:r>
        <w:t xml:space="preserve">Sex: Males ~4:1 — but under-detection problem in females documented (female phenotype — social “camouflage”, fewer overt repetitive behaviors; Lai M.C., Baron-Cohen S. Lancet Psychiatry 2015).</w:t>
      </w:r>
    </w:p>
    <w:p>
      <w:pPr>
        <w:pStyle w:val="Compact"/>
        <w:numPr>
          <w:ilvl w:val="0"/>
          <w:numId w:val="1046"/>
        </w:numPr>
      </w:pPr>
      <w:r>
        <w:t xml:space="preserve">Comorbidity with intellectual disability: ~30–40% (CDC ADDM); approximately 30–35% IQ &lt;70.</w:t>
      </w:r>
    </w:p>
    <w:p>
      <w:pPr>
        <w:pStyle w:val="Compact"/>
        <w:numPr>
          <w:ilvl w:val="0"/>
          <w:numId w:val="1046"/>
        </w:numPr>
      </w:pPr>
      <w:r>
        <w:t xml:space="preserve">Other comorbidities: ADHD ~30–50%, anxiety ~40%, depression in adolescence ~25%, epilepsy ~10–30% (increases with age), sleep disorders 50–80%, feeding problems, GI complaints.</w:t>
      </w:r>
    </w:p>
    <w:p>
      <w:pPr>
        <w:pStyle w:val="Compact"/>
        <w:numPr>
          <w:ilvl w:val="0"/>
          <w:numId w:val="1046"/>
        </w:numPr>
      </w:pPr>
      <w:r>
        <w:t xml:space="preserve">Mortality: Twice higher compared to the population — main causes: epilepsy, accidents (drowning, wandering incidents), suicide (in high-functioning ASD).</w:t>
      </w:r>
    </w:p>
    <w:bookmarkEnd w:id="108"/>
    <w:bookmarkStart w:id="113" w:name="X9989b93b53b279c3182c550c13516937b726592"/>
    <w:p>
      <w:pPr>
        <w:pStyle w:val="Heading3"/>
      </w:pPr>
      <w:r>
        <w:t xml:space="preserve">4. Aetiology and pathogenesis</w:t>
      </w:r>
    </w:p>
    <w:bookmarkStart w:id="109" w:name="genetic-factors-5080-heritability"/>
    <w:p>
      <w:pPr>
        <w:pStyle w:val="Heading4"/>
      </w:pPr>
      <w:r>
        <w:t xml:space="preserve">4.1 Genetic factors (50–80% heritability)</w:t>
      </w:r>
    </w:p>
    <w:p>
      <w:pPr>
        <w:pStyle w:val="Compact"/>
        <w:numPr>
          <w:ilvl w:val="0"/>
          <w:numId w:val="1047"/>
        </w:numPr>
      </w:pPr>
      <w:r>
        <w:t xml:space="preserve">Heritability: Sandin S. et al. JAMA 2017 Swedish sibling and twin study n&gt;2 mln: heritability ~80%; environmental factors account for ~20%.</w:t>
      </w:r>
    </w:p>
    <w:p>
      <w:pPr>
        <w:pStyle w:val="Compact"/>
        <w:numPr>
          <w:ilvl w:val="0"/>
          <w:numId w:val="1047"/>
        </w:numPr>
      </w:pPr>
      <w:r>
        <w:t xml:space="preserve">Association with genetic syndromes: Fragile X (~2–5% of ASD cases), Rett syndrome (almost always MECP2 mutation in females), tuberous sclerosis (~1–4%), 22q11.2 deletion, 16p11.2, Phelan-McDermid (22q13).</w:t>
      </w:r>
    </w:p>
    <w:p>
      <w:pPr>
        <w:pStyle w:val="Compact"/>
        <w:numPr>
          <w:ilvl w:val="0"/>
          <w:numId w:val="1047"/>
        </w:numPr>
      </w:pPr>
      <w:r>
        <w:t xml:space="preserve">De novo CNV and SNV mutations — identified in ~25% of cases; synaptic genes (SHANK3, NRXN1, NLGN3/4, CHD8, SCN2A) noted (Satterstrom F.K. et al. Cell 2020 — 102 risk genes).</w:t>
      </w:r>
    </w:p>
    <w:p>
      <w:pPr>
        <w:pStyle w:val="Compact"/>
        <w:numPr>
          <w:ilvl w:val="0"/>
          <w:numId w:val="1047"/>
        </w:numPr>
      </w:pPr>
      <w:r>
        <w:t xml:space="preserve">Polygenic risk architecture — numerically hundreds of small-effect variants; no single ‘autism gene’.</w:t>
      </w:r>
    </w:p>
    <w:p>
      <w:pPr>
        <w:pStyle w:val="Compact"/>
        <w:numPr>
          <w:ilvl w:val="0"/>
          <w:numId w:val="1047"/>
        </w:numPr>
      </w:pPr>
      <w:r>
        <w:t xml:space="preserve">Father's age &gt; 40 — associated with new mutation risk.</w:t>
      </w:r>
    </w:p>
    <w:bookmarkEnd w:id="109"/>
    <w:bookmarkStart w:id="110" w:name="prenatal-and-perinatal-risk-factors"/>
    <w:p>
      <w:pPr>
        <w:pStyle w:val="Heading4"/>
      </w:pPr>
      <w:r>
        <w:t xml:space="preserve">4.2 Prenatal and perinatal risk factors</w:t>
      </w:r>
    </w:p>
    <w:p>
      <w:pPr>
        <w:pStyle w:val="Compact"/>
        <w:numPr>
          <w:ilvl w:val="0"/>
          <w:numId w:val="1048"/>
        </w:numPr>
      </w:pPr>
      <w:r>
        <w:t xml:space="preserve">Maternal valproate use (during pregnancy) — increases the risk of autism spectrum disorder ~2.9-fold (95% CI 1.7–4.9) and of childhood autism ~5.2-fold (95% CI 2.7–10.0); absolute risk 4.42% and 2.50% (1.53% and 0.48% in the population) — Christensen J. et al. JAMA 2013; FDA and EMA warning.</w:t>
      </w:r>
    </w:p>
    <w:p>
      <w:pPr>
        <w:pStyle w:val="Compact"/>
        <w:numPr>
          <w:ilvl w:val="0"/>
          <w:numId w:val="1048"/>
        </w:numPr>
      </w:pPr>
      <w:r>
        <w:t xml:space="preserve">Preterm birth — at 22–27 weeks increases the risk ~3.7–4.2-fold (Crump C. et al. Pediatrics 2021), at 22–31 weeks ~2.3-fold (Persson M. et al. PLOS Med 2020); pooled ASD prevalence among preterm children is 7% (95% CI 4–9) at a median gestation of 28 weeks (Agrawal S. et al. Pediatrics 2018).</w:t>
      </w:r>
    </w:p>
    <w:p>
      <w:pPr>
        <w:pStyle w:val="Compact"/>
        <w:numPr>
          <w:ilvl w:val="0"/>
          <w:numId w:val="1048"/>
        </w:numPr>
      </w:pPr>
      <w:r>
        <w:t xml:space="preserve">Low birth weight, perinatal hypoxia.</w:t>
      </w:r>
    </w:p>
    <w:p>
      <w:pPr>
        <w:pStyle w:val="Compact"/>
        <w:numPr>
          <w:ilvl w:val="0"/>
          <w:numId w:val="1048"/>
        </w:numPr>
      </w:pPr>
      <w:r>
        <w:t xml:space="preserve">Parental diabetes, severe obesity, gestational hypertension — indicated as risk factors.</w:t>
      </w:r>
    </w:p>
    <w:p>
      <w:pPr>
        <w:pStyle w:val="Compact"/>
        <w:numPr>
          <w:ilvl w:val="0"/>
          <w:numId w:val="1048"/>
        </w:numPr>
      </w:pPr>
      <w:r>
        <w:t xml:space="preserve">Maternal viral infections during pregnancy (rubella, cytomegalovirus) — high risk.</w:t>
      </w:r>
    </w:p>
    <w:bookmarkEnd w:id="110"/>
    <w:bookmarkStart w:id="111" w:name="neurobiological-mechanisms"/>
    <w:p>
      <w:pPr>
        <w:pStyle w:val="Heading4"/>
      </w:pPr>
      <w:r>
        <w:t xml:space="preserve">4.3 Neurobiological mechanisms</w:t>
      </w:r>
    </w:p>
    <w:p>
      <w:pPr>
        <w:pStyle w:val="Compact"/>
        <w:numPr>
          <w:ilvl w:val="0"/>
          <w:numId w:val="1049"/>
        </w:numPr>
      </w:pPr>
      <w:r>
        <w:t xml:space="preserve">Atypical pattern of early brain growth — acceleration at 2–4 years, then normalization (Courchesne E. et al. JAMA 2003).</w:t>
      </w:r>
    </w:p>
    <w:p>
      <w:pPr>
        <w:pStyle w:val="Compact"/>
        <w:numPr>
          <w:ilvl w:val="0"/>
          <w:numId w:val="1049"/>
        </w:numPr>
      </w:pPr>
      <w:r>
        <w:t xml:space="preserve">Dysregulation in synaptic formation and pruning processes — excitatory/inhibitory imbalance.</w:t>
      </w:r>
    </w:p>
    <w:p>
      <w:pPr>
        <w:pStyle w:val="Compact"/>
        <w:numPr>
          <w:ilvl w:val="0"/>
          <w:numId w:val="1049"/>
        </w:numPr>
      </w:pPr>
      <w:r>
        <w:t xml:space="preserve">Atypical pattern of interregional functional connectivity in the brain — local hyperconnectivity, long-range hypoconnectivity (Just M.A. et al. Brain 2004; later mixed evidence).</w:t>
      </w:r>
    </w:p>
    <w:p>
      <w:pPr>
        <w:pStyle w:val="Compact"/>
        <w:numPr>
          <w:ilvl w:val="0"/>
          <w:numId w:val="1049"/>
        </w:numPr>
      </w:pPr>
      <w:r>
        <w:t xml:space="preserve">Social cognition network (medial prefrontal, temporal-parietal junction, amygdala) and mirror neuron system show atypical activation patterns.</w:t>
      </w:r>
    </w:p>
    <w:bookmarkEnd w:id="111"/>
    <w:bookmarkStart w:id="112" w:name="environmental-risk-factors"/>
    <w:p>
      <w:pPr>
        <w:pStyle w:val="Heading4"/>
      </w:pPr>
      <w:r>
        <w:t xml:space="preserve">4.4 Environmental risk factors</w:t>
      </w:r>
    </w:p>
    <w:p>
      <w:pPr>
        <w:pStyle w:val="Compact"/>
        <w:numPr>
          <w:ilvl w:val="0"/>
          <w:numId w:val="1050"/>
        </w:numPr>
      </w:pPr>
      <w:r>
        <w:t xml:space="preserve">Air pollution (PM2.5, NO2) during pregnancy and early childhood — moderately increases risk (Volk H.E. et al. JAMA Psychiatry 2013).</w:t>
      </w:r>
    </w:p>
    <w:p>
      <w:pPr>
        <w:pStyle w:val="Compact"/>
        <w:numPr>
          <w:ilvl w:val="0"/>
          <w:numId w:val="1050"/>
        </w:numPr>
      </w:pPr>
      <w:r>
        <w:t xml:space="preserve">Maternal folate deficiency (during the periconceptional period) — risk reduced with folate supplements (Surén P. et al. JAMA 2013).</w:t>
      </w:r>
    </w:p>
    <w:bookmarkEnd w:id="112"/>
    <w:bookmarkEnd w:id="113"/>
    <w:bookmarkStart w:id="117" w:name="X20483eccc829830e902b015eec2b286b294c2b2"/>
    <w:p>
      <w:pPr>
        <w:pStyle w:val="Heading3"/>
      </w:pPr>
      <w:r>
        <w:t xml:space="preserve">5. Clinical features</w:t>
      </w:r>
    </w:p>
    <w:bookmarkStart w:id="114" w:name="X3c82e19a7e4c82e45caab18193d437a500fb6c8"/>
    <w:p>
      <w:pPr>
        <w:pStyle w:val="Heading4"/>
      </w:pPr>
      <w:r>
        <w:t xml:space="preserve">5.1 Social communication and interaction deficits</w:t>
      </w:r>
    </w:p>
    <w:p>
      <w:pPr>
        <w:pStyle w:val="Compact"/>
        <w:numPr>
          <w:ilvl w:val="0"/>
          <w:numId w:val="1051"/>
        </w:numPr>
      </w:pPr>
      <w:r>
        <w:t xml:space="preserve">Reciprocal social-emotional exchange deficit — atypical social proximity, reduced reciprocal conversation, restricted shared interests.</w:t>
      </w:r>
    </w:p>
    <w:p>
      <w:pPr>
        <w:pStyle w:val="Compact"/>
        <w:numPr>
          <w:ilvl w:val="0"/>
          <w:numId w:val="1051"/>
        </w:numPr>
      </w:pPr>
      <w:r>
        <w:t xml:space="preserve">Non-verbal communicative behavior deficits – atypical use of eye contact, reduced coordination of gestures and facial expressions.</w:t>
      </w:r>
    </w:p>
    <w:p>
      <w:pPr>
        <w:pStyle w:val="Compact"/>
        <w:numPr>
          <w:ilvl w:val="0"/>
          <w:numId w:val="1051"/>
        </w:numPr>
      </w:pPr>
      <w:r>
        <w:t xml:space="preserve">Difficulty forming and maintaining relationships — paucity of age-appropriate friendships, lack of imaginative role play.</w:t>
      </w:r>
    </w:p>
    <w:bookmarkEnd w:id="114"/>
    <w:bookmarkStart w:id="115" w:name="restricted-repetitive-behavior-patterns"/>
    <w:p>
      <w:pPr>
        <w:pStyle w:val="Heading4"/>
      </w:pPr>
      <w:r>
        <w:t xml:space="preserve">5.2 Restricted, repetitive behavior patterns</w:t>
      </w:r>
    </w:p>
    <w:p>
      <w:pPr>
        <w:pStyle w:val="Compact"/>
        <w:numPr>
          <w:ilvl w:val="0"/>
          <w:numId w:val="1052"/>
        </w:numPr>
      </w:pPr>
      <w:r>
        <w:t xml:space="preserve">Stereotyped or repetitive motor movements, object use, or speech (echolalia, idiosyncratic phrases).</w:t>
      </w:r>
    </w:p>
    <w:p>
      <w:pPr>
        <w:pStyle w:val="Compact"/>
        <w:numPr>
          <w:ilvl w:val="0"/>
          <w:numId w:val="1052"/>
        </w:numPr>
      </w:pPr>
      <w:r>
        <w:t xml:space="preserve">Insistence on sameness, inflexible adherence to routines, or ritualized patterns of behavior (clothing, food, route).</w:t>
      </w:r>
    </w:p>
    <w:p>
      <w:pPr>
        <w:pStyle w:val="Compact"/>
        <w:numPr>
          <w:ilvl w:val="0"/>
          <w:numId w:val="1052"/>
        </w:numPr>
      </w:pPr>
      <w:r>
        <w:t xml:space="preserve">High intensity or focused limited interests (complex knowledge of a specific topic — “intense passion”).</w:t>
      </w:r>
    </w:p>
    <w:p>
      <w:pPr>
        <w:pStyle w:val="Compact"/>
        <w:numPr>
          <w:ilvl w:val="0"/>
          <w:numId w:val="1052"/>
        </w:numPr>
      </w:pPr>
      <w:r>
        <w:t xml:space="preserve">Atypical reactivity to sensory input — hyperreactivity (sound, touch), hyporeactivity (pain), or atypical sensory interests (examining surfaces, visual stimulation).</w:t>
      </w:r>
    </w:p>
    <w:bookmarkEnd w:id="115"/>
    <w:bookmarkStart w:id="116" w:name="developmental-trajectory-1"/>
    <w:p>
      <w:pPr>
        <w:pStyle w:val="Heading4"/>
      </w:pPr>
      <w:r>
        <w:t xml:space="preserve">5.3 Developmental trajectory</w:t>
      </w:r>
    </w:p>
    <w:p>
      <w:pPr>
        <w:pStyle w:val="FirstParagraph"/>
      </w:pPr>
      <w:r>
        <w:t xml:space="preserve">Early signs — reduced social attention, lack of response to name calling, reciprocal smiling, non-verbal communication (12–18 months). In some children developmental regression (loss of acquired language and social skills over 12–24 months) is noted — ~30% of cases (CDC).</w:t>
      </w:r>
    </w:p>
    <w:p>
      <w:pPr>
        <w:pStyle w:val="BodyText"/>
      </w:pPr>
      <w:r>
        <w:t xml:space="preserve">In adulthood — social “camouflage” in females and high-functioning individuals (Hull L. et al. J Autism Dev Disord 2017) — leads to exhaustion and secondary psychiatric comorbidity (anxiety, depression) by concealing difficulties.</w:t>
      </w:r>
    </w:p>
    <w:bookmarkEnd w:id="116"/>
    <w:bookmarkEnd w:id="117"/>
    <w:bookmarkStart w:id="122" w:name="Xc76c7003761bfc00ac7f66de67d84ffc34f8949"/>
    <w:p>
      <w:pPr>
        <w:pStyle w:val="Heading3"/>
      </w:pPr>
      <w:r>
        <w:t xml:space="preserve">6. Diagnosis</w:t>
      </w:r>
    </w:p>
    <w:bookmarkStart w:id="118" w:name="X85a17fe3a93193de5914c5140d21bf3820c7793"/>
    <w:p>
      <w:pPr>
        <w:pStyle w:val="Heading4"/>
      </w:pPr>
      <w:r>
        <w:t xml:space="preserve">6.1 Unified diagnostic criteria (DSM-5-TR · ICD-11 · NICE CG170 consensus points)</w:t>
      </w:r>
    </w:p>
    <w:p>
      <w:pPr>
        <w:pStyle w:val="FirstParagraph"/>
      </w:pPr>
      <w:r>
        <w:t xml:space="preserve">A. Persistent deficits in social communication and social interaction — all of the following three areas:</w:t>
      </w:r>
    </w:p>
    <w:p>
      <w:pPr>
        <w:pStyle w:val="Compact"/>
        <w:numPr>
          <w:ilvl w:val="0"/>
          <w:numId w:val="1053"/>
        </w:numPr>
      </w:pPr>
      <w:r>
        <w:t xml:space="preserve">Social-emotional reciprocal exchange.</w:t>
      </w:r>
    </w:p>
    <w:p>
      <w:pPr>
        <w:pStyle w:val="Compact"/>
        <w:numPr>
          <w:ilvl w:val="0"/>
          <w:numId w:val="1053"/>
        </w:numPr>
      </w:pPr>
      <w:r>
        <w:t xml:space="preserve">Nonverbal communicative behaviour used in social interaction;</w:t>
      </w:r>
    </w:p>
    <w:p>
      <w:pPr>
        <w:pStyle w:val="Compact"/>
        <w:numPr>
          <w:ilvl w:val="0"/>
          <w:numId w:val="1053"/>
        </w:numPr>
      </w:pPr>
      <w:r>
        <w:t xml:space="preserve">Development, maintenance, and understanding of relationships.</w:t>
      </w:r>
    </w:p>
    <w:p>
      <w:pPr>
        <w:pStyle w:val="FirstParagraph"/>
      </w:pPr>
      <w:r>
        <w:t xml:space="preserve">B. Restricted, repetitive patterns of behavior, interests, or activities — at least two of the following four:</w:t>
      </w:r>
    </w:p>
    <w:p>
      <w:pPr>
        <w:pStyle w:val="Compact"/>
        <w:numPr>
          <w:ilvl w:val="0"/>
          <w:numId w:val="1054"/>
        </w:numPr>
      </w:pPr>
      <w:r>
        <w:t xml:space="preserve">Stereotyped or repetitive motor movements, object use, speech;</w:t>
      </w:r>
    </w:p>
    <w:p>
      <w:pPr>
        <w:pStyle w:val="Compact"/>
        <w:numPr>
          <w:ilvl w:val="0"/>
          <w:numId w:val="1054"/>
        </w:numPr>
      </w:pPr>
      <w:r>
        <w:t xml:space="preserve">Insistence on sameness, adherence to routine, ritualized behavior or speech;</w:t>
      </w:r>
    </w:p>
    <w:p>
      <w:pPr>
        <w:pStyle w:val="Compact"/>
        <w:numPr>
          <w:ilvl w:val="0"/>
          <w:numId w:val="1054"/>
        </w:numPr>
      </w:pPr>
      <w:r>
        <w:t xml:space="preserve">High intensity, focused limited interests;</w:t>
      </w:r>
    </w:p>
    <w:p>
      <w:pPr>
        <w:pStyle w:val="Compact"/>
        <w:numPr>
          <w:ilvl w:val="0"/>
          <w:numId w:val="1054"/>
        </w:numPr>
      </w:pPr>
      <w:r>
        <w:t xml:space="preserve">Hyper- or hyporeactivity to sensory input, or atypical sensory interests.</w:t>
      </w:r>
    </w:p>
    <w:p>
      <w:pPr>
        <w:pStyle w:val="FirstParagraph"/>
      </w:pPr>
      <w:r>
        <w:t xml:space="preserve">C. Symptoms must be present in early developmental period (may not fully manifest until social demands increase).</w:t>
      </w:r>
    </w:p>
    <w:p>
      <w:pPr>
        <w:pStyle w:val="BodyText"/>
      </w:pPr>
      <w:r>
        <w:t xml:space="preserve">D. Functional impairment — in social, academic, or other important areas.</w:t>
      </w:r>
    </w:p>
    <w:p>
      <w:pPr>
        <w:pStyle w:val="BodyText"/>
      </w:pPr>
      <w:r>
        <w:t xml:space="preserve">E. Exclusions — not fully explained by intellectual developmental disorder or global developmental delay (comorbidity possible).</w:t>
      </w:r>
    </w:p>
    <w:bookmarkEnd w:id="118"/>
    <w:bookmarkStart w:id="119" w:name="differences-between-sources-4"/>
    <w:p>
      <w:pPr>
        <w:pStyle w:val="Heading4"/>
      </w:pPr>
      <w:r>
        <w:t xml:space="preserve">6.2 Differences between sources</w:t>
      </w:r>
    </w:p>
    <w:p>
      <w:pPr>
        <w:pStyle w:val="Compact"/>
        <w:numPr>
          <w:ilvl w:val="0"/>
          <w:numId w:val="1055"/>
        </w:numPr>
      </w:pPr>
      <w:r>
        <w:t xml:space="preserve">DSM-5-TR (F84.0): Three severity levels (1-3) are separately assigned for both domains — based on the intensity of support need. Qualifiers: intellectual disability, language impairment, known medical/genetic condition, another neurodevelopmental disorder, with catatonia.</w:t>
      </w:r>
    </w:p>
    <w:p>
      <w:pPr>
        <w:pStyle w:val="Compact"/>
        <w:numPr>
          <w:ilvl w:val="0"/>
          <w:numId w:val="1055"/>
        </w:numPr>
      </w:pPr>
      <w:r>
        <w:t xml:space="preserve">ICD-11 (6A02): Subspecifications — with intellectual developmental disorder (6A02.0/.1)/without (6A02.2/.3); degree of functional language impairment (absent / mild-moderate / severe). The 1–3 severity system in DSM is not officially adopted.</w:t>
      </w:r>
    </w:p>
    <w:p>
      <w:pPr>
        <w:pStyle w:val="Compact"/>
        <w:numPr>
          <w:ilvl w:val="0"/>
          <w:numId w:val="1055"/>
        </w:numPr>
      </w:pPr>
      <w:r>
        <w:t xml:space="preserve">NICE CG170 (Autism spectrum disorder in under 19s: support and management, 2013): the diagnosis should be made by a multidisciplinary team (pediatrician/psychiatrist + speech-language pathologist + clinical psychologist); ADOS-2 and ADI-R considered diagnostic gold standard.</w:t>
      </w:r>
    </w:p>
    <w:p>
      <w:pPr>
        <w:pStyle w:val="Compact"/>
        <w:numPr>
          <w:ilvl w:val="0"/>
          <w:numId w:val="1055"/>
        </w:numPr>
      </w:pPr>
      <w:r>
        <w:t xml:space="preserve">AAP 2020 (Hyman S.L., Levy S.E., Myers S.M. Pediatrics 2020;145(1)): At 18 and 24 months universal autism screening Recommended (M-CHAT-R/F); positive screening → specialist evaluation.</w:t>
      </w:r>
    </w:p>
    <w:p>
      <w:pPr>
        <w:pStyle w:val="Compact"/>
        <w:numPr>
          <w:ilvl w:val="0"/>
          <w:numId w:val="1055"/>
        </w:numPr>
      </w:pPr>
      <w:r>
        <w:t xml:space="preserve">AACAP Practice Parameter (Volkmar F. et al. J Am Acad Child Adolesc Psychiatry 2014): diagnostic algorithm, comorbidity assessment, treatment recommendations.</w:t>
      </w:r>
    </w:p>
    <w:bookmarkEnd w:id="119"/>
    <w:bookmarkStart w:id="120" w:name="diagnostic-algorithm-2"/>
    <w:p>
      <w:pPr>
        <w:pStyle w:val="Heading4"/>
      </w:pPr>
      <w:r>
        <w:t xml:space="preserve">6.3 Diagnostic algorithm</w:t>
      </w:r>
    </w:p>
    <w:p>
      <w:pPr>
        <w:pStyle w:val="Compact"/>
        <w:numPr>
          <w:ilvl w:val="0"/>
          <w:numId w:val="1056"/>
        </w:numPr>
      </w:pPr>
      <w:r>
        <w:t xml:space="preserve">Parent and caregiver interview — developmental history, early social and communicative signs.</w:t>
      </w:r>
    </w:p>
    <w:p>
      <w:pPr>
        <w:pStyle w:val="Compact"/>
        <w:numPr>
          <w:ilvl w:val="0"/>
          <w:numId w:val="1056"/>
        </w:numPr>
      </w:pPr>
      <w:r>
        <w:t xml:space="preserve">Screening: 18 and 24 months (M-CHAT-R/F); follow-up questionnaire if positive.</w:t>
      </w:r>
    </w:p>
    <w:p>
      <w:pPr>
        <w:pStyle w:val="Compact"/>
        <w:numPr>
          <w:ilvl w:val="0"/>
          <w:numId w:val="1056"/>
        </w:numPr>
      </w:pPr>
      <w:r>
        <w:t xml:space="preserve">Specialist assessment — pediatrician / developmental pediatrician / psychiatrist / clinical psychologist.</w:t>
      </w:r>
    </w:p>
    <w:p>
      <w:pPr>
        <w:pStyle w:val="Compact"/>
        <w:numPr>
          <w:ilvl w:val="0"/>
          <w:numId w:val="1056"/>
        </w:numPr>
      </w:pPr>
      <w:r>
        <w:t xml:space="preserve">Gold standard diagnostic tools: ADOS-2 (Autism Diagnostic Observation Schedule) — structured play-based observation; ADI-R (Autism Diagnostic Interview, Revised) — parent interview.</w:t>
      </w:r>
    </w:p>
    <w:p>
      <w:pPr>
        <w:pStyle w:val="Compact"/>
        <w:numPr>
          <w:ilvl w:val="0"/>
          <w:numId w:val="1056"/>
        </w:numPr>
      </w:pPr>
      <w:r>
        <w:t xml:space="preserve">Intellectual assessment (WISC-V, Stanford-Binet 5, non-verbal options — Leiter-3, Mullen).</w:t>
      </w:r>
    </w:p>
    <w:p>
      <w:pPr>
        <w:pStyle w:val="Compact"/>
        <w:numPr>
          <w:ilvl w:val="0"/>
          <w:numId w:val="1056"/>
        </w:numPr>
      </w:pPr>
      <w:r>
        <w:t xml:space="preserve">Speech-language and adaptive behavior assessment (Vineland-3).</w:t>
      </w:r>
    </w:p>
    <w:p>
      <w:pPr>
        <w:pStyle w:val="Compact"/>
        <w:numPr>
          <w:ilvl w:val="0"/>
          <w:numId w:val="1056"/>
        </w:numPr>
      </w:pPr>
      <w:r>
        <w:t xml:space="preserve">Hearing and vision tests.</w:t>
      </w:r>
    </w:p>
    <w:p>
      <w:pPr>
        <w:pStyle w:val="Compact"/>
        <w:numPr>
          <w:ilvl w:val="0"/>
          <w:numId w:val="1056"/>
        </w:numPr>
      </w:pPr>
      <w:r>
        <w:t xml:space="preserve">Medical and genetic assessment — chromosomal microarray (CMA), Fragile X (FMR1), selective trio exome; EEG when seizure suspicion exists; MRI in clinical suspicion (microcephaly, regression).</w:t>
      </w:r>
    </w:p>
    <w:p>
      <w:pPr>
        <w:pStyle w:val="Compact"/>
        <w:numPr>
          <w:ilvl w:val="0"/>
          <w:numId w:val="1056"/>
        </w:numPr>
      </w:pPr>
      <w:r>
        <w:t xml:space="preserve">Comorbidity screening: ADHD, anxiety, depression, OCD, sleep, eating, GI.</w:t>
      </w:r>
    </w:p>
    <w:bookmarkEnd w:id="120"/>
    <w:bookmarkStart w:id="121" w:name="differential-diagnosis-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developmental disorder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 cognitive deficit; social reciprocity corresponds to intellectual level. Can be comorbid.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Developmental language disorder — pragmatic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Deficit in the use of social language; no restricted-repetitive patterns of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Reactive attachment disorder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Arises from early psychosocial deprivation; potential for recovery in appropriate environment.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Schizotypal disorder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Usually manifests in adulthood; psychotic-like thinking.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obsessions and compulsions; rituals in ASD are ego-syntonic.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disorder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avoidance anxiety-based; social interest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speaking in specific contexts; normal speech in home context.</w:t>
            </w:r>
          </w:p>
        </w:tc>
      </w:tr>
    </w:tbl>
    <w:bookmarkEnd w:id="121"/>
    <w:bookmarkEnd w:id="122"/>
    <w:bookmarkStart w:id="126" w:name="Xef17618d42776432f7001c3e3eb00f484bfdc63"/>
    <w:p>
      <w:pPr>
        <w:pStyle w:val="Heading3"/>
      </w:pPr>
      <w:r>
        <w:t xml:space="preserve">7. Examination and assessment</w:t>
      </w:r>
    </w:p>
    <w:bookmarkStart w:id="123" w:name="clinical-diagnostic-tools"/>
    <w:p>
      <w:pPr>
        <w:pStyle w:val="Heading4"/>
      </w:pPr>
      <w:r>
        <w:t xml:space="preserve">7.1 Clinical diagnostic tools</w:t>
      </w:r>
    </w:p>
    <w:p>
      <w:pPr>
        <w:pStyle w:val="Compact"/>
        <w:numPr>
          <w:ilvl w:val="0"/>
          <w:numId w:val="1057"/>
        </w:numPr>
      </w:pPr>
      <w:r>
        <w:t xml:space="preserve">Screening: M-CHAT-R/F (16–30 months), SCQ (4+ years, parent questionnaire), SRS-2 (Social Responsiveness Scale).</w:t>
      </w:r>
    </w:p>
    <w:p>
      <w:pPr>
        <w:pStyle w:val="Compact"/>
        <w:numPr>
          <w:ilvl w:val="0"/>
          <w:numId w:val="1057"/>
        </w:numPr>
      </w:pPr>
      <w:r>
        <w:t xml:space="preserve">Diagnostics: ADOS-2 (toddler-adult modules), ADI-R (1.5+ years, parent).</w:t>
      </w:r>
    </w:p>
    <w:p>
      <w:pPr>
        <w:pStyle w:val="Compact"/>
        <w:numPr>
          <w:ilvl w:val="0"/>
          <w:numId w:val="1057"/>
        </w:numPr>
      </w:pPr>
      <w:r>
        <w:t xml:space="preserve">Intellect and cognition: Mullen Scales of Early Learning, Bayley-III/IV (young age), WISC-V, Leiter-3 (non-verbal).</w:t>
      </w:r>
    </w:p>
    <w:p>
      <w:pPr>
        <w:pStyle w:val="Compact"/>
        <w:numPr>
          <w:ilvl w:val="0"/>
          <w:numId w:val="1057"/>
        </w:numPr>
      </w:pPr>
      <w:r>
        <w:t xml:space="preserve">Adaptive behaviour: Vineland-3, ABAS-3.</w:t>
      </w:r>
    </w:p>
    <w:p>
      <w:pPr>
        <w:pStyle w:val="Compact"/>
        <w:numPr>
          <w:ilvl w:val="0"/>
          <w:numId w:val="1057"/>
        </w:numPr>
      </w:pPr>
      <w:r>
        <w:t xml:space="preserve">Speech and language: PLS-5, CELF-5, CCC-2 (pragmatic).</w:t>
      </w:r>
    </w:p>
    <w:p>
      <w:pPr>
        <w:pStyle w:val="Compact"/>
        <w:numPr>
          <w:ilvl w:val="0"/>
          <w:numId w:val="1057"/>
        </w:numPr>
      </w:pPr>
      <w:r>
        <w:t xml:space="preserve">Sensory profile: Sensory Profile-2 (Dunn).</w:t>
      </w:r>
    </w:p>
    <w:p>
      <w:pPr>
        <w:pStyle w:val="Compact"/>
        <w:numPr>
          <w:ilvl w:val="0"/>
          <w:numId w:val="1057"/>
        </w:numPr>
      </w:pPr>
      <w:r>
        <w:t xml:space="preserve">Comorbidity: Conners for ADHD, SCARED for anxiety, PHQ-9 adaptations for depression.</w:t>
      </w:r>
    </w:p>
    <w:bookmarkEnd w:id="123"/>
    <w:bookmarkStart w:id="124" w:name="laboratory-investigations-1"/>
    <w:p>
      <w:pPr>
        <w:pStyle w:val="Heading4"/>
      </w:pPr>
      <w:r>
        <w:t xml:space="preserve">7.2 Laboratory investigations</w:t>
      </w:r>
    </w:p>
    <w:p>
      <w:pPr>
        <w:pStyle w:val="FirstParagraph"/>
      </w:pPr>
      <w:r>
        <w:t xml:space="preserve">First-line (AAP 2020 / AACAP 2014): Chromosomal microarray analysis (CMA — diagnostic yield ~10–20%); Fragile X (FMR1).</w:t>
      </w:r>
    </w:p>
    <w:p>
      <w:pPr>
        <w:pStyle w:val="BodyText"/>
      </w:pPr>
      <w:r>
        <w:t xml:space="preserve">Selective: trio exome sequencing (WES — diagnostic yield of 25–40% if CMA is negative); MECP2 (for suspected Rett syndrome in females); metabolic (lactate, ammonia, amino acids — if regression is present); lead level; TSH.</w:t>
      </w:r>
    </w:p>
    <w:bookmarkEnd w:id="124"/>
    <w:bookmarkStart w:id="125" w:name="instrumental-investigations-2"/>
    <w:p>
      <w:pPr>
        <w:pStyle w:val="Heading4"/>
      </w:pPr>
      <w:r>
        <w:t xml:space="preserve">7.3 Instrumental investigations</w:t>
      </w:r>
    </w:p>
    <w:p>
      <w:pPr>
        <w:pStyle w:val="Compact"/>
        <w:numPr>
          <w:ilvl w:val="0"/>
          <w:numId w:val="1058"/>
        </w:numPr>
      </w:pPr>
      <w:r>
        <w:t xml:space="preserve">EEG — in case of seizure, regression, bizarre behavior episodes.</w:t>
      </w:r>
    </w:p>
    <w:p>
      <w:pPr>
        <w:pStyle w:val="Compact"/>
        <w:numPr>
          <w:ilvl w:val="0"/>
          <w:numId w:val="1058"/>
        </w:numPr>
      </w:pPr>
      <w:r>
        <w:t xml:space="preserve">Brain MRI — focal neurological signs, micro/macrocephaly, regression.</w:t>
      </w:r>
    </w:p>
    <w:p>
      <w:pPr>
        <w:pStyle w:val="Compact"/>
        <w:numPr>
          <w:ilvl w:val="0"/>
          <w:numId w:val="1058"/>
        </w:numPr>
      </w:pPr>
      <w:r>
        <w:t xml:space="preserve">Hearing test — mandatory in all cases (audiometry, ABR).</w:t>
      </w:r>
    </w:p>
    <w:bookmarkEnd w:id="125"/>
    <w:bookmarkEnd w:id="126"/>
    <w:bookmarkStart w:id="130" w:name="X685c4ec44dc14b569509561f5426989c963b855"/>
    <w:p>
      <w:pPr>
        <w:pStyle w:val="Heading3"/>
      </w:pPr>
      <w:r>
        <w:t xml:space="preserve">8. Treatment</w:t>
      </w:r>
    </w:p>
    <w:bookmarkStart w:id="127" w:name="Xc346d6a72f0372b278dbb4d9beeac495f5bf995"/>
    <w:p>
      <w:pPr>
        <w:pStyle w:val="Heading4"/>
      </w:pPr>
      <w:r>
        <w:t xml:space="preserve">8.1 General principles (NICE CG170 · AAP 2020 · AACAP 2014 consensus)</w:t>
      </w:r>
    </w:p>
    <w:p>
      <w:pPr>
        <w:pStyle w:val="Compact"/>
        <w:numPr>
          <w:ilvl w:val="0"/>
          <w:numId w:val="1059"/>
        </w:numPr>
      </w:pPr>
      <w:r>
        <w:t xml:space="preserve">ASD cannot be ‘cured’ — individual development, adaptation, and quality of life are improved. Claims of “cure” and “full recovery” are not scientifically based; the goal is functional skills, communication, independence, quality of life.</w:t>
      </w:r>
    </w:p>
    <w:p>
      <w:pPr>
        <w:pStyle w:val="Compact"/>
        <w:numPr>
          <w:ilvl w:val="0"/>
          <w:numId w:val="1059"/>
        </w:numPr>
      </w:pPr>
      <w:r>
        <w:t xml:space="preserve">Early, intensive, individual behavioral intervention First-line — effect greatest between ages 18 months to 6 years (Reichow B. et al. Cochrane 2018, EIBI/ESDM meta-analysis).</w:t>
      </w:r>
    </w:p>
    <w:p>
      <w:pPr>
        <w:pStyle w:val="Compact"/>
        <w:numPr>
          <w:ilvl w:val="0"/>
          <w:numId w:val="1059"/>
        </w:numPr>
      </w:pPr>
      <w:r>
        <w:t xml:space="preserve">Naturalistic Developmental Behavioral Interventions (NDBI) — based on the principles of behavior-development in play and daily contexts; more flexible than the classical discrete-trial version of ABA. Included in this group:</w:t>
      </w:r>
    </w:p>
    <w:p>
      <w:pPr>
        <w:pStyle w:val="Compact"/>
        <w:numPr>
          <w:ilvl w:val="1"/>
          <w:numId w:val="1060"/>
        </w:numPr>
      </w:pPr>
      <w:r>
        <w:t xml:space="preserve">Early Start Denver Model (ESDM)</w:t>
      </w:r>
    </w:p>
    <w:p>
      <w:pPr>
        <w:pStyle w:val="Compact"/>
        <w:numPr>
          <w:ilvl w:val="1"/>
          <w:numId w:val="1060"/>
        </w:numPr>
      </w:pPr>
      <w:r>
        <w:t xml:space="preserve">Joint Attention, Symbolic Play, Engagement, and Regulation (JASPER)</w:t>
      </w:r>
    </w:p>
    <w:p>
      <w:pPr>
        <w:pStyle w:val="Compact"/>
        <w:numPr>
          <w:ilvl w:val="1"/>
          <w:numId w:val="1060"/>
        </w:numPr>
      </w:pPr>
      <w:r>
        <w:t xml:space="preserve">Pivotal Response Treatment (PRT)</w:t>
      </w:r>
    </w:p>
    <w:p>
      <w:pPr>
        <w:pStyle w:val="Compact"/>
        <w:numPr>
          <w:ilvl w:val="1"/>
          <w:numId w:val="1060"/>
        </w:numPr>
      </w:pPr>
      <w:r>
        <w:t xml:space="preserve">Enhanced Milieu Teaching (EMT)</w:t>
      </w:r>
    </w:p>
    <w:p>
      <w:pPr>
        <w:pStyle w:val="Compact"/>
        <w:numPr>
          <w:ilvl w:val="1"/>
          <w:numId w:val="1060"/>
        </w:numPr>
      </w:pPr>
      <w:r>
        <w:t xml:space="preserve">Paediatric Autism Communication Therapy (PACT)</w:t>
      </w:r>
    </w:p>
    <w:p>
      <w:pPr>
        <w:pStyle w:val="Compact"/>
        <w:numPr>
          <w:ilvl w:val="0"/>
          <w:numId w:val="1000"/>
        </w:numPr>
      </w:pPr>
      <w:r>
        <w:t xml:space="preserve">Detailed description of methods — in the ‘Treatment methodologies’ section.</w:t>
      </w:r>
    </w:p>
    <w:p>
      <w:pPr>
        <w:pStyle w:val="Compact"/>
        <w:numPr>
          <w:ilvl w:val="0"/>
          <w:numId w:val="1059"/>
        </w:numPr>
      </w:pPr>
      <w:r>
        <w:t xml:space="preserve">Parent-mediated approach — Hanen “More Than Words”, PACT (Pickles A., Green J. et al. Lancet 2010, 2016 follow-up — 6-year effect sustained), PRT parent version. Most cost-effective approach in resource-limited settings.</w:t>
      </w:r>
    </w:p>
    <w:p>
      <w:pPr>
        <w:pStyle w:val="Compact"/>
        <w:numPr>
          <w:ilvl w:val="0"/>
          <w:numId w:val="1059"/>
        </w:numPr>
      </w:pPr>
      <w:r>
        <w:t xml:space="preserve">Social skills groups — for older children and adolescents; PEERS program (UCLA, Laugeson E.A.) — also effective in adults.</w:t>
      </w:r>
    </w:p>
    <w:p>
      <w:pPr>
        <w:pStyle w:val="Compact"/>
        <w:numPr>
          <w:ilvl w:val="0"/>
          <w:numId w:val="1059"/>
        </w:numPr>
      </w:pPr>
      <w:r>
        <w:t xml:space="preserve">Structured educational environment — TEACCH (Treatment and Education of Autistic and related Communication-handicapped Children, Schopler E. North Carolina); IEP / EHCP individual education plan.</w:t>
      </w:r>
    </w:p>
    <w:p>
      <w:pPr>
        <w:pStyle w:val="Compact"/>
        <w:numPr>
          <w:ilvl w:val="0"/>
          <w:numId w:val="1059"/>
        </w:numPr>
      </w:pPr>
      <w:r>
        <w:t xml:space="preserve">Communication support — in minimally verbal patients — Augmentative and Alternative Communication (AAC) — PECS (Picture Exchange Communication System), speech-generating devices, tablet-based applications.</w:t>
      </w:r>
    </w:p>
    <w:p>
      <w:pPr>
        <w:pStyle w:val="Compact"/>
        <w:numPr>
          <w:ilvl w:val="0"/>
          <w:numId w:val="1059"/>
        </w:numPr>
      </w:pPr>
      <w:r>
        <w:t xml:space="preserve">Comorbidity treatment — ADHD (stimulants, Cortese 2018), anxiety (CBT modification — Storch E.A. RCTs), depression (CBT, SSRIs), epilepsy (standard antiepileptic), sleep (sleep hygiene, melatonin — RCT evidence Goldman S.E. J Clin Sleep Med 2014).</w:t>
      </w:r>
    </w:p>
    <w:p>
      <w:pPr>
        <w:pStyle w:val="Compact"/>
        <w:numPr>
          <w:ilvl w:val="0"/>
          <w:numId w:val="1059"/>
        </w:numPr>
      </w:pPr>
      <w:r>
        <w:t xml:space="preserve">Pharmacotherapy only for comorbid symptoms — There is no FDA-approved medication for the core symptoms of ASD. For behavioral aggression and irritability — risperidone (5–16 years, FDA approval 2006) and aripiprazole (6–17 years, FDA approval 2009). Both are evidence-based (McCracken J.T. et al. NEJM 2002 RCT — risperidone), but the side effect burden is significant (metabolic, EPS). Behavioral intervention is first-line.</w:t>
      </w:r>
    </w:p>
    <w:bookmarkEnd w:id="127"/>
    <w:bookmarkStart w:id="128" w:name="treatment-methods-2"/>
    <w:p>
      <w:pPr>
        <w:pStyle w:val="Heading4"/>
      </w:pPr>
      <w:r>
        <w:t xml:space="preserve">8.2 Treatment methods</w:t>
      </w:r>
    </w:p>
    <w:p>
      <w:pPr>
        <w:pStyle w:val="Compact"/>
        <w:numPr>
          <w:ilvl w:val="0"/>
          <w:numId w:val="1061"/>
        </w:numPr>
      </w:pPr>
      <w:r>
        <w:t xml:space="preserve">Applied Behavior Analysis (ABA) — Learning method based on behavioral principles; shaping social, communicative, and adaptive skills, reducing challenging behavior. Applied in discrete trial training (DTT) or naturalistic format. Part of adult autistic community criticizes classical form of ABA (autonomy, distress).</w:t>
      </w:r>
    </w:p>
    <w:p>
      <w:pPr>
        <w:pStyle w:val="Compact"/>
        <w:numPr>
          <w:ilvl w:val="0"/>
          <w:numId w:val="1061"/>
        </w:numPr>
      </w:pPr>
      <w:r>
        <w:t xml:space="preserve">Early Intensive Behavioral Intervention (EIBI) — Structured intensive intervention based on ABA at early age (25–40 hours per week); target — social, communicative, and adaptive skills. Evidence: Reichow B., Hume K., Barton E.E., Boyd B.A. Cochrane 2018 — small-to-medium effect on IQ, language, and adaptive behavior; current claims should be approached with caution.</w:t>
      </w:r>
    </w:p>
    <w:p>
      <w:pPr>
        <w:pStyle w:val="Compact"/>
        <w:numPr>
          <w:ilvl w:val="0"/>
          <w:numId w:val="1061"/>
        </w:numPr>
      </w:pPr>
      <w:r>
        <w:t xml:space="preserve">Early Start Denver Model (ESDM) — Rogers S., Dawson G — Naturalistic developmental behavioral intervention for 12–48 months; learning within the context of play and daily activities. Evidence: Dawson G. et al. Pediatrics 2010 RCT n=48 — significant improvement in IQ, language, and adaptive behavior, diagnosis change at age 6 (Dawson G. et al. JAACAP 2012 follow-up). Parent version (P-ESDM) Rogers S.J. et al. JAACAP 2012.</w:t>
      </w:r>
    </w:p>
    <w:p>
      <w:pPr>
        <w:pStyle w:val="Compact"/>
        <w:numPr>
          <w:ilvl w:val="0"/>
          <w:numId w:val="1061"/>
        </w:numPr>
      </w:pPr>
      <w:r>
        <w:t xml:space="preserve">Joint Attention, Symbolic Play, Engagement, and Regulation (JASPER) — Kasari (Kasari C.) — Intervention targeting joint attention and symbolic play development; 12–60 months. Evidence: Kasari C. et al. JAMA Pediatr 2014, J Consult Clin Psychol 2010 — significant improvement in joint attention and expressive language.</w:t>
      </w:r>
    </w:p>
    <w:p>
      <w:pPr>
        <w:pStyle w:val="Compact"/>
        <w:numPr>
          <w:ilvl w:val="0"/>
          <w:numId w:val="1061"/>
        </w:numPr>
      </w:pPr>
      <w:r>
        <w:t xml:space="preserve">Paediatric Autism Communication Therapy (PACT) — Pickles (A.), Green (J.) — Parent-coordinated communication intervention; ages 2–11. Video-based analysis and expansion of parent-child interaction. Evidence: Pickles A. et al. Lancet 2016 — n=152, 6-year follow-up — sustained improvement in autism severity and parent synchronization. Adapted for resource-limited settings.</w:t>
      </w:r>
    </w:p>
    <w:p>
      <w:pPr>
        <w:pStyle w:val="Compact"/>
        <w:numPr>
          <w:ilvl w:val="0"/>
          <w:numId w:val="1061"/>
        </w:numPr>
      </w:pPr>
      <w:r>
        <w:t xml:space="preserve">Pivotal Response Treatment (PRT) — Koegel (Koegel R.L., Koegel L.K.) — focusing on “Pivot” behaviors (motivation, response to multiple signals, self-regulation, self-initiation) — when learned, change spreads to multiple areas. In naturalistic format, based on child's choices.</w:t>
      </w:r>
    </w:p>
    <w:p>
      <w:pPr>
        <w:pStyle w:val="Compact"/>
        <w:numPr>
          <w:ilvl w:val="0"/>
          <w:numId w:val="1061"/>
        </w:numPr>
      </w:pPr>
      <w:r>
        <w:t xml:space="preserve">Treatment and Education of Autistic and related Communication-handicapped Children (TEACCH) — Schopler E. — Structured visual educational environment — ‘structured teaching’ — visual schedules, work systems, individual transitions; in home, school, and community contexts. Originated in North Carolina, spread worldwide.</w:t>
      </w:r>
    </w:p>
    <w:p>
      <w:pPr>
        <w:pStyle w:val="Compact"/>
        <w:numPr>
          <w:ilvl w:val="0"/>
          <w:numId w:val="1061"/>
        </w:numPr>
      </w:pPr>
      <w:r>
        <w:t xml:space="preserve">Picture Exchange Communication System (PECS) — Bondy, Frost — Picture exchange-based communication training for minimal-verbal patients — in 6 stages. Evidence: Howlin P. et al. J Child Psychol Psychiatry 2007 RCT — increase in communication.</w:t>
      </w:r>
    </w:p>
    <w:p>
      <w:pPr>
        <w:pStyle w:val="Compact"/>
        <w:numPr>
          <w:ilvl w:val="0"/>
          <w:numId w:val="1061"/>
        </w:numPr>
      </w:pPr>
      <w:r>
        <w:t xml:space="preserve">Program for the Education and Enrichment of Relational Skills (PEERS) — Laugeson (Laugeson E.A., UCLA) — Structured social skills group for adolescents and young adults with ASD; 16 weeks, with parental support. Evidence: Laugeson E.A. et al. J Autism Dev Disord 2012, 2015.</w:t>
      </w:r>
    </w:p>
    <w:p>
      <w:pPr>
        <w:pStyle w:val="Compact"/>
        <w:numPr>
          <w:ilvl w:val="0"/>
          <w:numId w:val="1061"/>
        </w:numPr>
      </w:pPr>
      <w:r>
        <w:t xml:space="preserve">Hanen “More Than Words” — 8 group sessions + 3 individual home visits for parents of children with ASD aged 2–5. hanen.org.</w:t>
      </w:r>
    </w:p>
    <w:p>
      <w:pPr>
        <w:pStyle w:val="Compact"/>
        <w:numPr>
          <w:ilvl w:val="0"/>
          <w:numId w:val="1061"/>
        </w:numPr>
      </w:pPr>
      <w:r>
        <w:t xml:space="preserve">WHO Caregiver Skills Training (CST) — WHO's limited-resource parent training for low- and middle-income countries; for ASD and developmental delays; implemented by non-specialist trainer-facilitators working in the community.</w:t>
      </w:r>
    </w:p>
    <w:p>
      <w:pPr>
        <w:pStyle w:val="Compact"/>
        <w:numPr>
          <w:ilvl w:val="0"/>
          <w:numId w:val="1061"/>
        </w:numPr>
      </w:pPr>
      <w:r>
        <w:t xml:space="preserve">EEG Neurofeedback — Neurofeedback training, based on real-time monitoring of brainwave patterns, aimed at enabling the user to regulate their own brain activity. In ASD, the evidence base for an effect on core symptoms is limited; Holtmann M. et al. Dev Med Child Neurol 2011 — modest in ADHD, specific evidence in ASD is weak. Not first-line, adjunct status; the limited evidence base should be explained to the patient and the family.</w:t>
      </w:r>
    </w:p>
    <w:p>
      <w:pPr>
        <w:pStyle w:val="Compact"/>
        <w:numPr>
          <w:ilvl w:val="0"/>
          <w:numId w:val="1061"/>
        </w:numPr>
      </w:pPr>
      <w:r>
        <w:t xml:space="preserve">Autism Diagnostic Observation Schedule (ADOS-2) and Autism Diagnostic Interview-Revised (ADI-R) — Diagnostic gold standard tools — ADOS-2 structured play-based observation (5 modules, toddler-adult); ADI-R standardized parent interview (1.5+ years, ~2 hours).</w:t>
      </w:r>
    </w:p>
    <w:bookmarkEnd w:id="128"/>
    <w:bookmarkStart w:id="129" w:name="differences-between-sources-5"/>
    <w:p>
      <w:pPr>
        <w:pStyle w:val="Heading4"/>
      </w:pPr>
      <w:r>
        <w:t xml:space="preserve">8.3 Differences between sources</w:t>
      </w:r>
    </w:p>
    <w:p>
      <w:pPr>
        <w:pStyle w:val="Compact"/>
        <w:numPr>
          <w:ilvl w:val="0"/>
          <w:numId w:val="1062"/>
        </w:numPr>
      </w:pPr>
      <w:r>
        <w:t xml:space="preserve">NICE CG170 (2013, 2021 update): diagnosis by a multidisciplinary group; social communication interventions are first-line; parent programs are superior; antipsychotics only when behavioral interventions fail; caution against claims of actual “treatment”.</w:t>
      </w:r>
    </w:p>
    <w:p>
      <w:pPr>
        <w:pStyle w:val="Compact"/>
        <w:numPr>
          <w:ilvl w:val="0"/>
          <w:numId w:val="1062"/>
        </w:numPr>
      </w:pPr>
      <w:r>
        <w:t xml:space="preserve">AAP Clinical Report 2020 (Hyman et al.): 18 and 24 months universal screening; early intervention (&lt;3 years); integrated medical and behavioral management.</w:t>
      </w:r>
    </w:p>
    <w:p>
      <w:pPr>
        <w:pStyle w:val="Compact"/>
        <w:numPr>
          <w:ilvl w:val="0"/>
          <w:numId w:val="1062"/>
        </w:numPr>
      </w:pPr>
      <w:r>
        <w:t xml:space="preserve">AACAP Practice Parameter 2014 (Volkmar): emphasis on diagnosis-specific educational placement, comorbidity treatment, family support.</w:t>
      </w:r>
    </w:p>
    <w:p>
      <w:pPr>
        <w:pStyle w:val="Compact"/>
        <w:numPr>
          <w:ilvl w:val="0"/>
          <w:numId w:val="1062"/>
        </w:numPr>
      </w:pPr>
      <w:r>
        <w:t xml:space="preserve">WHO Caregiver Skills Training (CST): resource-limited parent training program for low and middle income countries; widely adapted across countries (Salomone E. et al. Autism 2019).</w:t>
      </w:r>
    </w:p>
    <w:bookmarkEnd w:id="129"/>
    <w:bookmarkEnd w:id="130"/>
    <w:bookmarkStart w:id="134" w:name="X9969e835bb8572015e2d8c4cebe0b0dd98cbb0f"/>
    <w:p>
      <w:pPr>
        <w:pStyle w:val="Heading3"/>
      </w:pPr>
      <w:r>
        <w:t xml:space="preserve">9. Prognosis</w:t>
      </w:r>
    </w:p>
    <w:bookmarkStart w:id="131" w:name="good-prognostic-factors-2"/>
    <w:p>
      <w:pPr>
        <w:pStyle w:val="Heading4"/>
      </w:pPr>
      <w:r>
        <w:t xml:space="preserve">Good prognostic factors</w:t>
      </w:r>
    </w:p>
    <w:p>
      <w:pPr>
        <w:pStyle w:val="Compact"/>
        <w:numPr>
          <w:ilvl w:val="0"/>
          <w:numId w:val="1063"/>
        </w:numPr>
      </w:pPr>
      <w:r>
        <w:t xml:space="preserve">Early diagnosis (&lt;3 years) and early intensive intervention.</w:t>
      </w:r>
    </w:p>
    <w:p>
      <w:pPr>
        <w:pStyle w:val="Compact"/>
        <w:numPr>
          <w:ilvl w:val="0"/>
          <w:numId w:val="1063"/>
        </w:numPr>
      </w:pPr>
      <w:r>
        <w:t xml:space="preserve">Intellectual function preserved (IQ &gt;70).</w:t>
      </w:r>
    </w:p>
    <w:p>
      <w:pPr>
        <w:pStyle w:val="Compact"/>
        <w:numPr>
          <w:ilvl w:val="0"/>
          <w:numId w:val="1063"/>
        </w:numPr>
      </w:pPr>
      <w:r>
        <w:t xml:space="preserve">Acquisition of functional language by age 5.</w:t>
      </w:r>
    </w:p>
    <w:p>
      <w:pPr>
        <w:pStyle w:val="Compact"/>
        <w:numPr>
          <w:ilvl w:val="0"/>
          <w:numId w:val="1063"/>
        </w:numPr>
      </w:pPr>
      <w:r>
        <w:t xml:space="preserve">Management of comorbid disorders.</w:t>
      </w:r>
    </w:p>
    <w:p>
      <w:pPr>
        <w:pStyle w:val="Compact"/>
        <w:numPr>
          <w:ilvl w:val="0"/>
          <w:numId w:val="1063"/>
        </w:numPr>
      </w:pPr>
      <w:r>
        <w:t xml:space="preserve">Stable family support and community resources.</w:t>
      </w:r>
    </w:p>
    <w:bookmarkEnd w:id="131"/>
    <w:bookmarkStart w:id="132" w:name="poor-prognostic-factors-2"/>
    <w:p>
      <w:pPr>
        <w:pStyle w:val="Heading4"/>
      </w:pPr>
      <w:r>
        <w:t xml:space="preserve">Poor prognostic factors</w:t>
      </w:r>
    </w:p>
    <w:p>
      <w:pPr>
        <w:pStyle w:val="Compact"/>
        <w:numPr>
          <w:ilvl w:val="0"/>
          <w:numId w:val="1064"/>
        </w:numPr>
      </w:pPr>
      <w:r>
        <w:t xml:space="preserve">Comorbid intellectual disability (severe-profound).</w:t>
      </w:r>
    </w:p>
    <w:p>
      <w:pPr>
        <w:pStyle w:val="Compact"/>
        <w:numPr>
          <w:ilvl w:val="0"/>
          <w:numId w:val="1064"/>
        </w:numPr>
      </w:pPr>
      <w:r>
        <w:t xml:space="preserve">Absence of functional language by age 5.</w:t>
      </w:r>
    </w:p>
    <w:p>
      <w:pPr>
        <w:pStyle w:val="Compact"/>
        <w:numPr>
          <w:ilvl w:val="0"/>
          <w:numId w:val="1064"/>
        </w:numPr>
      </w:pPr>
      <w:r>
        <w:t xml:space="preserve">Epileptic seizures — additional risk increase in adulthood.</w:t>
      </w:r>
    </w:p>
    <w:p>
      <w:pPr>
        <w:pStyle w:val="Compact"/>
        <w:numPr>
          <w:ilvl w:val="0"/>
          <w:numId w:val="1064"/>
        </w:numPr>
      </w:pPr>
      <w:r>
        <w:t xml:space="preserve">Severe behavioral disturbances, self-harm.</w:t>
      </w:r>
    </w:p>
    <w:p>
      <w:pPr>
        <w:pStyle w:val="Compact"/>
        <w:numPr>
          <w:ilvl w:val="0"/>
          <w:numId w:val="1064"/>
        </w:numPr>
      </w:pPr>
      <w:r>
        <w:t xml:space="preserve">Late initiation of diagnosis and intervention.</w:t>
      </w:r>
    </w:p>
    <w:bookmarkEnd w:id="132"/>
    <w:bookmarkStart w:id="133" w:name="follow-up-targets-2"/>
    <w:p>
      <w:pPr>
        <w:pStyle w:val="Heading4"/>
      </w:pPr>
      <w:r>
        <w:t xml:space="preserve">Follow-up targets</w:t>
      </w:r>
    </w:p>
    <w:p>
      <w:pPr>
        <w:pStyle w:val="Compact"/>
        <w:numPr>
          <w:ilvl w:val="0"/>
          <w:numId w:val="1065"/>
        </w:numPr>
      </w:pPr>
      <w:r>
        <w:t xml:space="preserve">Comorbid psychiatric conditions (ADHD, anxiety, depression, OCD) screening — annual.</w:t>
      </w:r>
    </w:p>
    <w:p>
      <w:pPr>
        <w:pStyle w:val="Compact"/>
        <w:numPr>
          <w:ilvl w:val="0"/>
          <w:numId w:val="1065"/>
        </w:numPr>
      </w:pPr>
      <w:r>
        <w:t xml:space="preserve">Epilepsy monitoring — especially during adolescence.</w:t>
      </w:r>
    </w:p>
    <w:p>
      <w:pPr>
        <w:pStyle w:val="Compact"/>
        <w:numPr>
          <w:ilvl w:val="0"/>
          <w:numId w:val="1065"/>
        </w:numPr>
      </w:pPr>
      <w:r>
        <w:t xml:space="preserve">Sleep, food, gastrointestinal tract, motor disturbance screening.</w:t>
      </w:r>
    </w:p>
    <w:p>
      <w:pPr>
        <w:pStyle w:val="Compact"/>
        <w:numPr>
          <w:ilvl w:val="0"/>
          <w:numId w:val="1065"/>
        </w:numPr>
      </w:pPr>
      <w:r>
        <w:t xml:space="preserve">Late adolescence planning (16–18 years) — career, independent living, employment.</w:t>
      </w:r>
    </w:p>
    <w:p>
      <w:pPr>
        <w:pStyle w:val="Compact"/>
        <w:numPr>
          <w:ilvl w:val="0"/>
          <w:numId w:val="1065"/>
        </w:numPr>
      </w:pPr>
      <w:r>
        <w:t xml:space="preserve">In adult patients, the emotional burden of social camouflage, anxiety, and depression — active screening.</w:t>
      </w:r>
    </w:p>
    <w:p>
      <w:pPr>
        <w:pStyle w:val="Compact"/>
        <w:numPr>
          <w:ilvl w:val="0"/>
          <w:numId w:val="1065"/>
        </w:numPr>
      </w:pPr>
      <w:r>
        <w:t xml:space="preserve">Respite support for family, peer support, psychoeducation.</w:t>
      </w:r>
    </w:p>
    <w:p>
      <w:pPr>
        <w:pStyle w:val="Compact"/>
        <w:numPr>
          <w:ilvl w:val="0"/>
          <w:numId w:val="1065"/>
        </w:numPr>
      </w:pPr>
      <w:r>
        <w:t xml:space="preserve">Neurodiversity approach — strengthening the patient's strengths, no claim of ‘full cure’.</w:t>
      </w:r>
    </w:p>
    <w:bookmarkEnd w:id="133"/>
    <w:bookmarkEnd w:id="134"/>
    <w:bookmarkStart w:id="153" w:name="X898e7bcb0d36b66ce4b73d5449d16eebe4a6896"/>
    <w:p>
      <w:pPr>
        <w:pStyle w:val="Heading3"/>
      </w:pPr>
      <w:r>
        <w:t xml:space="preserve">10. Myths and misconceptions</w:t>
      </w:r>
    </w:p>
    <w:bookmarkStart w:id="138" w:name="aetiology-myths-2"/>
    <w:p>
      <w:pPr>
        <w:pStyle w:val="Heading4"/>
      </w:pPr>
      <w:r>
        <w:t xml:space="preserve">10.1 Aetiology myths</w:t>
      </w:r>
    </w:p>
    <w:bookmarkStart w:id="135" w:name="X1c182056cbc07537e9d97ae588ca90c60449327"/>
    <w:p>
      <w:pPr>
        <w:pStyle w:val="Heading5"/>
      </w:pPr>
      <w:r>
        <w:t xml:space="preserve">Myth 1: “Vaccines (especially MMR) cause autism”</w:t>
      </w:r>
    </w:p>
    <w:p>
      <w:pPr>
        <w:pStyle w:val="FirstParagraph"/>
      </w:pPr>
      <w:r>
        <w:t xml:space="preserve">Why it is widespread: Wakefield A.J. et al. Lancet 1998 — claimed association of MMR vaccine with bowel disorder and autism based on 12 children. Subsequently, Brian Deer's journalistic investigation and the General Medical Council inquiry revealed Wakefield's financial interest and data manipulation; article fully retracted in 2010; Wakefield stripped of medical license.</w:t>
      </w:r>
    </w:p>
    <w:p>
      <w:pPr>
        <w:pStyle w:val="BodyText"/>
      </w:pPr>
      <w:r>
        <w:t xml:space="preserve">Clinical and biological rationale: Autism clinically manifests at 12–18 months — temporal correlation with typical MMR vaccination period may lead to misinterpretation as a ‘cause’. Pathogenesis is genetic and early neurodevelopmental-based (hereditability 80%, prenatal and perinatal factors) — not vaccine-dependent.</w:t>
      </w:r>
    </w:p>
    <w:p>
      <w:pPr>
        <w:pStyle w:val="BodyText"/>
      </w:pPr>
      <w:r>
        <w:t xml:space="preserve">Evidence: Taylor L.E., Swerdfeger A.L., Eslick G.D. Vaccine 2014 meta-analysis n&gt;1.2 million children — between MMR and autism there is no relation; Madsen K.M. et al. NEJM 2002 Danish study n&gt;537,000; Jain A. et al. JAMA 2015 US study. CDC, WHO, NICE, AAP hold the same position.</w:t>
      </w:r>
    </w:p>
    <w:p>
      <w:pPr>
        <w:pStyle w:val="BodyText"/>
      </w:pPr>
      <w:r>
        <w:t xml:space="preserve">Real clinical step: Present evidence calmly, respectfully to family; explain the risk of vaccine refusal for child and community health (2018–2019 measles epidemic in Madagascar, 1200+ child deaths).</w:t>
      </w:r>
    </w:p>
    <w:bookmarkEnd w:id="135"/>
    <w:bookmarkStart w:id="136" w:name="X1cb4a8122c53f03c1a13898f79c7bed8fb1f7a6"/>
    <w:p>
      <w:pPr>
        <w:pStyle w:val="Heading5"/>
      </w:pPr>
      <w:r>
        <w:t xml:space="preserve">Myth 2: “Microplastics, heavy metals, chemical food additives are the main cause of autism”</w:t>
      </w:r>
    </w:p>
    <w:p>
      <w:pPr>
        <w:pStyle w:val="FirstParagraph"/>
      </w:pPr>
      <w:r>
        <w:t xml:space="preserve">Why it is widespread: “Natural / chemical-free” movement exaggerated in mass media; out-of-context use of microplastic research.</w:t>
      </w:r>
    </w:p>
    <w:p>
      <w:pPr>
        <w:pStyle w:val="BodyText"/>
      </w:pPr>
      <w:r>
        <w:t xml:space="preserve">Clinical and biological rationale: The primary etiology of autism is genetic (heritability 80% — Sandin JAMA 2017). Environmental factors are investigated as risk factors (PM2.5 air pollution — Volk JAMA Psychiatry 2013; prenatal valproate — Christensen JAMA 2013), but there is no evidence base for microplastics or heavy metals as a “primary cause”.</w:t>
      </w:r>
    </w:p>
    <w:p>
      <w:pPr>
        <w:pStyle w:val="BodyText"/>
      </w:pPr>
      <w:r>
        <w:t xml:space="preserve">Evidence: Hertz-Picciotto I. Environ Health Perspect 2018 review — some neurotoxins (especially valproate, alcohol) are considered risk factors; heavy metal exposure has not been proven as a direct etiology of autism.</w:t>
      </w:r>
    </w:p>
    <w:p>
      <w:pPr>
        <w:pStyle w:val="BodyText"/>
      </w:pPr>
      <w:r>
        <w:t xml:space="preserve">Real clinical step: Provide family with realistic risk factors (valproate during pregnancy, limiting air pollution) and realistic protective steps (periconceptional folate).</w:t>
      </w:r>
    </w:p>
    <w:bookmarkEnd w:id="136"/>
    <w:bookmarkStart w:id="137" w:name="X5317b015dd3512016547795ceac2867a9c57f73"/>
    <w:p>
      <w:pPr>
        <w:pStyle w:val="Heading5"/>
      </w:pPr>
      <w:r>
        <w:t xml:space="preserve">Myth 3: “‘Cold mother’ (Bettelheim's ‘Refrigerator Mother’ theory)”</w:t>
      </w:r>
    </w:p>
    <w:p>
      <w:pPr>
        <w:pStyle w:val="FirstParagraph"/>
      </w:pPr>
      <w:r>
        <w:t xml:space="preserve">Why it is widespread: Bruno Bettelheim in his 1967 work “The Empty Fortress” attributed autism to maternal emotional coldness; dominant belief until the 1970s.</w:t>
      </w:r>
    </w:p>
    <w:p>
      <w:pPr>
        <w:pStyle w:val="BodyText"/>
      </w:pPr>
      <w:r>
        <w:t xml:space="preserve">Clinical and biological rationale: Autism is a neurodevelopmental disorder — related to genetics and early brain development; parental behavior does not cause autism.</w:t>
      </w:r>
    </w:p>
    <w:p>
      <w:pPr>
        <w:pStyle w:val="BodyText"/>
      </w:pPr>
      <w:r>
        <w:t xml:space="preserve">Evidence: Rimland B. (1964) “Infantile Autism” — argument for biological etiology; Folstein S., Rutter M. Nature 1977 — twin study demonstrated genetic inheritance. APA, AAP, AACAP — “refrigerator mother” concept has been discarded.</w:t>
      </w:r>
    </w:p>
    <w:p>
      <w:pPr>
        <w:pStyle w:val="BodyText"/>
      </w:pPr>
      <w:r>
        <w:t xml:space="preserve">Real clinical step: Support and psychoeducation to family instead of blaming; parent-coordinated interventions (PACT, ESDM, Hanen).</w:t>
      </w:r>
    </w:p>
    <w:bookmarkEnd w:id="137"/>
    <w:bookmarkEnd w:id="138"/>
    <w:bookmarkStart w:id="144" w:name="harmful-or-dangerous-treatment-methods"/>
    <w:p>
      <w:pPr>
        <w:pStyle w:val="Heading4"/>
      </w:pPr>
      <w:r>
        <w:t xml:space="preserve">10.2 Harmful or dangerous “treatment” methods</w:t>
      </w:r>
    </w:p>
    <w:bookmarkStart w:id="139" w:name="X085813f654c2cd8a428bf964d0647ee92d78b83"/>
    <w:p>
      <w:pPr>
        <w:pStyle w:val="Heading5"/>
      </w:pPr>
      <w:r>
        <w:t xml:space="preserve">Myth 4: “Chelation therapy removes heavy metals and cures autism”</w:t>
      </w:r>
    </w:p>
    <w:p>
      <w:pPr>
        <w:pStyle w:val="FirstParagraph"/>
      </w:pPr>
      <w:r>
        <w:t xml:space="preserve">Why it is widespread: “Heavy metal autism” false theory; marketing by alternative clinics.</w:t>
      </w:r>
    </w:p>
    <w:p>
      <w:pPr>
        <w:pStyle w:val="BodyText"/>
      </w:pPr>
      <w:r>
        <w:t xml:space="preserve">Evidence and risk: AAP 2010 and FDA warning — a 5-year-old child died from cardiac arrest due to calcium deficiency during chelation procedure (2005). Chelation is indicated only for confirmed heavy metal poisoning (high lead), not for autism. AAP, AACAP — absolute contraindication.</w:t>
      </w:r>
    </w:p>
    <w:bookmarkEnd w:id="139"/>
    <w:bookmarkStart w:id="140" w:name="X26408f74f9eaf88ba0eff4f17ff6f81e696a5a5"/>
    <w:p>
      <w:pPr>
        <w:pStyle w:val="Heading5"/>
      </w:pPr>
      <w:r>
        <w:t xml:space="preserve">Myth 5: “Hyperbaric oxygen chamber (HBOT) cures autism”</w:t>
      </w:r>
    </w:p>
    <w:p>
      <w:pPr>
        <w:pStyle w:val="FirstParagraph"/>
      </w:pPr>
      <w:r>
        <w:t xml:space="preserve">Evidence: Cochrane (Xiong T. et al. 2016) review of n=1 RCT — no evidence of efficacy for autism. Risks: pneumothorax, ear barotrauma, fire (oxygen + static).</w:t>
      </w:r>
    </w:p>
    <w:bookmarkEnd w:id="140"/>
    <w:bookmarkStart w:id="141" w:name="X069b99d180a7686caf84dda6aacbea28d9dd202"/>
    <w:p>
      <w:pPr>
        <w:pStyle w:val="Heading5"/>
      </w:pPr>
      <w:r>
        <w:t xml:space="preserve">Myth 6: “MMS / ‘Miracle Mineral Solution’ (chlorine dioxide) cures autism”</w:t>
      </w:r>
    </w:p>
    <w:p>
      <w:pPr>
        <w:pStyle w:val="FirstParagraph"/>
      </w:pPr>
      <w:r>
        <w:t xml:space="preserve">Evidence: FDA 2019, EMA warnings — chlorine dioxide is caustic, liver and kidney damage, deaths reported. All clinical use is prohibited. Worse — “treatment” recommending it as an anal cleansing agent is child torture.</w:t>
      </w:r>
    </w:p>
    <w:bookmarkEnd w:id="141"/>
    <w:bookmarkStart w:id="142" w:name="myth-7-stem-cell-injections-cure-autism"/>
    <w:p>
      <w:pPr>
        <w:pStyle w:val="Heading5"/>
      </w:pPr>
      <w:r>
        <w:t xml:space="preserve">Myth 7: “Stem cell injections cure autism”</w:t>
      </w:r>
    </w:p>
    <w:p>
      <w:pPr>
        <w:pStyle w:val="FirstParagraph"/>
      </w:pPr>
      <w:r>
        <w:t xml:space="preserve">Evidence: ISSCR (International Society for Stem Cell Research) and FDA — no approved stem cell therapy for autism. In illegal clinics — infections, brain tumors, deaths have been reported (Berkowitz NEJM 2016).</w:t>
      </w:r>
    </w:p>
    <w:bookmarkEnd w:id="142"/>
    <w:bookmarkStart w:id="143" w:name="X7c3bddd359f5ba14c5bf7934a01f6aaa54ef4bd"/>
    <w:p>
      <w:pPr>
        <w:pStyle w:val="Heading5"/>
      </w:pPr>
      <w:r>
        <w:t xml:space="preserve">Myth 8: “Chelyabinsk remedy” and similar unregulated medical preparations</w:t>
      </w:r>
    </w:p>
    <w:p>
      <w:pPr>
        <w:pStyle w:val="FirstParagraph"/>
      </w:pPr>
      <w:r>
        <w:t xml:space="preserve">Evidence: no ‘alternative’ agents approved by any confirmed regulatory body (FDA, EMA, EU) for autism treatment — risk high, benefit unproven.</w:t>
      </w:r>
    </w:p>
    <w:bookmarkEnd w:id="143"/>
    <w:bookmarkEnd w:id="144"/>
    <w:bookmarkStart w:id="152" w:name="Xc22e60f4cea70464f7e2ff9064887863f3cf32f"/>
    <w:p>
      <w:pPr>
        <w:pStyle w:val="Heading4"/>
      </w:pPr>
      <w:r>
        <w:t xml:space="preserve">10.3 Ineffective methods or those delaying primary intervention</w:t>
      </w:r>
    </w:p>
    <w:bookmarkStart w:id="145" w:name="Xb0f249fd01062a2a26bfc491b6a49b74f338851"/>
    <w:p>
      <w:pPr>
        <w:pStyle w:val="Heading5"/>
      </w:pPr>
      <w:r>
        <w:t xml:space="preserve">Myth 9: “Facilitated Communication (FC) and Rapid Prompting Method (RPM) reveal the inner world of minimally verbal individuals with autism”</w:t>
      </w:r>
    </w:p>
    <w:p>
      <w:pPr>
        <w:pStyle w:val="FirstParagraph"/>
      </w:pPr>
      <w:r>
        <w:t xml:space="preserve">Why it is widespread: Emotionally engaging narratives — children who “start to talk” with facilitator assistance.</w:t>
      </w:r>
    </w:p>
    <w:p>
      <w:pPr>
        <w:pStyle w:val="BodyText"/>
      </w:pPr>
      <w:r>
        <w:t xml:space="preserve">Evidence: ASHA Position Statement 2018 (update): independent reviews have shown that messages come from the facilitator (ideomotor effect), not the patient. This evidence has been confirmed in multiple RCTs (Schlosser R.W. et al. Augment Altern Commun 2014). Clinical outcome: false belief for the family; the patient's true authentic communication (PECS, AAC devices) is delayed; public harm — false ‘testimony’ incidents in legal issues.</w:t>
      </w:r>
    </w:p>
    <w:p>
      <w:pPr>
        <w:pStyle w:val="BodyText"/>
      </w:pPr>
      <w:r>
        <w:t xml:space="preserve">Real clinical step: Evidence-based AAC tools for minimally verbal patients — PECS, tablet-based communication programs (Proloquo2Go, TouchChat).</w:t>
      </w:r>
    </w:p>
    <w:bookmarkEnd w:id="145"/>
    <w:bookmarkStart w:id="146" w:name="X4ac433f22affbe56c877c518bcc1ef8970de0ad"/>
    <w:p>
      <w:pPr>
        <w:pStyle w:val="Heading5"/>
      </w:pPr>
      <w:r>
        <w:t xml:space="preserve">Myth 10: “Gluten-free / casein-free diet cures autism or significantly improves it”</w:t>
      </w:r>
    </w:p>
    <w:p>
      <w:pPr>
        <w:pStyle w:val="FirstParagraph"/>
      </w:pPr>
      <w:r>
        <w:t xml:space="preserve">Evidence: Hyman S.L. et al. (AAP 2020 Clinical Report) — effect of special diets on autism symptoms not proven; diet is medically indicated if gastrointestinal symptoms or celiac disease present. Broad dietary restriction leads to nutritional deficiencies and eating disorders in children. Karagas M.R. et al. JAMA Pediatr 2018 — risks of broad dietary restriction.</w:t>
      </w:r>
    </w:p>
    <w:bookmarkEnd w:id="146"/>
    <w:bookmarkStart w:id="147" w:name="Xee607b9315a5185aaa15dcdc11df875f103091e"/>
    <w:p>
      <w:pPr>
        <w:pStyle w:val="Heading5"/>
      </w:pPr>
      <w:r>
        <w:t xml:space="preserve">Myth 11: “EEG Neurofeedback cures core symptoms of autism”</w:t>
      </w:r>
    </w:p>
    <w:p>
      <w:pPr>
        <w:pStyle w:val="FirstParagraph"/>
      </w:pPr>
      <w:r>
        <w:t xml:space="preserve">Evidence: Holtmann M. et al. Dev Med Child Neurol 2011 review — modest effect in ADHD; specific evidence for autism weak. Adjunct status, not first-line. Must be clearly explained to the patient and the family.</w:t>
      </w:r>
    </w:p>
    <w:bookmarkEnd w:id="147"/>
    <w:bookmarkStart w:id="148" w:name="Xc34b92d760911a0546eaf067610df20f35133a9"/>
    <w:p>
      <w:pPr>
        <w:pStyle w:val="Heading5"/>
      </w:pPr>
      <w:r>
        <w:t xml:space="preserve">Myth 12: “Auditory Integration Training (AIT) cures autism”</w:t>
      </w:r>
    </w:p>
    <w:p>
      <w:pPr>
        <w:pStyle w:val="FirstParagraph"/>
      </w:pPr>
      <w:r>
        <w:t xml:space="preserve">Evidence: ASHA Position Statement 2004; AAP 1998 — experimental status, no evidence of effect.</w:t>
      </w:r>
    </w:p>
    <w:bookmarkEnd w:id="148"/>
    <w:bookmarkStart w:id="149" w:name="X212bd2d3506d26ee48f3f63683ea36bc2b90d83"/>
    <w:p>
      <w:pPr>
        <w:pStyle w:val="Heading5"/>
      </w:pPr>
      <w:r>
        <w:t xml:space="preserve">Myth 13: “Vitamin B6 / magnesium or other mega-dose vitamin therapy”</w:t>
      </w:r>
    </w:p>
    <w:p>
      <w:pPr>
        <w:pStyle w:val="FirstParagraph"/>
      </w:pPr>
      <w:r>
        <w:t xml:space="preserve">Evidence: Cochrane (Nye C., Brice A. 2005) — no evidence for efficacy of B6/magnesium combination for autism. Vitamin mega-doses may lead to side effect burden (B6 neuropathy).</w:t>
      </w:r>
    </w:p>
    <w:bookmarkEnd w:id="149"/>
    <w:bookmarkStart w:id="150" w:name="myth-14-patterning-doman-delacato"/>
    <w:p>
      <w:pPr>
        <w:pStyle w:val="Heading5"/>
      </w:pPr>
      <w:r>
        <w:t xml:space="preserve">Myth 14: “Patterning” (Doman-Delacato)</w:t>
      </w:r>
    </w:p>
    <w:p>
      <w:pPr>
        <w:pStyle w:val="FirstParagraph"/>
      </w:pPr>
      <w:r>
        <w:t xml:space="preserve">Evidence: AAP 1968 and 2010 Statements — no evidence of effect, excessive burden on family; delays children from evidence-based interventions.</w:t>
      </w:r>
    </w:p>
    <w:bookmarkEnd w:id="150"/>
    <w:bookmarkStart w:id="151" w:name="Xe2dc0c1fe8d6a527e81c98c1944be62ea98795e"/>
    <w:p>
      <w:pPr>
        <w:pStyle w:val="Heading5"/>
      </w:pPr>
      <w:r>
        <w:t xml:space="preserve">Myth 15: “Cranio-Sacral Therapy, reflexotherapy, homeopathy”</w:t>
      </w:r>
    </w:p>
    <w:p>
      <w:pPr>
        <w:pStyle w:val="FirstParagraph"/>
      </w:pPr>
      <w:r>
        <w:t xml:space="preserve">Evidence: systematic reviews (Cochrane and others) — no evidence of effect for autism. NICE CG170 — warning against complementary interventions.</w:t>
      </w:r>
    </w:p>
    <w:bookmarkEnd w:id="151"/>
    <w:bookmarkEnd w:id="152"/>
    <w:bookmarkEnd w:id="153"/>
    <w:bookmarkStart w:id="3000" w:name="Xf1aa27ca76714c820dc78bbbbc1fb3a28140fe1"/>
    <w:p>
      <w:pPr>
        <w:pStyle w:val="Heading3"/>
      </w:pPr>
      <w:r>
        <w:t xml:space="preserve">11. Sources</w:t>
      </w:r>
    </w:p>
    <w:p>
      <w:pPr>
        <w:pStyle w:val="Compact"/>
        <w:numPr>
          <w:ilvl w:val="0"/>
          <w:numId w:val="1066"/>
        </w:numPr>
      </w:pPr>
      <w:r>
        <w:t xml:space="preserve">WHO. ICD-11 for Mortality and Morbidity Statistics. 6A02 Autism spectrum disorder. 2024.</w:t>
      </w:r>
    </w:p>
    <w:p>
      <w:pPr>
        <w:pStyle w:val="Compact"/>
        <w:numPr>
          <w:ilvl w:val="0"/>
          <w:numId w:val="1066"/>
        </w:numPr>
      </w:pPr>
      <w:r>
        <w:t xml:space="preserve">American Psychiatric Association. DSM-5-TR. Washington DC: APA Publishing; 2022.</w:t>
      </w:r>
    </w:p>
    <w:p>
      <w:pPr>
        <w:pStyle w:val="Compact"/>
        <w:numPr>
          <w:ilvl w:val="0"/>
          <w:numId w:val="1066"/>
        </w:numPr>
      </w:pPr>
      <w:r>
        <w:t xml:space="preserve">NICE Clinical Guideline 170. Autism spectrum disorder in under 19s: support and management. 2013, 2021 update.</w:t>
      </w:r>
    </w:p>
    <w:p>
      <w:pPr>
        <w:pStyle w:val="Compact"/>
        <w:numPr>
          <w:ilvl w:val="0"/>
          <w:numId w:val="106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06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06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066"/>
        </w:numPr>
      </w:pPr>
      <w:r>
        <w:t xml:space="preserve">Sandin S., Lichtenstein P., Kuja-Halkola R. et al. The Heritability of Autism Spectrum Disorder. JAMA 2017;318(12):1182–1184.</w:t>
      </w:r>
    </w:p>
    <w:p>
      <w:pPr>
        <w:pStyle w:val="Compact"/>
        <w:numPr>
          <w:ilvl w:val="0"/>
          <w:numId w:val="1066"/>
        </w:numPr>
      </w:pPr>
      <w:r>
        <w:t xml:space="preserve">Satterstrom F.K. et al. Large-Scale Exome Sequencing Study Implicates Both Developmental and Functional Changes in the Neurobiology of Autism. Cell 2020;180(3):568–584.</w:t>
      </w:r>
    </w:p>
    <w:p>
      <w:pPr>
        <w:pStyle w:val="Compact"/>
        <w:numPr>
          <w:ilvl w:val="0"/>
          <w:numId w:val="1066"/>
        </w:numPr>
      </w:pPr>
      <w:r>
        <w:t xml:space="preserve">Taylor L.E., Swerdfeger A.L., Eslick G.D. Vaccines are not associated with autism: an evidence-based meta-analysis. Vaccine 2014;32(29):3623–3629.</w:t>
      </w:r>
    </w:p>
    <w:p>
      <w:pPr>
        <w:pStyle w:val="Compact"/>
        <w:numPr>
          <w:ilvl w:val="0"/>
          <w:numId w:val="1066"/>
        </w:numPr>
      </w:pPr>
      <w:r>
        <w:t xml:space="preserve">Madsen K.M., Hviid A., Vestergaard M. et al. A population-based study of measles, mumps, and rubella vaccination and autism. NEJM 2002;347(19):1477–1482.</w:t>
      </w:r>
    </w:p>
    <w:p>
      <w:pPr>
        <w:pStyle w:val="Compact"/>
        <w:numPr>
          <w:ilvl w:val="0"/>
          <w:numId w:val="1066"/>
        </w:numPr>
      </w:pPr>
      <w:r>
        <w:t xml:space="preserve">Christensen J., Grønborg T.K., Sørensen M.J. et al. Prenatal valproate exposure and risk of autism spectrum disorders. JAMA 2013;309(16):1696–1703.</w:t>
      </w:r>
    </w:p>
    <w:p>
      <w:pPr>
        <w:pStyle w:val="Compact"/>
        <w:numPr>
          <w:ilvl w:val="0"/>
          <w:numId w:val="1066"/>
        </w:numPr>
      </w:pPr>
      <w:r>
        <w:t xml:space="preserve">Surén P., Roth C., Bresnahan M. et al. Association between maternal use of folic acid supplements and risk of autism spectrum disorders in children. JAMA 2013;309(6):570–577.</w:t>
      </w:r>
    </w:p>
    <w:p>
      <w:pPr>
        <w:pStyle w:val="Compact"/>
        <w:numPr>
          <w:ilvl w:val="0"/>
          <w:numId w:val="1066"/>
        </w:numPr>
      </w:pPr>
      <w:r>
        <w:t xml:space="preserve">Volk H.E., Lurmann F., Penfold B. et al. Traffic-related air pollution, particulate matter, and autism. JAMA Psychiatry 2013;70(1):71–77.</w:t>
      </w:r>
    </w:p>
    <w:p>
      <w:pPr>
        <w:pStyle w:val="Compact"/>
        <w:numPr>
          <w:ilvl w:val="0"/>
          <w:numId w:val="1066"/>
        </w:numPr>
      </w:pPr>
      <w:r>
        <w:t xml:space="preserve">Dawson G., Rogers S., Munson J. et al. Randomized, Controlled Trial of an Intervention for Toddlers With Autism: The Early Start Denver Model. Pediatrics 2010;125(1):e17–e23.</w:t>
      </w:r>
    </w:p>
    <w:p>
      <w:pPr>
        <w:pStyle w:val="Compact"/>
        <w:numPr>
          <w:ilvl w:val="0"/>
          <w:numId w:val="1066"/>
        </w:numPr>
      </w:pPr>
      <w:r>
        <w:t xml:space="preserve">Reichow B., Hume K., Barton E.E., Boyd B.A. Early intensive behavioral intervention (EIBI) for young children with autism spectrum disorders (ASD). Cochrane Database Syst Rev 2018;(5):CD009260.</w:t>
      </w:r>
    </w:p>
    <w:p>
      <w:pPr>
        <w:pStyle w:val="Compact"/>
        <w:numPr>
          <w:ilvl w:val="0"/>
          <w:numId w:val="1066"/>
        </w:numPr>
      </w:pPr>
      <w:r>
        <w:t xml:space="preserve">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pPr>
        <w:pStyle w:val="Compact"/>
        <w:numPr>
          <w:ilvl w:val="0"/>
          <w:numId w:val="106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066"/>
        </w:numPr>
      </w:pPr>
      <w:r>
        <w:t xml:space="preserve">McCracken J.T., McGough J., Shah B. et al. Risperidone in children with autism and serious behavioral problems. NEJM 2002;347(5):314–321.</w:t>
      </w:r>
    </w:p>
    <w:p>
      <w:pPr>
        <w:pStyle w:val="Compact"/>
        <w:numPr>
          <w:ilvl w:val="0"/>
          <w:numId w:val="1066"/>
        </w:numPr>
      </w:pPr>
      <w:r>
        <w:t xml:space="preserve">Xiong T., Chen H., Luo R., Mu D. Hyperbaric oxygen therapy for people with autism spectrum disorder. Cochrane Database Syst Rev 2016;(10):CD010922.</w:t>
      </w:r>
    </w:p>
    <w:p>
      <w:pPr>
        <w:pStyle w:val="Compact"/>
        <w:numPr>
          <w:ilvl w:val="0"/>
          <w:numId w:val="1066"/>
        </w:numPr>
      </w:pPr>
      <w:r>
        <w:t xml:space="preserve">ASHA Position Statement: Facilitated Communication. American Speech-Language-Hearing Association; 2018. asha.org/policy/PS2018-00352.</w:t>
      </w:r>
    </w:p>
    <w:p>
      <w:pPr>
        <w:pStyle w:val="Compact"/>
        <w:numPr>
          <w:ilvl w:val="0"/>
          <w:numId w:val="1066"/>
        </w:numPr>
      </w:pPr>
      <w:r>
        <w:t xml:space="preserve">Goldman S.E., Adkins K.W., Calcutt M.W. et al. Melatonin in children with autism spectrum disorders. J Clin Sleep Med 2014;10(8):871–882.</w:t>
      </w:r>
    </w:p>
    <w:p>
      <w:pPr>
        <w:pStyle w:val="Compact"/>
        <w:numPr>
          <w:ilvl w:val="0"/>
          <w:numId w:val="106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066"/>
        </w:numPr>
      </w:pPr>
      <w:r>
        <w:t xml:space="preserve">Lai M.C., Baron-Cohen S. Identifying the lost generation of adults with autism spectrum conditions. Lancet Psychiatry 2015;2(11):1013–1027.</w:t>
      </w:r>
    </w:p>
    <w:p>
      <w:pPr>
        <w:pStyle w:val="Compact"/>
        <w:numPr>
          <w:ilvl w:val="0"/>
          <w:numId w:val="1066"/>
        </w:numPr>
      </w:pPr>
      <w:r>
        <w:t xml:space="preserve">Berkowitz A.L., Miller M.B., Mir S.A. et al. Glioproliferative lesion of the spinal cord as a complication of “stem-cell tourism”. NEJM 2016;375(2):196–198.</w:t>
      </w:r>
    </w:p>
    <w:p>
      <w:pPr>
        <w:pStyle w:val="Compact"/>
        <w:numPr>
          <w:ilvl w:val="0"/>
          <w:numId w:val="1066"/>
        </w:numPr>
      </w:pPr>
      <w:r>
        <w:t xml:space="preserve">Bondy A., Frost L. The Picture Exchange Communication System. Behav Modif 2001;25(5):725–744.</w:t>
      </w:r>
    </w:p>
    <w:p>
      <w:pPr>
        <w:pStyle w:val="Compact"/>
        <w:numPr>
          <w:ilvl w:val="0"/>
          <w:numId w:val="1066"/>
        </w:numPr>
      </w:pPr>
      <w:r>
        <w:t xml:space="preserve">Koegel R.L., Koegel L.K. Pivotal Response Treatments for Autism. Baltimore: Brookes, 2006.</w:t>
      </w:r>
    </w:p>
    <w:p>
      <w:pPr>
        <w:pStyle w:val="Compact"/>
        <w:numPr>
          <w:ilvl w:val="0"/>
          <w:numId w:val="1066"/>
        </w:numPr>
      </w:pPr>
      <w:r>
        <w:t xml:space="preserve">Mesibov G.B., Shea V., Schopler E. The TEACCH Approach to Autism Spectrum Disorders. New York: Springer, 2005.</w:t>
      </w:r>
    </w:p>
    <w:p>
      <w:pPr>
        <w:pStyle w:val="Compact"/>
        <w:numPr>
          <w:ilvl w:val="0"/>
          <w:numId w:val="1066"/>
        </w:numPr>
      </w:pPr>
      <w:r>
        <w:t xml:space="preserve">Storch E.A., Arnold E.B., Lewin A.B. et al. The effect of cognitive-behavioral therapy versus treatment as usual for anxiety in children with autism spectrum disorders: a randomized, controlled trial. J Am Acad Child Adolesc Psychiatry 2013;52(2):132–142.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4" w:name="m56a03-developmental-learning-disorder"/>
            <w:r>
              <w:t xml:space="preserve">6A03 DEVELOPMENTAL LEARNING DISORDER</w:t>
            </w:r>
            <w:bookmarkEnd w:id="154"/>
          </w:p>
          <w:p>
            <w:pPr>
              <w:pStyle w:val="Compact"/>
              <w:ind w:firstLine="0" w:left="0"/>
            </w:pPr>
            <w:r>
              <w:rPr>
                <w:lang w:val="en"/>
              </w:rPr>
              <w:t xml:space="preserve">Developmental learning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developmental disorders of scholastic skills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Learning Disorder, With Impairment in Reading</w:t>
            </w:r>
          </w:p>
        </w:tc>
      </w:tr>
    </w:tbl>
    <w:bookmarkStart w:id="155" w:name="X75ffa12ea6579eb43e4316c0ec6c59cde16f4b9"/>
    <w:p>
      <w:pPr>
        <w:pStyle w:val="Heading3"/>
      </w:pPr>
      <w:r>
        <w:t xml:space="preserve">1. Definition and nosology</w:t>
      </w:r>
    </w:p>
    <w:p>
      <w:pPr>
        <w:pStyle w:val="FirstParagraph"/>
      </w:pPr>
      <w:r>
        <w:t xml:space="preserve">Developmental learning disorder (ICD-11:</w:t>
      </w:r>
      <w:r>
        <w:t xml:space="preserve"> </w:t>
      </w:r>
      <w:r>
        <w:t xml:space="preserve">6A03</w:t>
      </w:r>
      <w:r>
        <w:t xml:space="preserve">; DSM-5-TR: F81.0–F81.81 Specific Learning Disorder) — a neurodevelopmental disorder manifesting with persistent and significant difficulties in acquiring one or more academic skills, unexpected given the patient's age, intellectual level, and educational opportunities.</w:t>
      </w:r>
    </w:p>
    <w:p>
      <w:pPr>
        <w:pStyle w:val="BodyText"/>
      </w:pPr>
      <w:r>
        <w:t xml:space="preserve">Subspecifications in ICD-11:</w:t>
      </w:r>
    </w:p>
    <w:p>
      <w:pPr>
        <w:pStyle w:val="Compact"/>
        <w:numPr>
          <w:ilvl w:val="0"/>
          <w:numId w:val="1067"/>
        </w:numPr>
      </w:pPr>
      <w:r>
        <w:t xml:space="preserve">6A03.0</w:t>
      </w:r>
      <w:r>
        <w:t xml:space="preserve"> </w:t>
      </w:r>
      <w:r>
        <w:t xml:space="preserve">— with reading impairment (dyslexia);</w:t>
      </w:r>
    </w:p>
    <w:p>
      <w:pPr>
        <w:pStyle w:val="Compact"/>
        <w:numPr>
          <w:ilvl w:val="0"/>
          <w:numId w:val="1067"/>
        </w:numPr>
      </w:pPr>
      <w:r>
        <w:t xml:space="preserve">6A03.1</w:t>
      </w:r>
      <w:r>
        <w:t xml:space="preserve"> </w:t>
      </w:r>
      <w:r>
        <w:t xml:space="preserve">— with written expression impairment (dysgraphia);</w:t>
      </w:r>
    </w:p>
    <w:p>
      <w:pPr>
        <w:pStyle w:val="Compact"/>
        <w:numPr>
          <w:ilvl w:val="0"/>
          <w:numId w:val="1067"/>
        </w:numPr>
      </w:pPr>
      <w:r>
        <w:t xml:space="preserve">6A03.2</w:t>
      </w:r>
      <w:r>
        <w:t xml:space="preserve"> </w:t>
      </w:r>
      <w:r>
        <w:t xml:space="preserve">— with impaired mathematics (dyscalculia);</w:t>
      </w:r>
    </w:p>
    <w:p>
      <w:pPr>
        <w:pStyle w:val="Compact"/>
        <w:numPr>
          <w:ilvl w:val="0"/>
          <w:numId w:val="1067"/>
        </w:numPr>
      </w:pPr>
      <w:r>
        <w:t xml:space="preserve">6A03.3</w:t>
      </w:r>
      <w:r>
        <w:t xml:space="preserve"> </w:t>
      </w:r>
      <w:r>
        <w:t xml:space="preserve">– other specified or combined.</w:t>
      </w:r>
    </w:p>
    <w:bookmarkEnd w:id="155"/>
    <w:bookmarkStart w:id="156" w:name="X4b47e890fc3013730344ba025f398e1d1855e5a"/>
    <w:p>
      <w:pPr>
        <w:pStyle w:val="Heading3"/>
      </w:pPr>
      <w:r>
        <w:t xml:space="preserve">2. History</w:t>
      </w:r>
    </w:p>
    <w:p>
      <w:pPr>
        <w:pStyle w:val="Compact"/>
        <w:numPr>
          <w:ilvl w:val="0"/>
          <w:numId w:val="1068"/>
        </w:numPr>
      </w:pPr>
      <w:r>
        <w:t xml:space="preserve">Pringle Morgan W. (1896) — “congenital word blindness” – describes a child who cannot read despite normal intelligence.</w:t>
      </w:r>
    </w:p>
    <w:p>
      <w:pPr>
        <w:pStyle w:val="Compact"/>
        <w:numPr>
          <w:ilvl w:val="0"/>
          <w:numId w:val="1068"/>
        </w:numPr>
      </w:pPr>
      <w:r>
        <w:t xml:space="preserve">Orton S.T. (1925) — The concept of “strephosymbolia”; hypothesized a weakness of left hemisphere dominance; the foundation of the Orton-Gillingham method.</w:t>
      </w:r>
    </w:p>
    <w:p>
      <w:pPr>
        <w:pStyle w:val="Compact"/>
        <w:numPr>
          <w:ilvl w:val="0"/>
          <w:numId w:val="1068"/>
        </w:numPr>
      </w:pPr>
      <w:r>
        <w:t xml:space="preserve">DSM-III (1980) — Specific Developmental Disorder Category — Based on IQ-academic skill discrepancy model.</w:t>
      </w:r>
    </w:p>
    <w:p>
      <w:pPr>
        <w:pStyle w:val="Compact"/>
        <w:numPr>
          <w:ilvl w:val="0"/>
          <w:numId w:val="1068"/>
        </w:numPr>
      </w:pPr>
      <w:r>
        <w:t xml:space="preserve">DSM-5 (2013) — elimination of the discrepancy model: “Specific Learning Disorder” — no IQ cutoff required; persistent functional difficulty and unresponsiveness to intervention are the basis. Separate coding of subtypes (reading, writing, mathematics) is retained.</w:t>
      </w:r>
    </w:p>
    <w:p>
      <w:pPr>
        <w:pStyle w:val="Compact"/>
        <w:numPr>
          <w:ilvl w:val="0"/>
          <w:numId w:val="1068"/>
        </w:numPr>
      </w:pPr>
      <w:r>
        <w:t xml:space="preserve">ICD-11 (2019) — parallel structure; with the term “Developmental Learning Disorder”.</w:t>
      </w:r>
    </w:p>
    <w:p>
      <w:pPr>
        <w:pStyle w:val="Compact"/>
        <w:numPr>
          <w:ilvl w:val="0"/>
          <w:numId w:val="1068"/>
        </w:numPr>
      </w:pPr>
      <w:r>
        <w:t xml:space="preserve">Phonological deficit theory (Stanovich K.E., Snowling M.J., Vellutino F.R.) — became dominant in the 1990s–2000s as the core mechanism of dyslexia.</w:t>
      </w:r>
    </w:p>
    <w:bookmarkEnd w:id="156"/>
    <w:bookmarkStart w:id="157" w:name="Xed0a7b97c8f750315e87340a0b274adb5e75e39"/>
    <w:p>
      <w:pPr>
        <w:pStyle w:val="Heading3"/>
      </w:pPr>
      <w:r>
        <w:t xml:space="preserve">3. Epidemiology</w:t>
      </w:r>
    </w:p>
    <w:p>
      <w:pPr>
        <w:pStyle w:val="Compact"/>
        <w:numPr>
          <w:ilvl w:val="0"/>
          <w:numId w:val="1069"/>
        </w:numPr>
      </w:pPr>
      <w:r>
        <w:t xml:space="preserve">General prevalence: School-age children: 5–15% (DSM-5-TR estimate); varies depending on the country and the orthographic depth of the language (the prevalence is higher in languages with deep orthographies, such as English).</w:t>
      </w:r>
    </w:p>
    <w:p>
      <w:pPr>
        <w:pStyle w:val="Compact"/>
        <w:numPr>
          <w:ilvl w:val="0"/>
          <w:numId w:val="1069"/>
        </w:numPr>
      </w:pPr>
      <w:r>
        <w:t xml:space="preserve">Dyslexia: 5–10% in school-age children; the most prevalent subtype.</w:t>
      </w:r>
    </w:p>
    <w:p>
      <w:pPr>
        <w:pStyle w:val="Compact"/>
        <w:numPr>
          <w:ilvl w:val="0"/>
          <w:numId w:val="1069"/>
        </w:numPr>
      </w:pPr>
      <w:r>
        <w:t xml:space="preserve">Dyscalculia: 3–7% (Shalev R.S. Pediatr Neurol 2007 review).</w:t>
      </w:r>
    </w:p>
    <w:p>
      <w:pPr>
        <w:pStyle w:val="Compact"/>
        <w:numPr>
          <w:ilvl w:val="0"/>
          <w:numId w:val="1069"/>
        </w:numPr>
      </w:pPr>
      <w:r>
        <w:t xml:space="preserve">Dysgraphia: 4–7% (Berninger V.W. Top Lang Disord 2008).</w:t>
      </w:r>
    </w:p>
    <w:p>
      <w:pPr>
        <w:pStyle w:val="Compact"/>
        <w:numPr>
          <w:ilvl w:val="0"/>
          <w:numId w:val="1069"/>
        </w:numPr>
      </w:pPr>
      <w:r>
        <w:t xml:space="preserve">Sex: In reading and writing disorders, boys are 2–3 times higher (the hypothesis of underdiagnosis in females exists); in math disorder, genders are equal.</w:t>
      </w:r>
    </w:p>
    <w:p>
      <w:pPr>
        <w:pStyle w:val="Compact"/>
        <w:numPr>
          <w:ilvl w:val="0"/>
          <w:numId w:val="1069"/>
        </w:numPr>
      </w:pPr>
      <w:r>
        <w:t xml:space="preserve">Comorbidity: ADHD 30–40%, language disorders 50–60% (in reading disorder), increased risk of anxiety, depression, conduct disorders.</w:t>
      </w:r>
    </w:p>
    <w:bookmarkEnd w:id="157"/>
    <w:bookmarkStart w:id="161" w:name="Xa1b30edbc2a85e544662a541e85dba3ac30f7dc"/>
    <w:p>
      <w:pPr>
        <w:pStyle w:val="Heading3"/>
      </w:pPr>
      <w:r>
        <w:t xml:space="preserve">4. Aetiology and pathogenesis</w:t>
      </w:r>
    </w:p>
    <w:bookmarkStart w:id="158" w:name="genetic-factors-1"/>
    <w:p>
      <w:pPr>
        <w:pStyle w:val="Heading4"/>
      </w:pPr>
      <w:r>
        <w:t xml:space="preserve">4.1 Genetic factors</w:t>
      </w:r>
    </w:p>
    <w:p>
      <w:pPr>
        <w:pStyle w:val="Compact"/>
        <w:numPr>
          <w:ilvl w:val="0"/>
          <w:numId w:val="1070"/>
        </w:numPr>
      </w:pPr>
      <w:r>
        <w:t xml:space="preserve">Heritability: in dyslexia 50–70% (Pennington B.F. Cogn Neuropsychol 2002 twin study review).</w:t>
      </w:r>
    </w:p>
    <w:p>
      <w:pPr>
        <w:pStyle w:val="Compact"/>
        <w:numPr>
          <w:ilvl w:val="0"/>
          <w:numId w:val="1070"/>
        </w:numPr>
      </w:pPr>
      <w:r>
        <w:t xml:space="preserve">Identified risk genes: DYX1C1 (15q21), KIAA0319 (6p22), DCDC2 (6p22), ROBO1 (3p12) — associated with neural migration and cortex formation; however, not a single gene, but a polygenic risk architecture.</w:t>
      </w:r>
    </w:p>
    <w:p>
      <w:pPr>
        <w:pStyle w:val="Compact"/>
        <w:numPr>
          <w:ilvl w:val="0"/>
          <w:numId w:val="1070"/>
        </w:numPr>
      </w:pPr>
      <w:r>
        <w:t xml:space="preserve">In mathematical disorder, high heritability (~70%), MYT1L and other genes are proposed (Mascheretti S. et al. Trends Genet 2018).</w:t>
      </w:r>
    </w:p>
    <w:bookmarkEnd w:id="158"/>
    <w:bookmarkStart w:id="159" w:name="neurobiological-mechanisms-1"/>
    <w:p>
      <w:pPr>
        <w:pStyle w:val="Heading4"/>
      </w:pPr>
      <w:r>
        <w:t xml:space="preserve">4.2 Neurobiological mechanisms</w:t>
      </w:r>
    </w:p>
    <w:p>
      <w:pPr>
        <w:pStyle w:val="Compact"/>
        <w:numPr>
          <w:ilvl w:val="0"/>
          <w:numId w:val="1071"/>
        </w:numPr>
      </w:pPr>
      <w:r>
        <w:t xml:space="preserve">Dyslexia — phonological deficit: in left perisylvian areas (Wernicke, angular gyrus, superior temporal gyrus) atypical activation patterns (Shaywitz S.E., Shaywitz B.A. Biol Psychiatry 2008 fMRI review). Deficit in phoneme-grapheme (sound-letter) correspondence is the core of reading difficulty.</w:t>
      </w:r>
    </w:p>
    <w:p>
      <w:pPr>
        <w:pStyle w:val="Compact"/>
        <w:numPr>
          <w:ilvl w:val="0"/>
          <w:numId w:val="1071"/>
        </w:numPr>
      </w:pPr>
      <w:r>
        <w:t xml:space="preserve">Dyscalculia — number sense (approximate number system) and working memory: functional disruption in intraparietal sulcus and prefrontal cortex (Butterworth B. Trends Cogn Sci 2010).</w:t>
      </w:r>
    </w:p>
    <w:p>
      <w:pPr>
        <w:pStyle w:val="Compact"/>
        <w:numPr>
          <w:ilvl w:val="0"/>
          <w:numId w:val="1071"/>
        </w:numPr>
      </w:pPr>
      <w:r>
        <w:t xml:space="preserve">Dysgraphia: motor planning and orthographic coding deficits; left fusiform and premotor areas.</w:t>
      </w:r>
    </w:p>
    <w:bookmarkEnd w:id="159"/>
    <w:bookmarkStart w:id="160" w:name="environmental-factors-modifier"/>
    <w:p>
      <w:pPr>
        <w:pStyle w:val="Heading4"/>
      </w:pPr>
      <w:r>
        <w:t xml:space="preserve">4.3 Environmental factors (modifier)</w:t>
      </w:r>
    </w:p>
    <w:p>
      <w:pPr>
        <w:pStyle w:val="Compact"/>
        <w:numPr>
          <w:ilvl w:val="0"/>
          <w:numId w:val="1072"/>
        </w:numPr>
      </w:pPr>
      <w:r>
        <w:t xml:space="preserve">Early educational quality and reading instruction methodology — lack of phonological approach creates greater academic disparity in children with polygenic risk.</w:t>
      </w:r>
    </w:p>
    <w:p>
      <w:pPr>
        <w:pStyle w:val="Compact"/>
        <w:numPr>
          <w:ilvl w:val="0"/>
          <w:numId w:val="1072"/>
        </w:numPr>
      </w:pPr>
      <w:r>
        <w:t xml:space="preserve">Low socioeconomic status — not etiology, but a factor in identification and access to intervention.</w:t>
      </w:r>
    </w:p>
    <w:p>
      <w:pPr>
        <w:pStyle w:val="Compact"/>
        <w:numPr>
          <w:ilvl w:val="0"/>
          <w:numId w:val="1072"/>
        </w:numPr>
      </w:pPr>
      <w:r>
        <w:t xml:space="preserve">Chronic otitis media — may affect early phonological development.</w:t>
      </w:r>
    </w:p>
    <w:bookmarkEnd w:id="160"/>
    <w:bookmarkEnd w:id="161"/>
    <w:bookmarkStart w:id="165" w:name="X46b61f3cea4caddc60ac8fc14cc73b4d9d45f0b"/>
    <w:p>
      <w:pPr>
        <w:pStyle w:val="Heading3"/>
      </w:pPr>
      <w:r>
        <w:t xml:space="preserve">5. Clinical features</w:t>
      </w:r>
    </w:p>
    <w:bookmarkStart w:id="162" w:name="reading-disorder-dyslexia-6a03.0"/>
    <w:p>
      <w:pPr>
        <w:pStyle w:val="Heading4"/>
      </w:pPr>
      <w:r>
        <w:t xml:space="preserve">5.1 Reading disorder (dyslexia, 6A03.0)</w:t>
      </w:r>
    </w:p>
    <w:p>
      <w:pPr>
        <w:pStyle w:val="Compact"/>
        <w:numPr>
          <w:ilvl w:val="0"/>
          <w:numId w:val="1073"/>
        </w:numPr>
      </w:pPr>
      <w:r>
        <w:t xml:space="preserve">Inaccuracy and slowness in word reading — reads words slowly, with struggle, substitutes or omits letters.</w:t>
      </w:r>
    </w:p>
    <w:p>
      <w:pPr>
        <w:pStyle w:val="Compact"/>
        <w:numPr>
          <w:ilvl w:val="0"/>
          <w:numId w:val="1073"/>
        </w:numPr>
      </w:pPr>
      <w:r>
        <w:t xml:space="preserve">Phonological awareness deficit — difficulty with rhyming, letter-sound correspondence, segmenting words into sounds.</w:t>
      </w:r>
    </w:p>
    <w:p>
      <w:pPr>
        <w:pStyle w:val="Compact"/>
        <w:numPr>
          <w:ilvl w:val="0"/>
          <w:numId w:val="1073"/>
        </w:numPr>
      </w:pPr>
      <w:r>
        <w:t xml:space="preserve">Writing and spelling — phonetic rule non-conforming writing errors.</w:t>
      </w:r>
    </w:p>
    <w:p>
      <w:pPr>
        <w:pStyle w:val="Compact"/>
        <w:numPr>
          <w:ilvl w:val="0"/>
          <w:numId w:val="1073"/>
        </w:numPr>
      </w:pPr>
      <w:r>
        <w:t xml:space="preserve">Reading comprehension — secondary impairment due to word recognition deficit.</w:t>
      </w:r>
    </w:p>
    <w:p>
      <w:pPr>
        <w:pStyle w:val="Compact"/>
        <w:numPr>
          <w:ilvl w:val="0"/>
          <w:numId w:val="1073"/>
        </w:numPr>
      </w:pPr>
      <w:r>
        <w:t xml:space="preserve">Early signs (preschool) — delayed learning of letter names, difficulty with rhyming games, difficulty reading names.</w:t>
      </w:r>
    </w:p>
    <w:bookmarkEnd w:id="162"/>
    <w:bookmarkStart w:id="163" w:name="X9f0c4771fc21b12e5f9795b8fcd8d8ee06a9276"/>
    <w:p>
      <w:pPr>
        <w:pStyle w:val="Heading4"/>
      </w:pPr>
      <w:r>
        <w:t xml:space="preserve">5.2 Written expression disorder (dysgraphia, 6A03.1)</w:t>
      </w:r>
    </w:p>
    <w:p>
      <w:pPr>
        <w:pStyle w:val="Compact"/>
        <w:numPr>
          <w:ilvl w:val="0"/>
          <w:numId w:val="1074"/>
        </w:numPr>
      </w:pPr>
      <w:r>
        <w:t xml:space="preserve">Handwriting is poor, illegible, slow.</w:t>
      </w:r>
    </w:p>
    <w:p>
      <w:pPr>
        <w:pStyle w:val="Compact"/>
        <w:numPr>
          <w:ilvl w:val="0"/>
          <w:numId w:val="1074"/>
        </w:numPr>
      </w:pPr>
      <w:r>
        <w:t xml:space="preserve">Difficulty in sentence construction, grammar, and paragraph organization.</w:t>
      </w:r>
    </w:p>
    <w:p>
      <w:pPr>
        <w:pStyle w:val="Compact"/>
        <w:numPr>
          <w:ilvl w:val="0"/>
          <w:numId w:val="1074"/>
        </w:numPr>
      </w:pPr>
      <w:r>
        <w:t xml:space="preserve">Persistent errors in spelling and punctuation.</w:t>
      </w:r>
    </w:p>
    <w:p>
      <w:pPr>
        <w:pStyle w:val="Compact"/>
        <w:numPr>
          <w:ilvl w:val="0"/>
          <w:numId w:val="1074"/>
        </w:numPr>
      </w:pPr>
      <w:r>
        <w:t xml:space="preserve">Large discrepancy between written and oral expression skills.</w:t>
      </w:r>
    </w:p>
    <w:bookmarkEnd w:id="163"/>
    <w:bookmarkStart w:id="164" w:name="mathematics-disorder-dyscalculia-6a03.2"/>
    <w:p>
      <w:pPr>
        <w:pStyle w:val="Heading4"/>
      </w:pPr>
      <w:r>
        <w:t xml:space="preserve">5.3 Mathematics disorder (dyscalculia, 6A03.2)</w:t>
      </w:r>
    </w:p>
    <w:p>
      <w:pPr>
        <w:pStyle w:val="Compact"/>
        <w:numPr>
          <w:ilvl w:val="0"/>
          <w:numId w:val="1075"/>
        </w:numPr>
      </w:pPr>
      <w:r>
        <w:t xml:space="preserve">Number sense deficit — quantitative comparison, assessment of magnitude.</w:t>
      </w:r>
    </w:p>
    <w:p>
      <w:pPr>
        <w:pStyle w:val="Compact"/>
        <w:numPr>
          <w:ilvl w:val="0"/>
          <w:numId w:val="1075"/>
        </w:numPr>
      </w:pPr>
      <w:r>
        <w:t xml:space="preserve">Difficulty recalling mathematical facts (e.g., multi-digit multiplication table).</w:t>
      </w:r>
    </w:p>
    <w:p>
      <w:pPr>
        <w:pStyle w:val="Compact"/>
        <w:numPr>
          <w:ilvl w:val="0"/>
          <w:numId w:val="1075"/>
        </w:numPr>
      </w:pPr>
      <w:r>
        <w:t xml:space="preserve">Slowness and errors in mathematical operations — addition, subtraction, multi-step problems.</w:t>
      </w:r>
    </w:p>
    <w:p>
      <w:pPr>
        <w:pStyle w:val="Compact"/>
        <w:numPr>
          <w:ilvl w:val="0"/>
          <w:numId w:val="1075"/>
        </w:numPr>
      </w:pPr>
      <w:r>
        <w:t xml:space="preserve">Difficulties in the verbal presentation of mathematical problems.</w:t>
      </w:r>
    </w:p>
    <w:bookmarkEnd w:id="164"/>
    <w:bookmarkEnd w:id="165"/>
    <w:bookmarkStart w:id="170" w:name="Xb64545c08004f2c883b5a45d10e410adc59d8d1"/>
    <w:p>
      <w:pPr>
        <w:pStyle w:val="Heading3"/>
      </w:pPr>
      <w:r>
        <w:t xml:space="preserve">6. Diagnosis</w:t>
      </w:r>
    </w:p>
    <w:bookmarkStart w:id="166" w:name="X6588314e055ea9f677541681b7eb99556868d8a"/>
    <w:p>
      <w:pPr>
        <w:pStyle w:val="Heading4"/>
      </w:pPr>
      <w:r>
        <w:t xml:space="preserve">6.1 Unified diagnostic criteria (DSM-5-TR · ICD-11 consensus points)</w:t>
      </w:r>
    </w:p>
    <w:p>
      <w:pPr>
        <w:pStyle w:val="FirstParagraph"/>
      </w:pPr>
      <w:r>
        <w:t xml:space="preserve">A. Persistent difficulties in the acquisition and use of academic skills — persists for at least 6 months despite age-appropriate targeted intervention. At least one of the following symptoms:</w:t>
      </w:r>
    </w:p>
    <w:p>
      <w:pPr>
        <w:pStyle w:val="Compact"/>
        <w:numPr>
          <w:ilvl w:val="0"/>
          <w:numId w:val="1076"/>
        </w:numPr>
      </w:pPr>
      <w:r>
        <w:t xml:space="preserve">Inaccuracy or slowness in reading words;</w:t>
      </w:r>
    </w:p>
    <w:p>
      <w:pPr>
        <w:pStyle w:val="Compact"/>
        <w:numPr>
          <w:ilvl w:val="0"/>
          <w:numId w:val="1076"/>
        </w:numPr>
      </w:pPr>
      <w:r>
        <w:t xml:space="preserve">Difficulty understanding the text being read;</w:t>
      </w:r>
    </w:p>
    <w:p>
      <w:pPr>
        <w:pStyle w:val="Compact"/>
        <w:numPr>
          <w:ilvl w:val="0"/>
          <w:numId w:val="1076"/>
        </w:numPr>
      </w:pPr>
      <w:r>
        <w:t xml:space="preserve">Spelling difficulties;</w:t>
      </w:r>
    </w:p>
    <w:p>
      <w:pPr>
        <w:pStyle w:val="Compact"/>
        <w:numPr>
          <w:ilvl w:val="0"/>
          <w:numId w:val="1076"/>
        </w:numPr>
      </w:pPr>
      <w:r>
        <w:t xml:space="preserve">Difficulties in written expression (grammar, punctuation, organization);</w:t>
      </w:r>
    </w:p>
    <w:p>
      <w:pPr>
        <w:pStyle w:val="Compact"/>
        <w:numPr>
          <w:ilvl w:val="0"/>
          <w:numId w:val="1076"/>
        </w:numPr>
      </w:pPr>
      <w:r>
        <w:t xml:space="preserve">Challenges in emotional and cognitive skills;</w:t>
      </w:r>
    </w:p>
    <w:p>
      <w:pPr>
        <w:pStyle w:val="Compact"/>
        <w:numPr>
          <w:ilvl w:val="0"/>
          <w:numId w:val="1076"/>
        </w:numPr>
      </w:pPr>
      <w:r>
        <w:t xml:space="preserve">Difficulties in mathematical reasoning.</w:t>
      </w:r>
    </w:p>
    <w:p>
      <w:pPr>
        <w:pStyle w:val="FirstParagraph"/>
      </w:pPr>
      <w:r>
        <w:t xml:space="preserve">B. Academic skills are significantly below the age-expected level — documented by standardized tests (-1.5 SD or lower for chronological age), creates functional impairment in academic or occupational activity.</w:t>
      </w:r>
    </w:p>
    <w:p>
      <w:pPr>
        <w:pStyle w:val="BodyText"/>
      </w:pPr>
      <w:r>
        <w:t xml:space="preserve">C. Onset at school age (but may not fully manifest until academic demands increase).</w:t>
      </w:r>
    </w:p>
    <w:p>
      <w:pPr>
        <w:pStyle w:val="BodyText"/>
      </w:pPr>
      <w:r>
        <w:t xml:space="preserve">D. Exclusions — not fully explained by intellectual disability, hearing/vision deficit, other neurological or psychiatric condition, psychosocial deprivation, ambiguity in academic language of instruction, inadequate education.</w:t>
      </w:r>
    </w:p>
    <w:bookmarkEnd w:id="166"/>
    <w:bookmarkStart w:id="167" w:name="differences-between-sources-6"/>
    <w:p>
      <w:pPr>
        <w:pStyle w:val="Heading4"/>
      </w:pPr>
      <w:r>
        <w:t xml:space="preserve">6.2 Differences between sources</w:t>
      </w:r>
    </w:p>
    <w:p>
      <w:pPr>
        <w:pStyle w:val="Compact"/>
        <w:numPr>
          <w:ilvl w:val="0"/>
          <w:numId w:val="1077"/>
        </w:numPr>
      </w:pPr>
      <w:r>
        <w:t xml:space="preserve">DSM-5-TR: The “IQ-academic ability discrepancy” model has been abolished — no IQ cutoff is required for diagnosis; unresponsiveness to long-term intervention is essential. Severity: mild, moderate, severe — based on adaptive functioning.</w:t>
      </w:r>
    </w:p>
    <w:p>
      <w:pPr>
        <w:pStyle w:val="Compact"/>
        <w:numPr>
          <w:ilvl w:val="0"/>
          <w:numId w:val="1077"/>
        </w:numPr>
      </w:pPr>
      <w:r>
        <w:t xml:space="preserve">ICD-11 (6A03): Parallel structure; sub-specifications (reading, writing, math). Severity is not a separate qualifier.</w:t>
      </w:r>
    </w:p>
    <w:p>
      <w:pPr>
        <w:pStyle w:val="Compact"/>
        <w:numPr>
          <w:ilvl w:val="0"/>
          <w:numId w:val="1077"/>
        </w:numPr>
      </w:pPr>
      <w:r>
        <w:t xml:space="preserve">IDA — International Dyslexia Association: dyslexia — neurobiological origin, deficit in phonological processing; ‘neuroinformation-processing’ disorder. Standardized literacy assessment + response observation (Response to Intervention, RTI) recommended.</w:t>
      </w:r>
    </w:p>
    <w:p>
      <w:pPr>
        <w:pStyle w:val="Compact"/>
        <w:numPr>
          <w:ilvl w:val="0"/>
          <w:numId w:val="1077"/>
        </w:numPr>
      </w:pPr>
      <w:r>
        <w:t xml:space="preserve">AAP Clinical Report on Dyslexia (Handler S.M., Fierson W.M. Pediatrics 2011, reaffirmed): diagnosis should be referred by pediatricians, assessment multidisciplinary — psychologist + speech-language pathologist + educational specialist.</w:t>
      </w:r>
    </w:p>
    <w:p>
      <w:pPr>
        <w:pStyle w:val="Compact"/>
        <w:numPr>
          <w:ilvl w:val="0"/>
          <w:numId w:val="1077"/>
        </w:numPr>
      </w:pPr>
      <w:r>
        <w:t xml:space="preserve">NICE: no specific clinical guidelines for learning disorder; main framework is within the education system (SEND Code of Practice, EHCP).</w:t>
      </w:r>
    </w:p>
    <w:bookmarkEnd w:id="167"/>
    <w:bookmarkStart w:id="168" w:name="diagnostic-algorithm-3"/>
    <w:p>
      <w:pPr>
        <w:pStyle w:val="Heading4"/>
      </w:pPr>
      <w:r>
        <w:t xml:space="preserve">6.3 Diagnostic algorithm</w:t>
      </w:r>
    </w:p>
    <w:p>
      <w:pPr>
        <w:pStyle w:val="Compact"/>
        <w:numPr>
          <w:ilvl w:val="0"/>
          <w:numId w:val="1078"/>
        </w:numPr>
      </w:pPr>
      <w:r>
        <w:t xml:space="preserve">Teacher and parent interview — academic history, response to intervention.</w:t>
      </w:r>
    </w:p>
    <w:p>
      <w:pPr>
        <w:pStyle w:val="Compact"/>
        <w:numPr>
          <w:ilvl w:val="0"/>
          <w:numId w:val="1078"/>
        </w:numPr>
      </w:pPr>
      <w:r>
        <w:t xml:space="preserve">Visual and hearing tests (to rule out sensory impairment).</w:t>
      </w:r>
    </w:p>
    <w:p>
      <w:pPr>
        <w:pStyle w:val="Compact"/>
        <w:numPr>
          <w:ilvl w:val="0"/>
          <w:numId w:val="1078"/>
        </w:numPr>
      </w:pPr>
      <w:r>
        <w:t xml:space="preserve">Standardized academic achievement tests — Woodcock-Johnson IV, WIAT-4, KTEA-3.</w:t>
      </w:r>
    </w:p>
    <w:p>
      <w:pPr>
        <w:pStyle w:val="Compact"/>
        <w:numPr>
          <w:ilvl w:val="0"/>
          <w:numId w:val="1078"/>
        </w:numPr>
      </w:pPr>
      <w:r>
        <w:t xml:space="preserve">Phonological awareness and reading assessment — CTOPP-2, GORT-5, TOWRE-2.</w:t>
      </w:r>
    </w:p>
    <w:p>
      <w:pPr>
        <w:pStyle w:val="Compact"/>
        <w:numPr>
          <w:ilvl w:val="0"/>
          <w:numId w:val="1078"/>
        </w:numPr>
      </w:pPr>
      <w:r>
        <w:t xml:space="preserve">For mathematics — KeyMath-3, TEMA-3.</w:t>
      </w:r>
    </w:p>
    <w:p>
      <w:pPr>
        <w:pStyle w:val="Compact"/>
        <w:numPr>
          <w:ilvl w:val="0"/>
          <w:numId w:val="1078"/>
        </w:numPr>
      </w:pPr>
      <w:r>
        <w:t xml:space="preserve">Intellectual assessment (WISC-V) — except for intellectual disability; discrepancy not necessary for diagnosis.</w:t>
      </w:r>
    </w:p>
    <w:p>
      <w:pPr>
        <w:pStyle w:val="Compact"/>
        <w:numPr>
          <w:ilvl w:val="0"/>
          <w:numId w:val="1078"/>
        </w:numPr>
      </w:pPr>
      <w:r>
        <w:t xml:space="preserve">Assessment of attention, executive function (BRIEF-2), working memory.</w:t>
      </w:r>
    </w:p>
    <w:p>
      <w:pPr>
        <w:pStyle w:val="Compact"/>
        <w:numPr>
          <w:ilvl w:val="0"/>
          <w:numId w:val="1078"/>
        </w:numPr>
      </w:pPr>
      <w:r>
        <w:t xml:space="preserve">Response to Intervention (RTI) documentation — persistent difficulty despite ≥ 6 months of age-appropriate intervention.</w:t>
      </w:r>
    </w:p>
    <w:p>
      <w:pPr>
        <w:pStyle w:val="Compact"/>
        <w:numPr>
          <w:ilvl w:val="0"/>
          <w:numId w:val="1078"/>
        </w:numPr>
      </w:pPr>
      <w:r>
        <w:t xml:space="preserve">Comorbidity screening — ADHD, language disorder, anxiety, depression.</w:t>
      </w:r>
    </w:p>
    <w:bookmarkEnd w:id="168"/>
    <w:bookmarkStart w:id="169" w:name="differential-diagnosis-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developmental disorder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Academic deficit in the context of general cognitive deficit; adaptive function is also impaired.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Developmental language disorder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Acquisition of spoken language impaired; reading and spelling problems are secondary.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Attention deficit reduces academic achievement; academic skills in standardized tests are usually appropriate for attention level. Comorbidity is frequent.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Visual/auditory impairment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Detected via sensory examination.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Social-economic deprivation, inadequate education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an appropriate educational setting, academic achievement is restored.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Second language learning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Academic skills in the native language should be assessed; bilingualism alone is not a basis for diagnosis.</w:t>
            </w:r>
          </w:p>
        </w:tc>
      </w:tr>
    </w:tbl>
    <w:bookmarkEnd w:id="169"/>
    <w:bookmarkEnd w:id="170"/>
    <w:bookmarkStart w:id="174" w:name="Xc8c978dfb8788f804727161ee92c99afc0a5d8e"/>
    <w:p>
      <w:pPr>
        <w:pStyle w:val="Heading3"/>
      </w:pPr>
      <w:r>
        <w:t xml:space="preserve">7. Examination and assessment</w:t>
      </w:r>
    </w:p>
    <w:bookmarkStart w:id="171" w:name="standardized-tests-2"/>
    <w:p>
      <w:pPr>
        <w:pStyle w:val="Heading4"/>
      </w:pPr>
      <w:r>
        <w:t xml:space="preserve">7.1 Standardized tests</w:t>
      </w:r>
    </w:p>
    <w:p>
      <w:pPr>
        <w:pStyle w:val="Compact"/>
        <w:numPr>
          <w:ilvl w:val="0"/>
          <w:numId w:val="1079"/>
        </w:numPr>
      </w:pPr>
      <w:r>
        <w:t xml:space="preserve">Academic skills: Woodcock-Johnson IV (comprehensive), WIAT-4 (Wechsler Individual Achievement Test), KTEA-3.</w:t>
      </w:r>
    </w:p>
    <w:p>
      <w:pPr>
        <w:pStyle w:val="Compact"/>
        <w:numPr>
          <w:ilvl w:val="0"/>
          <w:numId w:val="1079"/>
        </w:numPr>
      </w:pPr>
      <w:r>
        <w:t xml:space="preserve">Reading: GORT-5 (Gray Oral Reading Test), TOWRE-2 (Test of Word Reading Efficiency), CTOPP-2 (Comprehensive Test of Phonological Processing).</w:t>
      </w:r>
    </w:p>
    <w:p>
      <w:pPr>
        <w:pStyle w:val="Compact"/>
        <w:numPr>
          <w:ilvl w:val="0"/>
          <w:numId w:val="1079"/>
        </w:numPr>
      </w:pPr>
      <w:r>
        <w:t xml:space="preserve">Mathematics: KeyMath-3, TEMA-3 (Test of Early Mathematics Ability).</w:t>
      </w:r>
    </w:p>
    <w:p>
      <w:pPr>
        <w:pStyle w:val="Compact"/>
        <w:numPr>
          <w:ilvl w:val="0"/>
          <w:numId w:val="1079"/>
        </w:numPr>
      </w:pPr>
      <w:r>
        <w:t xml:space="preserve">Intellect and cognition: WISC-V, WJ-IV Cognitive.</w:t>
      </w:r>
    </w:p>
    <w:p>
      <w:pPr>
        <w:pStyle w:val="Compact"/>
        <w:numPr>
          <w:ilvl w:val="0"/>
          <w:numId w:val="1079"/>
        </w:numPr>
      </w:pPr>
      <w:r>
        <w:t xml:space="preserve">Executive function: BRIEF-2 (parent/teacher questionnaire).</w:t>
      </w:r>
    </w:p>
    <w:p>
      <w:pPr>
        <w:pStyle w:val="Compact"/>
        <w:numPr>
          <w:ilvl w:val="0"/>
          <w:numId w:val="1079"/>
        </w:numPr>
      </w:pPr>
      <w:r>
        <w:t xml:space="preserve">Working memory, processing speed: WISC-V indices, digit span, Trail Making.</w:t>
      </w:r>
    </w:p>
    <w:bookmarkEnd w:id="171"/>
    <w:bookmarkStart w:id="172" w:name="laboratory-investigations-2"/>
    <w:p>
      <w:pPr>
        <w:pStyle w:val="Heading4"/>
      </w:pPr>
      <w:r>
        <w:t xml:space="preserve">7.2 Laboratory investigations</w:t>
      </w:r>
    </w:p>
    <w:p>
      <w:pPr>
        <w:pStyle w:val="FirstParagraph"/>
      </w:pPr>
      <w:r>
        <w:t xml:space="preserve">No routine laboratory indication. Based on specific clinical suspicion:</w:t>
      </w:r>
    </w:p>
    <w:p>
      <w:pPr>
        <w:pStyle w:val="Compact"/>
        <w:numPr>
          <w:ilvl w:val="0"/>
          <w:numId w:val="1080"/>
        </w:numPr>
      </w:pPr>
      <w:r>
        <w:t xml:space="preserve">Lead level — if risk factors are present.</w:t>
      </w:r>
    </w:p>
    <w:p>
      <w:pPr>
        <w:pStyle w:val="Compact"/>
        <w:numPr>
          <w:ilvl w:val="0"/>
          <w:numId w:val="1080"/>
        </w:numPr>
      </w:pPr>
      <w:r>
        <w:t xml:space="preserve">Thyroid function — if congenital hypothyroidism is undetected.</w:t>
      </w:r>
    </w:p>
    <w:p>
      <w:pPr>
        <w:pStyle w:val="Compact"/>
        <w:numPr>
          <w:ilvl w:val="0"/>
          <w:numId w:val="1080"/>
        </w:numPr>
      </w:pPr>
      <w:r>
        <w:t xml:space="preserve">Genetic research — if comorbid intellectual disability or syndromic features present.</w:t>
      </w:r>
    </w:p>
    <w:bookmarkEnd w:id="172"/>
    <w:bookmarkStart w:id="173" w:name="instrumental-investigations-3"/>
    <w:p>
      <w:pPr>
        <w:pStyle w:val="Heading4"/>
      </w:pPr>
      <w:r>
        <w:t xml:space="preserve">7.3 Instrumental investigations</w:t>
      </w:r>
    </w:p>
    <w:p>
      <w:pPr>
        <w:pStyle w:val="Compact"/>
        <w:numPr>
          <w:ilvl w:val="0"/>
          <w:numId w:val="1081"/>
        </w:numPr>
      </w:pPr>
      <w:r>
        <w:t xml:space="preserve">Brain MRI — no routine indication; in case of focal neurological signs, seizures, regression.</w:t>
      </w:r>
    </w:p>
    <w:p>
      <w:pPr>
        <w:pStyle w:val="Compact"/>
        <w:numPr>
          <w:ilvl w:val="0"/>
          <w:numId w:val="1081"/>
        </w:numPr>
      </w:pPr>
      <w:r>
        <w:t xml:space="preserve">EEG — suspected seizure, rule out Landau-Kleffner.</w:t>
      </w:r>
    </w:p>
    <w:p>
      <w:pPr>
        <w:pStyle w:val="Compact"/>
        <w:numPr>
          <w:ilvl w:val="0"/>
          <w:numId w:val="1081"/>
        </w:numPr>
      </w:pPr>
      <w:r>
        <w:t xml:space="preserve">Hearing test and vision test — mandatory initial assessments in all cases.</w:t>
      </w:r>
    </w:p>
    <w:bookmarkEnd w:id="173"/>
    <w:bookmarkEnd w:id="174"/>
    <w:bookmarkStart w:id="178" w:name="X30af50e53bbef10b062b0e362348bf56a4c2091"/>
    <w:p>
      <w:pPr>
        <w:pStyle w:val="Heading3"/>
      </w:pPr>
      <w:r>
        <w:t xml:space="preserve">8. Treatment</w:t>
      </w:r>
    </w:p>
    <w:bookmarkStart w:id="175" w:name="X7018e5446a4594fbc7ae2266a5f580600a154ae"/>
    <w:p>
      <w:pPr>
        <w:pStyle w:val="Heading4"/>
      </w:pPr>
      <w:r>
        <w:t xml:space="preserve">8.1 General principles (IDA · AAP 2011 · APA · NASP consensus)</w:t>
      </w:r>
    </w:p>
    <w:p>
      <w:pPr>
        <w:pStyle w:val="Compact"/>
        <w:numPr>
          <w:ilvl w:val="0"/>
          <w:numId w:val="1082"/>
        </w:numPr>
      </w:pPr>
      <w:r>
        <w:t xml:space="preserve">Specific learning disorders are not treated pharmacologically. Intervention — evidence-based education and therapy.</w:t>
      </w:r>
    </w:p>
    <w:p>
      <w:pPr>
        <w:pStyle w:val="Compact"/>
        <w:numPr>
          <w:ilvl w:val="0"/>
          <w:numId w:val="1082"/>
        </w:numPr>
      </w:pPr>
      <w:r>
        <w:t xml:space="preserve">Early identification and intervention — intervention efficacy is significantly higher in preschool and early school-age periods. RTI (Response to Intervention) model — age-appropriate intervention stepwise, lack of response leads to diagnostic assessment.</w:t>
      </w:r>
    </w:p>
    <w:p>
      <w:pPr>
        <w:pStyle w:val="Compact"/>
        <w:numPr>
          <w:ilvl w:val="0"/>
          <w:numId w:val="1082"/>
        </w:numPr>
      </w:pPr>
      <w:r>
        <w:t xml:space="preserve">Dyslexia — Structured Literacy approach: systematic, sequential, explicit, multisensory, diagnostic training. Phonological awareness + phoneme-grapheme correspondence + word structure + syntax + semantics. Orton-Gillingham, Wilson Reading System, Lindamood-Bell are typical programs.</w:t>
      </w:r>
    </w:p>
    <w:p>
      <w:pPr>
        <w:pStyle w:val="Compact"/>
        <w:numPr>
          <w:ilvl w:val="0"/>
          <w:numId w:val="1082"/>
        </w:numPr>
      </w:pPr>
      <w:r>
        <w:t xml:space="preserve">Dyscalculia: Concrete-Representational-Abstract (CRA) instruction; number sense development, math fact memorization exercises.</w:t>
      </w:r>
    </w:p>
    <w:p>
      <w:pPr>
        <w:pStyle w:val="Compact"/>
        <w:numPr>
          <w:ilvl w:val="0"/>
          <w:numId w:val="1082"/>
        </w:numPr>
      </w:pPr>
      <w:r>
        <w:t xml:space="preserve">Dysgraphia: Handwriting training (e.g., Handwriting Without Tears), keyboard learning, word-sentence organization strategies, voice-to-text technology.</w:t>
      </w:r>
    </w:p>
    <w:p>
      <w:pPr>
        <w:pStyle w:val="Compact"/>
        <w:numPr>
          <w:ilvl w:val="0"/>
          <w:numId w:val="1082"/>
        </w:numPr>
      </w:pPr>
      <w:r>
        <w:t xml:space="preserve">Academic accommodations: Extra time, audiobooks, keyboard, text-to-speech software, calculator in math — within IEP / EHCP.</w:t>
      </w:r>
    </w:p>
    <w:p>
      <w:pPr>
        <w:pStyle w:val="Compact"/>
        <w:numPr>
          <w:ilvl w:val="0"/>
          <w:numId w:val="1082"/>
        </w:numPr>
      </w:pPr>
      <w:r>
        <w:t xml:space="preserve">Treatment of comorbidity: ADHD — stimulants; anxiety and depression — CBT; language disorder — SLP.</w:t>
      </w:r>
    </w:p>
    <w:p>
      <w:pPr>
        <w:pStyle w:val="Compact"/>
        <w:numPr>
          <w:ilvl w:val="0"/>
          <w:numId w:val="1082"/>
        </w:numPr>
      </w:pPr>
      <w:r>
        <w:t xml:space="preserve">Social-emotional support. Children with learning disorders are at high risk for issues related to self-esteem, motivation, and anxiety.</w:t>
      </w:r>
    </w:p>
    <w:bookmarkEnd w:id="175"/>
    <w:bookmarkStart w:id="176" w:name="treatment-methods-3"/>
    <w:p>
      <w:pPr>
        <w:pStyle w:val="Heading4"/>
      </w:pPr>
      <w:r>
        <w:t xml:space="preserve">8.2 Treatment methods</w:t>
      </w:r>
    </w:p>
    <w:p>
      <w:pPr>
        <w:pStyle w:val="Compact"/>
        <w:numPr>
          <w:ilvl w:val="0"/>
          <w:numId w:val="1083"/>
        </w:numPr>
      </w:pPr>
      <w:r>
        <w:t xml:space="preserve">Orton-Gillingham (OG) approach — Structured multisensory phoneme-grapheme-based reading and spelling training. First-line methodology for dyslexia; conducted by certified teacher/therapist. Evidence: Stevens E.A. et al. J Learn Disabil 2021 meta-analysis — medium effect size in reading and spelling. Academy of Orton-Gillingham Practitioners.</w:t>
      </w:r>
    </w:p>
    <w:p>
      <w:pPr>
        <w:pStyle w:val="Compact"/>
        <w:numPr>
          <w:ilvl w:val="0"/>
          <w:numId w:val="1083"/>
        </w:numPr>
      </w:pPr>
      <w:r>
        <w:t xml:space="preserve">Wilson Reading System — Program based on Orton-Gillingham principles, a 12-step complex reading and spelling program; from age 6 to adulthood. wilsonlanguage.com.</w:t>
      </w:r>
    </w:p>
    <w:p>
      <w:pPr>
        <w:pStyle w:val="Compact"/>
        <w:numPr>
          <w:ilvl w:val="0"/>
          <w:numId w:val="1083"/>
        </w:numPr>
      </w:pPr>
      <w:r>
        <w:t xml:space="preserve">Lindamood-Bell programs — LiPS (Lindamood Phoneme Sequencing) — combines phoneme awareness with motor-kinesthetic component; Seeing Stars — orthographic encoding. lindamoodbell.com.</w:t>
      </w:r>
    </w:p>
    <w:p>
      <w:pPr>
        <w:pStyle w:val="Compact"/>
        <w:numPr>
          <w:ilvl w:val="0"/>
          <w:numId w:val="1083"/>
        </w:numPr>
      </w:pPr>
      <w:r>
        <w:t xml:space="preserve">Structured Literacy (IDA Knowledge and Practice Standards) — Not a specific program, a framework — systematic, sequential, explicit, multisensory, diagnostic teaching principles. Orton-Gillingham, Wilson, Lindamood-Bell and others fit this framework. dyslexiaida.org.</w:t>
      </w:r>
    </w:p>
    <w:p>
      <w:pPr>
        <w:pStyle w:val="Compact"/>
        <w:numPr>
          <w:ilvl w:val="0"/>
          <w:numId w:val="1083"/>
        </w:numPr>
      </w:pPr>
      <w:r>
        <w:t xml:space="preserve">Concrete-Representational-Abstract Instruction (CRA) — For dyscalculia — training starting with concrete manipulative tools, then pictorial representation, then transitioning to abstract symbolic operations. Evidence: Witzel B.S. et al. J Spec Educ Technol 2003.</w:t>
      </w:r>
    </w:p>
    <w:p>
      <w:pPr>
        <w:pStyle w:val="Compact"/>
        <w:numPr>
          <w:ilvl w:val="0"/>
          <w:numId w:val="1083"/>
        </w:numPr>
      </w:pPr>
      <w:r>
        <w:t xml:space="preserve">“Handwriting Without Tears” program — Olsen (Olsen J.) — Multisensory handwriting training program used in dysgraphia and writing difficulties. lwtears.com.</w:t>
      </w:r>
    </w:p>
    <w:p>
      <w:pPr>
        <w:pStyle w:val="Compact"/>
        <w:numPr>
          <w:ilvl w:val="0"/>
          <w:numId w:val="1083"/>
        </w:numPr>
      </w:pPr>
      <w:r>
        <w:t xml:space="preserve">Response to Intervention (RTI) / Multi-Tiered System of Supports (MTSS) — 3-tier framework – Tier 1: universal high-quality training; Tier 2: targeted small group intervention; Tier 3: intensive individual intervention. Established by IDEA 2004 law in USA; similar frameworks in other countries.</w:t>
      </w:r>
    </w:p>
    <w:p>
      <w:pPr>
        <w:pStyle w:val="Compact"/>
        <w:numPr>
          <w:ilvl w:val="0"/>
          <w:numId w:val="1083"/>
        </w:numPr>
      </w:pPr>
      <w:r>
        <w:t xml:space="preserve">Assistive Technology — Text-to-speech (Read&amp;Write, NaturalReader), speech-to-text (Dragon Naturally Speaking), audiobooks (Bookshare, Learning Ally), calculation tools for math — functional compensation. Recommended by AAP and IDA.</w:t>
      </w:r>
    </w:p>
    <w:p>
      <w:pPr>
        <w:pStyle w:val="Compact"/>
        <w:numPr>
          <w:ilvl w:val="0"/>
          <w:numId w:val="1083"/>
        </w:numPr>
      </w:pPr>
      <w:r>
        <w:t xml:space="preserve">Comprehensive Test of Phonological Processing (CTOPP-2) — Standardized assessment of phonological awareness — gold standard in dyslexia identification.</w:t>
      </w:r>
    </w:p>
    <w:p>
      <w:pPr>
        <w:pStyle w:val="Compact"/>
        <w:numPr>
          <w:ilvl w:val="0"/>
          <w:numId w:val="1083"/>
        </w:numPr>
      </w:pPr>
      <w:r>
        <w:t xml:space="preserve">GORT-5 (Gray Oral Reading Test) and TOWRE-2 — Measurement of reading speed, accuracy, and fluency.</w:t>
      </w:r>
    </w:p>
    <w:bookmarkEnd w:id="176"/>
    <w:bookmarkStart w:id="177" w:name="differences-between-sources-7"/>
    <w:p>
      <w:pPr>
        <w:pStyle w:val="Heading4"/>
      </w:pPr>
      <w:r>
        <w:t xml:space="preserve">8.3 Differences between sources</w:t>
      </w:r>
    </w:p>
    <w:p>
      <w:pPr>
        <w:pStyle w:val="Compact"/>
        <w:numPr>
          <w:ilvl w:val="0"/>
          <w:numId w:val="1084"/>
        </w:numPr>
      </w:pPr>
      <w:r>
        <w:t xml:space="preserve">IDA Knowledge and Practice Standards for Teachers of Reading (2018): Structured Literacy framework; certified teacher requirement.</w:t>
      </w:r>
    </w:p>
    <w:p>
      <w:pPr>
        <w:pStyle w:val="Compact"/>
        <w:numPr>
          <w:ilvl w:val="0"/>
          <w:numId w:val="1084"/>
        </w:numPr>
      </w:pPr>
      <w:r>
        <w:t xml:space="preserve">AAP 2011 (Handler &amp; Fierson): dyslexia biologically based; academic intervention first-line; visual therapy is contraindicated (see 10.3).</w:t>
      </w:r>
    </w:p>
    <w:p>
      <w:pPr>
        <w:pStyle w:val="Compact"/>
        <w:numPr>
          <w:ilvl w:val="0"/>
          <w:numId w:val="1084"/>
        </w:numPr>
      </w:pPr>
      <w:r>
        <w:t xml:space="preserve">National Reading Panel (NRP) 2000: five essential reading components — phonological awareness, phonics, fluency, vocabulary, comprehension.</w:t>
      </w:r>
    </w:p>
    <w:p>
      <w:pPr>
        <w:pStyle w:val="Compact"/>
        <w:numPr>
          <w:ilvl w:val="0"/>
          <w:numId w:val="1084"/>
        </w:numPr>
      </w:pPr>
      <w:r>
        <w:t xml:space="preserve">NASP (National Association of School Psychologists): Within RTI, there are three tiers — universal screening, targeted intervention, and intensive individualized intervention.</w:t>
      </w:r>
    </w:p>
    <w:bookmarkEnd w:id="177"/>
    <w:bookmarkEnd w:id="178"/>
    <w:bookmarkStart w:id="182" w:name="Xa002d7abd2fd9ad077faa770885689639701d20"/>
    <w:p>
      <w:pPr>
        <w:pStyle w:val="Heading3"/>
      </w:pPr>
      <w:r>
        <w:t xml:space="preserve">9. Prognosis</w:t>
      </w:r>
    </w:p>
    <w:bookmarkStart w:id="179" w:name="good-prognostic-factors-3"/>
    <w:p>
      <w:pPr>
        <w:pStyle w:val="Heading4"/>
      </w:pPr>
      <w:r>
        <w:t xml:space="preserve">Good prognostic factors</w:t>
      </w:r>
    </w:p>
    <w:p>
      <w:pPr>
        <w:pStyle w:val="Compact"/>
        <w:numPr>
          <w:ilvl w:val="0"/>
          <w:numId w:val="1085"/>
        </w:numPr>
      </w:pPr>
      <w:r>
        <w:t xml:space="preserve">Early identification (preschool or early school age).</w:t>
      </w:r>
    </w:p>
    <w:p>
      <w:pPr>
        <w:pStyle w:val="Compact"/>
        <w:numPr>
          <w:ilvl w:val="0"/>
          <w:numId w:val="1085"/>
        </w:numPr>
      </w:pPr>
      <w:r>
        <w:t xml:space="preserve">Evidence-based Structured Literacy intervention.</w:t>
      </w:r>
    </w:p>
    <w:p>
      <w:pPr>
        <w:pStyle w:val="Compact"/>
        <w:numPr>
          <w:ilvl w:val="0"/>
          <w:numId w:val="1085"/>
        </w:numPr>
      </w:pPr>
      <w:r>
        <w:t xml:space="preserve">High IQ — development of compensatory strategies.</w:t>
      </w:r>
    </w:p>
    <w:p>
      <w:pPr>
        <w:pStyle w:val="Compact"/>
        <w:numPr>
          <w:ilvl w:val="0"/>
          <w:numId w:val="1085"/>
        </w:numPr>
      </w:pPr>
      <w:r>
        <w:t xml:space="preserve">Family support and motivation.</w:t>
      </w:r>
    </w:p>
    <w:p>
      <w:pPr>
        <w:pStyle w:val="Compact"/>
        <w:numPr>
          <w:ilvl w:val="0"/>
          <w:numId w:val="1085"/>
        </w:numPr>
      </w:pPr>
      <w:r>
        <w:t xml:space="preserve">Affects only one academic domain (e.g., single reading, math normal).</w:t>
      </w:r>
    </w:p>
    <w:bookmarkEnd w:id="179"/>
    <w:bookmarkStart w:id="180" w:name="poor-prognostic-factors-3"/>
    <w:p>
      <w:pPr>
        <w:pStyle w:val="Heading4"/>
      </w:pPr>
      <w:r>
        <w:t xml:space="preserve">Poor prognostic factors</w:t>
      </w:r>
    </w:p>
    <w:p>
      <w:pPr>
        <w:pStyle w:val="Compact"/>
        <w:numPr>
          <w:ilvl w:val="0"/>
          <w:numId w:val="1086"/>
        </w:numPr>
      </w:pPr>
      <w:r>
        <w:t xml:space="preserve">Late identification (middle or late school age).</w:t>
      </w:r>
    </w:p>
    <w:p>
      <w:pPr>
        <w:pStyle w:val="Compact"/>
        <w:numPr>
          <w:ilvl w:val="0"/>
          <w:numId w:val="1086"/>
        </w:numPr>
      </w:pPr>
      <w:r>
        <w:t xml:space="preserve">The impact across multiple academic domains.</w:t>
      </w:r>
    </w:p>
    <w:p>
      <w:pPr>
        <w:pStyle w:val="Compact"/>
        <w:numPr>
          <w:ilvl w:val="0"/>
          <w:numId w:val="1086"/>
        </w:numPr>
      </w:pPr>
      <w:r>
        <w:t xml:space="preserve">Comorbid ADHD, language disorder, anxiety.</w:t>
      </w:r>
    </w:p>
    <w:p>
      <w:pPr>
        <w:pStyle w:val="Compact"/>
        <w:numPr>
          <w:ilvl w:val="0"/>
          <w:numId w:val="1086"/>
        </w:numPr>
      </w:pPr>
      <w:r>
        <w:t xml:space="preserve">Low socioeconomic support, limited educational resources.</w:t>
      </w:r>
    </w:p>
    <w:p>
      <w:pPr>
        <w:pStyle w:val="Compact"/>
        <w:numPr>
          <w:ilvl w:val="0"/>
          <w:numId w:val="1086"/>
        </w:numPr>
      </w:pPr>
      <w:r>
        <w:t xml:space="preserve">Intervention with unproven methods (colored lenses, visual therapy, Brain Gym).</w:t>
      </w:r>
    </w:p>
    <w:bookmarkEnd w:id="180"/>
    <w:bookmarkStart w:id="181" w:name="follow-up-targets-3"/>
    <w:p>
      <w:pPr>
        <w:pStyle w:val="Heading4"/>
      </w:pPr>
      <w:r>
        <w:t xml:space="preserve">Follow-up targets</w:t>
      </w:r>
    </w:p>
    <w:p>
      <w:pPr>
        <w:pStyle w:val="Compact"/>
        <w:numPr>
          <w:ilvl w:val="0"/>
          <w:numId w:val="1087"/>
        </w:numPr>
      </w:pPr>
      <w:r>
        <w:t xml:space="preserve">Academic achievement monitoring — annual standardized tests.</w:t>
      </w:r>
    </w:p>
    <w:p>
      <w:pPr>
        <w:pStyle w:val="Compact"/>
        <w:numPr>
          <w:ilvl w:val="0"/>
          <w:numId w:val="1087"/>
        </w:numPr>
      </w:pPr>
      <w:r>
        <w:t xml:space="preserve">Social-emotional health — self-esteem, anxiety, depression screening.</w:t>
      </w:r>
    </w:p>
    <w:p>
      <w:pPr>
        <w:pStyle w:val="Compact"/>
        <w:numPr>
          <w:ilvl w:val="0"/>
          <w:numId w:val="1087"/>
        </w:numPr>
      </w:pPr>
      <w:r>
        <w:t xml:space="preserve">Separate intervention for comorbid ADHD and language disorder.</w:t>
      </w:r>
    </w:p>
    <w:p>
      <w:pPr>
        <w:pStyle w:val="Compact"/>
        <w:numPr>
          <w:ilvl w:val="0"/>
          <w:numId w:val="1087"/>
        </w:numPr>
      </w:pPr>
      <w:r>
        <w:t xml:space="preserve">Professional and academic accommodation planning in adulthood (disability-related opportunities in higher education, workplace adaptation).</w:t>
      </w:r>
    </w:p>
    <w:p>
      <w:pPr>
        <w:pStyle w:val="Compact"/>
        <w:numPr>
          <w:ilvl w:val="0"/>
          <w:numId w:val="1087"/>
        </w:numPr>
      </w:pPr>
      <w:r>
        <w:t xml:space="preserve">Enhancement of assistive technology use (text-to-speech, calculator).</w:t>
      </w:r>
    </w:p>
    <w:bookmarkEnd w:id="181"/>
    <w:bookmarkEnd w:id="182"/>
    <w:bookmarkStart w:id="198" w:name="X0b877f70ae732e862989cb888ea32e9b7a2e2e6"/>
    <w:p>
      <w:pPr>
        <w:pStyle w:val="Heading3"/>
      </w:pPr>
      <w:r>
        <w:t xml:space="preserve">10. Myths and misconceptions</w:t>
      </w:r>
    </w:p>
    <w:bookmarkStart w:id="186" w:name="aetiology-myths-3"/>
    <w:p>
      <w:pPr>
        <w:pStyle w:val="Heading4"/>
      </w:pPr>
      <w:r>
        <w:t xml:space="preserve">10.1 Aetiology myths</w:t>
      </w:r>
    </w:p>
    <w:bookmarkStart w:id="183" w:name="X46c97f8c7923a1d4ce0bdd3e259d63f448c1fe7"/>
    <w:p>
      <w:pPr>
        <w:pStyle w:val="Heading5"/>
      </w:pPr>
      <w:r>
        <w:t xml:space="preserve">Myth 1: “Dyslexia is the result of a child's laziness or poor upbringing”</w:t>
      </w:r>
    </w:p>
    <w:p>
      <w:pPr>
        <w:pStyle w:val="FirstParagraph"/>
      </w:pPr>
      <w:r>
        <w:t xml:space="preserve">Why it is widespread: Belief “if they try hard enough, they can read”; incorrect explanation of academic struggle as a character issue.</w:t>
      </w:r>
    </w:p>
    <w:p>
      <w:pPr>
        <w:pStyle w:val="BodyText"/>
      </w:pPr>
      <w:r>
        <w:t xml:space="preserve">Clinical and biological rationale: Dyslexia is a neurobiological disorder. fMRI studies (Shaywitz S.E. Biol Psychiatry 2008) have shown atypical activation patterns in left perisylvian areas; heritability 50–70%, identified risk genes (DYX1C1, KIAA0319, DCDC2). The patient is forced to expend higher cognitive effort rather than work harder — this leads to chronic exhaustion.</w:t>
      </w:r>
    </w:p>
    <w:p>
      <w:pPr>
        <w:pStyle w:val="BodyText"/>
      </w:pPr>
      <w:r>
        <w:t xml:space="preserve">Evidence: IDA Definition (2002, update) — “Dyslexia is a specific learning disability of neurobiological origin.”</w:t>
      </w:r>
    </w:p>
    <w:p>
      <w:pPr>
        <w:pStyle w:val="BodyText"/>
      </w:pPr>
      <w:r>
        <w:t xml:space="preserve">Real clinical step: Explain biological basis to family; evidence-based Structured Literacy intervention and academic accommodation instead of blaming.</w:t>
      </w:r>
    </w:p>
    <w:bookmarkEnd w:id="183"/>
    <w:bookmarkStart w:id="184" w:name="Xecfa09714bb639a840876a0781f3ae6906891b5"/>
    <w:p>
      <w:pPr>
        <w:pStyle w:val="Heading5"/>
      </w:pPr>
      <w:r>
        <w:t xml:space="preserve">Myth 2: “Dyslexia is children writing letters in reverse (mirror)”</w:t>
      </w:r>
    </w:p>
    <w:p>
      <w:pPr>
        <w:pStyle w:val="FirstParagraph"/>
      </w:pPr>
      <w:r>
        <w:t xml:space="preserve">Why it is widespread: Orton 1925 ‘strephosymbolia’ term and recurring image in popular media.</w:t>
      </w:r>
    </w:p>
    <w:p>
      <w:pPr>
        <w:pStyle w:val="BodyText"/>
      </w:pPr>
      <w:r>
        <w:t xml:space="preserve">Clinical and biological rationale: Reversed letter writing and reading is normal in all children aged 4–7 years; persistent letter inversion after age 8 may raise clinical suspicion, but it is not the main symptom of dyslexia. The core of dyslexia is a deficit in phonological processing.</w:t>
      </w:r>
    </w:p>
    <w:p>
      <w:pPr>
        <w:pStyle w:val="BodyText"/>
      </w:pPr>
      <w:r>
        <w:t xml:space="preserve">Evidence: Stanovich K.E. (2000) — phonological deficit theory; visual-spatial deficit is not primary etiology.</w:t>
      </w:r>
    </w:p>
    <w:bookmarkEnd w:id="184"/>
    <w:bookmarkStart w:id="185" w:name="X96792bfd5ed56eb94cba6cf4b18680dd14e60d8"/>
    <w:p>
      <w:pPr>
        <w:pStyle w:val="Heading5"/>
      </w:pPr>
      <w:r>
        <w:t xml:space="preserve">Myth 3: “Children with dyslexia will ‘outgrow it’ with age, no intervention needed”</w:t>
      </w:r>
    </w:p>
    <w:p>
      <w:pPr>
        <w:pStyle w:val="FirstParagraph"/>
      </w:pPr>
      <w:r>
        <w:t xml:space="preserve">Evidence: Bruck M. Dev Psychol 1992 — long-term follow-up studies: dyslexic children without intervention retain reading difficulties in adulthood; academic and vocational outcomes are poor. The earlier the intervention, the higher the compensation potential.</w:t>
      </w:r>
    </w:p>
    <w:bookmarkEnd w:id="185"/>
    <w:bookmarkEnd w:id="186"/>
    <w:bookmarkStart w:id="191" w:name="X84b5ff0c92ff2c8de1c91e058d093727699dc27"/>
    <w:p>
      <w:pPr>
        <w:pStyle w:val="Heading4"/>
      </w:pPr>
      <w:r>
        <w:t xml:space="preserve">10.2 Harmful or scientifically unfounded methods</w:t>
      </w:r>
    </w:p>
    <w:bookmarkStart w:id="187" w:name="X23a94ce147c024903efe1f08c0394e7e438aabd"/>
    <w:p>
      <w:pPr>
        <w:pStyle w:val="Heading5"/>
      </w:pPr>
      <w:r>
        <w:t xml:space="preserve">Myth 4: “Colored lenses (Irlen lenses) or colored overlays cure dyslexia”</w:t>
      </w:r>
    </w:p>
    <w:p>
      <w:pPr>
        <w:pStyle w:val="FirstParagraph"/>
      </w:pPr>
      <w:r>
        <w:t xml:space="preserve">Why it is widespread: In the 1980s, concept of ‘scotopic sensitivity syndrome’ by Helen Irlen; marketing by commercial optometric clinics.</w:t>
      </w:r>
    </w:p>
    <w:p>
      <w:pPr>
        <w:pStyle w:val="BodyText"/>
      </w:pPr>
      <w:r>
        <w:t xml:space="preserve">Evidence: AAP, AAO (American Academy of Ophthalmology) and AAPOS (American Association for Pediatric Ophthalmology and Strabismus) 2009 and 2014 Joint Statements: The effect of colored lenses and overlays for dyslexia is unproven; Cochrane (Evans B.J., Allen P.M. 2016) systematic review — insufficient evidence of effect. AAP — delays first-line intervention (Structured Literacy).</w:t>
      </w:r>
    </w:p>
    <w:p>
      <w:pPr>
        <w:pStyle w:val="BodyText"/>
      </w:pPr>
      <w:r>
        <w:t xml:space="preserve">Real clinical step: Clear explanation to family; evidence-based phonological reading program as intervention.</w:t>
      </w:r>
    </w:p>
    <w:bookmarkEnd w:id="187"/>
    <w:bookmarkStart w:id="188" w:name="X824f3afaf1f7f19835adad6c5e9ff1b275d7775"/>
    <w:p>
      <w:pPr>
        <w:pStyle w:val="Heading5"/>
      </w:pPr>
      <w:r>
        <w:t xml:space="preserve">Myth 5: “Visual therapy (eye exercises) cures dyslexia”</w:t>
      </w:r>
    </w:p>
    <w:p>
      <w:pPr>
        <w:pStyle w:val="FirstParagraph"/>
      </w:pPr>
      <w:r>
        <w:t xml:space="preserve">Evidence: AAP, AAO, AAPOS 2009 Joint Statement — emphasizes dyslexia is a language-based disorder, not an eye movement disorder; effect of eye exercises on reading performance not proven. Visual therapy is indicated only for specific eye movement disorders (e.g., convergence insufficiency).</w:t>
      </w:r>
    </w:p>
    <w:bookmarkEnd w:id="188"/>
    <w:bookmarkStart w:id="189" w:name="myth-6-brain-gym-educational-kinesiology"/>
    <w:p>
      <w:pPr>
        <w:pStyle w:val="Heading5"/>
      </w:pPr>
      <w:r>
        <w:t xml:space="preserve">Myth 6: “Brain Gym / Educational Kinesiology”</w:t>
      </w:r>
    </w:p>
    <w:p>
      <w:pPr>
        <w:pStyle w:val="FirstParagraph"/>
      </w:pPr>
      <w:r>
        <w:t xml:space="preserve">Evidence: Hyatt K.J. Remedial Spec Educ 2007 systematic review — claims do not align with neurobiology; no effect on academic achievement. Criticized as a conversion program.</w:t>
      </w:r>
    </w:p>
    <w:bookmarkEnd w:id="189"/>
    <w:bookmarkStart w:id="190" w:name="myth-7-cerebellar-exercise-therapy"/>
    <w:p>
      <w:pPr>
        <w:pStyle w:val="Heading5"/>
      </w:pPr>
      <w:r>
        <w:t xml:space="preserve">Myth 7: “Cerebellar Exercise Therapy”</w:t>
      </w:r>
    </w:p>
    <w:p>
      <w:pPr>
        <w:pStyle w:val="FirstParagraph"/>
      </w:pPr>
      <w:r>
        <w:t xml:space="preserve">Why it is widespread: Wynford Dore popularized in the 2000s a theory linking cerebellar function to reading; claims of “positive outcomes” attracted media attention.</w:t>
      </w:r>
    </w:p>
    <w:p>
      <w:pPr>
        <w:pStyle w:val="BodyText"/>
      </w:pPr>
      <w:r>
        <w:t xml:space="preserve">Evidence: The original research by Reynolds D., Nicolson R.I. received rigorous methodological criticism (Bishop D.V. Dyslexia 2007); the effect was not confirmed in subsequent studies. British Dyslexia Association — does not recommend the Dore programme.</w:t>
      </w:r>
    </w:p>
    <w:bookmarkEnd w:id="190"/>
    <w:bookmarkEnd w:id="191"/>
    <w:bookmarkStart w:id="197" w:name="X03986ce6768f653c6aaa6c848a085b2c9c2f27f"/>
    <w:p>
      <w:pPr>
        <w:pStyle w:val="Heading4"/>
      </w:pPr>
      <w:r>
        <w:t xml:space="preserve">10.3 Ineffective methods or those delaying primary intervention</w:t>
      </w:r>
    </w:p>
    <w:bookmarkStart w:id="192" w:name="X758d70187b075bf848828e38f56bcf5f969b481"/>
    <w:p>
      <w:pPr>
        <w:pStyle w:val="Heading5"/>
      </w:pPr>
      <w:r>
        <w:t xml:space="preserve">Myth 8: “Whole Language” approach teaches reading instead of phonics</w:t>
      </w:r>
    </w:p>
    <w:p>
      <w:pPr>
        <w:pStyle w:val="FirstParagraph"/>
      </w:pPr>
      <w:r>
        <w:t xml:space="preserve">Evidence: National Reading Panel 2000 (NRP) — systematic phonics instruction is clearly superior to the “whole language” approach, especially in children with learning difficulties. Same position incorporated into educational legal standards by Endrew F. v. Douglas County (US Supreme Court 2017). The “Reading Wars” debate has largely been resolved in favor of systematic phonics.</w:t>
      </w:r>
    </w:p>
    <w:bookmarkEnd w:id="192"/>
    <w:bookmarkStart w:id="193" w:name="X42b2489f248fe8bc1e7643030e0467b00998770"/>
    <w:p>
      <w:pPr>
        <w:pStyle w:val="Heading5"/>
      </w:pPr>
      <w:r>
        <w:t xml:space="preserve">Myth 9: “Auditory Integration Training (AIT) / Tomatis method cures dyslexia”</w:t>
      </w:r>
    </w:p>
    <w:p>
      <w:pPr>
        <w:pStyle w:val="FirstParagraph"/>
      </w:pPr>
      <w:r>
        <w:t xml:space="preserve">Evidence: ASHA Position Statement 2004 — AIT has not been proven effective for dyslexia or learning disorders.</w:t>
      </w:r>
    </w:p>
    <w:bookmarkEnd w:id="193"/>
    <w:bookmarkStart w:id="194" w:name="Xa709e18aa0833e090327b83948d8ae046429d0d"/>
    <w:p>
      <w:pPr>
        <w:pStyle w:val="Heading5"/>
      </w:pPr>
      <w:r>
        <w:t xml:space="preserve">Myth 10: “EEG Neurofeedback cures dyslexia or dyscalculia”</w:t>
      </w:r>
    </w:p>
    <w:p>
      <w:pPr>
        <w:pStyle w:val="FirstParagraph"/>
      </w:pPr>
      <w:r>
        <w:t xml:space="preserve">Evidence: Neurofeedback effect for specific learning disorder has not been proven. Modest effect in ADHD (Holtmann 2011), but extrapolation to learning disorders is unfounded.</w:t>
      </w:r>
    </w:p>
    <w:bookmarkEnd w:id="194"/>
    <w:bookmarkStart w:id="195" w:name="Xd56c5a9862562018c6f1c3c6da97f55bf1b61c4"/>
    <w:p>
      <w:pPr>
        <w:pStyle w:val="Heading5"/>
      </w:pPr>
      <w:r>
        <w:t xml:space="preserve">Myth 11: “Special diet (gluten-free, omega-3 mega-dose, ‘brain food’) cures dyslexia”</w:t>
      </w:r>
    </w:p>
    <w:p>
      <w:pPr>
        <w:pStyle w:val="FirstParagraph"/>
      </w:pPr>
      <w:r>
        <w:t xml:space="preserve">Evidence: Cochrane and systematic reviews (Tan M.L. et al. J Pediatr 2012 for omega-3) — sustained clinical effect in dyslexia has not been proven. Some studies have shown a small effect, but methodological limitations exist.</w:t>
      </w:r>
    </w:p>
    <w:bookmarkEnd w:id="195"/>
    <w:bookmarkStart w:id="196" w:name="X25f75b0002552b798870ba401a816aaaf62d8b6"/>
    <w:p>
      <w:pPr>
        <w:pStyle w:val="Heading5"/>
      </w:pPr>
      <w:r>
        <w:t xml:space="preserve">Myth 12: “Hyperbaric oxygen chamber (HBOT) or stem cell injections”</w:t>
      </w:r>
    </w:p>
    <w:p>
      <w:pPr>
        <w:pStyle w:val="FirstParagraph"/>
      </w:pPr>
      <w:r>
        <w:t xml:space="preserve">Evidence: No proven effect for specific learning disorder; risk profile is significant (HBOT — pneumothorax; stem cells — infection, fatal cases).</w:t>
      </w:r>
    </w:p>
    <w:bookmarkEnd w:id="196"/>
    <w:bookmarkEnd w:id="197"/>
    <w:bookmarkEnd w:id="198"/>
    <w:bookmarkStart w:id="2999" w:name="X25665ead7375980622895f88a9aff56ddd5bc4e"/>
    <w:p>
      <w:pPr>
        <w:pStyle w:val="Heading3"/>
      </w:pPr>
      <w:r>
        <w:t xml:space="preserve">11. Sources</w:t>
      </w:r>
    </w:p>
    <w:p>
      <w:pPr>
        <w:pStyle w:val="Compact"/>
        <w:numPr>
          <w:ilvl w:val="0"/>
          <w:numId w:val="1088"/>
        </w:numPr>
      </w:pPr>
      <w:r>
        <w:t xml:space="preserve">WHO. ICD-11 for Mortality and Morbidity Statistics. 6A03 Developmental learning disorder. 2024.</w:t>
      </w:r>
    </w:p>
    <w:p>
      <w:pPr>
        <w:pStyle w:val="Compact"/>
        <w:numPr>
          <w:ilvl w:val="0"/>
          <w:numId w:val="1088"/>
        </w:numPr>
      </w:pPr>
      <w:r>
        <w:t xml:space="preserve">American Psychiatric Association. DSM-5-TR. Washington DC: APA Publishing; 2022.</w:t>
      </w:r>
    </w:p>
    <w:p>
      <w:pPr>
        <w:pStyle w:val="Compact"/>
        <w:numPr>
          <w:ilvl w:val="0"/>
          <w:numId w:val="1088"/>
        </w:numPr>
      </w:pPr>
      <w:r>
        <w:t xml:space="preserve">International Dyslexia Association. Definition of Dyslexia. 2002, updated. dyslexiaida.org.</w:t>
      </w:r>
    </w:p>
    <w:p>
      <w:pPr>
        <w:pStyle w:val="Compact"/>
        <w:numPr>
          <w:ilvl w:val="0"/>
          <w:numId w:val="1088"/>
        </w:numPr>
      </w:pPr>
      <w:r>
        <w:t xml:space="preserve">IDA Knowledge and Practice Standards for Teachers of Reading. 2018.</w:t>
      </w:r>
    </w:p>
    <w:p>
      <w:pPr>
        <w:pStyle w:val="Compact"/>
        <w:numPr>
          <w:ilvl w:val="0"/>
          <w:numId w:val="108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08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088"/>
        </w:numPr>
      </w:pPr>
      <w:r>
        <w:t xml:space="preserve">Pennington B.F. From single to multiple deficit models of developmental disorders. Cogn Neuropsychol 2002;19(5):385–414.</w:t>
      </w:r>
    </w:p>
    <w:p>
      <w:pPr>
        <w:pStyle w:val="Compact"/>
        <w:numPr>
          <w:ilvl w:val="0"/>
          <w:numId w:val="1088"/>
        </w:numPr>
      </w:pPr>
      <w:r>
        <w:t xml:space="preserve">Shaywitz S.E., Shaywitz B.A. Paying attention to reading: The neurobiology of reading and dyslexia. Biol Psychiatry 2008;63(3):219–225.</w:t>
      </w:r>
    </w:p>
    <w:p>
      <w:pPr>
        <w:pStyle w:val="Compact"/>
        <w:numPr>
          <w:ilvl w:val="0"/>
          <w:numId w:val="1088"/>
        </w:numPr>
      </w:pPr>
      <w:r>
        <w:t xml:space="preserve">Butterworth B. Foundational numerical capacities and the origins of dyscalculia. Trends Cogn Sci 2010;14(12):534–541.</w:t>
      </w:r>
    </w:p>
    <w:p>
      <w:pPr>
        <w:pStyle w:val="Compact"/>
        <w:numPr>
          <w:ilvl w:val="0"/>
          <w:numId w:val="1088"/>
        </w:numPr>
      </w:pPr>
      <w:r>
        <w:t xml:space="preserve">Shalev R.S. Prevalence of developmental dyscalculia. Pediatr Neurol 2007;37(6):385–391.</w:t>
      </w:r>
    </w:p>
    <w:p>
      <w:pPr>
        <w:pStyle w:val="Compact"/>
        <w:numPr>
          <w:ilvl w:val="0"/>
          <w:numId w:val="1088"/>
        </w:numPr>
      </w:pPr>
      <w:r>
        <w:t xml:space="preserve">Berninger V.W., Niedo J. Aphasia and apraxia of speech in adults vs. dyslexia and dysgraphia in children. Top Lang Disord 2008;28(2):143–153.</w:t>
      </w:r>
    </w:p>
    <w:p>
      <w:pPr>
        <w:pStyle w:val="Compact"/>
        <w:numPr>
          <w:ilvl w:val="0"/>
          <w:numId w:val="108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088"/>
        </w:numPr>
      </w:pPr>
      <w:r>
        <w:t xml:space="preserve">Bruck M. Persistence of dyslexics' phonological awareness deficits. Dev Psychol 1992;28(5):874–886.</w:t>
      </w:r>
    </w:p>
    <w:p>
      <w:pPr>
        <w:pStyle w:val="Compact"/>
        <w:numPr>
          <w:ilvl w:val="0"/>
          <w:numId w:val="108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088"/>
        </w:numPr>
      </w:pPr>
      <w:r>
        <w:t xml:space="preserve">Evans B.J., Allen P.M. A systematic review of controlled trials on visual stress using Intuitive Overlays or the Intuitive Colorimeter. J Optom 2016;9(4):205–218.</w:t>
      </w:r>
    </w:p>
    <w:p>
      <w:pPr>
        <w:pStyle w:val="Compact"/>
        <w:numPr>
          <w:ilvl w:val="0"/>
          <w:numId w:val="1088"/>
        </w:numPr>
      </w:pPr>
      <w:r>
        <w:t xml:space="preserve">Witzel B.S., Mercer C.D., Miller M.D. Teaching algebra to students with learning difficulties: an investigation of an explicit instruction model. J Spec Educ Technol 2003;18(3):27–34.</w:t>
      </w:r>
    </w:p>
    <w:p>
      <w:pPr>
        <w:pStyle w:val="Compact"/>
        <w:numPr>
          <w:ilvl w:val="0"/>
          <w:numId w:val="1088"/>
        </w:numPr>
      </w:pPr>
      <w:r>
        <w:t xml:space="preserve">Hyatt K.J. Brain Gym: building stronger brains or wishful thinking? Remedial Spec Educ 2007;28(2):117–124.</w:t>
      </w:r>
    </w:p>
    <w:p>
      <w:pPr>
        <w:pStyle w:val="Compact"/>
        <w:numPr>
          <w:ilvl w:val="0"/>
          <w:numId w:val="1088"/>
        </w:numPr>
      </w:pPr>
      <w:r>
        <w:t xml:space="preserve">Bishop D.V.M. Curing dyslexia and attention-deficit hyperactivity disorder by training motor co-ordination: Miracle or myth? Dyslexia 2007;13(1):4–7.</w:t>
      </w:r>
    </w:p>
    <w:p>
      <w:pPr>
        <w:pStyle w:val="Compact"/>
        <w:numPr>
          <w:ilvl w:val="0"/>
          <w:numId w:val="1088"/>
        </w:numPr>
      </w:pPr>
      <w:r>
        <w:t xml:space="preserve">Tan M.L., Ho J.J., Teh K.H. Polyunsaturated fatty acids (PUFAs) for children with specific learning disorders. Cochrane Database Syst Rev 2012;(12):CD009398.</w:t>
      </w:r>
    </w:p>
    <w:p>
      <w:pPr>
        <w:pStyle w:val="Compact"/>
        <w:numPr>
          <w:ilvl w:val="0"/>
          <w:numId w:val="1088"/>
        </w:numPr>
      </w:pPr>
      <w:r>
        <w:t xml:space="preserve">Olsen J.Z. Handwriting Without Tears. Cabin John: Handwriting Without Tears, 2008.</w:t>
      </w:r>
    </w:p>
    <w:p>
      <w:pPr>
        <w:pStyle w:val="Compact"/>
        <w:numPr>
          <w:ilvl w:val="0"/>
          <w:numId w:val="1088"/>
        </w:numPr>
      </w:pPr>
      <w:r>
        <w:t xml:space="preserve">Reynolds D., Nicolson R.I., Hambly H. Evaluation of an exercise-based treatment for children with reading difficulties. Dyslexia 2003;9(1):48–71.</w:t>
      </w:r>
    </w:p>
    <w:p>
      <w:pPr>
        <w:pStyle w:val="Compact"/>
        <w:numPr>
          <w:ilvl w:val="0"/>
          <w:numId w:val="1088"/>
        </w:numPr>
      </w:pPr>
      <w:r>
        <w:t xml:space="preserve">Snowling M.J., Hulme C. A critique of claims from Reynolds, Nicolson &amp; Hambly (2003) that DDAT is an effective treatment for children with reading difficulties. Dyslexia 2003;9(2):127–133.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9" w:name="Xcebeaea2d9b3ad623159c806fea46b24c2b92cc"/>
            <w:r>
              <w:t xml:space="preserve">6A04 DEVELOPMENTAL MOTOR COORDINATION DISORDER (DCD)</w:t>
            </w:r>
            <w:bookmarkEnd w:id="199"/>
          </w:p>
          <w:p>
            <w:pPr>
              <w:pStyle w:val="Compact"/>
              <w:ind w:firstLine="0" w:left="0"/>
            </w:pPr>
            <w:r>
              <w:rPr>
                <w:lang w:val="en"/>
              </w:rPr>
              <w:t xml:space="preserve">Developmental motor coordination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developmental disorder of motor 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Developmental Coordination Disorder</w:t>
            </w:r>
          </w:p>
        </w:tc>
      </w:tr>
    </w:tbl>
    <w:bookmarkStart w:id="200" w:name="Xc675c1184ae8f19fec8f92eb831ce513e7d2c4b"/>
    <w:p>
      <w:pPr>
        <w:pStyle w:val="Heading3"/>
      </w:pPr>
      <w:r>
        <w:t xml:space="preserve">1. Definition and nosology</w:t>
      </w:r>
    </w:p>
    <w:p>
      <w:pPr>
        <w:pStyle w:val="FirstParagraph"/>
      </w:pPr>
      <w:r>
        <w:t xml:space="preserve">Developmental motor coordination disorder (ICD-11:</w:t>
      </w:r>
      <w:r>
        <w:t xml:space="preserve"> </w:t>
      </w:r>
      <w:r>
        <w:t xml:space="preserve">6A04</w:t>
      </w:r>
      <w:r>
        <w:t xml:space="preserve">; DSM-5-TR: F82 Developmental Coordination Disorder, DCD) — a neurodevelopmental disorder manifesting with persistent difficulties in acquiring and performing daily motor skills, unexpected given the child's chronological age, intellectual level, and motor learning opportunities.</w:t>
      </w:r>
    </w:p>
    <w:p>
      <w:pPr>
        <w:pStyle w:val="BodyText"/>
      </w:pPr>
      <w:r>
        <w:t xml:space="preserve">Old terms — “clumsy child syndrome”, “developmental dyspraxia”, “minimal brain dysfunction” — have been abandoned in modern clinical practice, replaced by the term DCD (Polatajko H.J., Fox A.M., Missiuna C. Can J Occup Ther 1995, “Leeds Consensus 2006”).</w:t>
      </w:r>
    </w:p>
    <w:bookmarkEnd w:id="200"/>
    <w:bookmarkStart w:id="201" w:name="X8cee7435c3db3cb66e263c2f5744f500663927d"/>
    <w:p>
      <w:pPr>
        <w:pStyle w:val="Heading3"/>
      </w:pPr>
      <w:r>
        <w:t xml:space="preserve">2. History</w:t>
      </w:r>
    </w:p>
    <w:p>
      <w:pPr>
        <w:pStyle w:val="Compact"/>
        <w:numPr>
          <w:ilvl w:val="0"/>
          <w:numId w:val="1089"/>
        </w:numPr>
      </w:pPr>
      <w:r>
        <w:t xml:space="preserve">1937 — Orton S.T. “developmental clumsiness” concept.</w:t>
      </w:r>
    </w:p>
    <w:p>
      <w:pPr>
        <w:pStyle w:val="Compact"/>
        <w:numPr>
          <w:ilvl w:val="0"/>
          <w:numId w:val="1089"/>
        </w:numPr>
      </w:pPr>
      <w:r>
        <w:t xml:space="preserve">1960s–1970s — “minimal brain dysfunction” (MBD) is a broad and imprecise term that was later abandoned.</w:t>
      </w:r>
    </w:p>
    <w:p>
      <w:pPr>
        <w:pStyle w:val="Compact"/>
        <w:numPr>
          <w:ilvl w:val="0"/>
          <w:numId w:val="1089"/>
        </w:numPr>
      </w:pPr>
      <w:r>
        <w:t xml:space="preserve">DSM-III-R (1987) — “Developmental Coordination Disorder” as an official diagnostic category.</w:t>
      </w:r>
    </w:p>
    <w:p>
      <w:pPr>
        <w:pStyle w:val="Compact"/>
        <w:numPr>
          <w:ilvl w:val="0"/>
          <w:numId w:val="1089"/>
        </w:numPr>
      </w:pPr>
      <w:r>
        <w:t xml:space="preserve">Leeds Consensus (2006) — international expert group standardized the term ‘DCD’; statement on ‘dyspraxia’ and ‘DCD’ not being accepted as synonyms (dyspraxia — narrower concept, motor planning deficit).</w:t>
      </w:r>
    </w:p>
    <w:p>
      <w:pPr>
        <w:pStyle w:val="Compact"/>
        <w:numPr>
          <w:ilvl w:val="0"/>
          <w:numId w:val="1089"/>
        </w:numPr>
      </w:pPr>
      <w:r>
        <w:t xml:space="preserve">EACD (European Academy of Childhood Disability) International Clinical Practice Recommendations — 2012, 2019 update (Blank R., Barnett A.L., Cairney J. et al. Dev Med Child Neurol 2019) — international standard for diagnosis, assessment, and intervention.</w:t>
      </w:r>
    </w:p>
    <w:p>
      <w:pPr>
        <w:pStyle w:val="Compact"/>
        <w:numPr>
          <w:ilvl w:val="0"/>
          <w:numId w:val="1089"/>
        </w:numPr>
      </w:pPr>
      <w:r>
        <w:t xml:space="preserve">DSM-5 (2013) and ICD-11 (2019) — DCD is included in the category of general neurodevelopmental disorders.</w:t>
      </w:r>
    </w:p>
    <w:bookmarkEnd w:id="201"/>
    <w:bookmarkStart w:id="202" w:name="X63cdba3b1ecf22e9041b178ed8026a71c70ba8f"/>
    <w:p>
      <w:pPr>
        <w:pStyle w:val="Heading3"/>
      </w:pPr>
      <w:r>
        <w:t xml:space="preserve">3. Epidemiology</w:t>
      </w:r>
    </w:p>
    <w:p>
      <w:pPr>
        <w:pStyle w:val="Compact"/>
        <w:numPr>
          <w:ilvl w:val="0"/>
          <w:numId w:val="1090"/>
        </w:numPr>
      </w:pPr>
      <w:r>
        <w:t xml:space="preserve">Prevalence: school-aged children 5–6% (EACD 2019; Lingam R. et al. Pediatrics 2009 England ALSPAC study n&gt;6900).</w:t>
      </w:r>
    </w:p>
    <w:p>
      <w:pPr>
        <w:pStyle w:val="Compact"/>
        <w:numPr>
          <w:ilvl w:val="0"/>
          <w:numId w:val="1090"/>
        </w:numPr>
      </w:pPr>
      <w:r>
        <w:t xml:space="preserve">Sex: Boys are 2–7 times higher (the hypothesis of underdiagnosis in females exists).</w:t>
      </w:r>
    </w:p>
    <w:p>
      <w:pPr>
        <w:pStyle w:val="Compact"/>
        <w:numPr>
          <w:ilvl w:val="0"/>
          <w:numId w:val="1090"/>
        </w:numPr>
      </w:pPr>
      <w:r>
        <w:t xml:space="preserve">Persistence: 50–70% of patients have motor difficulties persisting into adulthood (Cantell M.H. et al. J Adolesc Res 2003 follow-up; Kirby A. et al. Res Dev Disabil 2010).</w:t>
      </w:r>
    </w:p>
    <w:p>
      <w:pPr>
        <w:pStyle w:val="Compact"/>
        <w:numPr>
          <w:ilvl w:val="0"/>
          <w:numId w:val="1090"/>
        </w:numPr>
      </w:pPr>
      <w:r>
        <w:t xml:space="preserve">Comorbidity: ADHD 50%, specific learning disorder 50%, autism spectrum 5–10%, developmental language disorder 20–30%, increased risk of anxiety and depression in adolescence.</w:t>
      </w:r>
    </w:p>
    <w:bookmarkEnd w:id="202"/>
    <w:bookmarkStart w:id="205" w:name="Xf87ce36ec6504bd951beffaa268e43452016e34"/>
    <w:p>
      <w:pPr>
        <w:pStyle w:val="Heading3"/>
      </w:pPr>
      <w:r>
        <w:t xml:space="preserve">4. Aetiology and pathogenesis</w:t>
      </w:r>
    </w:p>
    <w:bookmarkStart w:id="203" w:name="genetic-and-neurobiological-factors"/>
    <w:p>
      <w:pPr>
        <w:pStyle w:val="Heading4"/>
      </w:pPr>
      <w:r>
        <w:t xml:space="preserve">4.1 Genetic and neurobiological factors</w:t>
      </w:r>
    </w:p>
    <w:p>
      <w:pPr>
        <w:pStyle w:val="Compact"/>
        <w:numPr>
          <w:ilvl w:val="0"/>
          <w:numId w:val="1091"/>
        </w:numPr>
      </w:pPr>
      <w:r>
        <w:t xml:space="preserve">Heritability studies limited, but family history of DCD cited as risk factor (Gaines R. et al. Phys Occup Ther Pediatr 2008).</w:t>
      </w:r>
    </w:p>
    <w:p>
      <w:pPr>
        <w:pStyle w:val="Compact"/>
        <w:numPr>
          <w:ilvl w:val="0"/>
          <w:numId w:val="1091"/>
        </w:numPr>
      </w:pPr>
      <w:r>
        <w:t xml:space="preserve">Neurobiological — atypical patterns of functional connectivity in the cerebellum, basal ganglia, parietal cortex, and premotor areas (Zwicker J.G. et al. Eur J Paediatr Neurol 2012 fMRI review). Internal modeling deficit hypothesis — disruptions in the processes of prediction and comparison preceding motor planning (Adams I.L. et al. Dev Med Child Neurol 2014).</w:t>
      </w:r>
    </w:p>
    <w:bookmarkEnd w:id="203"/>
    <w:bookmarkStart w:id="204" w:name="risk-factors-1"/>
    <w:p>
      <w:pPr>
        <w:pStyle w:val="Heading4"/>
      </w:pPr>
      <w:r>
        <w:t xml:space="preserve">4.2 Risk factors</w:t>
      </w:r>
    </w:p>
    <w:p>
      <w:pPr>
        <w:pStyle w:val="Compact"/>
        <w:numPr>
          <w:ilvl w:val="0"/>
          <w:numId w:val="1092"/>
        </w:numPr>
      </w:pPr>
      <w:r>
        <w:t xml:space="preserve">Premature birth (&lt;32 weeks) and low birth weight (&lt;1500 g) — increases DCD risk 6–8 times (Edwards J. et al. Dev Med Child Neurol 2011 systematic review).</w:t>
      </w:r>
    </w:p>
    <w:p>
      <w:pPr>
        <w:pStyle w:val="Compact"/>
        <w:numPr>
          <w:ilvl w:val="0"/>
          <w:numId w:val="1092"/>
        </w:numPr>
      </w:pPr>
      <w:r>
        <w:t xml:space="preserve">Maternal alcohol use during pregnancy (motor difficulty component in the FASD spectrum).</w:t>
      </w:r>
    </w:p>
    <w:p>
      <w:pPr>
        <w:pStyle w:val="Compact"/>
        <w:numPr>
          <w:ilvl w:val="0"/>
          <w:numId w:val="1092"/>
        </w:numPr>
      </w:pPr>
      <w:r>
        <w:t xml:space="preserve">Perinatal hypoxic-ischemic events.</w:t>
      </w:r>
    </w:p>
    <w:p>
      <w:pPr>
        <w:pStyle w:val="Compact"/>
        <w:numPr>
          <w:ilvl w:val="0"/>
          <w:numId w:val="1092"/>
        </w:numPr>
      </w:pPr>
      <w:r>
        <w:t xml:space="preserve">DCD or other neurodevelopmental disorders in family history.</w:t>
      </w:r>
    </w:p>
    <w:bookmarkEnd w:id="204"/>
    <w:bookmarkEnd w:id="205"/>
    <w:bookmarkStart w:id="209" w:name="Xbd9fa00cda213303d8d4b76ccff807b45ff9d68"/>
    <w:p>
      <w:pPr>
        <w:pStyle w:val="Heading3"/>
      </w:pPr>
      <w:r>
        <w:t xml:space="preserve">5. Clinical features</w:t>
      </w:r>
    </w:p>
    <w:bookmarkStart w:id="206" w:name="by-motor-skill-areas"/>
    <w:p>
      <w:pPr>
        <w:pStyle w:val="Heading4"/>
      </w:pPr>
      <w:r>
        <w:t xml:space="preserve">5.1 By motor skill areas</w:t>
      </w:r>
    </w:p>
    <w:p>
      <w:pPr>
        <w:pStyle w:val="Compact"/>
        <w:numPr>
          <w:ilvl w:val="0"/>
          <w:numId w:val="1093"/>
        </w:numPr>
      </w:pPr>
      <w:r>
        <w:t xml:space="preserve">Gross motor: Running, jumping, ball games, cycling, balance difficulty; avoidance of sports activity.</w:t>
      </w:r>
    </w:p>
    <w:p>
      <w:pPr>
        <w:pStyle w:val="Compact"/>
        <w:numPr>
          <w:ilvl w:val="0"/>
          <w:numId w:val="1093"/>
        </w:numPr>
      </w:pPr>
      <w:r>
        <w:t xml:space="preserve">Fine motor: Handwriting quality poor and slow, scissors, tying strings, buttoning, fork-knife use.</w:t>
      </w:r>
    </w:p>
    <w:p>
      <w:pPr>
        <w:pStyle w:val="Compact"/>
        <w:numPr>
          <w:ilvl w:val="0"/>
          <w:numId w:val="1093"/>
        </w:numPr>
      </w:pPr>
      <w:r>
        <w:t xml:space="preserve">Motor planning and execution: delay in learning new motor skills; problems with sequence and rhythm.</w:t>
      </w:r>
    </w:p>
    <w:p>
      <w:pPr>
        <w:pStyle w:val="Compact"/>
        <w:numPr>
          <w:ilvl w:val="0"/>
          <w:numId w:val="1093"/>
        </w:numPr>
      </w:pPr>
      <w:r>
        <w:t xml:space="preserve">Visual-motor integration: copying, drawing, difficulty forming letters.</w:t>
      </w:r>
    </w:p>
    <w:bookmarkEnd w:id="206"/>
    <w:bookmarkStart w:id="207" w:name="daily-functional-impairment"/>
    <w:p>
      <w:pPr>
        <w:pStyle w:val="Heading4"/>
      </w:pPr>
      <w:r>
        <w:t xml:space="preserve">5.2 Daily functional impairment</w:t>
      </w:r>
    </w:p>
    <w:p>
      <w:pPr>
        <w:pStyle w:val="Compact"/>
        <w:numPr>
          <w:ilvl w:val="0"/>
          <w:numId w:val="1094"/>
        </w:numPr>
      </w:pPr>
      <w:r>
        <w:t xml:space="preserve">Self-care — clothing, food intake, hygiene.</w:t>
      </w:r>
    </w:p>
    <w:p>
      <w:pPr>
        <w:pStyle w:val="Compact"/>
        <w:numPr>
          <w:ilvl w:val="0"/>
          <w:numId w:val="1094"/>
        </w:numPr>
      </w:pPr>
      <w:r>
        <w:t xml:space="preserve">Academic performance — handwriting speed, paper organization, sports participation.</w:t>
      </w:r>
    </w:p>
    <w:p>
      <w:pPr>
        <w:pStyle w:val="Compact"/>
        <w:numPr>
          <w:ilvl w:val="0"/>
          <w:numId w:val="1094"/>
        </w:numPr>
      </w:pPr>
      <w:r>
        <w:t xml:space="preserve">Community activity — playgrounds, sports teams, hobbies.</w:t>
      </w:r>
    </w:p>
    <w:p>
      <w:pPr>
        <w:pStyle w:val="Compact"/>
        <w:numPr>
          <w:ilvl w:val="0"/>
          <w:numId w:val="1094"/>
        </w:numPr>
      </w:pPr>
      <w:r>
        <w:t xml:space="preserve">Psychosocial outcomes — decreased self-esteem, anxiety, depressed mood, social isolation (Cairney J. et al. Dev Med Child Neurol 2013).</w:t>
      </w:r>
    </w:p>
    <w:bookmarkEnd w:id="207"/>
    <w:bookmarkStart w:id="208" w:name="trajectory"/>
    <w:p>
      <w:pPr>
        <w:pStyle w:val="Heading4"/>
      </w:pPr>
      <w:r>
        <w:t xml:space="preserve">5.3 Trajectory</w:t>
      </w:r>
    </w:p>
    <w:p>
      <w:pPr>
        <w:pStyle w:val="FirstParagraph"/>
      </w:pPr>
      <w:r>
        <w:t xml:space="preserve">Early signs (1–3 years) — delay in motor milestones (sitting, standing, first steps at normal time or delayed; quality of specific movements poor). Difficulties become evident in preschool and early school age; with increasing academic demands (writing, paper tasks), the disorder becomes more prominent. In adulthood — persistent difficulties in driving, occupational demands, sports activities (50–70%).</w:t>
      </w:r>
    </w:p>
    <w:bookmarkEnd w:id="208"/>
    <w:bookmarkEnd w:id="209"/>
    <w:bookmarkStart w:id="214" w:name="Xdabe6a86fe533e9c4ff071470fda3caa883b2e1"/>
    <w:p>
      <w:pPr>
        <w:pStyle w:val="Heading3"/>
      </w:pPr>
      <w:r>
        <w:t xml:space="preserve">6. Diagnosis</w:t>
      </w:r>
    </w:p>
    <w:bookmarkStart w:id="210" w:name="X198cad087fcdb78cdcf18c5d4748393788bde0e"/>
    <w:p>
      <w:pPr>
        <w:pStyle w:val="Heading4"/>
      </w:pPr>
      <w:r>
        <w:t xml:space="preserve">6.1 Unified diagnostic criteria (DSM-5-TR · ICD-11 · EACD 2019 consensus points)</w:t>
      </w:r>
    </w:p>
    <w:p>
      <w:pPr>
        <w:pStyle w:val="FirstParagraph"/>
      </w:pPr>
      <w:r>
        <w:t xml:space="preserve">A. Acquisition and execution of motor skills — significantly below the expected level when chronological age and motor learning opportunities are considered. Difficulties lead to slowness, imprecision, incoordination in performing motor skills.</w:t>
      </w:r>
    </w:p>
    <w:p>
      <w:pPr>
        <w:pStyle w:val="BodyText"/>
      </w:pPr>
      <w:r>
        <w:t xml:space="preserve">B. Motor skill deficit significantly and persistently interferes with age-appropriate daily life activities (e.g., self-care, academic achievement, occupational activity, play and sports).</w:t>
      </w:r>
    </w:p>
    <w:p>
      <w:pPr>
        <w:pStyle w:val="BodyText"/>
      </w:pPr>
      <w:r>
        <w:t xml:space="preserve">C. Onset in early developmental period.</w:t>
      </w:r>
    </w:p>
    <w:p>
      <w:pPr>
        <w:pStyle w:val="BodyText"/>
      </w:pPr>
      <w:r>
        <w:t xml:space="preserve">D. Exclusions — not fully explained by intellectual disability, visual impairment or other neurological condition (e.g., cerebral palsy, muscular dystrophy, degenerative disorders).</w:t>
      </w:r>
    </w:p>
    <w:bookmarkEnd w:id="210"/>
    <w:bookmarkStart w:id="211" w:name="differences-between-sources-8"/>
    <w:p>
      <w:pPr>
        <w:pStyle w:val="Heading4"/>
      </w:pPr>
      <w:r>
        <w:t xml:space="preserve">6.2 Differences between sources</w:t>
      </w:r>
    </w:p>
    <w:p>
      <w:pPr>
        <w:pStyle w:val="Compact"/>
        <w:numPr>
          <w:ilvl w:val="0"/>
          <w:numId w:val="1095"/>
        </w:numPr>
      </w:pPr>
      <w:r>
        <w:t xml:space="preserve">EACD 2019 (Blank et al.): four diagnostic criteria standardized — score below 5–15th percentile on motor skill test (Movement Assessment Battery for Children, MABC-2 or similar); daily activity impairment; onset in early developmental period; not explained by other medical conditions. Multidisciplinary assessment (pediatrician + occupational therapist or physiotherapist) recommended. Diagnosis recommended from age 5 (after motor skills stabilize); before age 5 term ‘Provisional DCD’ or ‘motor development delay’ can be used.</w:t>
      </w:r>
    </w:p>
    <w:p>
      <w:pPr>
        <w:pStyle w:val="Compact"/>
        <w:numPr>
          <w:ilvl w:val="0"/>
          <w:numId w:val="1095"/>
        </w:numPr>
      </w:pPr>
      <w:r>
        <w:t xml:space="preserve">DSM-5-TR: EACD parallel criteria; the term “dyspraxia” is not used.</w:t>
      </w:r>
    </w:p>
    <w:p>
      <w:pPr>
        <w:pStyle w:val="Compact"/>
        <w:numPr>
          <w:ilvl w:val="0"/>
          <w:numId w:val="1095"/>
        </w:numPr>
      </w:pPr>
      <w:r>
        <w:t xml:space="preserve">ICD-11: Motor development disorder; no sub-specifications.</w:t>
      </w:r>
    </w:p>
    <w:bookmarkEnd w:id="211"/>
    <w:bookmarkStart w:id="212" w:name="diagnostic-algorithm-4"/>
    <w:p>
      <w:pPr>
        <w:pStyle w:val="Heading4"/>
      </w:pPr>
      <w:r>
        <w:t xml:space="preserve">6.3 Diagnostic algorithm</w:t>
      </w:r>
    </w:p>
    <w:p>
      <w:pPr>
        <w:pStyle w:val="Compact"/>
        <w:numPr>
          <w:ilvl w:val="0"/>
          <w:numId w:val="1096"/>
        </w:numPr>
      </w:pPr>
      <w:r>
        <w:t xml:space="preserve">Parent and teacher interview — developmental history, motor milestones, daily activity problems.</w:t>
      </w:r>
    </w:p>
    <w:p>
      <w:pPr>
        <w:pStyle w:val="Compact"/>
        <w:numPr>
          <w:ilvl w:val="0"/>
          <w:numId w:val="1096"/>
        </w:numPr>
      </w:pPr>
      <w:r>
        <w:t xml:space="preserve">Standardized motor test — MABC-2 (Movement Assessment Battery for Children-2, age 3–16) or BOT-2 (Bruininks-Oseretsky Test of Motor Proficiency).</w:t>
      </w:r>
    </w:p>
    <w:p>
      <w:pPr>
        <w:pStyle w:val="Compact"/>
        <w:numPr>
          <w:ilvl w:val="0"/>
          <w:numId w:val="1096"/>
        </w:numPr>
      </w:pPr>
      <w:r>
        <w:t xml:space="preserve">Functional daily activity assessment — DCDQ (Developmental Coordination Disorder Questionnaire, parent form), VABS adaptive component.</w:t>
      </w:r>
    </w:p>
    <w:p>
      <w:pPr>
        <w:pStyle w:val="Compact"/>
        <w:numPr>
          <w:ilvl w:val="0"/>
          <w:numId w:val="1096"/>
        </w:numPr>
      </w:pPr>
      <w:r>
        <w:t xml:space="preserve">Visual test — exclusion of sensory impairment.</w:t>
      </w:r>
    </w:p>
    <w:p>
      <w:pPr>
        <w:pStyle w:val="Compact"/>
        <w:numPr>
          <w:ilvl w:val="0"/>
          <w:numId w:val="1096"/>
        </w:numPr>
      </w:pPr>
      <w:r>
        <w:t xml:space="preserve">Neurological examination — exclusion of cerebral palsy, ataxia, neuromuscular disease.</w:t>
      </w:r>
    </w:p>
    <w:p>
      <w:pPr>
        <w:pStyle w:val="Compact"/>
        <w:numPr>
          <w:ilvl w:val="0"/>
          <w:numId w:val="1096"/>
        </w:numPr>
      </w:pPr>
      <w:r>
        <w:t xml:space="preserve">Comorbidity screening — ADHD (Conners), specific learning disorder, autism, language disorder.</w:t>
      </w:r>
    </w:p>
    <w:p>
      <w:pPr>
        <w:pStyle w:val="Compact"/>
        <w:numPr>
          <w:ilvl w:val="0"/>
          <w:numId w:val="1096"/>
        </w:numPr>
      </w:pPr>
      <w:r>
        <w:t xml:space="preserve">Intellectual assessment — only if suspected global developmental delay or intellectual disability.</w:t>
      </w:r>
    </w:p>
    <w:bookmarkEnd w:id="212"/>
    <w:bookmarkStart w:id="213" w:name="differential-diagnosis-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Cerebral palsy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Spasticity, hyperreflexia, persistent neurological signs; MRI typical findings.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Muscular dystrophy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Progressive muscle weakness; CK level elevated; family history.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Congenital myopathy, neuropathy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neurological and EMG findings.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disability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deficit in the context of general cognitive deficit.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 stereotypies, social-communicative deficit are core.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Attention deficit affects motor performance; comorbidity is frequent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Visual impairment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Visual test impaired.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Dysgraphia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Fine motor problem dominant in writing context; general motor function is intact.</w:t>
            </w:r>
          </w:p>
        </w:tc>
      </w:tr>
    </w:tbl>
    <w:bookmarkEnd w:id="213"/>
    <w:bookmarkEnd w:id="214"/>
    <w:bookmarkStart w:id="218" w:name="Xe3c47884099e59a6e517066144bd31facc6afea"/>
    <w:p>
      <w:pPr>
        <w:pStyle w:val="Heading3"/>
      </w:pPr>
      <w:r>
        <w:t xml:space="preserve">7. Examination and assessment</w:t>
      </w:r>
    </w:p>
    <w:bookmarkStart w:id="215" w:name="standardized-motor-tests"/>
    <w:p>
      <w:pPr>
        <w:pStyle w:val="Heading4"/>
      </w:pPr>
      <w:r>
        <w:t xml:space="preserve">7.1 Standardized motor tests</w:t>
      </w:r>
    </w:p>
    <w:p>
      <w:pPr>
        <w:pStyle w:val="Compact"/>
        <w:numPr>
          <w:ilvl w:val="0"/>
          <w:numId w:val="1097"/>
        </w:numPr>
      </w:pPr>
      <w:r>
        <w:t xml:space="preserve">MABC-2 (Movement Assessment Battery for Children-2, ages 3–16) — gold standard; manual dexterity, ball skills, balance subtests.</w:t>
      </w:r>
    </w:p>
    <w:p>
      <w:pPr>
        <w:pStyle w:val="Compact"/>
        <w:numPr>
          <w:ilvl w:val="0"/>
          <w:numId w:val="1097"/>
        </w:numPr>
      </w:pPr>
      <w:r>
        <w:t xml:space="preserve">BOT-2 (Bruininks-Oseretsky Test of Motor Proficiency, ages 4–21) — broad motor profile.</w:t>
      </w:r>
    </w:p>
    <w:p>
      <w:pPr>
        <w:pStyle w:val="Compact"/>
        <w:numPr>
          <w:ilvl w:val="0"/>
          <w:numId w:val="1097"/>
        </w:numPr>
      </w:pPr>
      <w:r>
        <w:t xml:space="preserve">DCDQ (Developmental Coordination Disorder Questionnaire, ages 5–15, parent form) — functional screening.</w:t>
      </w:r>
    </w:p>
    <w:p>
      <w:pPr>
        <w:pStyle w:val="Compact"/>
        <w:numPr>
          <w:ilvl w:val="0"/>
          <w:numId w:val="1097"/>
        </w:numPr>
      </w:pPr>
      <w:r>
        <w:t xml:space="preserve">PDMS-2 (Peabody Developmental Motor Scales, &lt;6 years).</w:t>
      </w:r>
    </w:p>
    <w:p>
      <w:pPr>
        <w:pStyle w:val="Compact"/>
        <w:numPr>
          <w:ilvl w:val="0"/>
          <w:numId w:val="1097"/>
        </w:numPr>
      </w:pPr>
      <w:r>
        <w:t xml:space="preserve">BHK (Concise Assessment Method for Children's Handwriting) — handwriting quality.</w:t>
      </w:r>
    </w:p>
    <w:bookmarkEnd w:id="215"/>
    <w:bookmarkStart w:id="216" w:name="laboratory-investigations-3"/>
    <w:p>
      <w:pPr>
        <w:pStyle w:val="Heading4"/>
      </w:pPr>
      <w:r>
        <w:t xml:space="preserve">7.2 Laboratory investigations</w:t>
      </w:r>
    </w:p>
    <w:p>
      <w:pPr>
        <w:pStyle w:val="FirstParagraph"/>
      </w:pPr>
      <w:r>
        <w:t xml:space="preserve">No routine indication. Based on specific clinical suspicion:</w:t>
      </w:r>
    </w:p>
    <w:p>
      <w:pPr>
        <w:pStyle w:val="Compact"/>
        <w:numPr>
          <w:ilvl w:val="0"/>
          <w:numId w:val="1098"/>
        </w:numPr>
      </w:pPr>
      <w:r>
        <w:t xml:space="preserve">CK (creatine kinase) — suspected muscular dystrophy.</w:t>
      </w:r>
    </w:p>
    <w:p>
      <w:pPr>
        <w:pStyle w:val="Compact"/>
        <w:numPr>
          <w:ilvl w:val="0"/>
          <w:numId w:val="1098"/>
        </w:numPr>
      </w:pPr>
      <w:r>
        <w:t xml:space="preserve">Thyroid function — in some hypothyroid cases motor slowing.</w:t>
      </w:r>
    </w:p>
    <w:p>
      <w:pPr>
        <w:pStyle w:val="Compact"/>
        <w:numPr>
          <w:ilvl w:val="0"/>
          <w:numId w:val="1098"/>
        </w:numPr>
      </w:pPr>
      <w:r>
        <w:t xml:space="preserve">Genetic research — if syndromic features present.</w:t>
      </w:r>
    </w:p>
    <w:bookmarkEnd w:id="216"/>
    <w:bookmarkStart w:id="217" w:name="instrumental-investigations-4"/>
    <w:p>
      <w:pPr>
        <w:pStyle w:val="Heading4"/>
      </w:pPr>
      <w:r>
        <w:t xml:space="preserve">7.3 Instrumental investigations</w:t>
      </w:r>
    </w:p>
    <w:p>
      <w:pPr>
        <w:pStyle w:val="Compact"/>
        <w:numPr>
          <w:ilvl w:val="0"/>
          <w:numId w:val="1099"/>
        </w:numPr>
      </w:pPr>
      <w:r>
        <w:t xml:space="preserve">Brain MRI — only if focal neurological signs, ataxia, stable deficits (to rule out cerebellar/cerebral pathology).</w:t>
      </w:r>
    </w:p>
    <w:p>
      <w:pPr>
        <w:pStyle w:val="Compact"/>
        <w:numPr>
          <w:ilvl w:val="0"/>
          <w:numId w:val="1099"/>
        </w:numPr>
      </w:pPr>
      <w:r>
        <w:t xml:space="preserve">EMG/nerve conduction study — suspected neuromuscular disease.</w:t>
      </w:r>
    </w:p>
    <w:p>
      <w:pPr>
        <w:pStyle w:val="Compact"/>
        <w:numPr>
          <w:ilvl w:val="0"/>
          <w:numId w:val="1099"/>
        </w:numPr>
      </w:pPr>
      <w:r>
        <w:t xml:space="preserve">Visual test — baseline indicators in all cases.</w:t>
      </w:r>
    </w:p>
    <w:bookmarkEnd w:id="217"/>
    <w:bookmarkEnd w:id="218"/>
    <w:bookmarkStart w:id="222" w:name="X32c771f4a3b31e8b35f96e4e9ba7d0c9cd03185"/>
    <w:p>
      <w:pPr>
        <w:pStyle w:val="Heading3"/>
      </w:pPr>
      <w:r>
        <w:t xml:space="preserve">8. Treatment</w:t>
      </w:r>
    </w:p>
    <w:bookmarkStart w:id="219" w:name="general-principles-eacd-2019-consensus"/>
    <w:p>
      <w:pPr>
        <w:pStyle w:val="Heading4"/>
      </w:pPr>
      <w:r>
        <w:t xml:space="preserve">8.1 General principles (EACD 2019 consensus)</w:t>
      </w:r>
    </w:p>
    <w:p>
      <w:pPr>
        <w:pStyle w:val="Compact"/>
        <w:numPr>
          <w:ilvl w:val="0"/>
          <w:numId w:val="1100"/>
        </w:numPr>
      </w:pPr>
      <w:r>
        <w:t xml:space="preserve">DCD is not treated pharmacologically. Intervention — based on occupational therapy / physiotherapy.</w:t>
      </w:r>
    </w:p>
    <w:p>
      <w:pPr>
        <w:pStyle w:val="Compact"/>
        <w:numPr>
          <w:ilvl w:val="0"/>
          <w:numId w:val="1100"/>
        </w:numPr>
      </w:pPr>
      <w:r>
        <w:t xml:space="preserve">Early identification and intervention — improves functional outcomes.</w:t>
      </w:r>
    </w:p>
    <w:p>
      <w:pPr>
        <w:pStyle w:val="Compact"/>
        <w:numPr>
          <w:ilvl w:val="0"/>
          <w:numId w:val="1100"/>
        </w:numPr>
      </w:pPr>
      <w:r>
        <w:t xml:space="preserve">Top-down (task-oriented) approach first-line — demonstrates superior effect compared to bottom-up sensorimotor approaches (Smits-Engelsman B.C. et al. Dev Med Child Neurol 2013 meta-analysis).</w:t>
      </w:r>
    </w:p>
    <w:p>
      <w:pPr>
        <w:pStyle w:val="Compact"/>
        <w:numPr>
          <w:ilvl w:val="0"/>
          <w:numId w:val="1100"/>
        </w:numPr>
      </w:pPr>
      <w:r>
        <w:t xml:space="preserve">CO-OP (Cognitive Orientation to daily Occupational Performance) and NTT (Neuromotor Task Training) — Evidence-based approaches recommended as first-line at EACD 2019.</w:t>
      </w:r>
    </w:p>
    <w:p>
      <w:pPr>
        <w:pStyle w:val="Compact"/>
        <w:numPr>
          <w:ilvl w:val="0"/>
          <w:numId w:val="1100"/>
        </w:numPr>
      </w:pPr>
      <w:r>
        <w:t xml:space="preserve">Functional goals — daily activity goals chosen by patient and family (e.g., bicycle riding, dressing, handwriting).</w:t>
      </w:r>
    </w:p>
    <w:p>
      <w:pPr>
        <w:pStyle w:val="Compact"/>
        <w:numPr>
          <w:ilvl w:val="0"/>
          <w:numId w:val="1100"/>
        </w:numPr>
      </w:pPr>
      <w:r>
        <w:t xml:space="preserve">Family and school involvement — intervention should be accompanied at home and in school.</w:t>
      </w:r>
    </w:p>
    <w:p>
      <w:pPr>
        <w:pStyle w:val="Compact"/>
        <w:numPr>
          <w:ilvl w:val="0"/>
          <w:numId w:val="1100"/>
        </w:numPr>
      </w:pPr>
      <w:r>
        <w:t xml:space="preserve">Intensity: once to twice weekly sessions, typically 8–10 weeks initial course; extended based on effect assessment.</w:t>
      </w:r>
    </w:p>
    <w:p>
      <w:pPr>
        <w:pStyle w:val="Compact"/>
        <w:numPr>
          <w:ilvl w:val="0"/>
          <w:numId w:val="1100"/>
        </w:numPr>
      </w:pPr>
      <w:r>
        <w:t xml:space="preserve">Comorbidity treatment — ADHD (stimulants), learning disorder (Structured Literacy), anxiety and depression (CBT).</w:t>
      </w:r>
    </w:p>
    <w:p>
      <w:pPr>
        <w:pStyle w:val="Compact"/>
        <w:numPr>
          <w:ilvl w:val="0"/>
          <w:numId w:val="1100"/>
        </w:numPr>
      </w:pPr>
      <w:r>
        <w:t xml:space="preserve">Academic accommodations — handwriting tempo reduction, keyboard use, voice-to-text, additional time; individualized approach in physical education classes.</w:t>
      </w:r>
    </w:p>
    <w:bookmarkEnd w:id="219"/>
    <w:bookmarkStart w:id="220" w:name="treatment-methods-4"/>
    <w:p>
      <w:pPr>
        <w:pStyle w:val="Heading4"/>
      </w:pPr>
      <w:r>
        <w:t xml:space="preserve">8.2 Treatment methods</w:t>
      </w:r>
    </w:p>
    <w:p>
      <w:pPr>
        <w:pStyle w:val="Compact"/>
        <w:numPr>
          <w:ilvl w:val="0"/>
          <w:numId w:val="1101"/>
        </w:numPr>
      </w:pPr>
      <w:r>
        <w:t xml:space="preserve">Cognitive Orientation to daily Occupational Performance (CO-OP) — Polatajko H., Mandich A — Top-down cognitive-based approach in which the child is an active participant in solving his or her own motor problems. With the ‘Goal-Plan-Do-Check’ strategy, the patient selects, plans, executes, and evaluates their goal. 10–14 sessions, individual. Evidence: Smits-Engelsman B.C. et al. Dev Med Child Neurol 2013 meta-analysis — top-down approaches superior to bottom-up; Thornton A. et al. Phys Occup Ther Pediatr 2016 systematic review. EACD 2019 — first-line recommendation.</w:t>
      </w:r>
    </w:p>
    <w:p>
      <w:pPr>
        <w:pStyle w:val="Compact"/>
        <w:numPr>
          <w:ilvl w:val="0"/>
          <w:numId w:val="1101"/>
        </w:numPr>
      </w:pPr>
      <w:r>
        <w:t xml:space="preserve">Neuromotor Task Training (NTT) — Schoemaker M.M., Smits-Engelsman B.C. — Task-oriented motor learning approach — repetitive, structured practice of specific motor skills; visual-motor integration, balance, ball skills. Evidence: Niemeijer A.S. et al. Phys Ther 2007. EACD 2019 — evidence-based.</w:t>
      </w:r>
    </w:p>
    <w:p>
      <w:pPr>
        <w:pStyle w:val="Compact"/>
        <w:numPr>
          <w:ilvl w:val="0"/>
          <w:numId w:val="1101"/>
        </w:numPr>
      </w:pPr>
      <w:r>
        <w:t xml:space="preserve">MABC-2 (Movement Assessment Battery for Children-2) — Gold standard motor assessment; 3–16 years. Manual dexterity (3 sub-tests), ball skills (2), balance (3) — age-based normative tables.</w:t>
      </w:r>
    </w:p>
    <w:p>
      <w:pPr>
        <w:pStyle w:val="Compact"/>
        <w:numPr>
          <w:ilvl w:val="0"/>
          <w:numId w:val="1101"/>
        </w:numPr>
      </w:pPr>
      <w:r>
        <w:t xml:space="preserve">DCDQ (Developmental Coordination Disorder Questionnaire) — 15 questions, parent-completed functional screening tool (Wilson B.N. et al. Phys Occup Ther Pediatr 2009 update).</w:t>
      </w:r>
    </w:p>
    <w:p>
      <w:pPr>
        <w:pStyle w:val="Compact"/>
        <w:numPr>
          <w:ilvl w:val="0"/>
          <w:numId w:val="1101"/>
        </w:numPr>
      </w:pPr>
      <w:r>
        <w:t xml:space="preserve">BOT-2 (Bruininks-Oseretsky Test of Motor Proficiency-2) — 4–21 years, broad motor profile; used in clinical and research contexts.</w:t>
      </w:r>
    </w:p>
    <w:p>
      <w:pPr>
        <w:pStyle w:val="Compact"/>
        <w:numPr>
          <w:ilvl w:val="0"/>
          <w:numId w:val="1101"/>
        </w:numPr>
      </w:pPr>
      <w:r>
        <w:t xml:space="preserve">“Partnering for Change” program (CanChild) — School-based intervention model — occupational therapist works jointly with teachers, implements adaptations in the classroom context. Evidence: Missiuna C. et al. Int J Environ Res Public Health 2017.</w:t>
      </w:r>
    </w:p>
    <w:p>
      <w:pPr>
        <w:pStyle w:val="Compact"/>
        <w:numPr>
          <w:ilvl w:val="0"/>
          <w:numId w:val="1101"/>
        </w:numPr>
      </w:pPr>
      <w:r>
        <w:t xml:space="preserve">Keyboard training and voice-to-text technology — Academic accommodation – an assistive technology compensating handwriting difficulty.</w:t>
      </w:r>
    </w:p>
    <w:bookmarkEnd w:id="220"/>
    <w:bookmarkStart w:id="221" w:name="differences-between-sources-9"/>
    <w:p>
      <w:pPr>
        <w:pStyle w:val="Heading4"/>
      </w:pPr>
      <w:r>
        <w:t xml:space="preserve">8.3 Differences between sources</w:t>
      </w:r>
    </w:p>
    <w:p>
      <w:pPr>
        <w:pStyle w:val="Compact"/>
        <w:numPr>
          <w:ilvl w:val="0"/>
          <w:numId w:val="1102"/>
        </w:numPr>
      </w:pPr>
      <w:r>
        <w:t xml:space="preserve">EACD 2019 (Blank et al. Dev Med Child Neurol 2019): CO-OP and NTT are openly recommended; evidence for sensory integration therapy (Ayres SI) and whole-body movement imitation methods is weak/inconsistent.</w:t>
      </w:r>
    </w:p>
    <w:p>
      <w:pPr>
        <w:pStyle w:val="Compact"/>
        <w:numPr>
          <w:ilvl w:val="0"/>
          <w:numId w:val="1102"/>
        </w:numPr>
      </w:pPr>
      <w:r>
        <w:t xml:space="preserve">CanChild (McMaster University): “Partnering for Change” — a school-based training model; intervention is integrated into the educational system.</w:t>
      </w:r>
    </w:p>
    <w:p>
      <w:pPr>
        <w:pStyle w:val="Compact"/>
        <w:numPr>
          <w:ilvl w:val="0"/>
          <w:numId w:val="1102"/>
        </w:numPr>
      </w:pPr>
      <w:r>
        <w:t xml:space="preserve">NICE: no specific clinical guidelines for DCD; falls under the broader neurodevelopmental and SEND framework.</w:t>
      </w:r>
    </w:p>
    <w:bookmarkEnd w:id="221"/>
    <w:bookmarkEnd w:id="222"/>
    <w:bookmarkStart w:id="226" w:name="X9ac75bbbc9c87d8649f492744ff4e3bea1cedbd"/>
    <w:p>
      <w:pPr>
        <w:pStyle w:val="Heading3"/>
      </w:pPr>
      <w:r>
        <w:t xml:space="preserve">9. Prognosis</w:t>
      </w:r>
    </w:p>
    <w:bookmarkStart w:id="223" w:name="good-prognostic-factors-4"/>
    <w:p>
      <w:pPr>
        <w:pStyle w:val="Heading4"/>
      </w:pPr>
      <w:r>
        <w:t xml:space="preserve">Good prognostic factors</w:t>
      </w:r>
    </w:p>
    <w:p>
      <w:pPr>
        <w:pStyle w:val="Compact"/>
        <w:numPr>
          <w:ilvl w:val="0"/>
          <w:numId w:val="1103"/>
        </w:numPr>
      </w:pPr>
      <w:r>
        <w:t xml:space="preserve">Early identification and intervention.</w:t>
      </w:r>
    </w:p>
    <w:p>
      <w:pPr>
        <w:pStyle w:val="Compact"/>
        <w:numPr>
          <w:ilvl w:val="0"/>
          <w:numId w:val="1103"/>
        </w:numPr>
      </w:pPr>
      <w:r>
        <w:t xml:space="preserve">CO-OP or NTT is an evidence-based intervention.</w:t>
      </w:r>
    </w:p>
    <w:p>
      <w:pPr>
        <w:pStyle w:val="Compact"/>
        <w:numPr>
          <w:ilvl w:val="0"/>
          <w:numId w:val="1103"/>
        </w:numPr>
      </w:pPr>
      <w:r>
        <w:t xml:space="preserve">Comorbid ADHD, learning disorder, anxiety management.</w:t>
      </w:r>
    </w:p>
    <w:p>
      <w:pPr>
        <w:pStyle w:val="Compact"/>
        <w:numPr>
          <w:ilvl w:val="0"/>
          <w:numId w:val="1103"/>
        </w:numPr>
      </w:pPr>
      <w:r>
        <w:t xml:space="preserve">Family and school support.</w:t>
      </w:r>
    </w:p>
    <w:p>
      <w:pPr>
        <w:pStyle w:val="Compact"/>
        <w:numPr>
          <w:ilvl w:val="0"/>
          <w:numId w:val="1103"/>
        </w:numPr>
      </w:pPr>
      <w:r>
        <w:t xml:space="preserve">Normal intellectual level.</w:t>
      </w:r>
    </w:p>
    <w:bookmarkEnd w:id="223"/>
    <w:bookmarkStart w:id="224" w:name="poor-prognostic-factors-4"/>
    <w:p>
      <w:pPr>
        <w:pStyle w:val="Heading4"/>
      </w:pPr>
      <w:r>
        <w:t xml:space="preserve">Poor prognostic factors</w:t>
      </w:r>
    </w:p>
    <w:p>
      <w:pPr>
        <w:pStyle w:val="Compact"/>
        <w:numPr>
          <w:ilvl w:val="0"/>
          <w:numId w:val="1104"/>
        </w:numPr>
      </w:pPr>
      <w:r>
        <w:t xml:space="preserve">Multiple comorbid disorders (ADHD + LD + DCD together).</w:t>
      </w:r>
    </w:p>
    <w:p>
      <w:pPr>
        <w:pStyle w:val="Compact"/>
        <w:numPr>
          <w:ilvl w:val="0"/>
          <w:numId w:val="1104"/>
        </w:numPr>
      </w:pPr>
      <w:r>
        <w:t xml:space="preserve">Social isolation and complete avoidance of sports activities.</w:t>
      </w:r>
    </w:p>
    <w:p>
      <w:pPr>
        <w:pStyle w:val="Compact"/>
        <w:numPr>
          <w:ilvl w:val="0"/>
          <w:numId w:val="1104"/>
        </w:numPr>
      </w:pPr>
      <w:r>
        <w:t xml:space="preserve">Secondary anxiety, depression, social phobia.</w:t>
      </w:r>
    </w:p>
    <w:p>
      <w:pPr>
        <w:pStyle w:val="Compact"/>
        <w:numPr>
          <w:ilvl w:val="0"/>
          <w:numId w:val="1104"/>
        </w:numPr>
      </w:pPr>
      <w:r>
        <w:t xml:space="preserve">Late identification.</w:t>
      </w:r>
    </w:p>
    <w:p>
      <w:pPr>
        <w:pStyle w:val="Compact"/>
        <w:numPr>
          <w:ilvl w:val="0"/>
          <w:numId w:val="1104"/>
        </w:numPr>
      </w:pPr>
      <w:r>
        <w:t xml:space="preserve">Intervention with unproven methods (Ayres SI alone, Dore program, Brain Gym).</w:t>
      </w:r>
    </w:p>
    <w:bookmarkEnd w:id="224"/>
    <w:bookmarkStart w:id="225" w:name="follow-up-targets-4"/>
    <w:p>
      <w:pPr>
        <w:pStyle w:val="Heading4"/>
      </w:pPr>
      <w:r>
        <w:t xml:space="preserve">Follow-up targets</w:t>
      </w:r>
    </w:p>
    <w:p>
      <w:pPr>
        <w:pStyle w:val="Compact"/>
        <w:numPr>
          <w:ilvl w:val="0"/>
          <w:numId w:val="1105"/>
        </w:numPr>
      </w:pPr>
      <w:r>
        <w:t xml:space="preserve">Reassessment of motor functional goals (3–6 months).</w:t>
      </w:r>
    </w:p>
    <w:p>
      <w:pPr>
        <w:pStyle w:val="Compact"/>
        <w:numPr>
          <w:ilvl w:val="0"/>
          <w:numId w:val="1105"/>
        </w:numPr>
      </w:pPr>
      <w:r>
        <w:t xml:space="preserve">Academic achievement and handwriting speed monitoring.</w:t>
      </w:r>
    </w:p>
    <w:p>
      <w:pPr>
        <w:pStyle w:val="Compact"/>
        <w:numPr>
          <w:ilvl w:val="0"/>
          <w:numId w:val="1105"/>
        </w:numPr>
      </w:pPr>
      <w:r>
        <w:t xml:space="preserve">Social-emotional health — self-esteem, anxiety, depression screening (especially important in adolescence).</w:t>
      </w:r>
    </w:p>
    <w:p>
      <w:pPr>
        <w:pStyle w:val="Compact"/>
        <w:numPr>
          <w:ilvl w:val="0"/>
          <w:numId w:val="1105"/>
        </w:numPr>
      </w:pPr>
      <w:r>
        <w:t xml:space="preserve">Comorbidity active treatment.</w:t>
      </w:r>
    </w:p>
    <w:p>
      <w:pPr>
        <w:pStyle w:val="Compact"/>
        <w:numPr>
          <w:ilvl w:val="0"/>
          <w:numId w:val="1105"/>
        </w:numPr>
      </w:pPr>
      <w:r>
        <w:t xml:space="preserve">In adulthood occupational adjustment — avoidance of motor-demanding jobs or accommodation planning.</w:t>
      </w:r>
    </w:p>
    <w:p>
      <w:pPr>
        <w:pStyle w:val="Compact"/>
        <w:numPr>
          <w:ilvl w:val="0"/>
          <w:numId w:val="1105"/>
        </w:numPr>
      </w:pPr>
      <w:r>
        <w:t xml:space="preserve">Physical activity and sports — for social adaptation and cardiovascular health; type of sport adapted to patient's interests (e.g., swimming, yoga with low coordination demands).</w:t>
      </w:r>
    </w:p>
    <w:bookmarkEnd w:id="225"/>
    <w:bookmarkEnd w:id="226"/>
    <w:bookmarkStart w:id="241" w:name="Xf2dcb33c590ddbe5d77d0deae1e9870668f2e4f"/>
    <w:p>
      <w:pPr>
        <w:pStyle w:val="Heading3"/>
      </w:pPr>
      <w:r>
        <w:t xml:space="preserve">10. Myths and misconceptions</w:t>
      </w:r>
    </w:p>
    <w:bookmarkStart w:id="230" w:name="aetiology-myths-4"/>
    <w:p>
      <w:pPr>
        <w:pStyle w:val="Heading4"/>
      </w:pPr>
      <w:r>
        <w:t xml:space="preserve">10.1 Aetiology myths</w:t>
      </w:r>
    </w:p>
    <w:bookmarkStart w:id="227" w:name="X894a1e4750dc05653027c1246290551271dab78"/>
    <w:p>
      <w:pPr>
        <w:pStyle w:val="Heading5"/>
      </w:pPr>
      <w:r>
        <w:t xml:space="preserve">Myth 1: “The child is just lazy / puts in too little effort”</w:t>
      </w:r>
    </w:p>
    <w:p>
      <w:pPr>
        <w:pStyle w:val="FirstParagraph"/>
      </w:pPr>
      <w:r>
        <w:t xml:space="preserve">Why it is widespread: Misinterpretation of motor difficulty as a character problem; limited knowledge of motor disorders in academic institutions.</w:t>
      </w:r>
    </w:p>
    <w:p>
      <w:pPr>
        <w:pStyle w:val="BodyText"/>
      </w:pPr>
      <w:r>
        <w:t xml:space="preserve">Clinical and biological rationale: DCD is a neurodevelopmental disorder. Atypical models in functional connectivity of the cerebellum, basal ganglia, and parietal cortex (Zwicker 2012 fMRI review); “internal modelling” deficit hypothesis — the patient expends more cognitive resources for motor planning and execution, leading to fatigue and avoidance behavior.</w:t>
      </w:r>
    </w:p>
    <w:p>
      <w:pPr>
        <w:pStyle w:val="BodyText"/>
      </w:pPr>
      <w:r>
        <w:t xml:space="preserve">Evidence: EACD 2019 (Blank et al.) — DCD is a neurobiologically based disorder; “motivation problem” is a misinterpretation.</w:t>
      </w:r>
    </w:p>
    <w:p>
      <w:pPr>
        <w:pStyle w:val="BodyText"/>
      </w:pPr>
      <w:r>
        <w:t xml:space="preserve">Real clinical step: Explain biological basis to family and teacher; occupational therapy/physical therapy based CO-OP or NTT.</w:t>
      </w:r>
    </w:p>
    <w:bookmarkEnd w:id="227"/>
    <w:bookmarkStart w:id="228" w:name="X5050a7c597b0e6235bf46baa10f111c744fc24c"/>
    <w:p>
      <w:pPr>
        <w:pStyle w:val="Heading5"/>
      </w:pPr>
      <w:r>
        <w:t xml:space="preserve">Myth 2: “The child will outgrow it, ‘grow out of it’”</w:t>
      </w:r>
    </w:p>
    <w:p>
      <w:pPr>
        <w:pStyle w:val="FirstParagraph"/>
      </w:pPr>
      <w:r>
        <w:t xml:space="preserve">Evidence: Cantell M.H. et al. J Adolesc Res 2003, Kirby A. et al. Res Dev Disabil 2010 long-term follow-up studies — 50–70% of children with DCD retain motor difficulties in adulthood; academic and occupational outcomes, social adjustment are poor. The intervention window is not limited — effects can be observed at any age, but early intervention significantly improves socio-emotional outcomes.</w:t>
      </w:r>
    </w:p>
    <w:bookmarkEnd w:id="228"/>
    <w:bookmarkStart w:id="229" w:name="X01ad2705addad8ba560c4a14038b61f842c3510"/>
    <w:p>
      <w:pPr>
        <w:pStyle w:val="Heading5"/>
      </w:pPr>
      <w:r>
        <w:t xml:space="preserve">Myth 3: “Parental impatience or poor parenting causes motor difficulties”</w:t>
      </w:r>
    </w:p>
    <w:p>
      <w:pPr>
        <w:pStyle w:val="FirstParagraph"/>
      </w:pPr>
      <w:r>
        <w:t xml:space="preserve">Evidence: EACD, AAP — DCD is genetic and neurobiologically based; parental experience is not etiology. Premature birth, perinatal hypoxia, family history are main risk factors.</w:t>
      </w:r>
    </w:p>
    <w:bookmarkEnd w:id="229"/>
    <w:bookmarkEnd w:id="230"/>
    <w:bookmarkStart w:id="235" w:name="X02372be4132344ddf16a545de15ea88fd11b55b"/>
    <w:p>
      <w:pPr>
        <w:pStyle w:val="Heading4"/>
      </w:pPr>
      <w:r>
        <w:t xml:space="preserve">10.2 Harmful or scientifically unfounded methods</w:t>
      </w:r>
    </w:p>
    <w:bookmarkStart w:id="231" w:name="Xb6a891819f158bcf90a5efb50628071b3bef3d2"/>
    <w:p>
      <w:pPr>
        <w:pStyle w:val="Heading5"/>
      </w:pPr>
      <w:r>
        <w:t xml:space="preserve">Myth 4: “Sensory Integration Therapy (Ayres SI) cures DCD”</w:t>
      </w:r>
    </w:p>
    <w:p>
      <w:pPr>
        <w:pStyle w:val="FirstParagraph"/>
      </w:pPr>
      <w:r>
        <w:t xml:space="preserve">Why it is widespread: Jean Ayres 1972 proposed the theory of sensory integration; widely used in occupational therapy practice.</w:t>
      </w:r>
    </w:p>
    <w:p>
      <w:pPr>
        <w:pStyle w:val="BodyText"/>
      </w:pPr>
      <w:r>
        <w:t xml:space="preserve">Evidence: EACD 2019 (Blank et al.) — Ayres SI approach shows **insufficient evidence** for functional motor performance in DCD; Smits-Engelsman 2013 meta-analysis — bottom-up sensory approaches are significantly weaker than top-down task-oriented approaches. AAP 2012 Sensory Integration Statement — therapeutic use classified as “research ongoing,” not recommended as first-line.</w:t>
      </w:r>
    </w:p>
    <w:p>
      <w:pPr>
        <w:pStyle w:val="BodyText"/>
      </w:pPr>
      <w:r>
        <w:t xml:space="preserve">Real clinical step: Top-down approaches (CO-OP, NTT) are first-line.</w:t>
      </w:r>
    </w:p>
    <w:bookmarkEnd w:id="231"/>
    <w:bookmarkStart w:id="232" w:name="X91dc37efbfd6a75350351df4bdd4441ab2ff8f4"/>
    <w:p>
      <w:pPr>
        <w:pStyle w:val="Heading5"/>
      </w:pPr>
      <w:r>
        <w:t xml:space="preserve">Myth 5: “Dore program (cerebellar exercise therapy) cures DCD”</w:t>
      </w:r>
    </w:p>
    <w:p>
      <w:pPr>
        <w:pStyle w:val="FirstParagraph"/>
      </w:pPr>
      <w:r>
        <w:t xml:space="preserve">Evidence: Bishop D.V. Dyslexia 2007 systematic critique — methodological limitations of Reynolds-Nicolson original studies; effect not replicated in subsequent studies. EACD does not recommend.</w:t>
      </w:r>
    </w:p>
    <w:bookmarkEnd w:id="232"/>
    <w:bookmarkStart w:id="233" w:name="X868930b05a95a83b20349d351ed1337a0d4b631"/>
    <w:p>
      <w:pPr>
        <w:pStyle w:val="Heading5"/>
      </w:pPr>
      <w:r>
        <w:t xml:space="preserve">Myth 6: “Brain Gym / Educational Kinesiology”</w:t>
      </w:r>
    </w:p>
    <w:p>
      <w:pPr>
        <w:pStyle w:val="FirstParagraph"/>
      </w:pPr>
      <w:r>
        <w:t xml:space="preserve">Evidence: Hyatt K.J. Remedial Spec Educ 2007 — claims do not align with neurobiology; effect on motor and academic outcomes not proven.</w:t>
      </w:r>
    </w:p>
    <w:bookmarkEnd w:id="233"/>
    <w:bookmarkStart w:id="234" w:name="X1fd39e1ddb70a92d41b6ce5801bafd6a2c43809"/>
    <w:p>
      <w:pPr>
        <w:pStyle w:val="Heading5"/>
      </w:pPr>
      <w:r>
        <w:t xml:space="preserve">Myth 7: “Visual therapy (eye exercises) improves motor coordination in DCD”</w:t>
      </w:r>
    </w:p>
    <w:p>
      <w:pPr>
        <w:pStyle w:val="FirstParagraph"/>
      </w:pPr>
      <w:r>
        <w:t xml:space="preserve">Evidence: AAP, AAO, AAPOS 2009 Joint Statement — effect of eye movement therapy on motor coordination or learning disorders not proven.</w:t>
      </w:r>
    </w:p>
    <w:bookmarkEnd w:id="234"/>
    <w:bookmarkEnd w:id="235"/>
    <w:bookmarkStart w:id="240" w:name="X76dbb5a5702aeac8fc772ca09eb562194896128"/>
    <w:p>
      <w:pPr>
        <w:pStyle w:val="Heading4"/>
      </w:pPr>
      <w:r>
        <w:t xml:space="preserve">10.3 Ineffective methods or those delaying primary intervention</w:t>
      </w:r>
    </w:p>
    <w:bookmarkStart w:id="236" w:name="X7e0fcf2306c6e2d80264b8ad2f27581b7089562"/>
    <w:p>
      <w:pPr>
        <w:pStyle w:val="Heading5"/>
      </w:pPr>
      <w:r>
        <w:t xml:space="preserve">Myth 8: “EEG Neurofeedback improves motor function in DCD”</w:t>
      </w:r>
    </w:p>
    <w:p>
      <w:pPr>
        <w:pStyle w:val="FirstParagraph"/>
      </w:pPr>
      <w:r>
        <w:t xml:space="preserve">Evidence: Evidence base for neurofeedback in specific DCD is limited. EACD does not recommend; CO-OP and NTT are preferred.</w:t>
      </w:r>
    </w:p>
    <w:bookmarkEnd w:id="236"/>
    <w:bookmarkStart w:id="237" w:name="X25497b3f76bf98f94716dcc26fb5df95e147947"/>
    <w:p>
      <w:pPr>
        <w:pStyle w:val="Heading5"/>
      </w:pPr>
      <w:r>
        <w:t xml:space="preserve">Myth 9: “Special diet (omega-3 supplements) improves DCD”</w:t>
      </w:r>
    </w:p>
    <w:p>
      <w:pPr>
        <w:pStyle w:val="FirstParagraph"/>
      </w:pPr>
      <w:r>
        <w:t xml:space="preserve">Evidence: Richardson A.J. et al. Pediatrics 2012 (Oxford-Durham study) — claimed omega-3 supplements improved motor function in DCD, but systematic reviews (Cooper R.E. et al. J Psychopharmacol 2015) — insufficient evidence obtained. EACD does not recommend.</w:t>
      </w:r>
    </w:p>
    <w:bookmarkEnd w:id="237"/>
    <w:bookmarkStart w:id="238" w:name="X002c8078e5ba06ed6ab439451ff9a9efbcc2200"/>
    <w:p>
      <w:pPr>
        <w:pStyle w:val="Heading5"/>
      </w:pPr>
      <w:r>
        <w:t xml:space="preserve">Myth 10: “Hyperbaric oxygen, stem cell injections, craniosacral therapy”</w:t>
      </w:r>
    </w:p>
    <w:p>
      <w:pPr>
        <w:pStyle w:val="FirstParagraph"/>
      </w:pPr>
      <w:r>
        <w:t xml:space="preserve">Evidence: none have proven efficacy for DCD; risk profile significant.</w:t>
      </w:r>
    </w:p>
    <w:bookmarkEnd w:id="238"/>
    <w:bookmarkStart w:id="239" w:name="X1f19821fe78e95c902305e446172c7578ff05f0"/>
    <w:p>
      <w:pPr>
        <w:pStyle w:val="Heading5"/>
      </w:pPr>
      <w:r>
        <w:t xml:space="preserve">Myth 11: “Intensive sports training resolves DCD”</w:t>
      </w:r>
    </w:p>
    <w:p>
      <w:pPr>
        <w:pStyle w:val="FirstParagraph"/>
      </w:pPr>
      <w:r>
        <w:t xml:space="preserve">Evidence: General physical activity is beneficial, but in DCD the motor learning deficit requires specific structured intervention. A “just more exercise” regimen creates failure and distress in the patient. Structured approaches such as CO-OP and NTT are significantly superior.</w:t>
      </w:r>
    </w:p>
    <w:bookmarkEnd w:id="239"/>
    <w:bookmarkEnd w:id="240"/>
    <w:bookmarkEnd w:id="241"/>
    <w:bookmarkStart w:id="2998" w:name="Xebb1d32cc5902f31c6325ea5e5380a1d940413f"/>
    <w:p>
      <w:pPr>
        <w:pStyle w:val="Heading3"/>
      </w:pPr>
      <w:r>
        <w:t xml:space="preserve">11. Sources</w:t>
      </w:r>
    </w:p>
    <w:p>
      <w:pPr>
        <w:pStyle w:val="Compact"/>
        <w:numPr>
          <w:ilvl w:val="0"/>
          <w:numId w:val="1106"/>
        </w:numPr>
      </w:pPr>
      <w:r>
        <w:t xml:space="preserve">WHO. ICD-11 for Mortality and Morbidity Statistics. 6A04 Developmental motor coordination disorder. 2024.</w:t>
      </w:r>
    </w:p>
    <w:p>
      <w:pPr>
        <w:pStyle w:val="Compact"/>
        <w:numPr>
          <w:ilvl w:val="0"/>
          <w:numId w:val="1106"/>
        </w:numPr>
      </w:pPr>
      <w:r>
        <w:t xml:space="preserve">American Psychiatric Association. DSM-5-TR. Washington DC: APA Publishing; 2022.</w:t>
      </w:r>
    </w:p>
    <w:p>
      <w:pPr>
        <w:pStyle w:val="Compact"/>
        <w:numPr>
          <w:ilvl w:val="0"/>
          <w:numId w:val="1106"/>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06"/>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06"/>
        </w:numPr>
      </w:pPr>
      <w:r>
        <w:t xml:space="preserve">Cantell M.H., Smyth M.M., Ahonen T.P. Two distinct pathways for developmental coordination disorder: Persistence and resolution. Hum Mov Sci 2003;22(4–5):413–431.</w:t>
      </w:r>
    </w:p>
    <w:p>
      <w:pPr>
        <w:pStyle w:val="Compact"/>
        <w:numPr>
          <w:ilvl w:val="0"/>
          <w:numId w:val="1106"/>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06"/>
        </w:numPr>
      </w:pPr>
      <w:r>
        <w:t xml:space="preserve">Zwicker J.G., Missiuna C., Harris S.R., Boyd L.A. Developmental coordination disorder: A review and update. Eur J Paediatr Neurol 2012;16(6):573–581.</w:t>
      </w:r>
    </w:p>
    <w:p>
      <w:pPr>
        <w:pStyle w:val="Compact"/>
        <w:numPr>
          <w:ilvl w:val="0"/>
          <w:numId w:val="1106"/>
        </w:numPr>
      </w:pPr>
      <w:r>
        <w:t xml:space="preserve">Adams I.L.J., Lust J.M., Wilson P.H., Steenbergen B. Compromised motor control in children with DCD: A deficit in the internal model? Dev Med Child Neurol 2014;56(11):1043–1055.</w:t>
      </w:r>
    </w:p>
    <w:p>
      <w:pPr>
        <w:pStyle w:val="Compact"/>
        <w:numPr>
          <w:ilvl w:val="0"/>
          <w:numId w:val="1106"/>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06"/>
        </w:numPr>
      </w:pPr>
      <w:r>
        <w:t xml:space="preserve">Cairney J., Veldhuizen S., Szatmari P. Motor coordination and emotional-behavioral problems in children. Curr Opin Psychiatry 2010;23(4):324–329.</w:t>
      </w:r>
    </w:p>
    <w:p>
      <w:pPr>
        <w:pStyle w:val="Compact"/>
        <w:numPr>
          <w:ilvl w:val="0"/>
          <w:numId w:val="1106"/>
        </w:numPr>
      </w:pPr>
      <w:r>
        <w:t xml:space="preserve">Polatajko H.J., Mandich A.D., Miller L.T., Macnab J.J. Cognitive Orientation to Daily Occupational Performance (CO-OP): Part II — The evidence. Phys Occup Ther Pediatr 2001;20(2–3):83–106.</w:t>
      </w:r>
    </w:p>
    <w:p>
      <w:pPr>
        <w:pStyle w:val="Compact"/>
        <w:numPr>
          <w:ilvl w:val="0"/>
          <w:numId w:val="1106"/>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06"/>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06"/>
        </w:numPr>
      </w:pPr>
      <w:r>
        <w:t xml:space="preserve">Bishop D.V.M. Curing dyslexia and attention-deficit hyperactivity disorder by training motor co-ordination: Miracle or myth? Dyslexia 2007;13(1):4–7.</w:t>
      </w:r>
    </w:p>
    <w:p>
      <w:pPr>
        <w:pStyle w:val="Compact"/>
        <w:numPr>
          <w:ilvl w:val="0"/>
          <w:numId w:val="1106"/>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06"/>
        </w:numPr>
      </w:pPr>
      <w:r>
        <w:t xml:space="preserve">Edwards J., Berube M., Erlandson K. et al. Developmental coordination disorder in school-aged children born very preterm and/or at very low birth weight: A systematic review. J Dev Behav Pediatr 2011;32(9):678–687.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 w:name="X4b4b0b9dbbcd3dd3ef60137e24a17c1372b0a8a"/>
            <w:r>
              <w:t xml:space="preserve">6A05 ATTENTION DEFICIT HYPERACTIVITY DISORDER (ADHD)</w:t>
            </w:r>
            <w:bookmarkEnd w:id="242"/>
          </w:p>
          <w:p>
            <w:pPr>
              <w:pStyle w:val="Compact"/>
              <w:ind w:firstLine="0" w:left="0"/>
            </w:pPr>
            <w:r>
              <w:rPr>
                <w:lang w:val="en"/>
              </w:rPr>
              <w:t xml:space="preserve">Attention deficit hyperactivity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Disturbance of activity and attention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Attention-Deficit/Hyperactivity Disorder</w:t>
            </w:r>
          </w:p>
        </w:tc>
      </w:tr>
    </w:tbl>
    <w:bookmarkStart w:id="243" w:name="X6093c0b4ded489840f67e6407705125c711a9e0"/>
    <w:p>
      <w:pPr>
        <w:pStyle w:val="Heading3"/>
      </w:pPr>
      <w:r>
        <w:t xml:space="preserve">1. Definition and nosology</w:t>
      </w:r>
    </w:p>
    <w:p>
      <w:pPr>
        <w:pStyle w:val="FirstParagraph"/>
      </w:pPr>
      <w:r>
        <w:t xml:space="preserve">Attention Deficit Hyperactivity Disorder (ADHD; ICD-11:</w:t>
      </w:r>
      <w:r>
        <w:t xml:space="preserve"> </w:t>
      </w:r>
      <w:r>
        <w:t xml:space="preserve">6A05</w:t>
      </w:r>
      <w:r>
        <w:t xml:space="preserve"> </w:t>
      </w:r>
      <w:r>
        <w:t xml:space="preserve">Attention deficit hyperactivity disorder; DSM-5-TR: F90.0–F90.2x ADHD) — a neurodevelopmental disorder characterized by a pattern of inattention, hyperactivity, and impulsivity that begins in early development (by age 12), causing functional impairment in academic, social, or occupational activities.</w:t>
      </w:r>
    </w:p>
    <w:p>
      <w:pPr>
        <w:pStyle w:val="BodyText"/>
      </w:pPr>
      <w:r>
        <w:t xml:space="preserve">In ICD-11 and DSM-5-TR, there are three presentation forms:</w:t>
      </w:r>
    </w:p>
    <w:p>
      <w:pPr>
        <w:pStyle w:val="Compact"/>
        <w:numPr>
          <w:ilvl w:val="0"/>
          <w:numId w:val="1107"/>
        </w:numPr>
      </w:pPr>
      <w:r>
        <w:t xml:space="preserve">6A05.0</w:t>
      </w:r>
      <w:r>
        <w:t xml:space="preserve"> </w:t>
      </w:r>
      <w:r>
        <w:t xml:space="preserve">— predominantly inattentive type;</w:t>
      </w:r>
    </w:p>
    <w:p>
      <w:pPr>
        <w:pStyle w:val="Compact"/>
        <w:numPr>
          <w:ilvl w:val="0"/>
          <w:numId w:val="1107"/>
        </w:numPr>
      </w:pPr>
      <w:r>
        <w:t xml:space="preserve">6A05.1</w:t>
      </w:r>
      <w:r>
        <w:t xml:space="preserve"> </w:t>
      </w:r>
      <w:r>
        <w:t xml:space="preserve">— predominantly hyperactive-impulsive type;</w:t>
      </w:r>
    </w:p>
    <w:p>
      <w:pPr>
        <w:pStyle w:val="Compact"/>
        <w:numPr>
          <w:ilvl w:val="0"/>
          <w:numId w:val="1107"/>
        </w:numPr>
      </w:pPr>
      <w:r>
        <w:t xml:space="preserve">6A05.2</w:t>
      </w:r>
      <w:r>
        <w:t xml:space="preserve"> </w:t>
      </w:r>
      <w:r>
        <w:t xml:space="preserve">— Combined presentation.</w:t>
      </w:r>
    </w:p>
    <w:bookmarkEnd w:id="243"/>
    <w:bookmarkStart w:id="244" w:name="X009ace9bb480aaf79ad4dd5df4cf9e0fb4d4dd1"/>
    <w:p>
      <w:pPr>
        <w:pStyle w:val="Heading3"/>
      </w:pPr>
      <w:r>
        <w:t xml:space="preserve">2. History</w:t>
      </w:r>
    </w:p>
    <w:p>
      <w:pPr>
        <w:pStyle w:val="Compact"/>
        <w:numPr>
          <w:ilvl w:val="0"/>
          <w:numId w:val="1108"/>
        </w:numPr>
      </w:pPr>
      <w:r>
        <w:t xml:space="preserve">Still G.F. (1902) — “abnormal defect of moral control” — in the Goulstonian Lectures (Lancet) he described 43 children in total; of these, 20 (15 boys, 5 girls) showed the defect without general impairment of intellect and without physical disease.</w:t>
      </w:r>
    </w:p>
    <w:p>
      <w:pPr>
        <w:pStyle w:val="Compact"/>
        <w:numPr>
          <w:ilvl w:val="0"/>
          <w:numId w:val="1108"/>
        </w:numPr>
      </w:pPr>
      <w:r>
        <w:t xml:space="preserve">1937 — Bradley C. — accidental discovery of stimulant (benzedrine) therapy in children with behavior problems.</w:t>
      </w:r>
    </w:p>
    <w:p>
      <w:pPr>
        <w:pStyle w:val="Compact"/>
        <w:numPr>
          <w:ilvl w:val="0"/>
          <w:numId w:val="1108"/>
        </w:numPr>
      </w:pPr>
      <w:r>
        <w:t xml:space="preserve">DSM-II (1968) — “Hyperkinetic Reaction of Childhood”.</w:t>
      </w:r>
    </w:p>
    <w:p>
      <w:pPr>
        <w:pStyle w:val="Compact"/>
        <w:numPr>
          <w:ilvl w:val="0"/>
          <w:numId w:val="1108"/>
        </w:numPr>
      </w:pPr>
      <w:r>
        <w:t xml:space="preserve">DSM-III (1980) — “Attention Deficit Disorder” (with or without hyperactivity) — attention deficit accepted as core.</w:t>
      </w:r>
    </w:p>
    <w:p>
      <w:pPr>
        <w:pStyle w:val="Compact"/>
        <w:numPr>
          <w:ilvl w:val="0"/>
          <w:numId w:val="1108"/>
        </w:numPr>
      </w:pPr>
      <w:r>
        <w:t xml:space="preserve">DSM-IV (1994) — standardization of the term “ADHD” and its 3 subtypes (inattentive, hyperactive-impulsive, combined).</w:t>
      </w:r>
    </w:p>
    <w:p>
      <w:pPr>
        <w:pStyle w:val="Compact"/>
        <w:numPr>
          <w:ilvl w:val="0"/>
          <w:numId w:val="1108"/>
        </w:numPr>
      </w:pPr>
      <w:r>
        <w:t xml:space="preserve">DSM-5 (2013) and ICD-11 (2019) — the term “presentation” reflects that the course may change over time; the age of onset has been raised from 7 to 12; in adults the number of symptoms required for diagnosis is reduced (5 of 9 symptoms instead of 6 in each category, for age 17 and older).</w:t>
      </w:r>
    </w:p>
    <w:bookmarkEnd w:id="244"/>
    <w:bookmarkStart w:id="245" w:name="Xbd5d936c7340d287ba0c4840d8afa5b479adbad"/>
    <w:p>
      <w:pPr>
        <w:pStyle w:val="Heading3"/>
      </w:pPr>
      <w:r>
        <w:t xml:space="preserve">3. Epidemiology</w:t>
      </w:r>
    </w:p>
    <w:p>
      <w:pPr>
        <w:pStyle w:val="Compact"/>
        <w:numPr>
          <w:ilvl w:val="0"/>
          <w:numId w:val="1109"/>
        </w:numPr>
      </w:pPr>
      <w:r>
        <w:t xml:space="preserve">Prevalence in children: 5–7% (Polanczyk G.V. et al. Am J Psychiatry 2007 systematic review and meta-analysis, 102 studies). CDC in the US: 9.8% of children aged 3–17 years by parent-reported ever-diagnosis (NSCH 2016–2019), 11.4% in 2022; this is not a clinical assessment but a parent report of a previously made diagnosis.</w:t>
      </w:r>
    </w:p>
    <w:p>
      <w:pPr>
        <w:pStyle w:val="Compact"/>
        <w:numPr>
          <w:ilvl w:val="0"/>
          <w:numId w:val="1109"/>
        </w:numPr>
      </w:pPr>
      <w:r>
        <w:t xml:space="preserve">Prevalence in adults: 2.5–4% (Kessler R.C. et al. Am J Psychiatry 2006 — National Comorbidity Survey Replication).</w:t>
      </w:r>
    </w:p>
    <w:p>
      <w:pPr>
        <w:pStyle w:val="Compact"/>
        <w:numPr>
          <w:ilvl w:val="0"/>
          <w:numId w:val="1109"/>
        </w:numPr>
      </w:pPr>
      <w:r>
        <w:t xml:space="preserve">Sex: in childhood 2–4 times higher in boys (under-recognition in women — less hyperactivity, more inattention); difference decreases in adulthood.</w:t>
      </w:r>
    </w:p>
    <w:p>
      <w:pPr>
        <w:pStyle w:val="Compact"/>
        <w:numPr>
          <w:ilvl w:val="0"/>
          <w:numId w:val="1109"/>
        </w:numPr>
      </w:pPr>
      <w:r>
        <w:t xml:space="preserve">Persistence: 60–70% of childhood ADHD continues to some degree in adulthood (Faraone S.V. et al. meta-analysis, Psychol Med 2006).</w:t>
      </w:r>
    </w:p>
    <w:p>
      <w:pPr>
        <w:pStyle w:val="Compact"/>
        <w:numPr>
          <w:ilvl w:val="0"/>
          <w:numId w:val="1109"/>
        </w:numPr>
      </w:pPr>
      <w:r>
        <w:t xml:space="preserve">Comorbidity: Oppositional behavior disorder 40%, conduct disorder 14%, anxiety 25%, depression 15–30%, learning disorder 25–40%, tic disorders 7–20%, autism spectrum 30–50% (in ASD patients), substance use disorder risk increased 2–3 times in adolescence and adulthood.</w:t>
      </w:r>
    </w:p>
    <w:bookmarkEnd w:id="245"/>
    <w:bookmarkStart w:id="250" w:name="X34b721f8379af32fe54f08db524dcb64fd98669"/>
    <w:p>
      <w:pPr>
        <w:pStyle w:val="Heading3"/>
      </w:pPr>
      <w:r>
        <w:t xml:space="preserve">4. Aetiology and pathogenesis</w:t>
      </w:r>
    </w:p>
    <w:bookmarkStart w:id="246" w:name="genetic-factors-2"/>
    <w:p>
      <w:pPr>
        <w:pStyle w:val="Heading4"/>
      </w:pPr>
      <w:r>
        <w:t xml:space="preserve">4.1 Genetic factors</w:t>
      </w:r>
    </w:p>
    <w:p>
      <w:pPr>
        <w:pStyle w:val="Compact"/>
        <w:numPr>
          <w:ilvl w:val="0"/>
          <w:numId w:val="1110"/>
        </w:numPr>
      </w:pPr>
      <w:r>
        <w:t xml:space="preserve">Heritability: 74% (Faraone S.V., Larsson H. Mol Psychiatry 2019 meta-analysis of twin and family studies) — one of the highest heritability neurodevelopmental disorders.</w:t>
      </w:r>
    </w:p>
    <w:p>
      <w:pPr>
        <w:pStyle w:val="Compact"/>
        <w:numPr>
          <w:ilvl w:val="0"/>
          <w:numId w:val="1110"/>
        </w:numPr>
      </w:pPr>
      <w:r>
        <w:t xml:space="preserve">Genetic architecture: Polygenic — hundreds of small-effect variants. GWAS (Demontis D. et al. Nat Genet 2019, n&gt;55,000) identified 12 risk loci (FOXP2, SORCS3, DUSP6, and others).</w:t>
      </w:r>
    </w:p>
    <w:p>
      <w:pPr>
        <w:pStyle w:val="Compact"/>
        <w:numPr>
          <w:ilvl w:val="0"/>
          <w:numId w:val="1110"/>
        </w:numPr>
      </w:pPr>
      <w:r>
        <w:t xml:space="preserve">Dopamine system genes — DRD4, DRD5, DAT1 (SLC6A3) — candidate genes; effect size small.</w:t>
      </w:r>
    </w:p>
    <w:p>
      <w:pPr>
        <w:pStyle w:val="Compact"/>
        <w:numPr>
          <w:ilvl w:val="0"/>
          <w:numId w:val="1110"/>
        </w:numPr>
      </w:pPr>
      <w:r>
        <w:t xml:space="preserve">CNV — rare; common variations are fundamental.</w:t>
      </w:r>
    </w:p>
    <w:bookmarkEnd w:id="246"/>
    <w:bookmarkStart w:id="247" w:name="neurobiological-mechanisms-2"/>
    <w:p>
      <w:pPr>
        <w:pStyle w:val="Heading4"/>
      </w:pPr>
      <w:r>
        <w:t xml:space="preserve">4.2 Neurobiological mechanisms</w:t>
      </w:r>
    </w:p>
    <w:p>
      <w:pPr>
        <w:pStyle w:val="Compact"/>
        <w:numPr>
          <w:ilvl w:val="0"/>
          <w:numId w:val="1111"/>
        </w:numPr>
      </w:pPr>
      <w:r>
        <w:t xml:space="preserve">Dysfunction of the dopaminergic and noradrenergic systems — particularly prefrontal cortex, striatum, cerebellum circuitry; stimulants reduce symptoms by acting on these systems.</w:t>
      </w:r>
    </w:p>
    <w:p>
      <w:pPr>
        <w:pStyle w:val="Compact"/>
        <w:numPr>
          <w:ilvl w:val="0"/>
          <w:numId w:val="1111"/>
        </w:numPr>
      </w:pPr>
      <w:r>
        <w:t xml:space="preserve">Structural changes: A reduction in total brain volume and specific regions (caudate, putamen, prefrontal cortex) volume (Hoogman M. et al. Lancet Psychiatry 2017 ENIGMA-ADHD n&gt;3000 — small effect sizes).</w:t>
      </w:r>
    </w:p>
    <w:p>
      <w:pPr>
        <w:pStyle w:val="Compact"/>
        <w:numPr>
          <w:ilvl w:val="0"/>
          <w:numId w:val="1111"/>
        </w:numPr>
      </w:pPr>
      <w:r>
        <w:t xml:space="preserve">Functional relationship: dysregulation between the default mode network and the executive control network.</w:t>
      </w:r>
    </w:p>
    <w:p>
      <w:pPr>
        <w:pStyle w:val="Compact"/>
        <w:numPr>
          <w:ilvl w:val="0"/>
          <w:numId w:val="1111"/>
        </w:numPr>
      </w:pPr>
      <w:r>
        <w:t xml:space="preserve">Executive function model (Barkley R.A.) — poor inhibition as core deficit; affects working memory, foreplanning, emotional regulation.</w:t>
      </w:r>
    </w:p>
    <w:p>
      <w:pPr>
        <w:pStyle w:val="Compact"/>
        <w:numPr>
          <w:ilvl w:val="0"/>
          <w:numId w:val="1111"/>
        </w:numPr>
      </w:pPr>
      <w:r>
        <w:t xml:space="preserve">Reward system dysfunction — delayed reward sensitivity (Sonuga-Barke E.J. Neurosci Biobehav Rev 2003).</w:t>
      </w:r>
    </w:p>
    <w:bookmarkEnd w:id="247"/>
    <w:bookmarkStart w:id="248" w:name="environmental-risk-factors-1"/>
    <w:p>
      <w:pPr>
        <w:pStyle w:val="Heading4"/>
      </w:pPr>
      <w:r>
        <w:t xml:space="preserve">4.3 Environmental risk factors</w:t>
      </w:r>
    </w:p>
    <w:p>
      <w:pPr>
        <w:pStyle w:val="Compact"/>
        <w:numPr>
          <w:ilvl w:val="0"/>
          <w:numId w:val="1112"/>
        </w:numPr>
      </w:pPr>
      <w:r>
        <w:t xml:space="preserve">Preterm birth and low birth weight — increases risk 2–3 times.</w:t>
      </w:r>
    </w:p>
    <w:p>
      <w:pPr>
        <w:pStyle w:val="Compact"/>
        <w:numPr>
          <w:ilvl w:val="0"/>
          <w:numId w:val="1112"/>
        </w:numPr>
      </w:pPr>
      <w:r>
        <w:t xml:space="preserve">Maternal use of tobacco, alcohol, and cannabis during pregnancy.</w:t>
      </w:r>
    </w:p>
    <w:p>
      <w:pPr>
        <w:pStyle w:val="Compact"/>
        <w:numPr>
          <w:ilvl w:val="0"/>
          <w:numId w:val="1112"/>
        </w:numPr>
      </w:pPr>
      <w:r>
        <w:t xml:space="preserve">Maternal perinatal stress and severe psychosocial deprivation.</w:t>
      </w:r>
    </w:p>
    <w:p>
      <w:pPr>
        <w:pStyle w:val="Compact"/>
        <w:numPr>
          <w:ilvl w:val="0"/>
          <w:numId w:val="1112"/>
        </w:numPr>
      </w:pPr>
      <w:r>
        <w:t xml:space="preserve">Lead exposure in childhood.</w:t>
      </w:r>
    </w:p>
    <w:p>
      <w:pPr>
        <w:pStyle w:val="Compact"/>
        <w:numPr>
          <w:ilvl w:val="0"/>
          <w:numId w:val="1112"/>
        </w:numPr>
      </w:pPr>
      <w:r>
        <w:t xml:space="preserve">Early traumatic brain injury (TBI).</w:t>
      </w:r>
    </w:p>
    <w:bookmarkEnd w:id="248"/>
    <w:bookmarkStart w:id="249" w:name="precise-stance-against-etiology-myths"/>
    <w:p>
      <w:pPr>
        <w:pStyle w:val="Heading4"/>
      </w:pPr>
      <w:r>
        <w:t xml:space="preserve">4.4 Precise stance against ETIOLOGY MYTHS</w:t>
      </w:r>
    </w:p>
    <w:p>
      <w:pPr>
        <w:pStyle w:val="Compact"/>
        <w:numPr>
          <w:ilvl w:val="0"/>
          <w:numId w:val="1113"/>
        </w:numPr>
      </w:pPr>
      <w:r>
        <w:t xml:space="preserve">Sugar does not cause ADHD (Wolraich M.L. et al. JAMA 1995 meta-analysis).</w:t>
      </w:r>
    </w:p>
    <w:p>
      <w:pPr>
        <w:pStyle w:val="Compact"/>
        <w:numPr>
          <w:ilvl w:val="0"/>
          <w:numId w:val="1113"/>
        </w:numPr>
      </w:pPr>
      <w:r>
        <w:t xml:space="preserve">Screen time / video games do not cause ADHD (association exists, but no evidence of causal direction — Ferguson C.J. Perspect Psychol Sci 2015).</w:t>
      </w:r>
    </w:p>
    <w:p>
      <w:pPr>
        <w:pStyle w:val="Compact"/>
        <w:numPr>
          <w:ilvl w:val="0"/>
          <w:numId w:val="1113"/>
        </w:numPr>
      </w:pPr>
      <w:r>
        <w:t xml:space="preserve">Poor parenting does not create ADHD (heritability 74%); however, a highly conflictual family environment can affect symptom severity.</w:t>
      </w:r>
    </w:p>
    <w:bookmarkEnd w:id="249"/>
    <w:bookmarkEnd w:id="250"/>
    <w:bookmarkStart w:id="254" w:name="X7ed9345851041c2ef59db1f60f59c640189ff4d"/>
    <w:p>
      <w:pPr>
        <w:pStyle w:val="Heading3"/>
      </w:pPr>
      <w:r>
        <w:t xml:space="preserve">5. Clinical features</w:t>
      </w:r>
    </w:p>
    <w:bookmarkStart w:id="251" w:name="inattention-domain"/>
    <w:p>
      <w:pPr>
        <w:pStyle w:val="Heading4"/>
      </w:pPr>
      <w:r>
        <w:t xml:space="preserve">5.1 Inattention domain</w:t>
      </w:r>
    </w:p>
    <w:p>
      <w:pPr>
        <w:pStyle w:val="Compact"/>
        <w:numPr>
          <w:ilvl w:val="0"/>
          <w:numId w:val="1114"/>
        </w:numPr>
      </w:pPr>
      <w:r>
        <w:t xml:space="preserve">Failure to pay attention to details, careless mistakes.</w:t>
      </w:r>
    </w:p>
    <w:p>
      <w:pPr>
        <w:pStyle w:val="Compact"/>
        <w:numPr>
          <w:ilvl w:val="0"/>
          <w:numId w:val="1114"/>
        </w:numPr>
      </w:pPr>
      <w:r>
        <w:t xml:space="preserve">Difficulty sustaining attention in tasks.</w:t>
      </w:r>
    </w:p>
    <w:p>
      <w:pPr>
        <w:pStyle w:val="Compact"/>
        <w:numPr>
          <w:ilvl w:val="0"/>
          <w:numId w:val="1114"/>
        </w:numPr>
      </w:pPr>
      <w:r>
        <w:t xml:space="preserve">Appears not to listen when spoken to directly.</w:t>
      </w:r>
    </w:p>
    <w:p>
      <w:pPr>
        <w:pStyle w:val="Compact"/>
        <w:numPr>
          <w:ilvl w:val="0"/>
          <w:numId w:val="1114"/>
        </w:numPr>
      </w:pPr>
      <w:r>
        <w:t xml:space="preserve">Noncompliance with instructions, leaving tasks unfinished.</w:t>
      </w:r>
    </w:p>
    <w:p>
      <w:pPr>
        <w:pStyle w:val="Compact"/>
        <w:numPr>
          <w:ilvl w:val="0"/>
          <w:numId w:val="1114"/>
        </w:numPr>
      </w:pPr>
      <w:r>
        <w:t xml:space="preserve">Difficulty organizing tasks and activities.</w:t>
      </w:r>
    </w:p>
    <w:p>
      <w:pPr>
        <w:pStyle w:val="Compact"/>
        <w:numPr>
          <w:ilvl w:val="0"/>
          <w:numId w:val="1114"/>
        </w:numPr>
      </w:pPr>
      <w:r>
        <w:t xml:space="preserve">Persistent avoidance of tasks requiring sustained mental effort.</w:t>
      </w:r>
    </w:p>
    <w:p>
      <w:pPr>
        <w:pStyle w:val="Compact"/>
        <w:numPr>
          <w:ilvl w:val="0"/>
          <w:numId w:val="1114"/>
        </w:numPr>
      </w:pPr>
      <w:r>
        <w:t xml:space="preserve">Losing necessary items.</w:t>
      </w:r>
    </w:p>
    <w:p>
      <w:pPr>
        <w:pStyle w:val="Compact"/>
        <w:numPr>
          <w:ilvl w:val="0"/>
          <w:numId w:val="1114"/>
        </w:numPr>
      </w:pPr>
      <w:r>
        <w:t xml:space="preserve">Easily distracted by external stimuli.</w:t>
      </w:r>
    </w:p>
    <w:p>
      <w:pPr>
        <w:pStyle w:val="Compact"/>
        <w:numPr>
          <w:ilvl w:val="0"/>
          <w:numId w:val="1114"/>
        </w:numPr>
      </w:pPr>
      <w:r>
        <w:t xml:space="preserve">Forgetfulness in daily activities.</w:t>
      </w:r>
    </w:p>
    <w:bookmarkEnd w:id="251"/>
    <w:bookmarkStart w:id="252" w:name="hyperactivity-and-impulsivity-domain"/>
    <w:p>
      <w:pPr>
        <w:pStyle w:val="Heading4"/>
      </w:pPr>
      <w:r>
        <w:t xml:space="preserve">5.2 Hyperactivity and impulsivity domain</w:t>
      </w:r>
    </w:p>
    <w:p>
      <w:pPr>
        <w:pStyle w:val="Compact"/>
        <w:numPr>
          <w:ilvl w:val="0"/>
          <w:numId w:val="1115"/>
        </w:numPr>
      </w:pPr>
      <w:r>
        <w:t xml:space="preserve">Movement of limbs, twisting in seated position.</w:t>
      </w:r>
    </w:p>
    <w:p>
      <w:pPr>
        <w:pStyle w:val="Compact"/>
        <w:numPr>
          <w:ilvl w:val="0"/>
          <w:numId w:val="1115"/>
        </w:numPr>
      </w:pPr>
      <w:r>
        <w:t xml:space="preserve">Not remaining seated where sitting is expected.</w:t>
      </w:r>
    </w:p>
    <w:p>
      <w:pPr>
        <w:pStyle w:val="Compact"/>
        <w:numPr>
          <w:ilvl w:val="0"/>
          <w:numId w:val="1115"/>
        </w:numPr>
      </w:pPr>
      <w:r>
        <w:t xml:space="preserve">Running away or climbing in inappropriate places (in adults, feeling internal restlessness).</w:t>
      </w:r>
    </w:p>
    <w:p>
      <w:pPr>
        <w:pStyle w:val="Compact"/>
        <w:numPr>
          <w:ilvl w:val="0"/>
          <w:numId w:val="1115"/>
        </w:numPr>
      </w:pPr>
      <w:r>
        <w:t xml:space="preserve">Inability to play quietly.</w:t>
      </w:r>
    </w:p>
    <w:p>
      <w:pPr>
        <w:pStyle w:val="Compact"/>
        <w:numPr>
          <w:ilvl w:val="0"/>
          <w:numId w:val="1115"/>
        </w:numPr>
      </w:pPr>
      <w:r>
        <w:t xml:space="preserve">Behavior “as if driven by a motor”.</w:t>
      </w:r>
    </w:p>
    <w:p>
      <w:pPr>
        <w:pStyle w:val="Compact"/>
        <w:numPr>
          <w:ilvl w:val="0"/>
          <w:numId w:val="1115"/>
        </w:numPr>
      </w:pPr>
      <w:r>
        <w:t xml:space="preserve">Excessive talking.</w:t>
      </w:r>
    </w:p>
    <w:p>
      <w:pPr>
        <w:pStyle w:val="Compact"/>
        <w:numPr>
          <w:ilvl w:val="0"/>
          <w:numId w:val="1115"/>
        </w:numPr>
      </w:pPr>
      <w:r>
        <w:t xml:space="preserve">Blurting out an answer before the question has been completed.</w:t>
      </w:r>
    </w:p>
    <w:p>
      <w:pPr>
        <w:pStyle w:val="Compact"/>
        <w:numPr>
          <w:ilvl w:val="0"/>
          <w:numId w:val="1115"/>
        </w:numPr>
      </w:pPr>
      <w:r>
        <w:t xml:space="preserve">Unable to wait in queue.</w:t>
      </w:r>
    </w:p>
    <w:p>
      <w:pPr>
        <w:pStyle w:val="Compact"/>
        <w:numPr>
          <w:ilvl w:val="0"/>
          <w:numId w:val="1115"/>
        </w:numPr>
      </w:pPr>
      <w:r>
        <w:t xml:space="preserve">Interrupting others' conversations or activities.</w:t>
      </w:r>
    </w:p>
    <w:bookmarkEnd w:id="252"/>
    <w:bookmarkStart w:id="253" w:name="age-related-differences"/>
    <w:p>
      <w:pPr>
        <w:pStyle w:val="Heading4"/>
      </w:pPr>
      <w:r>
        <w:t xml:space="preserve">5.3 Age-related differences</w:t>
      </w:r>
    </w:p>
    <w:p>
      <w:pPr>
        <w:pStyle w:val="Compact"/>
        <w:numPr>
          <w:ilvl w:val="0"/>
          <w:numId w:val="1116"/>
        </w:numPr>
      </w:pPr>
      <w:r>
        <w:t xml:space="preserve">Preschool age: hyperactivity dominant; attention short in play; behavioral control in social situations difficult.</w:t>
      </w:r>
    </w:p>
    <w:p>
      <w:pPr>
        <w:pStyle w:val="Compact"/>
        <w:numPr>
          <w:ilvl w:val="0"/>
          <w:numId w:val="1116"/>
        </w:numPr>
      </w:pPr>
      <w:r>
        <w:t xml:space="preserve">School age: Academic problems become prominent; inattention affects academic achievement.</w:t>
      </w:r>
    </w:p>
    <w:p>
      <w:pPr>
        <w:pStyle w:val="Compact"/>
        <w:numPr>
          <w:ilvl w:val="0"/>
          <w:numId w:val="1116"/>
        </w:numPr>
      </w:pPr>
      <w:r>
        <w:t xml:space="preserve">Adolescence: motor hyperactivity decreases, inner restlessness and impulsivity remain; risk behavior increases.</w:t>
      </w:r>
    </w:p>
    <w:p>
      <w:pPr>
        <w:pStyle w:val="Compact"/>
        <w:numPr>
          <w:ilvl w:val="0"/>
          <w:numId w:val="1116"/>
        </w:numPr>
      </w:pPr>
      <w:r>
        <w:t xml:space="preserve">Maturity: Internal distress, difficulty with planning, impulsivity in relationships; functional impairment in work and family life.</w:t>
      </w:r>
    </w:p>
    <w:bookmarkEnd w:id="253"/>
    <w:bookmarkEnd w:id="254"/>
    <w:bookmarkStart w:id="259" w:name="X5d4036c77fa9db4ba442c7dcc9fce761e71ca7f"/>
    <w:p>
      <w:pPr>
        <w:pStyle w:val="Heading3"/>
      </w:pPr>
      <w:r>
        <w:t xml:space="preserve">6. Diagnosis</w:t>
      </w:r>
    </w:p>
    <w:bookmarkStart w:id="255" w:name="X093a22d7da33355dbf46eb0cb2565514c000dc2"/>
    <w:p>
      <w:pPr>
        <w:pStyle w:val="Heading4"/>
      </w:pPr>
      <w:r>
        <w:t xml:space="preserve">6.1 Unified diagnostic criteria (DSM-5-TR · ICD-11 · NICE NG87 · AAP 2019 consensus points)</w:t>
      </w:r>
    </w:p>
    <w:p>
      <w:pPr>
        <w:pStyle w:val="FirstParagraph"/>
      </w:pPr>
      <w:r>
        <w:t xml:space="preserve">A. Of inattention and/or hyperactivity-impulsivity symptoms: in children (≤16 years) at least 6 symptoms in each category, adults (17+) at least 5 symptoms; must have lasted at least 6 months and be at a level not expected for age.</w:t>
      </w:r>
    </w:p>
    <w:p>
      <w:pPr>
        <w:pStyle w:val="BodyText"/>
      </w:pPr>
      <w:r>
        <w:t xml:space="preserve">B. Several symptoms must have been present before age 12.</w:t>
      </w:r>
    </w:p>
    <w:p>
      <w:pPr>
        <w:pStyle w:val="BodyText"/>
      </w:pPr>
      <w:r>
        <w:t xml:space="preserve">C. Symptoms in at least two settings (e.g., home + school, home + work) should be observed.</w:t>
      </w:r>
    </w:p>
    <w:p>
      <w:pPr>
        <w:pStyle w:val="BodyText"/>
      </w:pPr>
      <w:r>
        <w:t xml:space="preserve">D. Functional impairment — significant impact on social, academic, occupational activity.</w:t>
      </w:r>
    </w:p>
    <w:p>
      <w:pPr>
        <w:pStyle w:val="BodyText"/>
      </w:pPr>
      <w:r>
        <w:t xml:space="preserve">E. Exclusions — does not occur in context of schizophrenia or other psychotic disorder; not fully explained by another psychiatric disorder.</w:t>
      </w:r>
    </w:p>
    <w:bookmarkEnd w:id="255"/>
    <w:bookmarkStart w:id="256" w:name="differences-between-sources-10"/>
    <w:p>
      <w:pPr>
        <w:pStyle w:val="Heading4"/>
      </w:pPr>
      <w:r>
        <w:t xml:space="preserve">6.2 Differences between sources</w:t>
      </w:r>
    </w:p>
    <w:p>
      <w:pPr>
        <w:pStyle w:val="Compact"/>
        <w:numPr>
          <w:ilvl w:val="0"/>
          <w:numId w:val="1117"/>
        </w:numPr>
      </w:pPr>
      <w:r>
        <w:t xml:space="preserve">DSM-5-TR (F90.0–F90.2x): Three presentations are recognised — predominantly inattentive, predominantly hyperactive-impulsive, and combined. Severity is graded as mild, moderate, or severe. The age-of-onset criterion has been raised to 12 years (DSM-IV required onset before age 7).</w:t>
      </w:r>
    </w:p>
    <w:p>
      <w:pPr>
        <w:pStyle w:val="Compact"/>
        <w:numPr>
          <w:ilvl w:val="0"/>
          <w:numId w:val="1117"/>
        </w:numPr>
      </w:pPr>
      <w:r>
        <w:t xml:space="preserve">ICD-11 (6A05): Parallel structure; ‘co-morbid’ qualifiers (autism, language disorder, intellectual disability).</w:t>
      </w:r>
    </w:p>
    <w:p>
      <w:pPr>
        <w:pStyle w:val="Compact"/>
        <w:numPr>
          <w:ilvl w:val="0"/>
          <w:numId w:val="1117"/>
        </w:numPr>
      </w:pPr>
      <w:r>
        <w:t xml:space="preserve">NICE NG87 (2018, updated 2019): the diagnosis should be made by a multidisciplinary team (in children — pediatrician/psychiatrist; in adults — psychiatrist); structured interview and observation combined.</w:t>
      </w:r>
    </w:p>
    <w:p>
      <w:pPr>
        <w:pStyle w:val="Compact"/>
        <w:numPr>
          <w:ilvl w:val="0"/>
          <w:numId w:val="1117"/>
        </w:numPr>
      </w:pPr>
      <w:r>
        <w:t xml:space="preserve">AAP 2019 (Wolraich M.L. et al. Pediatrics 2019;144(4)): Diagnostic and treatment algorithm for ages 4–18 at the first medical assistance level 4–5 years — first-line parent training (PCIT, parent management training), second-line methylphenidate; 6–11 years — first-line stimulant + behavioral intervention; 12–18 years — first line stimulant + behavioral intervention (with adolescent consent).</w:t>
      </w:r>
    </w:p>
    <w:p>
      <w:pPr>
        <w:pStyle w:val="Compact"/>
        <w:numPr>
          <w:ilvl w:val="0"/>
          <w:numId w:val="1117"/>
        </w:numPr>
      </w:pPr>
      <w:r>
        <w:t xml:space="preserve">AACAP Practice Parameter (Pliszka S. JAACAP 2007): Comorbidity assessment and treatment sequencing.</w:t>
      </w:r>
    </w:p>
    <w:p>
      <w:pPr>
        <w:pStyle w:val="Compact"/>
        <w:numPr>
          <w:ilvl w:val="0"/>
          <w:numId w:val="1117"/>
        </w:numPr>
      </w:pPr>
      <w:r>
        <w:t xml:space="preserve">CADDRA Canadian ADHD Practice Guidelines (4th edition, 2018): Comprehensive algorithm for adult ADHD.</w:t>
      </w:r>
    </w:p>
    <w:bookmarkEnd w:id="256"/>
    <w:bookmarkStart w:id="257" w:name="diagnostic-algorithm-5"/>
    <w:p>
      <w:pPr>
        <w:pStyle w:val="Heading4"/>
      </w:pPr>
      <w:r>
        <w:t xml:space="preserve">6.3 Diagnostic algorithm</w:t>
      </w:r>
    </w:p>
    <w:p>
      <w:pPr>
        <w:pStyle w:val="Compact"/>
        <w:numPr>
          <w:ilvl w:val="0"/>
          <w:numId w:val="1118"/>
        </w:numPr>
      </w:pPr>
      <w:r>
        <w:t xml:space="preserve">Parent and teacher (for children) or patient themselves (for adults) interview — symptom history, onset age, contexts.</w:t>
      </w:r>
    </w:p>
    <w:p>
      <w:pPr>
        <w:pStyle w:val="Compact"/>
        <w:numPr>
          <w:ilvl w:val="0"/>
          <w:numId w:val="1118"/>
        </w:numPr>
      </w:pPr>
      <w:r>
        <w:t xml:space="preserve">Standardized rating scales — Conners-3 (parent/teacher/patient), Vanderbilt (AAP recommendation), SNAP-IV; for adults ASRS (Adult ADHD Self-Report Scale, WHO/Kessler).</w:t>
      </w:r>
    </w:p>
    <w:p>
      <w:pPr>
        <w:pStyle w:val="Compact"/>
        <w:numPr>
          <w:ilvl w:val="0"/>
          <w:numId w:val="1118"/>
        </w:numPr>
      </w:pPr>
      <w:r>
        <w:t xml:space="preserve">Clinical interview — confirmation of symptoms in two contexts, documentation of functional impairment.</w:t>
      </w:r>
    </w:p>
    <w:p>
      <w:pPr>
        <w:pStyle w:val="Compact"/>
        <w:numPr>
          <w:ilvl w:val="0"/>
          <w:numId w:val="1118"/>
        </w:numPr>
      </w:pPr>
      <w:r>
        <w:t xml:space="preserve">Medical and neurological examination — excluding somatic causes (thyroid, hearing, vision, anemia).</w:t>
      </w:r>
    </w:p>
    <w:p>
      <w:pPr>
        <w:pStyle w:val="Compact"/>
        <w:numPr>
          <w:ilvl w:val="0"/>
          <w:numId w:val="1118"/>
        </w:numPr>
      </w:pPr>
      <w:r>
        <w:t xml:space="preserve">Intellectual and academic assessment (WISC-V, academic tests) — to differentiate learning disorder and intellectual disability.</w:t>
      </w:r>
    </w:p>
    <w:p>
      <w:pPr>
        <w:pStyle w:val="Compact"/>
        <w:numPr>
          <w:ilvl w:val="0"/>
          <w:numId w:val="1118"/>
        </w:numPr>
      </w:pPr>
      <w:r>
        <w:t xml:space="preserve">Comorbidity screening — ODD, conduct disorder, anxiety, depression, tic, autism, substance use.</w:t>
      </w:r>
    </w:p>
    <w:p>
      <w:pPr>
        <w:pStyle w:val="Compact"/>
        <w:numPr>
          <w:ilvl w:val="0"/>
          <w:numId w:val="1118"/>
        </w:numPr>
      </w:pPr>
      <w:r>
        <w:t xml:space="preserve">Sleep disturbance and obstructive sleep apnea screening (especially in hyperactive-impulsive type).</w:t>
      </w:r>
    </w:p>
    <w:bookmarkEnd w:id="257"/>
    <w:bookmarkStart w:id="258" w:name="differential-diagnosis-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 and development — normal variation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impairment, or not observed in two contexts.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Oppositional Defiant Disorder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Defiance, anger-based; comorbidity is high.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Serious behavioral disturbances, violation of others' rights.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Anxiety disorders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Inattention due to anxiety; somatic complaints; onset generally late.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disorder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are dominant; episodic course.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disorder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episodes; no manic episode in childhood; see also Disruptive Mood Dysregulation Disorder (DMDD).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Social-communication deficit, restricted-repetitive behaviors. Comorbidity high.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 of intellectual development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Academic domain-specific deficit; attention problems are context-dependent.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Obstructive sleep apnea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Daytime sleepiness, behavioral problems; polysomnography.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Decreased TSH; tremor, weight loss.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Absence (petit mal) epilepsy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Brief consciousness changes; EEG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Hearing impairment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Audiometry impaired.</w:t>
            </w:r>
          </w:p>
        </w:tc>
      </w:tr>
    </w:tbl>
    <w:bookmarkEnd w:id="258"/>
    <w:bookmarkEnd w:id="259"/>
    <w:bookmarkStart w:id="263" w:name="Xc7b7295a44d11114386f4432d20d343f7c04ee0"/>
    <w:p>
      <w:pPr>
        <w:pStyle w:val="Heading3"/>
      </w:pPr>
      <w:r>
        <w:t xml:space="preserve">7. Examination and assessment</w:t>
      </w:r>
    </w:p>
    <w:bookmarkStart w:id="260" w:name="clinical-scales"/>
    <w:p>
      <w:pPr>
        <w:pStyle w:val="Heading4"/>
      </w:pPr>
      <w:r>
        <w:t xml:space="preserve">7.1 Clinical scales</w:t>
      </w:r>
    </w:p>
    <w:p>
      <w:pPr>
        <w:pStyle w:val="Compact"/>
        <w:numPr>
          <w:ilvl w:val="0"/>
          <w:numId w:val="1119"/>
        </w:numPr>
      </w:pPr>
      <w:r>
        <w:t xml:space="preserve">Vanderbilt ADHD Diagnostic Rating Scale — parent and teacher, ages 6–12 — AAP 2019 recommendation.</w:t>
      </w:r>
    </w:p>
    <w:p>
      <w:pPr>
        <w:pStyle w:val="Compact"/>
        <w:numPr>
          <w:ilvl w:val="0"/>
          <w:numId w:val="1119"/>
        </w:numPr>
      </w:pPr>
      <w:r>
        <w:t xml:space="preserve">Conners-3 — complex CDDP and comorbidity assessment (6–18 years).</w:t>
      </w:r>
    </w:p>
    <w:p>
      <w:pPr>
        <w:pStyle w:val="Compact"/>
        <w:numPr>
          <w:ilvl w:val="0"/>
          <w:numId w:val="1119"/>
        </w:numPr>
      </w:pPr>
      <w:r>
        <w:t xml:space="preserve">SNAP-IV (Swanson, Nolan, Pelham) — 26 questions.</w:t>
      </w:r>
    </w:p>
    <w:p>
      <w:pPr>
        <w:pStyle w:val="Compact"/>
        <w:numPr>
          <w:ilvl w:val="0"/>
          <w:numId w:val="1119"/>
        </w:numPr>
      </w:pPr>
      <w:r>
        <w:t xml:space="preserve">ASRS (Adult ADHD Self-Report Scale, WHO/Kessler R.C.) — 18 questions; brief screening in adult patients.</w:t>
      </w:r>
    </w:p>
    <w:p>
      <w:pPr>
        <w:pStyle w:val="Compact"/>
        <w:numPr>
          <w:ilvl w:val="0"/>
          <w:numId w:val="1119"/>
        </w:numPr>
      </w:pPr>
      <w:r>
        <w:t xml:space="preserve">DIVA-5 (Diagnostic Interview for ADHD in adults) — structured interview.</w:t>
      </w:r>
    </w:p>
    <w:p>
      <w:pPr>
        <w:pStyle w:val="Compact"/>
        <w:numPr>
          <w:ilvl w:val="0"/>
          <w:numId w:val="1119"/>
        </w:numPr>
      </w:pPr>
      <w:r>
        <w:t xml:space="preserve">BRIEF-2 (Behavior Rating Inventory of Executive Function) — executive function.</w:t>
      </w:r>
    </w:p>
    <w:bookmarkEnd w:id="260"/>
    <w:bookmarkStart w:id="261" w:name="laboratory-investigations-4"/>
    <w:p>
      <w:pPr>
        <w:pStyle w:val="Heading4"/>
      </w:pPr>
      <w:r>
        <w:t xml:space="preserve">7.2 Laboratory investigations</w:t>
      </w:r>
    </w:p>
    <w:p>
      <w:pPr>
        <w:pStyle w:val="FirstParagraph"/>
      </w:pPr>
      <w:r>
        <w:t xml:space="preserve">No specific laboratory indication for routine ADHD. Based on clinical suspicion:</w:t>
      </w:r>
    </w:p>
    <w:p>
      <w:pPr>
        <w:pStyle w:val="Compact"/>
        <w:numPr>
          <w:ilvl w:val="0"/>
          <w:numId w:val="1120"/>
        </w:numPr>
      </w:pPr>
      <w:r>
        <w:t xml:space="preserve">Complete blood count, ferritin (iron deficiency), thyroid function (TSH).</w:t>
      </w:r>
    </w:p>
    <w:p>
      <w:pPr>
        <w:pStyle w:val="Compact"/>
        <w:numPr>
          <w:ilvl w:val="0"/>
          <w:numId w:val="1120"/>
        </w:numPr>
      </w:pPr>
      <w:r>
        <w:t xml:space="preserve">Lead level — if risk factors are present.</w:t>
      </w:r>
    </w:p>
    <w:p>
      <w:pPr>
        <w:pStyle w:val="Compact"/>
        <w:numPr>
          <w:ilvl w:val="0"/>
          <w:numId w:val="1120"/>
        </w:numPr>
      </w:pPr>
      <w:r>
        <w:t xml:space="preserve">Toxicology screening — suspicion of substance use in adolescents.</w:t>
      </w:r>
    </w:p>
    <w:p>
      <w:pPr>
        <w:pStyle w:val="Compact"/>
        <w:numPr>
          <w:ilvl w:val="0"/>
          <w:numId w:val="1120"/>
        </w:numPr>
      </w:pPr>
      <w:r>
        <w:t xml:space="preserve">Before stimulant initiation — EKG only if cardiac risk history or family history (AAP, AHA 2008; routine EKG not required).</w:t>
      </w:r>
    </w:p>
    <w:bookmarkEnd w:id="261"/>
    <w:bookmarkStart w:id="262" w:name="instrumental-investigations-5"/>
    <w:p>
      <w:pPr>
        <w:pStyle w:val="Heading4"/>
      </w:pPr>
      <w:r>
        <w:t xml:space="preserve">7.3 Instrumental investigations</w:t>
      </w:r>
    </w:p>
    <w:p>
      <w:pPr>
        <w:pStyle w:val="Compact"/>
        <w:numPr>
          <w:ilvl w:val="0"/>
          <w:numId w:val="1121"/>
        </w:numPr>
      </w:pPr>
      <w:r>
        <w:t xml:space="preserve">EEG — only if seizure suspected or atypical clinical manifestations.</w:t>
      </w:r>
    </w:p>
    <w:p>
      <w:pPr>
        <w:pStyle w:val="Compact"/>
        <w:numPr>
          <w:ilvl w:val="0"/>
          <w:numId w:val="1121"/>
        </w:numPr>
      </w:pPr>
      <w:r>
        <w:t xml:space="preserve">Brain MRI — only for focal neurological signs. No routine indication.</w:t>
      </w:r>
    </w:p>
    <w:p>
      <w:pPr>
        <w:pStyle w:val="Compact"/>
        <w:numPr>
          <w:ilvl w:val="0"/>
          <w:numId w:val="1121"/>
        </w:numPr>
      </w:pPr>
      <w:r>
        <w:t xml:space="preserve">Neurophysiological tests for diagnosis (TOVA, IVA, QbTest) lack sufficient evidence base — the clinical diagnosis and standardized scales are prioritized as the gold standard.</w:t>
      </w:r>
    </w:p>
    <w:bookmarkEnd w:id="262"/>
    <w:bookmarkEnd w:id="263"/>
    <w:bookmarkStart w:id="269" w:name="X47275a640992dbbf31eeaa9fb9b2393e5d974cf"/>
    <w:p>
      <w:pPr>
        <w:pStyle w:val="Heading3"/>
      </w:pPr>
      <w:r>
        <w:t xml:space="preserve">8. Treatment</w:t>
      </w:r>
    </w:p>
    <w:bookmarkStart w:id="264" w:name="X66a1b277b13a21a2aa707488bb3ce7a4d1f575d"/>
    <w:p>
      <w:pPr>
        <w:pStyle w:val="Heading4"/>
      </w:pPr>
      <w:r>
        <w:t xml:space="preserve">8.1 General Principles (NICE NG87 · AAP 2019 · CADDRA 2018 Consensus)</w:t>
      </w:r>
    </w:p>
    <w:p>
      <w:pPr>
        <w:pStyle w:val="Compact"/>
        <w:numPr>
          <w:ilvl w:val="0"/>
          <w:numId w:val="1122"/>
        </w:numPr>
      </w:pPr>
      <w:r>
        <w:t xml:space="preserve">Age-based approach (AAP 2019):</w:t>
      </w:r>
    </w:p>
    <w:p>
      <w:pPr>
        <w:pStyle w:val="Compact"/>
        <w:numPr>
          <w:ilvl w:val="1"/>
          <w:numId w:val="1123"/>
        </w:numPr>
      </w:pPr>
      <w:r>
        <w:t xml:space="preserve">4–5 years — first-line parent training (PCIT, Triple P, Incredible Years); second-line methylphenidate.</w:t>
      </w:r>
    </w:p>
    <w:p>
      <w:pPr>
        <w:pStyle w:val="Compact"/>
        <w:numPr>
          <w:ilvl w:val="1"/>
          <w:numId w:val="1123"/>
        </w:numPr>
      </w:pPr>
      <w:r>
        <w:t xml:space="preserve">6–11 years — first-line Stimulant + behavioral intervention.</w:t>
      </w:r>
    </w:p>
    <w:p>
      <w:pPr>
        <w:pStyle w:val="Compact"/>
        <w:numPr>
          <w:ilvl w:val="1"/>
          <w:numId w:val="1123"/>
        </w:numPr>
      </w:pPr>
      <w:r>
        <w:t xml:space="preserve">12–18 years — first line Stimulant + behavioral intervention; adolescent consent.</w:t>
      </w:r>
    </w:p>
    <w:p>
      <w:pPr>
        <w:pStyle w:val="Compact"/>
        <w:numPr>
          <w:ilvl w:val="1"/>
          <w:numId w:val="1123"/>
        </w:numPr>
      </w:pPr>
      <w:r>
        <w:t xml:space="preserve">Adults — Stimulant or non-stimulant + CBT.</w:t>
      </w:r>
    </w:p>
    <w:p>
      <w:pPr>
        <w:pStyle w:val="Compact"/>
        <w:numPr>
          <w:ilvl w:val="0"/>
          <w:numId w:val="1122"/>
        </w:numPr>
      </w:pPr>
      <w:r>
        <w:t xml:space="preserve">Multimodal intervention superior to monotherapy or behavioral intervention alone (MTA Cooperative Group. Arch Gen Psychiatry 1999, n=579 — combination superior to monotherapy, but pharmacotherapy stronger than behavioral intervention alone).</w:t>
      </w:r>
    </w:p>
    <w:p>
      <w:pPr>
        <w:pStyle w:val="Compact"/>
        <w:numPr>
          <w:ilvl w:val="0"/>
          <w:numId w:val="1122"/>
        </w:numPr>
      </w:pPr>
      <w:r>
        <w:t xml:space="preserve">Stimulants — first-line pharmacotherapy (Cortese S. et al. Lancet Psychiatry 2018 network meta-analysis; in children methylphenidate first choice, in adults amphetamine more effective).</w:t>
      </w:r>
    </w:p>
    <w:p>
      <w:pPr>
        <w:pStyle w:val="Compact"/>
        <w:numPr>
          <w:ilvl w:val="0"/>
          <w:numId w:val="1122"/>
        </w:numPr>
      </w:pPr>
      <w:r>
        <w:t xml:space="preserve">Non-stimulants — atomoxetine, guanfacine (long-acting formulation), clonidine (long-acting formulation). Used when stimulant contraindicated or side effect present.</w:t>
      </w:r>
    </w:p>
    <w:p>
      <w:pPr>
        <w:pStyle w:val="Compact"/>
        <w:numPr>
          <w:ilvl w:val="0"/>
          <w:numId w:val="1122"/>
        </w:numPr>
      </w:pPr>
      <w:r>
        <w:t xml:space="preserve">Behavioral intervention — parent training (PCIT, parent management training), school-based intervention (class modifications, behavior contract), child CBT.</w:t>
      </w:r>
    </w:p>
    <w:p>
      <w:pPr>
        <w:pStyle w:val="Compact"/>
        <w:numPr>
          <w:ilvl w:val="0"/>
          <w:numId w:val="1122"/>
        </w:numPr>
      </w:pPr>
      <w:r>
        <w:t xml:space="preserve">Academic accommodations — individualized education plan (IEP / 504 Plan US; EHCP UK); extra time, limited distractors, written vs oral response options.</w:t>
      </w:r>
    </w:p>
    <w:p>
      <w:pPr>
        <w:pStyle w:val="Compact"/>
        <w:numPr>
          <w:ilvl w:val="0"/>
          <w:numId w:val="1122"/>
        </w:numPr>
      </w:pPr>
      <w:r>
        <w:t xml:space="preserve">Side effect monitoring — height and weight, blood pressure, heart rate (3-month), sleep, appetite, mood. In stimulants, slight decrease in height growth (1–2 cm with long-term use) is expected.</w:t>
      </w:r>
    </w:p>
    <w:p>
      <w:pPr>
        <w:pStyle w:val="Compact"/>
        <w:numPr>
          <w:ilvl w:val="0"/>
          <w:numId w:val="1122"/>
        </w:numPr>
      </w:pPr>
      <w:r>
        <w:t xml:space="preserve">Comorbidity treatment — anxiety/depression (SSRI + CBT), tics (alpha-2 agonists or cautiously stimulants), substance use (lisdexamfetamine or atomoxetine — lower abuse potential), autism (atypical antipsychotic for comorbid irritability).</w:t>
      </w:r>
    </w:p>
    <w:bookmarkEnd w:id="264"/>
    <w:bookmarkStart w:id="265" w:name="stimulants-first-line-pharmacotherapy"/>
    <w:p>
      <w:pPr>
        <w:pStyle w:val="Heading4"/>
      </w:pPr>
      <w:r>
        <w:t xml:space="preserve">8.2 Stimulants (First-Line Pharmacotherapy)</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Methylphenidate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Short-term (3–4 hours)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5–60 mg/day (2–3 doses)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Initiation of titration in children; Cortese 2018 — first-line in children.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Methylphenidate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Long-term (8–12 hours)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18–72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Once-daily dose; convenient for school day.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Prodrug, 12+ hours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20–70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Low abuse potential (prodrug); preferred in adults.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Mixed Amphetamine Salts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Long-term (10–12 hours)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5–30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adults, Cortese 2018 — First-line.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(4 hours) / ER (8 hours)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5–40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65"/>
    <w:bookmarkStart w:id="266" w:name="non-stimulants"/>
    <w:p>
      <w:pPr>
        <w:pStyle w:val="Heading4"/>
      </w:pPr>
      <w:r>
        <w:t xml:space="preserve">8.3 Non-stimulants</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Mechanism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Atomoxetine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Noradrenaline reuptake inhibitor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0.5–1.4 mg/kg/day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Effect 4–6 weeks; slight increase in risk of suicidal ideation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Guanfacine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α2A adrenergic agonist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Sedation, hypotension; beneficial in comorbid tic cases.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Clonidine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α2 adrenergic agonist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0.1–0.4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Sedation; beneficial when sleep disorder is comorbid.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Viloxazine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children 100–400 mg/day, adults 200–600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2021; children from 6 years and adults.</w:t>
            </w:r>
          </w:p>
        </w:tc>
      </w:tr>
    </w:tbl>
    <w:bookmarkEnd w:id="266"/>
    <w:bookmarkStart w:id="267" w:name="source-specific-clarifications"/>
    <w:p>
      <w:pPr>
        <w:pStyle w:val="Heading4"/>
      </w:pPr>
      <w:r>
        <w:t xml:space="preserve">8.4 Source-Specific Clarifications</w:t>
      </w:r>
    </w:p>
    <w:p>
      <w:pPr>
        <w:pStyle w:val="Compact"/>
        <w:numPr>
          <w:ilvl w:val="0"/>
          <w:numId w:val="1124"/>
        </w:numPr>
      </w:pPr>
      <w:r>
        <w:t xml:space="preserve">NICE NG87 (2018, updated 2019): 5+ years — environmental changes first; then behavioral or pharmacotherapy. In adults — first-line stimulant; second-line atomoxetine.</w:t>
      </w:r>
    </w:p>
    <w:p>
      <w:pPr>
        <w:pStyle w:val="Compact"/>
        <w:numPr>
          <w:ilvl w:val="0"/>
          <w:numId w:val="1124"/>
        </w:numPr>
      </w:pPr>
      <w:r>
        <w:t xml:space="preserve">AAP 2019 (Wolraich): Age-based algorithm described above.</w:t>
      </w:r>
    </w:p>
    <w:p>
      <w:pPr>
        <w:pStyle w:val="Compact"/>
        <w:numPr>
          <w:ilvl w:val="0"/>
          <w:numId w:val="1124"/>
        </w:numPr>
      </w:pPr>
      <w:r>
        <w:t xml:space="preserve">Cortese S. et al. Lancet Psychiatry 2018 (network meta-analysis): children — methylphenidate first-line; adults — amphetamine first-line (higher effect size); atomoxetine moderately effective.</w:t>
      </w:r>
    </w:p>
    <w:p>
      <w:pPr>
        <w:pStyle w:val="Compact"/>
        <w:numPr>
          <w:ilvl w:val="0"/>
          <w:numId w:val="1124"/>
        </w:numPr>
      </w:pPr>
      <w:r>
        <w:t xml:space="preserve">MTA Cooperative Group (Arch Gen Psychiatry 1999, follow-up Hechtman L. et al. JAACAP 2016): intensive pharmacotherapy combination demonstrated superiority in 14-month observation; but differences weaken at 36-month and 8-year follow-up — long-term effect debated.</w:t>
      </w:r>
    </w:p>
    <w:p>
      <w:pPr>
        <w:pStyle w:val="Compact"/>
        <w:numPr>
          <w:ilvl w:val="0"/>
          <w:numId w:val="1124"/>
        </w:numPr>
      </w:pPr>
      <w:r>
        <w:t xml:space="preserve">FDA and EMA monitoring requirements: Monitoring height and weight, baseline cardiovascular parameters.</w:t>
      </w:r>
    </w:p>
    <w:bookmarkEnd w:id="267"/>
    <w:bookmarkStart w:id="268" w:name="treatment-methods-5"/>
    <w:p>
      <w:pPr>
        <w:pStyle w:val="Heading4"/>
      </w:pPr>
      <w:r>
        <w:t xml:space="preserve">8.5 Treatment methods</w:t>
      </w:r>
    </w:p>
    <w:p>
      <w:pPr>
        <w:pStyle w:val="Compact"/>
        <w:numPr>
          <w:ilvl w:val="0"/>
          <w:numId w:val="1125"/>
        </w:numPr>
      </w:pPr>
      <w:r>
        <w:t xml:space="preserve">Parent-Child Interaction Therapy (PCIT) — Eyberg (Eyberg S.) — For children aged 4–7 years; two phases – Child-Directed Interaction (CDI) and Parent-Directed Interaction (PDI). Development of parental behavior management skills with real-time therapist coaching (in-vivo coaching). pcit.org.</w:t>
      </w:r>
    </w:p>
    <w:p>
      <w:pPr>
        <w:pStyle w:val="Compact"/>
        <w:numPr>
          <w:ilvl w:val="0"/>
          <w:numId w:val="1125"/>
        </w:numPr>
      </w:pPr>
      <w:r>
        <w:t xml:space="preserve">“Incredible Years” program — Webster-Stratton (Webster-Stratton C.) — Parent, teacher, and child programs; group format 14–22 sessions; ASTPS model (Authoritative Stimulating Trustworthy Parenting Style).</w:t>
      </w:r>
    </w:p>
    <w:p>
      <w:pPr>
        <w:pStyle w:val="Compact"/>
        <w:numPr>
          <w:ilvl w:val="0"/>
          <w:numId w:val="1125"/>
        </w:numPr>
      </w:pPr>
      <w:r>
        <w:t xml:space="preserve">Triple P — Positive Parenting Program — Sanders (Sanders M.) — The 5-tier system developed in Australia is universal, selective, targeted, and individual. Effective in numerous RCTs.</w:t>
      </w:r>
    </w:p>
    <w:p>
      <w:pPr>
        <w:pStyle w:val="Compact"/>
        <w:numPr>
          <w:ilvl w:val="0"/>
          <w:numId w:val="1125"/>
        </w:numPr>
      </w:pPr>
      <w:r>
        <w:t xml:space="preserve">Parent Management Training — Barkley (Barkley) — 8–12 sessions behavior principles-based parent training – token system, time-out, continuous training.</w:t>
      </w:r>
    </w:p>
    <w:p>
      <w:pPr>
        <w:pStyle w:val="Compact"/>
        <w:numPr>
          <w:ilvl w:val="0"/>
          <w:numId w:val="1125"/>
        </w:numPr>
      </w:pPr>
      <w:r>
        <w:t xml:space="preserve">CBT for adult ADHD (Safren CBT for Adult ADHD) — Safren (Safren S.A.) — CBT modules for adult ADHD — task organization, planning, distraction management, cognitive restructuring. Evidence: Safren S.A. et al. JAMA 2010 RCT.</w:t>
      </w:r>
    </w:p>
    <w:p>
      <w:pPr>
        <w:pStyle w:val="Compact"/>
        <w:numPr>
          <w:ilvl w:val="0"/>
          <w:numId w:val="1125"/>
        </w:numPr>
      </w:pPr>
      <w:r>
        <w:t xml:space="preserve">Vanderbilt ADHD Diagnostic Rating Scale — Recommended by AAP 2019; parent and teacher forms, comorbidity subscales.</w:t>
      </w:r>
    </w:p>
    <w:p>
      <w:pPr>
        <w:pStyle w:val="Compact"/>
        <w:numPr>
          <w:ilvl w:val="0"/>
          <w:numId w:val="1125"/>
        </w:numPr>
      </w:pPr>
      <w:r>
        <w:t xml:space="preserve">Adult ADHD Self-Report Scale (ASRS) — Kessler (Kessler R.C.), WHO — 18 questions; short 6-item screening section. Clinical and population screening in adult patients.</w:t>
      </w:r>
    </w:p>
    <w:p>
      <w:pPr>
        <w:pStyle w:val="Compact"/>
        <w:numPr>
          <w:ilvl w:val="0"/>
          <w:numId w:val="1125"/>
        </w:numPr>
      </w:pPr>
      <w:r>
        <w:t xml:space="preserve">Diagnostic Interview for ADHD in Adults (DIVA-5 — Diagnostic Interview for ADHD in Adults) — Structured interview for adult ADHD — according to DSM-5 criteria.</w:t>
      </w:r>
    </w:p>
    <w:p>
      <w:pPr>
        <w:pStyle w:val="Compact"/>
        <w:numPr>
          <w:ilvl w:val="0"/>
          <w:numId w:val="1125"/>
        </w:numPr>
      </w:pPr>
      <w:r>
        <w:t xml:space="preserve">Conners-3 — 6–18 years comprehensive assessment – ADHD symptoms, executive function, behavioral disorder, learning.</w:t>
      </w:r>
    </w:p>
    <w:p>
      <w:pPr>
        <w:pStyle w:val="Compact"/>
        <w:numPr>
          <w:ilvl w:val="0"/>
          <w:numId w:val="1125"/>
        </w:numPr>
      </w:pPr>
      <w:r>
        <w:t xml:space="preserve">Behavior Rating Inventory of Executive Function (BRIEF-2 — Behavior Rating Inventory of Executive Function) — Parent and teacher assessment of executive function — inhibition, working memory, emotional regulation.</w:t>
      </w:r>
    </w:p>
    <w:p>
      <w:pPr>
        <w:pStyle w:val="Compact"/>
        <w:numPr>
          <w:ilvl w:val="0"/>
          <w:numId w:val="1125"/>
        </w:numPr>
      </w:pPr>
      <w:r>
        <w:t xml:space="preserve">EEG Neurofeedback — In ADHD, neurofeedback training targeting specific brainwave patterns (theta/beta ratio). Evidence: Holtmann M. et al. Dev Med Child Neurol 2011 meta-analysis — small effect size; effect debated among field specialists. NICE NG87 — not first-line, adjunct status.</w:t>
      </w:r>
    </w:p>
    <w:bookmarkEnd w:id="268"/>
    <w:bookmarkEnd w:id="269"/>
    <w:bookmarkStart w:id="273" w:name="Xe5ccb1682e182b6a0ed8aa53ee41a325f385bdd"/>
    <w:p>
      <w:pPr>
        <w:pStyle w:val="Heading3"/>
      </w:pPr>
      <w:r>
        <w:t xml:space="preserve">9. Prognosis</w:t>
      </w:r>
    </w:p>
    <w:bookmarkStart w:id="270" w:name="good-prognostic-factors-5"/>
    <w:p>
      <w:pPr>
        <w:pStyle w:val="Heading4"/>
      </w:pPr>
      <w:r>
        <w:t xml:space="preserve">Good prognostic factors</w:t>
      </w:r>
    </w:p>
    <w:p>
      <w:pPr>
        <w:pStyle w:val="Compact"/>
        <w:numPr>
          <w:ilvl w:val="0"/>
          <w:numId w:val="1126"/>
        </w:numPr>
      </w:pPr>
      <w:r>
        <w:t xml:space="preserve">Early identification and intervention.</w:t>
      </w:r>
    </w:p>
    <w:p>
      <w:pPr>
        <w:pStyle w:val="Compact"/>
        <w:numPr>
          <w:ilvl w:val="0"/>
          <w:numId w:val="1126"/>
        </w:numPr>
      </w:pPr>
      <w:r>
        <w:t xml:space="preserve">High IQ — compensatory strategies.</w:t>
      </w:r>
    </w:p>
    <w:p>
      <w:pPr>
        <w:pStyle w:val="Compact"/>
        <w:numPr>
          <w:ilvl w:val="0"/>
          <w:numId w:val="1126"/>
        </w:numPr>
      </w:pPr>
      <w:r>
        <w:t xml:space="preserve">Stable and supportive family environment.</w:t>
      </w:r>
    </w:p>
    <w:p>
      <w:pPr>
        <w:pStyle w:val="Compact"/>
        <w:numPr>
          <w:ilvl w:val="0"/>
          <w:numId w:val="1126"/>
        </w:numPr>
      </w:pPr>
      <w:r>
        <w:t xml:space="preserve">Active treatment of comorbid disorders.</w:t>
      </w:r>
    </w:p>
    <w:p>
      <w:pPr>
        <w:pStyle w:val="Compact"/>
        <w:numPr>
          <w:ilvl w:val="0"/>
          <w:numId w:val="1126"/>
        </w:numPr>
      </w:pPr>
      <w:r>
        <w:t xml:space="preserve">Good response to stimulant and behavioral intervention.</w:t>
      </w:r>
    </w:p>
    <w:p>
      <w:pPr>
        <w:pStyle w:val="Compact"/>
        <w:numPr>
          <w:ilvl w:val="0"/>
          <w:numId w:val="1126"/>
        </w:numPr>
      </w:pPr>
      <w:r>
        <w:t xml:space="preserve">Maintaining adherence in adolescence and adulthood.</w:t>
      </w:r>
    </w:p>
    <w:bookmarkEnd w:id="270"/>
    <w:bookmarkStart w:id="271" w:name="poor-prognostic-factors-5"/>
    <w:p>
      <w:pPr>
        <w:pStyle w:val="Heading4"/>
      </w:pPr>
      <w:r>
        <w:t xml:space="preserve">Poor prognostic factors</w:t>
      </w:r>
    </w:p>
    <w:p>
      <w:pPr>
        <w:pStyle w:val="Compact"/>
        <w:numPr>
          <w:ilvl w:val="0"/>
          <w:numId w:val="1127"/>
        </w:numPr>
      </w:pPr>
      <w:r>
        <w:t xml:space="preserve">Comorbid conduct disorder, oppositional defiant disorder.</w:t>
      </w:r>
    </w:p>
    <w:p>
      <w:pPr>
        <w:pStyle w:val="Compact"/>
        <w:numPr>
          <w:ilvl w:val="0"/>
          <w:numId w:val="1127"/>
        </w:numPr>
      </w:pPr>
      <w:r>
        <w:t xml:space="preserve">Low socioeconomic support.</w:t>
      </w:r>
    </w:p>
    <w:p>
      <w:pPr>
        <w:pStyle w:val="Compact"/>
        <w:numPr>
          <w:ilvl w:val="0"/>
          <w:numId w:val="1127"/>
        </w:numPr>
      </w:pPr>
      <w:r>
        <w:t xml:space="preserve">Development of substance use in adolescence.</w:t>
      </w:r>
    </w:p>
    <w:p>
      <w:pPr>
        <w:pStyle w:val="Compact"/>
        <w:numPr>
          <w:ilvl w:val="0"/>
          <w:numId w:val="1127"/>
        </w:numPr>
      </w:pPr>
      <w:r>
        <w:t xml:space="preserve">Severity of executive function deficit.</w:t>
      </w:r>
    </w:p>
    <w:p>
      <w:pPr>
        <w:pStyle w:val="Compact"/>
        <w:numPr>
          <w:ilvl w:val="0"/>
          <w:numId w:val="1127"/>
        </w:numPr>
      </w:pPr>
      <w:r>
        <w:t xml:space="preserve">Late identification.</w:t>
      </w:r>
    </w:p>
    <w:p>
      <w:pPr>
        <w:pStyle w:val="Compact"/>
        <w:numPr>
          <w:ilvl w:val="0"/>
          <w:numId w:val="1127"/>
        </w:numPr>
      </w:pPr>
      <w:r>
        <w:t xml:space="preserve">Intervention with unproven methods.</w:t>
      </w:r>
    </w:p>
    <w:bookmarkEnd w:id="271"/>
    <w:bookmarkStart w:id="272" w:name="follow-up-targets-5"/>
    <w:p>
      <w:pPr>
        <w:pStyle w:val="Heading4"/>
      </w:pPr>
      <w:r>
        <w:t xml:space="preserve">Follow-up targets</w:t>
      </w:r>
    </w:p>
    <w:p>
      <w:pPr>
        <w:pStyle w:val="Compact"/>
        <w:numPr>
          <w:ilvl w:val="0"/>
          <w:numId w:val="1128"/>
        </w:numPr>
      </w:pPr>
      <w:r>
        <w:t xml:space="preserve">Symptom and functional outcome monitoring (3–6 months).</w:t>
      </w:r>
    </w:p>
    <w:p>
      <w:pPr>
        <w:pStyle w:val="Compact"/>
        <w:numPr>
          <w:ilvl w:val="0"/>
          <w:numId w:val="1128"/>
        </w:numPr>
      </w:pPr>
      <w:r>
        <w:t xml:space="preserve">Stimulants: height, weight, blood pressure, pulse (3-month).</w:t>
      </w:r>
    </w:p>
    <w:p>
      <w:pPr>
        <w:pStyle w:val="Compact"/>
        <w:numPr>
          <w:ilvl w:val="0"/>
          <w:numId w:val="1128"/>
        </w:numPr>
      </w:pPr>
      <w:r>
        <w:t xml:space="preserve">Comorbid anxiety, depression, substance use screening.</w:t>
      </w:r>
    </w:p>
    <w:p>
      <w:pPr>
        <w:pStyle w:val="Compact"/>
        <w:numPr>
          <w:ilvl w:val="0"/>
          <w:numId w:val="1128"/>
        </w:numPr>
      </w:pPr>
      <w:r>
        <w:t xml:space="preserve">Academic and vocational achievement support.</w:t>
      </w:r>
    </w:p>
    <w:p>
      <w:pPr>
        <w:pStyle w:val="Compact"/>
        <w:numPr>
          <w:ilvl w:val="0"/>
          <w:numId w:val="1128"/>
        </w:numPr>
      </w:pPr>
      <w:r>
        <w:t xml:space="preserve">Intervention for risk behavior in adolescence (driving training, sexual health, substance).</w:t>
      </w:r>
    </w:p>
    <w:p>
      <w:pPr>
        <w:pStyle w:val="Compact"/>
        <w:numPr>
          <w:ilvl w:val="0"/>
          <w:numId w:val="1128"/>
        </w:numPr>
      </w:pPr>
      <w:r>
        <w:t xml:space="preserve">Adaptation in adulthood related to career, relationships, financial planning — CBT adapted to ADHD.</w:t>
      </w:r>
    </w:p>
    <w:bookmarkEnd w:id="272"/>
    <w:bookmarkEnd w:id="273"/>
    <w:bookmarkStart w:id="290" w:name="X33fea79a340b3ac3a01f9dffaec821bb3304179"/>
    <w:p>
      <w:pPr>
        <w:pStyle w:val="Heading3"/>
      </w:pPr>
      <w:r>
        <w:t xml:space="preserve">10. Myths and misconceptions</w:t>
      </w:r>
    </w:p>
    <w:bookmarkStart w:id="278" w:name="aetiology-myths-5"/>
    <w:p>
      <w:pPr>
        <w:pStyle w:val="Heading4"/>
      </w:pPr>
      <w:r>
        <w:t xml:space="preserve">10.1 Aetiology myths</w:t>
      </w:r>
    </w:p>
    <w:bookmarkStart w:id="274" w:name="X89812a7e8a1236b7b4ff216270b522ea582013d"/>
    <w:p>
      <w:pPr>
        <w:pStyle w:val="Heading5"/>
      </w:pPr>
      <w:r>
        <w:t xml:space="preserve">Myth 1: “ADHD is a fabricated diagnosis; children are just lively”</w:t>
      </w:r>
    </w:p>
    <w:p>
      <w:pPr>
        <w:pStyle w:val="FirstParagraph"/>
      </w:pPr>
      <w:r>
        <w:t xml:space="preserve">Why it is widespread: Anxiety about normal child energy being misperceived as pathological; some cases of diagnostic inflation are noted.</w:t>
      </w:r>
    </w:p>
    <w:p>
      <w:pPr>
        <w:pStyle w:val="BodyText"/>
      </w:pPr>
      <w:r>
        <w:t xml:space="preserve">Clinical and biological rationale: ADHD has persistent and measurable neurobiological features — heritability 74% (Faraone &amp; Larsson 2019), brain structural (Hoogman ENIGMA-ADHD 2017) and functional differences; effect of stimulants on specific mechanism (dopamine-norepinephrine) is pharmacological evidence. Underdiagnosis (especially in women) is a more widespread problem than overdiagnosis.</w:t>
      </w:r>
    </w:p>
    <w:p>
      <w:pPr>
        <w:pStyle w:val="BodyText"/>
      </w:pPr>
      <w:r>
        <w:t xml:space="preserve">Evidence: APA, AAP, WHO, NIMH — ADHD is a biologically based disorder; parent-reported US prevalence is 9.8% at ages 3–17 (2016–2019) and 11.4% (2022), international population studies meta-analysis 5–7% (Polanczyk 2007).</w:t>
      </w:r>
    </w:p>
    <w:p>
      <w:pPr>
        <w:pStyle w:val="BodyText"/>
      </w:pPr>
      <w:r>
        <w:t xml:space="preserve">Real clinical step: accurate diagnosis with structured criteria; functional impairment required (not simple behavioral variation).</w:t>
      </w:r>
    </w:p>
    <w:bookmarkEnd w:id="274"/>
    <w:bookmarkStart w:id="275" w:name="X782e9161ea2f24f3987e712b3b14210515f681d"/>
    <w:p>
      <w:pPr>
        <w:pStyle w:val="Heading5"/>
      </w:pPr>
      <w:r>
        <w:t xml:space="preserve">Myth 2: “Sugar causes ADHD or worsens symptoms”</w:t>
      </w:r>
    </w:p>
    <w:p>
      <w:pPr>
        <w:pStyle w:val="FirstParagraph"/>
      </w:pPr>
      <w:r>
        <w:t xml:space="preserve">Why it is widespread: the intuition that sugar increases child energy; ‘Feingold diet’ popularized in the 1970s.</w:t>
      </w:r>
    </w:p>
    <w:p>
      <w:pPr>
        <w:pStyle w:val="BodyText"/>
      </w:pPr>
      <w:r>
        <w:t xml:space="preserve">Evidence: Wolraich M.L. et al. JAMA 1995 systematic review and meta-analysis — sugar has no effect on child behavior and cognitive performance. Wolraich M.L. NEJM 1994 RCT — controlled deprivation study.</w:t>
      </w:r>
    </w:p>
    <w:p>
      <w:pPr>
        <w:pStyle w:val="BodyText"/>
      </w:pPr>
      <w:r>
        <w:t xml:space="preserve">Real clinical step: A general healthy diet, but with sugar restriction, is not recommended as an ADHD intervention.</w:t>
      </w:r>
    </w:p>
    <w:bookmarkEnd w:id="275"/>
    <w:bookmarkStart w:id="276" w:name="myth-3-bad-parenting-causes-adhd"/>
    <w:p>
      <w:pPr>
        <w:pStyle w:val="Heading5"/>
      </w:pPr>
      <w:r>
        <w:t xml:space="preserve">Myth 3: “Bad parenting causes ADHD”</w:t>
      </w:r>
    </w:p>
    <w:p>
      <w:pPr>
        <w:pStyle w:val="FirstParagraph"/>
      </w:pPr>
      <w:r>
        <w:t xml:space="preserve">Evidence: heritability 74% (Faraone &amp; Larsson Mol Psychiatry 2019); parental experience not etiology. However, high-conflict environment may influence symptom severity. Parental training (PCIT, Triple P) effective because it strengthens behavioral management skills — not blaming, but supportive purpose.</w:t>
      </w:r>
    </w:p>
    <w:bookmarkEnd w:id="276"/>
    <w:bookmarkStart w:id="277" w:name="X2f3bcceba362758ff0a0af7bbccf859ea27ff8f"/>
    <w:p>
      <w:pPr>
        <w:pStyle w:val="Heading5"/>
      </w:pPr>
      <w:r>
        <w:t xml:space="preserve">Myth 4: “Screen time / video games cause ADHD”</w:t>
      </w:r>
    </w:p>
    <w:p>
      <w:pPr>
        <w:pStyle w:val="FirstParagraph"/>
      </w:pPr>
      <w:r>
        <w:t xml:space="preserve">Evidence: Association exists, but causal direction debated — children with ADHD engage more in screen activity (reverse causality); Ferguson C.J. Perspect Psychol Sci 2015 review — causative effect of video games on ADHD not proven. AAP — screen time limits recommended for general health, not as a ‘cause’ of ADHD.</w:t>
      </w:r>
    </w:p>
    <w:bookmarkEnd w:id="277"/>
    <w:bookmarkEnd w:id="278"/>
    <w:bookmarkStart w:id="282" w:name="X91a407d655a2a77992412d0336652be896c7e7c"/>
    <w:p>
      <w:pPr>
        <w:pStyle w:val="Heading4"/>
      </w:pPr>
      <w:r>
        <w:t xml:space="preserve">10.2 Harmful “treatment” methods and misconceptions</w:t>
      </w:r>
    </w:p>
    <w:bookmarkStart w:id="279" w:name="X095dfe996530747212c6c7bddf727f7763b5d85"/>
    <w:p>
      <w:pPr>
        <w:pStyle w:val="Heading5"/>
      </w:pPr>
      <w:r>
        <w:t xml:space="preserve">Myth 5: “Stimulants cause addiction like drugs and lead to future substance abuse”</w:t>
      </w:r>
    </w:p>
    <w:p>
      <w:pPr>
        <w:pStyle w:val="FirstParagraph"/>
      </w:pPr>
      <w:r>
        <w:t xml:space="preserve">Why it is widespread: methylphenidate and amphetamines being listed on the controlled substances schedule (Schedule II in the US); the widespread prevalence of the “narcotic” fear.</w:t>
      </w:r>
    </w:p>
    <w:p>
      <w:pPr>
        <w:pStyle w:val="BodyText"/>
      </w:pPr>
      <w:r>
        <w:t xml:space="preserve">Clinical and biological rationale: At therapeutic oral dose, stimulant gradually reaches brain concentration (1–2 hours) — euphoric effect minimal. With intravenous or intranasal use (routes of misuse), different pharmacokinetics occur.</w:t>
      </w:r>
    </w:p>
    <w:p>
      <w:pPr>
        <w:pStyle w:val="BodyText"/>
      </w:pPr>
      <w:r>
        <w:t xml:space="preserve">Evidence: Wilens T.E. et al. Pediatrics 2003 meta-analysis, n=1034 — substance use in adulthood among adolescents with ADHD treated with stimulants diminishes, does not increase (risk reduction ~50%). Lisdexamfetamine and osmotic-release methylphenidate (Concerta) — low abuse potential (prodrug structure, OROS technology).</w:t>
      </w:r>
    </w:p>
    <w:p>
      <w:pPr>
        <w:pStyle w:val="BodyText"/>
      </w:pPr>
      <w:r>
        <w:t xml:space="preserve">Real clinical step: When comorbid substance use exists — lisdexamfetamine or atomoxetine preferred; safety education for the patient and the family.</w:t>
      </w:r>
    </w:p>
    <w:bookmarkEnd w:id="279"/>
    <w:bookmarkStart w:id="280" w:name="Xf9e3f7e94d470bab2200b25fda432666cbde62b"/>
    <w:p>
      <w:pPr>
        <w:pStyle w:val="Heading5"/>
      </w:pPr>
      <w:r>
        <w:t xml:space="preserve">Myth 6: “Stimulants stunt a child's height and brain development”</w:t>
      </w:r>
    </w:p>
    <w:p>
      <w:pPr>
        <w:pStyle w:val="FirstParagraph"/>
      </w:pPr>
      <w:r>
        <w:t xml:space="preserve">Evidence: MTA Cooperative Group follow-up (Swanson J.M. et al. JAACAP 2017) — adult height 1–2 cm lower in children treated with stimulants (relative to expected young adult height); this is considered small and clinically insignificant. Brain development — no evidence of harm related to stimulants (Schweren L.J.S. et al. Neuropsychopharmacology 2015 review).</w:t>
      </w:r>
    </w:p>
    <w:bookmarkEnd w:id="280"/>
    <w:bookmarkStart w:id="281" w:name="myth-7-cannabis-cures-adhd"/>
    <w:p>
      <w:pPr>
        <w:pStyle w:val="Heading5"/>
      </w:pPr>
      <w:r>
        <w:t xml:space="preserve">Myth 7: “Cannabis cures ADHD”</w:t>
      </w:r>
    </w:p>
    <w:p>
      <w:pPr>
        <w:pStyle w:val="FirstParagraph"/>
      </w:pPr>
      <w:r>
        <w:t xml:space="preserve">Evidence: NIDA, NICE — cannabis not approved for ADHD treatment; increases psychosis risk (Marconi 2016), leads to cognitive impairment, reduces motivation. Subjective ‘calming’ effect masks functional impairment.</w:t>
      </w:r>
    </w:p>
    <w:bookmarkEnd w:id="281"/>
    <w:bookmarkEnd w:id="282"/>
    <w:bookmarkStart w:id="289" w:name="Xa0a019a45de6acc6acd2503ff8a62a3f742b27a"/>
    <w:p>
      <w:pPr>
        <w:pStyle w:val="Heading4"/>
      </w:pPr>
      <w:r>
        <w:t xml:space="preserve">10.3 Ineffective or scientifically unfounded methods</w:t>
      </w:r>
    </w:p>
    <w:bookmarkStart w:id="283" w:name="X2560c06f59cdff1b5aa5fe4f2674e6462f31b34"/>
    <w:p>
      <w:pPr>
        <w:pStyle w:val="Heading5"/>
      </w:pPr>
      <w:r>
        <w:t xml:space="preserve">Myth 8: “Feingold diet or avoidance of food colorings/additives cures ADHD”</w:t>
      </w:r>
    </w:p>
    <w:p>
      <w:pPr>
        <w:pStyle w:val="FirstParagraph"/>
      </w:pPr>
      <w:r>
        <w:t xml:space="preserve">Evidence: Pelsser L.M. et al. Lancet 2011 (INCA study) — a restrictive elimination diet may influence behavior in some children (~30%), but systematic reviews (Sonuga-Barke E.J. et al. Am J Psychiatry 2013 meta-analysis) — the effect size of eliminating food additives is small, showing a superior effect only on family-rated assessment, and weakens when a blind control is applied. AAP, NICE — not a first-line approach; there is a risk of nutritional deficiency with complex diets.</w:t>
      </w:r>
    </w:p>
    <w:bookmarkEnd w:id="283"/>
    <w:bookmarkStart w:id="284" w:name="Xdf39847bd51e67d010421e5501a03387d37a4c9"/>
    <w:p>
      <w:pPr>
        <w:pStyle w:val="Heading5"/>
      </w:pPr>
      <w:r>
        <w:t xml:space="preserve">Myth 9: “Omega-3 supplements are the primary treatment for ADHD”</w:t>
      </w:r>
    </w:p>
    <w:p>
      <w:pPr>
        <w:pStyle w:val="FirstParagraph"/>
      </w:pPr>
      <w:r>
        <w:t xml:space="preserve">Evidence: Cooper R.E. et al. J Psychopharmacol 2015 and Bloch M.H., Qawasmi A. JAACAP 2011 meta-analyses — small effect size (g≈0.3); significantly weaker than stimulants (g≈1.0). May serve as adjunct; not primary treatment.</w:t>
      </w:r>
    </w:p>
    <w:bookmarkEnd w:id="284"/>
    <w:bookmarkStart w:id="285" w:name="X28901525d3e17e59213c23e99e5b7c96f52db4d"/>
    <w:p>
      <w:pPr>
        <w:pStyle w:val="Heading5"/>
      </w:pPr>
      <w:r>
        <w:t xml:space="preserve">Myth 10: “EEG Neurofeedback replaces stimulants”</w:t>
      </w:r>
    </w:p>
    <w:p>
      <w:pPr>
        <w:pStyle w:val="FirstParagraph"/>
      </w:pPr>
      <w:r>
        <w:t xml:space="preserve">Evidence: Holtmann M. et al. Dev Med Child Neurol 2011 and Cortese S. et al. JAACAP 2016 meta-analysis — neurofeedback effect significantly decreases when rated by proband and teacher; effect size is small in “blinded” assessment. NICE NG87 — not first-line. Stimulant effect is far superior.</w:t>
      </w:r>
    </w:p>
    <w:bookmarkEnd w:id="285"/>
    <w:bookmarkStart w:id="286" w:name="Xc553a01935727e95d3a20063c8e9f7a0b2fc181"/>
    <w:p>
      <w:pPr>
        <w:pStyle w:val="Heading5"/>
      </w:pPr>
      <w:r>
        <w:t xml:space="preserve">Myth 11: “Forcing exercise resolves the child's ADHD”</w:t>
      </w:r>
    </w:p>
    <w:p>
      <w:pPr>
        <w:pStyle w:val="FirstParagraph"/>
      </w:pPr>
      <w:r>
        <w:t xml:space="preserve">Evidence: Physical activity may help mildly reduce symptoms in ADHD (adjunct); but does not replace core intervention. AAP recommends structured physical activity, but not as sole treatment.</w:t>
      </w:r>
    </w:p>
    <w:bookmarkEnd w:id="286"/>
    <w:bookmarkStart w:id="287" w:name="Xf778053218365c1d85fe26d3813ba3e73de3841"/>
    <w:p>
      <w:pPr>
        <w:pStyle w:val="Heading5"/>
      </w:pPr>
      <w:r>
        <w:t xml:space="preserve">Myth 12: “Craniosacral therapy, chiropractic, homeopathy cure ADHD”</w:t>
      </w:r>
    </w:p>
    <w:p>
      <w:pPr>
        <w:pStyle w:val="FirstParagraph"/>
      </w:pPr>
      <w:r>
        <w:t xml:space="preserve">Evidence: Cochrane and systematic reviews — the effect of these complementary interventions for ADHD has not been proven.</w:t>
      </w:r>
    </w:p>
    <w:bookmarkEnd w:id="287"/>
    <w:bookmarkStart w:id="288" w:name="X09e21aedf85b56a4a98ec3c3f9975d778ac95e0"/>
    <w:p>
      <w:pPr>
        <w:pStyle w:val="Heading5"/>
      </w:pPr>
      <w:r>
        <w:t xml:space="preserve">Myth 13: “Light therapy, MUS tinted lenses cure ADHD”</w:t>
      </w:r>
    </w:p>
    <w:p>
      <w:pPr>
        <w:pStyle w:val="FirstParagraph"/>
      </w:pPr>
      <w:r>
        <w:t xml:space="preserve">Evidence: No evidence base. AAP, AAO position — not evidenced.</w:t>
      </w:r>
    </w:p>
    <w:bookmarkEnd w:id="288"/>
    <w:bookmarkEnd w:id="289"/>
    <w:bookmarkEnd w:id="290"/>
    <w:bookmarkStart w:id="2997" w:name="Xa65cd298c503f12307ba20a139bd85709fb3a7a"/>
    <w:p>
      <w:pPr>
        <w:pStyle w:val="Heading3"/>
      </w:pPr>
      <w:r>
        <w:t xml:space="preserve">11. Sources</w:t>
      </w:r>
    </w:p>
    <w:p>
      <w:pPr>
        <w:pStyle w:val="Compact"/>
        <w:numPr>
          <w:ilvl w:val="0"/>
          <w:numId w:val="1129"/>
        </w:numPr>
      </w:pPr>
      <w:r>
        <w:t xml:space="preserve">WHO. ICD-11 for Mortality and Morbidity Statistics. 6A05 Attention deficit hyperactivity disorder. 2024.</w:t>
      </w:r>
    </w:p>
    <w:p>
      <w:pPr>
        <w:pStyle w:val="Compact"/>
        <w:numPr>
          <w:ilvl w:val="0"/>
          <w:numId w:val="1129"/>
        </w:numPr>
      </w:pPr>
      <w:r>
        <w:t xml:space="preserve">American Psychiatric Association. DSM-5-TR. Washington DC: APA Publishing; 2022.</w:t>
      </w:r>
    </w:p>
    <w:p>
      <w:pPr>
        <w:pStyle w:val="Compact"/>
        <w:numPr>
          <w:ilvl w:val="0"/>
          <w:numId w:val="1129"/>
        </w:numPr>
      </w:pPr>
      <w:r>
        <w:t xml:space="preserve">NICE Guideline NG87. Attention deficit hyperactivity disorder: diagnosis and management. 2018, updated 2019.</w:t>
      </w:r>
    </w:p>
    <w:p>
      <w:pPr>
        <w:pStyle w:val="Compact"/>
        <w:numPr>
          <w:ilvl w:val="0"/>
          <w:numId w:val="1129"/>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29"/>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29"/>
        </w:numPr>
      </w:pPr>
      <w:r>
        <w:t xml:space="preserve">Canadian ADHD Resource Alliance (CADDRA). Canadian ADHD Practice Guidelines, 4th ed. CADDRA; 2018.</w:t>
      </w:r>
    </w:p>
    <w:p>
      <w:pPr>
        <w:pStyle w:val="Compact"/>
        <w:numPr>
          <w:ilvl w:val="0"/>
          <w:numId w:val="1129"/>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29"/>
        </w:numPr>
      </w:pPr>
      <w:r>
        <w:t xml:space="preserve">MTA Cooperative Group. A 14-month randomized clinical trial of treatment strategies for attention-deficit/hyperactivity disorder. Arch Gen Psychiatry 1999;56(12):1073–1086.</w:t>
      </w:r>
    </w:p>
    <w:p>
      <w:pPr>
        <w:pStyle w:val="Compact"/>
        <w:numPr>
          <w:ilvl w:val="0"/>
          <w:numId w:val="1129"/>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29"/>
        </w:numPr>
      </w:pPr>
      <w:r>
        <w:t xml:space="preserve">Polanczyk G., de Lima M.S., Horta B.L., Biederman J., Rohde L.A. The worldwide prevalence of ADHD: a systematic review and metaregression analysis. Am J Psychiatry 2007;164(6):942–948.</w:t>
      </w:r>
    </w:p>
    <w:p>
      <w:pPr>
        <w:pStyle w:val="Compact"/>
        <w:numPr>
          <w:ilvl w:val="0"/>
          <w:numId w:val="1129"/>
        </w:numPr>
      </w:pPr>
      <w:r>
        <w:t xml:space="preserve">Faraone S.V., Larsson H. Genetics of attention deficit hyperactivity disorder. Mol Psychiatry 2019;24(4):562–575.</w:t>
      </w:r>
    </w:p>
    <w:p>
      <w:pPr>
        <w:pStyle w:val="Compact"/>
        <w:numPr>
          <w:ilvl w:val="0"/>
          <w:numId w:val="1129"/>
        </w:numPr>
      </w:pPr>
      <w:r>
        <w:t xml:space="preserve">Demontis D., Walters R.K., Martin J. et al. Discovery of the first genome-wide significant risk loci for attention deficit/hyperactivity disorder. Nat Genet 2019;51(1):63–75.</w:t>
      </w:r>
    </w:p>
    <w:p>
      <w:pPr>
        <w:pStyle w:val="Compact"/>
        <w:numPr>
          <w:ilvl w:val="0"/>
          <w:numId w:val="1129"/>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29"/>
        </w:numPr>
      </w:pPr>
      <w:r>
        <w:t xml:space="preserve">Wolraich M., Wilson D., White J. The effect of sugar on behavior or cognition in children: a meta-analysis. JAMA 1995;274(20):1617–1621.</w:t>
      </w:r>
    </w:p>
    <w:p>
      <w:pPr>
        <w:pStyle w:val="Compact"/>
        <w:numPr>
          <w:ilvl w:val="0"/>
          <w:numId w:val="1129"/>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29"/>
        </w:numPr>
      </w:pPr>
      <w:r>
        <w:t xml:space="preserve">Swanson J.M., Arnold L.E., Molina B.S.G. et al. Young adult outcomes in the follow-up of the multimodal treatment study of attention-deficit/hyperactivity disorder: symptom persistence, source discrepancy, and height suppression. J Child Psychol Psychiatry 2017;58(6):663–678.</w:t>
      </w:r>
    </w:p>
    <w:p>
      <w:pPr>
        <w:pStyle w:val="Compact"/>
        <w:numPr>
          <w:ilvl w:val="0"/>
          <w:numId w:val="1129"/>
        </w:numPr>
      </w:pPr>
      <w:r>
        <w:t xml:space="preserve">Holtmann M., Sonuga-Barke E., Cortese S., Brandeis D. Neurofeedback for ADHD: a review of current evidence. Child Adolesc Psychiatr Clin N Am 2014;23(4):789–806.</w:t>
      </w:r>
    </w:p>
    <w:p>
      <w:pPr>
        <w:pStyle w:val="Compact"/>
        <w:numPr>
          <w:ilvl w:val="0"/>
          <w:numId w:val="1129"/>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29"/>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29"/>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29"/>
        </w:numPr>
      </w:pPr>
      <w:r>
        <w:t xml:space="preserve">Safren S.A., Sprich S., Mimiaga M.J. et al. Cognitive behavioral therapy vs relaxation with educational support for medication-treated adults with ADHD and persistent symptoms: a randomized controlled trial. JAMA 2010;304(8):875–880.</w:t>
      </w:r>
    </w:p>
    <w:p>
      <w:pPr>
        <w:pStyle w:val="Compact"/>
        <w:numPr>
          <w:ilvl w:val="0"/>
          <w:numId w:val="1129"/>
        </w:numPr>
      </w:pPr>
      <w:r>
        <w:t xml:space="preserve">Barkley R.A. Behavioral inhibition, sustained attention, and executive functions: constructing a unifying theory of ADHD. Psychol Bull 1997;121(1):65–94.</w:t>
      </w:r>
    </w:p>
    <w:p>
      <w:pPr>
        <w:pStyle w:val="Compact"/>
        <w:numPr>
          <w:ilvl w:val="0"/>
          <w:numId w:val="1129"/>
        </w:numPr>
      </w:pPr>
      <w:r>
        <w:t xml:space="preserve">Eyberg S.M., Funderburk B. Parent-Child Interaction Therapy Protocol. Gainesville: PCIT International, 2011.</w:t>
      </w:r>
    </w:p>
    <w:p>
      <w:pPr>
        <w:pStyle w:val="Compact"/>
        <w:numPr>
          <w:ilvl w:val="0"/>
          <w:numId w:val="1129"/>
        </w:numPr>
      </w:pPr>
      <w:r>
        <w:t xml:space="preserve">Webster-Stratton C. The Incredible Years: Parents, Teachers and Children Training Series. Seattle: Incredible Years, 2011.</w:t>
      </w:r>
    </w:p>
    <w:p>
      <w:pPr>
        <w:pStyle w:val="Compact"/>
        <w:numPr>
          <w:ilvl w:val="0"/>
          <w:numId w:val="1129"/>
        </w:numPr>
      </w:pPr>
      <w:r>
        <w:t xml:space="preserve">Kessler R.C., Berglund P., Demler O. et al. Lifetime prevalence and age-of-onset distributions of DSM-IV disorders in the National Comorbidity Survey Replication. Arch Gen Psychiatry 2005;62(6):593–602.</w:t>
      </w:r>
    </w:p>
    <w:p>
      <w:pPr>
        <w:pStyle w:val="Compact"/>
        <w:numPr>
          <w:ilvl w:val="0"/>
          <w:numId w:val="1129"/>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91" w:name="m86a06-stereotyped-movement-disorder"/>
            <w:r>
              <w:t xml:space="preserve">6A06 STEREOTYPED MOVEMENT DISORDER</w:t>
            </w:r>
            <w:bookmarkEnd w:id="291"/>
          </w:p>
          <w:p>
            <w:pPr>
              <w:pStyle w:val="Compact"/>
              <w:ind w:firstLine="0" w:left="0"/>
            </w:pPr>
            <w:r>
              <w:rPr>
                <w:lang w:val="en"/>
              </w:rPr>
              <w:t xml:space="preserve">Stereotyped movement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Stereotyped movement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Stereotypic Movement Disorder</w:t>
            </w:r>
          </w:p>
        </w:tc>
      </w:tr>
    </w:tbl>
    <w:bookmarkStart w:id="292" w:name="X743bce6519c5e81806228e590b12db2bd210e5e"/>
    <w:p>
      <w:pPr>
        <w:pStyle w:val="Heading3"/>
      </w:pPr>
      <w:r>
        <w:t xml:space="preserve">1. Definition and nosology</w:t>
      </w:r>
    </w:p>
    <w:p>
      <w:pPr>
        <w:pStyle w:val="FirstParagraph"/>
      </w:pPr>
      <w:r>
        <w:t xml:space="preserve">Stereotyped movement disorder (ICD-11:</w:t>
      </w:r>
      <w:r>
        <w:t xml:space="preserve"> </w:t>
      </w:r>
      <w:r>
        <w:t xml:space="preserve">6A06</w:t>
      </w:r>
      <w:r>
        <w:t xml:space="preserve">; DSM-5-TR: F98.4 Stereotypic Movement Disorder) — characterized by seemingly voluntary, repetitive, rhythmic, purposeless motor behavior, interfering with daily activity or causing bodily injury, a neurodevelopmental disorder. Typical examples: hand flapping, body rocking, head banging, hair pulling, lip biting, finger knuckle play.</w:t>
      </w:r>
    </w:p>
    <w:p>
      <w:pPr>
        <w:pStyle w:val="BodyText"/>
      </w:pPr>
      <w:r>
        <w:t xml:space="preserve">The disorder is classified into two forms:</w:t>
      </w:r>
    </w:p>
    <w:p>
      <w:pPr>
        <w:pStyle w:val="Compact"/>
        <w:numPr>
          <w:ilvl w:val="0"/>
          <w:numId w:val="1130"/>
        </w:numPr>
      </w:pPr>
      <w:r>
        <w:t xml:space="preserve">Primary (primary, idiopathic) — in a child with normal IQ, without other neurodevelopmental or somatic disorder;</w:t>
      </w:r>
    </w:p>
    <w:p>
      <w:pPr>
        <w:pStyle w:val="Compact"/>
        <w:numPr>
          <w:ilvl w:val="0"/>
          <w:numId w:val="1130"/>
        </w:numPr>
      </w:pPr>
      <w:r>
        <w:t xml:space="preserve">Secondary — intellectual disability, autism spectrum disorder, sensory deprivation (visual/hearing impairment) or against a medical condition background.</w:t>
      </w:r>
    </w:p>
    <w:p>
      <w:pPr>
        <w:pStyle w:val="FirstParagraph"/>
      </w:pPr>
      <w:r>
        <w:t xml:space="preserve">DSM-5-TR — with severity specifier — Non-suicidal self-injury or without it.</w:t>
      </w:r>
    </w:p>
    <w:bookmarkEnd w:id="292"/>
    <w:bookmarkStart w:id="293" w:name="X13528c03749c1322abec551c0a5c86fc706fbf3"/>
    <w:p>
      <w:pPr>
        <w:pStyle w:val="Heading3"/>
      </w:pPr>
      <w:r>
        <w:t xml:space="preserve">2. History</w:t>
      </w:r>
    </w:p>
    <w:p>
      <w:pPr>
        <w:pStyle w:val="Compact"/>
        <w:numPr>
          <w:ilvl w:val="0"/>
          <w:numId w:val="1131"/>
        </w:numPr>
      </w:pPr>
      <w:r>
        <w:t xml:space="preserve">Kanner L. (1943) — in the description of autism, stereotyped behaviors are noted as the restricted-repetitive behaviors category.</w:t>
      </w:r>
    </w:p>
    <w:p>
      <w:pPr>
        <w:pStyle w:val="Compact"/>
        <w:numPr>
          <w:ilvl w:val="0"/>
          <w:numId w:val="1131"/>
        </w:numPr>
      </w:pPr>
      <w:r>
        <w:t xml:space="preserve">1960s–1970s — stereotypy descriptions in institutional populations regarding intellectual disability.</w:t>
      </w:r>
    </w:p>
    <w:p>
      <w:pPr>
        <w:pStyle w:val="Compact"/>
        <w:numPr>
          <w:ilvl w:val="0"/>
          <w:numId w:val="1131"/>
        </w:numPr>
      </w:pPr>
      <w:r>
        <w:t xml:space="preserve">DSM-III-R (1987) — Stereotypy/Habit Disorder as a separate category.</w:t>
      </w:r>
    </w:p>
    <w:p>
      <w:pPr>
        <w:pStyle w:val="Compact"/>
        <w:numPr>
          <w:ilvl w:val="0"/>
          <w:numId w:val="1131"/>
        </w:numPr>
      </w:pPr>
      <w:r>
        <w:t xml:space="preserve">Mahone E.M. et al. J Child Neurol 2004, 2014 — systematically described the syndrome of “primary complex motor stereotypies” in children with intact cognitive development; prior to this work, such children were often misdiagnosed as autism spectrum disorder.</w:t>
      </w:r>
    </w:p>
    <w:p>
      <w:pPr>
        <w:pStyle w:val="Compact"/>
        <w:numPr>
          <w:ilvl w:val="0"/>
          <w:numId w:val="1131"/>
        </w:numPr>
      </w:pPr>
      <w:r>
        <w:t xml:space="preserve">DSM-5 (2013) and ICD-11 (2019) — included in the category of neurodevelopmental disorders; add self-harm qualifier.</w:t>
      </w:r>
    </w:p>
    <w:bookmarkEnd w:id="293"/>
    <w:bookmarkStart w:id="294" w:name="X7d4bbb8ef10685a7861b94e73cab33643fedf62"/>
    <w:p>
      <w:pPr>
        <w:pStyle w:val="Heading3"/>
      </w:pPr>
      <w:r>
        <w:t xml:space="preserve">3. Epidemiology</w:t>
      </w:r>
    </w:p>
    <w:p>
      <w:pPr>
        <w:pStyle w:val="Compact"/>
        <w:numPr>
          <w:ilvl w:val="0"/>
          <w:numId w:val="1132"/>
        </w:numPr>
      </w:pPr>
      <w:r>
        <w:t xml:space="preserve">Transient stereotypies observed in 3–15% of healthy children up to 3 years of age (Foster L.G. J Dev Behav Pediatr 1998).</w:t>
      </w:r>
    </w:p>
    <w:p>
      <w:pPr>
        <w:pStyle w:val="Compact"/>
        <w:numPr>
          <w:ilvl w:val="0"/>
          <w:numId w:val="1132"/>
        </w:numPr>
      </w:pPr>
      <w:r>
        <w:t xml:space="preserve">Primary clinical stereotypic movement disorder — approximately 3–4% in children with normal cognitive development (Freeman R.D. et al. Mov Disord 2010).</w:t>
      </w:r>
    </w:p>
    <w:p>
      <w:pPr>
        <w:pStyle w:val="Compact"/>
        <w:numPr>
          <w:ilvl w:val="0"/>
          <w:numId w:val="1132"/>
        </w:numPr>
      </w:pPr>
      <w:r>
        <w:t xml:space="preserve">Secondary forms — up to 60% in intellectual disability; ~80% of patients with severe and profound intellectual disability have some form of stereotypy; almost always present in some form in autism spectrum disorder (Bodfish J.W. et al. J Autism Dev Disord 2000).</w:t>
      </w:r>
    </w:p>
    <w:p>
      <w:pPr>
        <w:pStyle w:val="Compact"/>
        <w:numPr>
          <w:ilvl w:val="0"/>
          <w:numId w:val="1132"/>
        </w:numPr>
      </w:pPr>
      <w:r>
        <w:t xml:space="preserve">Sex: in initial forms, males 3:1; in secondary forms difference smaller.</w:t>
      </w:r>
    </w:p>
    <w:p>
      <w:pPr>
        <w:pStyle w:val="Compact"/>
        <w:numPr>
          <w:ilvl w:val="0"/>
          <w:numId w:val="1132"/>
        </w:numPr>
      </w:pPr>
      <w:r>
        <w:t xml:space="preserve">Age of onset: typically up to age 3 (DSM-5-TR criterion).</w:t>
      </w:r>
    </w:p>
    <w:p>
      <w:pPr>
        <w:pStyle w:val="Compact"/>
        <w:numPr>
          <w:ilvl w:val="0"/>
          <w:numId w:val="1132"/>
        </w:numPr>
      </w:pPr>
      <w:r>
        <w:t xml:space="preserve">Self-harm (self-injurious behavior, SIB): rare in the general population, but occurs in 25–30% of severe intellectual disability, and almost always in syndromes such as Lesch-Nyhan or Cornelia de Lange.</w:t>
      </w:r>
    </w:p>
    <w:bookmarkEnd w:id="294"/>
    <w:bookmarkStart w:id="298" w:name="X4ef5fc51cc261492b618500c3ffdc6aacd5e560"/>
    <w:p>
      <w:pPr>
        <w:pStyle w:val="Heading3"/>
      </w:pPr>
      <w:r>
        <w:t xml:space="preserve">4. Aetiology and pathogenesis</w:t>
      </w:r>
    </w:p>
    <w:bookmarkStart w:id="295" w:name="neurobiological-mechanisms-3"/>
    <w:p>
      <w:pPr>
        <w:pStyle w:val="Heading4"/>
      </w:pPr>
      <w:r>
        <w:t xml:space="preserve">4.1 Neurobiological mechanisms</w:t>
      </w:r>
    </w:p>
    <w:p>
      <w:pPr>
        <w:pStyle w:val="Compact"/>
        <w:numPr>
          <w:ilvl w:val="0"/>
          <w:numId w:val="1133"/>
        </w:numPr>
      </w:pPr>
      <w:r>
        <w:t xml:space="preserve">Basal ganglia and cortex-striatum circuit dysfunction — habit selection and motor inhibition process impairment (Singer H.S. Semin Pediatr Neurol 2009).</w:t>
      </w:r>
    </w:p>
    <w:p>
      <w:pPr>
        <w:pStyle w:val="Compact"/>
        <w:numPr>
          <w:ilvl w:val="0"/>
          <w:numId w:val="1133"/>
        </w:numPr>
      </w:pPr>
      <w:r>
        <w:t xml:space="preserve">Dopaminergic system — D1 and D2 receptor imbalance; dopamine agonists enhance stereotyped behavior in experimental models.</w:t>
      </w:r>
    </w:p>
    <w:p>
      <w:pPr>
        <w:pStyle w:val="Compact"/>
        <w:numPr>
          <w:ilvl w:val="0"/>
          <w:numId w:val="1133"/>
        </w:numPr>
      </w:pPr>
      <w:r>
        <w:t xml:space="preserve">Serotonergic system — some patients show partial response to SSRI.</w:t>
      </w:r>
    </w:p>
    <w:p>
      <w:pPr>
        <w:pStyle w:val="Compact"/>
        <w:numPr>
          <w:ilvl w:val="0"/>
          <w:numId w:val="1133"/>
        </w:numPr>
      </w:pPr>
      <w:r>
        <w:t xml:space="preserve">Opioid system — self-harm forms under endogenous opioid dysregulation hypothesis (naltrexone shows partial effect).</w:t>
      </w:r>
    </w:p>
    <w:bookmarkEnd w:id="295"/>
    <w:bookmarkStart w:id="296" w:name="genetic-and-family-factors"/>
    <w:p>
      <w:pPr>
        <w:pStyle w:val="Heading4"/>
      </w:pPr>
      <w:r>
        <w:t xml:space="preserve">4.2 Genetic and family factors</w:t>
      </w:r>
    </w:p>
    <w:p>
      <w:pPr>
        <w:pStyle w:val="Compact"/>
        <w:numPr>
          <w:ilvl w:val="0"/>
          <w:numId w:val="1134"/>
        </w:numPr>
      </w:pPr>
      <w:r>
        <w:t xml:space="preserve">In primary stereotypy, familial clustering is noted — family history 25–30% (Mahone 2014).</w:t>
      </w:r>
    </w:p>
    <w:p>
      <w:pPr>
        <w:pStyle w:val="Compact"/>
        <w:numPr>
          <w:ilvl w:val="0"/>
          <w:numId w:val="1134"/>
        </w:numPr>
      </w:pPr>
      <w:r>
        <w:t xml:space="preserve">Stereotypy is highly prevalent in specific genetic syndromes — Rett (MECP2), Lesch-Nyhan (HPRT1), Cornelia de Lange (NIPBL), Smith-Magenis (RAI1), Fragile X (FMR1), Phelan-McDermid (22q13).</w:t>
      </w:r>
    </w:p>
    <w:bookmarkEnd w:id="296"/>
    <w:bookmarkStart w:id="297" w:name="environmental-and-behavioral-factors"/>
    <w:p>
      <w:pPr>
        <w:pStyle w:val="Heading4"/>
      </w:pPr>
      <w:r>
        <w:t xml:space="preserve">4.3 Environmental and behavioral factors</w:t>
      </w:r>
    </w:p>
    <w:p>
      <w:pPr>
        <w:pStyle w:val="Compact"/>
        <w:numPr>
          <w:ilvl w:val="0"/>
          <w:numId w:val="1135"/>
        </w:numPr>
      </w:pPr>
      <w:r>
        <w:t xml:space="preserve">Sensory deprivation — institutional environment, high frequency in blind or deaf children.</w:t>
      </w:r>
    </w:p>
    <w:p>
      <w:pPr>
        <w:pStyle w:val="Compact"/>
        <w:numPr>
          <w:ilvl w:val="0"/>
          <w:numId w:val="1135"/>
        </w:numPr>
      </w:pPr>
      <w:r>
        <w:t xml:space="preserve">Behavioral mechanisms — self-stimulation (sensory input seeking), automatic reinforcement (intrinsic reinforcement), context-dependent functional connection (avoidance, attention).</w:t>
      </w:r>
    </w:p>
    <w:p>
      <w:pPr>
        <w:pStyle w:val="Compact"/>
        <w:numPr>
          <w:ilvl w:val="0"/>
          <w:numId w:val="1135"/>
        </w:numPr>
      </w:pPr>
      <w:r>
        <w:t xml:space="preserve">Stress and anxiety disorders may intensify stereotypic severity.</w:t>
      </w:r>
    </w:p>
    <w:bookmarkEnd w:id="297"/>
    <w:bookmarkEnd w:id="298"/>
    <w:bookmarkStart w:id="302" w:name="X056f5b4c59179fd6554d7d9f34c21de8bbd0df8"/>
    <w:p>
      <w:pPr>
        <w:pStyle w:val="Heading3"/>
      </w:pPr>
      <w:r>
        <w:t xml:space="preserve">5. Clinical features</w:t>
      </w:r>
    </w:p>
    <w:bookmarkStart w:id="299" w:name="typical-motor-patterns"/>
    <w:p>
      <w:pPr>
        <w:pStyle w:val="Heading4"/>
      </w:pPr>
      <w:r>
        <w:t xml:space="preserve">5.1 Typical motor patterns</w:t>
      </w:r>
    </w:p>
    <w:p>
      <w:pPr>
        <w:pStyle w:val="Compact"/>
        <w:numPr>
          <w:ilvl w:val="0"/>
          <w:numId w:val="1136"/>
        </w:numPr>
      </w:pPr>
      <w:r>
        <w:t xml:space="preserve">Hand flapping — most frequent; during emotional excitement or concentration.</w:t>
      </w:r>
    </w:p>
    <w:p>
      <w:pPr>
        <w:pStyle w:val="Compact"/>
        <w:numPr>
          <w:ilvl w:val="0"/>
          <w:numId w:val="1136"/>
        </w:numPr>
      </w:pPr>
      <w:r>
        <w:t xml:space="preserve">Body rocking — sitting or standing.</w:t>
      </w:r>
    </w:p>
    <w:p>
      <w:pPr>
        <w:pStyle w:val="Compact"/>
        <w:numPr>
          <w:ilvl w:val="0"/>
          <w:numId w:val="1136"/>
        </w:numPr>
      </w:pPr>
      <w:r>
        <w:t xml:space="preserve">Head banging — a form of self-harm; against a pillow, wall or floor.</w:t>
      </w:r>
    </w:p>
    <w:p>
      <w:pPr>
        <w:pStyle w:val="Compact"/>
        <w:numPr>
          <w:ilvl w:val="0"/>
          <w:numId w:val="1136"/>
        </w:numPr>
      </w:pPr>
      <w:r>
        <w:t xml:space="preserve">Body hugging, finger tapping, lip biting, hair pulling.</w:t>
      </w:r>
    </w:p>
    <w:p>
      <w:pPr>
        <w:pStyle w:val="Compact"/>
        <w:numPr>
          <w:ilvl w:val="0"/>
          <w:numId w:val="1136"/>
        </w:numPr>
      </w:pPr>
      <w:r>
        <w:t xml:space="preserve">Visual stimulation — hand-waving before eyes, gazing at light.</w:t>
      </w:r>
    </w:p>
    <w:p>
      <w:pPr>
        <w:pStyle w:val="Compact"/>
        <w:numPr>
          <w:ilvl w:val="0"/>
          <w:numId w:val="1136"/>
        </w:numPr>
      </w:pPr>
      <w:r>
        <w:t xml:space="preserve">Self-injurious behavior (SIB) — head banging, biting, hitting, self-injury with teeth.</w:t>
      </w:r>
    </w:p>
    <w:bookmarkEnd w:id="299"/>
    <w:bookmarkStart w:id="300" w:name="clinical-features"/>
    <w:p>
      <w:pPr>
        <w:pStyle w:val="Heading4"/>
      </w:pPr>
      <w:r>
        <w:t xml:space="preserve">5.2 Clinical features</w:t>
      </w:r>
    </w:p>
    <w:p>
      <w:pPr>
        <w:pStyle w:val="Compact"/>
        <w:numPr>
          <w:ilvl w:val="0"/>
          <w:numId w:val="1137"/>
        </w:numPr>
      </w:pPr>
      <w:r>
        <w:t xml:space="preserve">Duration — from seconds to hours; 5–10 minutes per episode typical.</w:t>
      </w:r>
    </w:p>
    <w:p>
      <w:pPr>
        <w:pStyle w:val="Compact"/>
        <w:numPr>
          <w:ilvl w:val="0"/>
          <w:numId w:val="1137"/>
        </w:numPr>
      </w:pPr>
      <w:r>
        <w:t xml:space="preserve">Triggers — excitement (pleasant or stressful), concentration, inactivity (free time).</w:t>
      </w:r>
    </w:p>
    <w:p>
      <w:pPr>
        <w:pStyle w:val="Compact"/>
        <w:numPr>
          <w:ilvl w:val="0"/>
          <w:numId w:val="1137"/>
        </w:numPr>
      </w:pPr>
      <w:r>
        <w:t xml:space="preserve">Attention termination — behavior stops when patient is called or redirected to another activity (unlike tics — no premonitory urge).</w:t>
      </w:r>
    </w:p>
    <w:p>
      <w:pPr>
        <w:pStyle w:val="Compact"/>
        <w:numPr>
          <w:ilvl w:val="0"/>
          <w:numId w:val="1137"/>
        </w:numPr>
      </w:pPr>
      <w:r>
        <w:t xml:space="preserve">Functional role of stereotypy — self-stimulation, calming, sensory stimulation management.</w:t>
      </w:r>
    </w:p>
    <w:bookmarkEnd w:id="300"/>
    <w:bookmarkStart w:id="301" w:name="comorbidity"/>
    <w:p>
      <w:pPr>
        <w:pStyle w:val="Heading4"/>
      </w:pPr>
      <w:r>
        <w:t xml:space="preserve">5.3 Comorbidity</w:t>
      </w:r>
    </w:p>
    <w:p>
      <w:pPr>
        <w:pStyle w:val="Compact"/>
        <w:numPr>
          <w:ilvl w:val="0"/>
          <w:numId w:val="1138"/>
        </w:numPr>
      </w:pPr>
      <w:r>
        <w:t xml:space="preserve">Intellectual disability (in secondary forms).</w:t>
      </w:r>
    </w:p>
    <w:p>
      <w:pPr>
        <w:pStyle w:val="Compact"/>
        <w:numPr>
          <w:ilvl w:val="0"/>
          <w:numId w:val="1138"/>
        </w:numPr>
      </w:pPr>
      <w:r>
        <w:t xml:space="preserve">Autism spectrum disorder (comorbid 30–50% in primary stereotypy — Mahone 2014).</w:t>
      </w:r>
    </w:p>
    <w:p>
      <w:pPr>
        <w:pStyle w:val="Compact"/>
        <w:numPr>
          <w:ilvl w:val="0"/>
          <w:numId w:val="1138"/>
        </w:numPr>
      </w:pPr>
      <w:r>
        <w:t xml:space="preserve">ADHD — comorbid in 20–35% of children with primary stereotypies.</w:t>
      </w:r>
    </w:p>
    <w:p>
      <w:pPr>
        <w:pStyle w:val="Compact"/>
        <w:numPr>
          <w:ilvl w:val="0"/>
          <w:numId w:val="1138"/>
        </w:numPr>
      </w:pPr>
      <w:r>
        <w:t xml:space="preserve">Anxiety and OCD-like symptoms.</w:t>
      </w:r>
    </w:p>
    <w:p>
      <w:pPr>
        <w:pStyle w:val="Compact"/>
        <w:numPr>
          <w:ilvl w:val="0"/>
          <w:numId w:val="1138"/>
        </w:numPr>
      </w:pPr>
      <w:r>
        <w:t xml:space="preserve">Tic disorders — differentiation may be difficult.</w:t>
      </w:r>
    </w:p>
    <w:bookmarkEnd w:id="301"/>
    <w:bookmarkEnd w:id="302"/>
    <w:bookmarkStart w:id="307" w:name="X38bfd33e38deaa13c2c70d0a47dd86497c50c84"/>
    <w:p>
      <w:pPr>
        <w:pStyle w:val="Heading3"/>
      </w:pPr>
      <w:r>
        <w:t xml:space="preserve">6. Diagnosis</w:t>
      </w:r>
    </w:p>
    <w:bookmarkStart w:id="303" w:name="X04552f83bc11809e207b9ed8cfbd16b43885090"/>
    <w:p>
      <w:pPr>
        <w:pStyle w:val="Heading4"/>
      </w:pPr>
      <w:r>
        <w:t xml:space="preserve">6.1 Unified diagnostic criteria (DSM-5-TR · ICD-11 consensus points)</w:t>
      </w:r>
    </w:p>
    <w:p>
      <w:pPr>
        <w:pStyle w:val="FirstParagraph"/>
      </w:pPr>
      <w:r>
        <w:t xml:space="preserve">A. Repetitive, non-goal-directed, apparently voluntary motor behavior (e.g., hand flapping, body rocking, head banging, self-biting).</w:t>
      </w:r>
    </w:p>
    <w:p>
      <w:pPr>
        <w:pStyle w:val="BodyText"/>
      </w:pPr>
      <w:r>
        <w:t xml:space="preserve">B. The behavior interferes with social, academic, or other activities or leads to self-harm.</w:t>
      </w:r>
    </w:p>
    <w:p>
      <w:pPr>
        <w:pStyle w:val="BodyText"/>
      </w:pPr>
      <w:r>
        <w:t xml:space="preserve">C. Onset in early developmental period (typically by age 3).</w:t>
      </w:r>
    </w:p>
    <w:p>
      <w:pPr>
        <w:pStyle w:val="BodyText"/>
      </w:pPr>
      <w:r>
        <w:t xml:space="preserve">D. Not fully explained by a substance (e.g., stimulant) or neurological condition (tic, choreoathetosis, dystonia, dermatillomania, trichotillomania); not better explained by OCD, ASD, or another mental disorder (comorbidity not excluded).</w:t>
      </w:r>
    </w:p>
    <w:bookmarkEnd w:id="303"/>
    <w:bookmarkStart w:id="304" w:name="differences-between-sources-11"/>
    <w:p>
      <w:pPr>
        <w:pStyle w:val="Heading4"/>
      </w:pPr>
      <w:r>
        <w:t xml:space="preserve">6.2 Differences between sources</w:t>
      </w:r>
    </w:p>
    <w:p>
      <w:pPr>
        <w:pStyle w:val="Compact"/>
        <w:numPr>
          <w:ilvl w:val="0"/>
          <w:numId w:val="1139"/>
        </w:numPr>
      </w:pPr>
      <w:r>
        <w:t xml:space="preserve">DSM-5-TR (F98.4): severity qualifier — with / without self-harm; additional qualifiers — with known medical/genetic condition; on the background of intellectual disability or autism.</w:t>
      </w:r>
    </w:p>
    <w:p>
      <w:pPr>
        <w:pStyle w:val="Compact"/>
        <w:numPr>
          <w:ilvl w:val="0"/>
          <w:numId w:val="1139"/>
        </w:numPr>
      </w:pPr>
      <w:r>
        <w:t xml:space="preserve">ICD-11 (6A06): Parallel structure; emphasis on ‘non-purposeful repetitive motor behavior’.</w:t>
      </w:r>
    </w:p>
    <w:p>
      <w:pPr>
        <w:pStyle w:val="Compact"/>
        <w:numPr>
          <w:ilvl w:val="0"/>
          <w:numId w:val="1139"/>
        </w:numPr>
      </w:pPr>
      <w:r>
        <w:t xml:space="preserve">Mahone E.M. et al. J Child Neurol 2014: “Primary Complex Motor Stereotypies” (PCMS) — attention to a distinct clinical form in children with normal cognitive development; typical hand/arm stereotypies; risk of being confused with autism.</w:t>
      </w:r>
    </w:p>
    <w:bookmarkEnd w:id="304"/>
    <w:bookmarkStart w:id="305" w:name="diagnostic-algorithm-6"/>
    <w:p>
      <w:pPr>
        <w:pStyle w:val="Heading4"/>
      </w:pPr>
      <w:r>
        <w:t xml:space="preserve">6.3 Diagnostic algorithm</w:t>
      </w:r>
    </w:p>
    <w:p>
      <w:pPr>
        <w:pStyle w:val="Compact"/>
        <w:numPr>
          <w:ilvl w:val="0"/>
          <w:numId w:val="1140"/>
        </w:numPr>
      </w:pPr>
      <w:r>
        <w:t xml:space="preserve">Parent interview and video documentation (family-recorded episodes via phone are diagnostically valuable).</w:t>
      </w:r>
    </w:p>
    <w:p>
      <w:pPr>
        <w:pStyle w:val="Compact"/>
        <w:numPr>
          <w:ilvl w:val="0"/>
          <w:numId w:val="1140"/>
        </w:numPr>
      </w:pPr>
      <w:r>
        <w:t xml:space="preserve">Developmental and neurological examination.</w:t>
      </w:r>
    </w:p>
    <w:p>
      <w:pPr>
        <w:pStyle w:val="Compact"/>
        <w:numPr>
          <w:ilvl w:val="0"/>
          <w:numId w:val="1140"/>
        </w:numPr>
      </w:pPr>
      <w:r>
        <w:t xml:space="preserve">Tics and other movement disorders (chorea, myoclonus, dystonia) differential diagnosis — neurologist consultation.</w:t>
      </w:r>
    </w:p>
    <w:p>
      <w:pPr>
        <w:pStyle w:val="Compact"/>
        <w:numPr>
          <w:ilvl w:val="0"/>
          <w:numId w:val="1140"/>
        </w:numPr>
      </w:pPr>
      <w:r>
        <w:t xml:space="preserve">Comorbidity screening — autism spectrum (M-CHAT-R/F, ADOS-2), intellectual disability (Vineland-3, IQ), ADHD, anxiety.</w:t>
      </w:r>
    </w:p>
    <w:p>
      <w:pPr>
        <w:pStyle w:val="Compact"/>
        <w:numPr>
          <w:ilvl w:val="0"/>
          <w:numId w:val="1140"/>
        </w:numPr>
      </w:pPr>
      <w:r>
        <w:t xml:space="preserve">Excluding sensory impairment — hearing and vision test.</w:t>
      </w:r>
    </w:p>
    <w:p>
      <w:pPr>
        <w:pStyle w:val="Compact"/>
        <w:numPr>
          <w:ilvl w:val="0"/>
          <w:numId w:val="1140"/>
        </w:numPr>
      </w:pPr>
      <w:r>
        <w:t xml:space="preserve">If self-harm exists — functional behavior assessment (FBA).</w:t>
      </w:r>
    </w:p>
    <w:p>
      <w:pPr>
        <w:pStyle w:val="Compact"/>
        <w:numPr>
          <w:ilvl w:val="0"/>
          <w:numId w:val="1140"/>
        </w:numPr>
      </w:pPr>
      <w:r>
        <w:t xml:space="preserve">Specific clinical suspicion based on — genetic testing (CMA, FMR1, MECP2, Lesch-Nyhan HPRT activity and uric acid).</w:t>
      </w:r>
    </w:p>
    <w:bookmarkEnd w:id="305"/>
    <w:bookmarkStart w:id="306" w:name="differential-diagnosis-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Tic disorders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Brief, non-rhythmic, anticipatory premonitory sensation; supratentorial possible but difference is ‘itching’ sensation under the skin.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Stereotypy may be comorbid; social-communication deficit is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 compulsions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response to obsession; meaningful (cleaning, symmetry).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Myoclonus, choreoathetosis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Abrupt, non-rhythmic, involuntary; no focal signs on neurological examination.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Trichotillomania (6B25.0), dermatillomania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Hair pulling/skin picking — in category of body-directed repetitive behaviors; separate from general stereotypy.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 (epileptic)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Alteration in consciousness and/or postictal state; 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Stimulant-induced stereotypy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Associated with high-dose amphetamine or cocaine; toxicological screening.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Transient childhood stereotypies (healthy)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impairment; resolves by age 3; does not require clinical diagnosis.</w:t>
            </w:r>
          </w:p>
        </w:tc>
      </w:tr>
    </w:tbl>
    <w:bookmarkEnd w:id="306"/>
    <w:bookmarkEnd w:id="307"/>
    <w:bookmarkStart w:id="311" w:name="X3029f820db808739d1c98b8e2ea4ea514d19979"/>
    <w:p>
      <w:pPr>
        <w:pStyle w:val="Heading3"/>
      </w:pPr>
      <w:r>
        <w:t xml:space="preserve">7. Examination and assessment</w:t>
      </w:r>
    </w:p>
    <w:bookmarkStart w:id="308" w:name="clinical-interview-and-scales"/>
    <w:p>
      <w:pPr>
        <w:pStyle w:val="Heading4"/>
      </w:pPr>
      <w:r>
        <w:t xml:space="preserve">7.1 Clinical interview and scales</w:t>
      </w:r>
    </w:p>
    <w:p>
      <w:pPr>
        <w:pStyle w:val="Compact"/>
        <w:numPr>
          <w:ilvl w:val="0"/>
          <w:numId w:val="1141"/>
        </w:numPr>
      </w:pPr>
      <w:r>
        <w:t xml:space="preserve">Stereotypy Severity Scale (SSS) — Miller J.M., Singer H.S. et al.</w:t>
      </w:r>
    </w:p>
    <w:p>
      <w:pPr>
        <w:pStyle w:val="Compact"/>
        <w:numPr>
          <w:ilvl w:val="0"/>
          <w:numId w:val="1141"/>
        </w:numPr>
      </w:pPr>
      <w:r>
        <w:t xml:space="preserve">Repetitive Behavior Scale-Revised (RBS-R) — in comorbid cases of autism and intellectual disabilities.</w:t>
      </w:r>
    </w:p>
    <w:p>
      <w:pPr>
        <w:pStyle w:val="Compact"/>
        <w:numPr>
          <w:ilvl w:val="0"/>
          <w:numId w:val="1141"/>
        </w:numPr>
      </w:pPr>
      <w:r>
        <w:t xml:space="preserve">Video recordings — home episode logs conducted by family assessed by clinician.</w:t>
      </w:r>
    </w:p>
    <w:p>
      <w:pPr>
        <w:pStyle w:val="Compact"/>
        <w:numPr>
          <w:ilvl w:val="0"/>
          <w:numId w:val="1141"/>
        </w:numPr>
      </w:pPr>
      <w:r>
        <w:t xml:space="preserve">Functional behavior analysis (FBA) — for intervention planning in self-harm or context-dependent stereotypy.</w:t>
      </w:r>
    </w:p>
    <w:bookmarkEnd w:id="308"/>
    <w:bookmarkStart w:id="309" w:name="laboratory-investigations-5"/>
    <w:p>
      <w:pPr>
        <w:pStyle w:val="Heading4"/>
      </w:pPr>
      <w:r>
        <w:t xml:space="preserve">7.2 Laboratory investigations</w:t>
      </w:r>
    </w:p>
    <w:p>
      <w:pPr>
        <w:pStyle w:val="FirstParagraph"/>
      </w:pPr>
      <w:r>
        <w:t xml:space="preserve">No routine indication. Based on clinical suspicion:</w:t>
      </w:r>
    </w:p>
    <w:p>
      <w:pPr>
        <w:pStyle w:val="Compact"/>
        <w:numPr>
          <w:ilvl w:val="0"/>
          <w:numId w:val="1142"/>
        </w:numPr>
      </w:pPr>
      <w:r>
        <w:t xml:space="preserve">Genetic panel (CMA, Fragile X) — if intellectual disability or syndromic features present.</w:t>
      </w:r>
    </w:p>
    <w:p>
      <w:pPr>
        <w:pStyle w:val="Compact"/>
        <w:numPr>
          <w:ilvl w:val="0"/>
          <w:numId w:val="1142"/>
        </w:numPr>
      </w:pPr>
      <w:r>
        <w:t xml:space="preserve">MECP2 (Rett in girls).</w:t>
      </w:r>
    </w:p>
    <w:p>
      <w:pPr>
        <w:pStyle w:val="Compact"/>
        <w:numPr>
          <w:ilvl w:val="0"/>
          <w:numId w:val="1142"/>
        </w:numPr>
      </w:pPr>
      <w:r>
        <w:t xml:space="preserve">HPRT activity and uric acid — suspected Lesch-Nyhan syndrome (self-biting).</w:t>
      </w:r>
    </w:p>
    <w:p>
      <w:pPr>
        <w:pStyle w:val="Compact"/>
        <w:numPr>
          <w:ilvl w:val="0"/>
          <w:numId w:val="1142"/>
        </w:numPr>
      </w:pPr>
      <w:r>
        <w:t xml:space="preserve">Thyroid, lead levels.</w:t>
      </w:r>
    </w:p>
    <w:p>
      <w:pPr>
        <w:pStyle w:val="Compact"/>
        <w:numPr>
          <w:ilvl w:val="0"/>
          <w:numId w:val="1142"/>
        </w:numPr>
      </w:pPr>
      <w:r>
        <w:t xml:space="preserve">Toxicology screening — in adolescents.</w:t>
      </w:r>
    </w:p>
    <w:bookmarkEnd w:id="309"/>
    <w:bookmarkStart w:id="310" w:name="instrumental-investigations-6"/>
    <w:p>
      <w:pPr>
        <w:pStyle w:val="Heading4"/>
      </w:pPr>
      <w:r>
        <w:t xml:space="preserve">7.3 Instrumental investigations</w:t>
      </w:r>
    </w:p>
    <w:p>
      <w:pPr>
        <w:pStyle w:val="Compact"/>
        <w:numPr>
          <w:ilvl w:val="0"/>
          <w:numId w:val="1143"/>
        </w:numPr>
      </w:pPr>
      <w:r>
        <w:t xml:space="preserve">EEG — if seizure is suspected.</w:t>
      </w:r>
    </w:p>
    <w:p>
      <w:pPr>
        <w:pStyle w:val="Compact"/>
        <w:numPr>
          <w:ilvl w:val="0"/>
          <w:numId w:val="1143"/>
        </w:numPr>
      </w:pPr>
      <w:r>
        <w:t xml:space="preserve">Brain MRI — focal neurological signs or regression.</w:t>
      </w:r>
    </w:p>
    <w:p>
      <w:pPr>
        <w:pStyle w:val="Compact"/>
        <w:numPr>
          <w:ilvl w:val="0"/>
          <w:numId w:val="1143"/>
        </w:numPr>
      </w:pPr>
      <w:r>
        <w:t xml:space="preserve">Hearing and vision test — to assess the role of sensory deprivation.</w:t>
      </w:r>
    </w:p>
    <w:bookmarkEnd w:id="310"/>
    <w:bookmarkEnd w:id="311"/>
    <w:bookmarkStart w:id="317" w:name="Xf7c46f17052e550344f036b556484c46898861d"/>
    <w:p>
      <w:pPr>
        <w:pStyle w:val="Heading3"/>
      </w:pPr>
      <w:r>
        <w:t xml:space="preserve">8. Treatment</w:t>
      </w:r>
    </w:p>
    <w:bookmarkStart w:id="312" w:name="general-principles"/>
    <w:p>
      <w:pPr>
        <w:pStyle w:val="Heading4"/>
      </w:pPr>
      <w:r>
        <w:t xml:space="preserve">8.1 General principles</w:t>
      </w:r>
    </w:p>
    <w:p>
      <w:pPr>
        <w:pStyle w:val="Compact"/>
        <w:numPr>
          <w:ilvl w:val="0"/>
          <w:numId w:val="1144"/>
        </w:numPr>
      </w:pPr>
      <w:r>
        <w:t xml:space="preserve">Behavioral intervention first-line — individualized plan based on functional behavior analysis.</w:t>
      </w:r>
    </w:p>
    <w:p>
      <w:pPr>
        <w:pStyle w:val="Compact"/>
        <w:numPr>
          <w:ilvl w:val="0"/>
          <w:numId w:val="1144"/>
        </w:numPr>
      </w:pPr>
      <w:r>
        <w:t xml:space="preserve">In primary stereotypy — if the patient does not experience functional difficulty, observation may suffice. (Mahone 2014). Explanation of nature and prognosis to the family; no mandatory intervention required.</w:t>
      </w:r>
    </w:p>
    <w:p>
      <w:pPr>
        <w:pStyle w:val="Compact"/>
        <w:numPr>
          <w:ilvl w:val="0"/>
          <w:numId w:val="1144"/>
        </w:numPr>
      </w:pPr>
      <w:r>
        <w:t xml:space="preserve">When functional difficulty or interference with social functioning is present — HRT (Habit Reversal Training), DRO (Differential Reinforcement of Other behavior), RIRD (Response Interruption and Redirection) evidence-based behavioral interventions.</w:t>
      </w:r>
    </w:p>
    <w:p>
      <w:pPr>
        <w:pStyle w:val="Compact"/>
        <w:numPr>
          <w:ilvl w:val="0"/>
          <w:numId w:val="1144"/>
        </w:numPr>
      </w:pPr>
      <w:r>
        <w:t xml:space="preserve">In self-injurious behavior — multidisciplinary approach; behavioral interventions + protective devices (padded helmet) + pharmacotherapy (in refractory cases).</w:t>
      </w:r>
    </w:p>
    <w:p>
      <w:pPr>
        <w:pStyle w:val="Compact"/>
        <w:numPr>
          <w:ilvl w:val="0"/>
          <w:numId w:val="1144"/>
        </w:numPr>
      </w:pPr>
      <w:r>
        <w:t xml:space="preserve">Sensory deprivation — enrichment of the environment (toys, social interaction), alternative activities providing sensory input to the patient.</w:t>
      </w:r>
    </w:p>
    <w:p>
      <w:pPr>
        <w:pStyle w:val="Compact"/>
        <w:numPr>
          <w:ilvl w:val="0"/>
          <w:numId w:val="1144"/>
        </w:numPr>
      </w:pPr>
      <w:r>
        <w:t xml:space="preserve">Comorbidity treatment — autism, intellectual disability, ADHD, anxiety.</w:t>
      </w:r>
    </w:p>
    <w:p>
      <w:pPr>
        <w:pStyle w:val="Compact"/>
        <w:numPr>
          <w:ilvl w:val="0"/>
          <w:numId w:val="1144"/>
        </w:numPr>
      </w:pPr>
      <w:r>
        <w:t xml:space="preserve">Pharmacotherapy has limited evidence base — only in severe cases, unresponsive to behavioral intervention; self-harm or in comorbid context of autism/intellectual disability.</w:t>
      </w:r>
    </w:p>
    <w:bookmarkEnd w:id="312"/>
    <w:bookmarkStart w:id="313" w:name="pharmacotherapy-limited-evidence"/>
    <w:p>
      <w:pPr>
        <w:pStyle w:val="Heading4"/>
      </w:pPr>
      <w:r>
        <w:t xml:space="preserve">8.2 Pharmacotherapy (Limited Evidence)</w:t>
      </w:r>
    </w:p>
    <w:p>
      <w:pPr>
        <w:pStyle w:val="Compact"/>
        <w:numPr>
          <w:ilvl w:val="0"/>
          <w:numId w:val="1145"/>
        </w:numPr>
      </w:pPr>
      <w:r>
        <w:t xml:space="preserve">Atypical antipsychotic (risperidone, aripiprazole) — for behavioral aggression and self-harm on the background of autism/intellectual disability; FDA approval — risperidone 5–16 years ASD irritability (including self-harm), aripiprazole 6–17 years ASD irritability. No FDA-approved medication for “core” symptoms of stereotypic movement disorder.</w:t>
      </w:r>
    </w:p>
    <w:p>
      <w:pPr>
        <w:pStyle w:val="Compact"/>
        <w:numPr>
          <w:ilvl w:val="0"/>
          <w:numId w:val="1145"/>
        </w:numPr>
      </w:pPr>
      <w:r>
        <w:t xml:space="preserve">SSRIs — fluoxetine, sertraline – show modest effect in some patients, especially in comorbid anxiety cases; evidence base limited.</w:t>
      </w:r>
    </w:p>
    <w:p>
      <w:pPr>
        <w:pStyle w:val="Compact"/>
        <w:numPr>
          <w:ilvl w:val="0"/>
          <w:numId w:val="1145"/>
        </w:numPr>
      </w:pPr>
      <w:r>
        <w:t xml:space="preserve">Naltrexone — considered in self-injurious behaviour (based on the endogenous opioid hypothesis); RCT evidence limited, Symons F.J. et al. Am J Ment Retard 2004 review — small effect size.</w:t>
      </w:r>
    </w:p>
    <w:p>
      <w:pPr>
        <w:pStyle w:val="Compact"/>
        <w:numPr>
          <w:ilvl w:val="0"/>
          <w:numId w:val="1145"/>
        </w:numPr>
      </w:pPr>
      <w:r>
        <w:t xml:space="preserve">Clonidine, guanfacine — it may help in comorbid ADHD or sleep disorder.</w:t>
      </w:r>
    </w:p>
    <w:bookmarkEnd w:id="313"/>
    <w:bookmarkStart w:id="314" w:name="special-conditions"/>
    <w:p>
      <w:pPr>
        <w:pStyle w:val="Heading4"/>
      </w:pPr>
      <w:r>
        <w:t xml:space="preserve">8.3 Special Conditions</w:t>
      </w:r>
    </w:p>
    <w:p>
      <w:pPr>
        <w:pStyle w:val="Compact"/>
        <w:numPr>
          <w:ilvl w:val="0"/>
          <w:numId w:val="1146"/>
        </w:numPr>
      </w:pPr>
      <w:r>
        <w:t xml:space="preserve">Self-harm (SIB): emergency behavioral analysis; protective measures (helmet, without arm restraints) short-term; intensive behavioral intervention; pharmacotherapy for refractory cases; hospitalization in severe cases.</w:t>
      </w:r>
    </w:p>
    <w:p>
      <w:pPr>
        <w:pStyle w:val="Compact"/>
        <w:numPr>
          <w:ilvl w:val="0"/>
          <w:numId w:val="1146"/>
        </w:numPr>
      </w:pPr>
      <w:r>
        <w:t xml:space="preserve">Specific genetic syndromes — Self-biting in Lesch-Nyhan almost always present; oral-dental compromise (dental extraction last resort); allopurinol for metabolic condition.</w:t>
      </w:r>
    </w:p>
    <w:p>
      <w:pPr>
        <w:pStyle w:val="Compact"/>
        <w:numPr>
          <w:ilvl w:val="0"/>
          <w:numId w:val="1146"/>
        </w:numPr>
      </w:pPr>
      <w:r>
        <w:t xml:space="preserve">Sensory deprivation — environmental change, alternative sensory input.</w:t>
      </w:r>
    </w:p>
    <w:bookmarkEnd w:id="314"/>
    <w:bookmarkStart w:id="315" w:name="source-specific-clarifications-1"/>
    <w:p>
      <w:pPr>
        <w:pStyle w:val="Heading4"/>
      </w:pPr>
      <w:r>
        <w:t xml:space="preserve">8.4 Source-Specific Clarifications</w:t>
      </w:r>
    </w:p>
    <w:p>
      <w:pPr>
        <w:pStyle w:val="Compact"/>
        <w:numPr>
          <w:ilvl w:val="0"/>
          <w:numId w:val="1147"/>
        </w:numPr>
      </w:pPr>
      <w:r>
        <w:t xml:space="preserve">Mahone E.M. et al. J Child Neurol 2014: in initial forms, aggressive intervention not required; explanation of prognosis and nature to family; HRT effective in adolescence.</w:t>
      </w:r>
    </w:p>
    <w:p>
      <w:pPr>
        <w:pStyle w:val="Compact"/>
        <w:numPr>
          <w:ilvl w:val="0"/>
          <w:numId w:val="1147"/>
        </w:numPr>
      </w:pPr>
      <w:r>
        <w:t xml:space="preserve">AAP — self-harm protocol: in children with intellectual disability multimodal approach.</w:t>
      </w:r>
    </w:p>
    <w:p>
      <w:pPr>
        <w:pStyle w:val="Compact"/>
        <w:numPr>
          <w:ilvl w:val="0"/>
          <w:numId w:val="1147"/>
        </w:numPr>
      </w:pPr>
      <w:r>
        <w:t xml:space="preserve">NICE NG11 (Challenging Behaviour and Learning Disabilities, 2015): in intellectual disability behavioral intervention first line; antipsychotic only in refractory cases and short-term.</w:t>
      </w:r>
    </w:p>
    <w:bookmarkEnd w:id="315"/>
    <w:bookmarkStart w:id="316" w:name="treatment-methods-6"/>
    <w:p>
      <w:pPr>
        <w:pStyle w:val="Heading4"/>
      </w:pPr>
      <w:r>
        <w:t xml:space="preserve">8.5 Treatment methods</w:t>
      </w:r>
    </w:p>
    <w:p>
      <w:pPr>
        <w:pStyle w:val="Compact"/>
        <w:numPr>
          <w:ilvl w:val="0"/>
          <w:numId w:val="1148"/>
        </w:numPr>
      </w:pPr>
      <w:r>
        <w:t xml:space="preserve">Habit Reversal Training (HRT — Habit Reversal Training) — Azrin (Azrin N.H.), Nunn (Nunn R.G.) — Five core components — awareness training (behavioral recognition), competing response training, motivational component, social support, generalization training. Evidence-based in stereotypic movement disorder and tic disorders. Evidence: Specht M.W. et al. J Child Neurol 2017 RCT — reduction in severity in primary complex motor stereotypies.</w:t>
      </w:r>
    </w:p>
    <w:p>
      <w:pPr>
        <w:pStyle w:val="Compact"/>
        <w:numPr>
          <w:ilvl w:val="0"/>
          <w:numId w:val="1148"/>
        </w:numPr>
      </w:pPr>
      <w:r>
        <w:t xml:space="preserve">Differential Reinforcement of Other Behavior (DRO) — Positive reinforcement (token, praise, activity) of time intervals without stereotypies. Effective in intellectual disability context. A core component of ABA.</w:t>
      </w:r>
    </w:p>
    <w:p>
      <w:pPr>
        <w:pStyle w:val="Compact"/>
        <w:numPr>
          <w:ilvl w:val="0"/>
          <w:numId w:val="1148"/>
        </w:numPr>
      </w:pPr>
      <w:r>
        <w:t xml:space="preserve">Response Interruption and Redirection (RIRD) — Interruption when stereotypic behavior begins and redirecting to an alternative engaging task. Used for vocal stereotypies and severe cases. Ahearn W.H. et al. J Appl Behav Anal 2007.</w:t>
      </w:r>
    </w:p>
    <w:p>
      <w:pPr>
        <w:pStyle w:val="Compact"/>
        <w:numPr>
          <w:ilvl w:val="0"/>
          <w:numId w:val="1148"/>
        </w:numPr>
      </w:pPr>
      <w:r>
        <w:t xml:space="preserve">Functional Behavior Assessment (FBA) — Systematic analysis of behavior antecedent (precondition), functional consequence, and context — basis for individualizing intervention plan. Within ABA and PBS.</w:t>
      </w:r>
    </w:p>
    <w:p>
      <w:pPr>
        <w:pStyle w:val="Compact"/>
        <w:numPr>
          <w:ilvl w:val="0"/>
          <w:numId w:val="1148"/>
        </w:numPr>
      </w:pPr>
      <w:r>
        <w:t xml:space="preserve">Stereotypy Severity Scale (SSS) — Miller (Miller J.M.), Singer (Singer H.S.) — Standardized assessment of stereotypy frequency, duration, intensity, and interference level.</w:t>
      </w:r>
    </w:p>
    <w:p>
      <w:pPr>
        <w:pStyle w:val="Compact"/>
        <w:numPr>
          <w:ilvl w:val="0"/>
          <w:numId w:val="1148"/>
        </w:numPr>
      </w:pPr>
      <w:r>
        <w:t xml:space="preserve">Repetitive Behavior Scale-Revised (RBS-R — Repetitive Behavior Scale-Revised) — Bodfish (Bodfish J.W.) et al — 43-item parent questionnaire – stereotyping, self-harm, compulsive, ritualized, insistence on sameness, restricted behavior subscales. Used in comorbid autism and intellectual disability cases.</w:t>
      </w:r>
    </w:p>
    <w:bookmarkEnd w:id="316"/>
    <w:bookmarkEnd w:id="317"/>
    <w:bookmarkStart w:id="321" w:name="Xcb5b2cb06df2ca4b4ad72a419dcbc4c6e0f6867"/>
    <w:p>
      <w:pPr>
        <w:pStyle w:val="Heading3"/>
      </w:pPr>
      <w:r>
        <w:t xml:space="preserve">9. Prognosis</w:t>
      </w:r>
    </w:p>
    <w:bookmarkStart w:id="318" w:name="good-prognostic-factors-6"/>
    <w:p>
      <w:pPr>
        <w:pStyle w:val="Heading4"/>
      </w:pPr>
      <w:r>
        <w:t xml:space="preserve">Good prognostic factors</w:t>
      </w:r>
    </w:p>
    <w:p>
      <w:pPr>
        <w:pStyle w:val="Compact"/>
        <w:numPr>
          <w:ilvl w:val="0"/>
          <w:numId w:val="1149"/>
        </w:numPr>
      </w:pPr>
      <w:r>
        <w:t xml:space="preserve">Primary form, normal IQ.</w:t>
      </w:r>
    </w:p>
    <w:p>
      <w:pPr>
        <w:pStyle w:val="Compact"/>
        <w:numPr>
          <w:ilvl w:val="0"/>
          <w:numId w:val="1149"/>
        </w:numPr>
      </w:pPr>
      <w:r>
        <w:t xml:space="preserve">No self-harm.</w:t>
      </w:r>
    </w:p>
    <w:p>
      <w:pPr>
        <w:pStyle w:val="Compact"/>
        <w:numPr>
          <w:ilvl w:val="0"/>
          <w:numId w:val="1149"/>
        </w:numPr>
      </w:pPr>
      <w:r>
        <w:t xml:space="preserve">Early HRT intervention response.</w:t>
      </w:r>
    </w:p>
    <w:p>
      <w:pPr>
        <w:pStyle w:val="Compact"/>
        <w:numPr>
          <w:ilvl w:val="0"/>
          <w:numId w:val="1149"/>
        </w:numPr>
      </w:pPr>
      <w:r>
        <w:t xml:space="preserve">Absence of comorbidity.</w:t>
      </w:r>
    </w:p>
    <w:p>
      <w:pPr>
        <w:pStyle w:val="Compact"/>
        <w:numPr>
          <w:ilvl w:val="0"/>
          <w:numId w:val="1149"/>
        </w:numPr>
      </w:pPr>
      <w:r>
        <w:t xml:space="preserve">Family support and realistic expectations.</w:t>
      </w:r>
    </w:p>
    <w:bookmarkEnd w:id="318"/>
    <w:bookmarkStart w:id="319" w:name="poor-prognostic-factors-6"/>
    <w:p>
      <w:pPr>
        <w:pStyle w:val="Heading4"/>
      </w:pPr>
      <w:r>
        <w:t xml:space="preserve">Poor prognostic factors</w:t>
      </w:r>
    </w:p>
    <w:p>
      <w:pPr>
        <w:pStyle w:val="Compact"/>
        <w:numPr>
          <w:ilvl w:val="0"/>
          <w:numId w:val="1150"/>
        </w:numPr>
      </w:pPr>
      <w:r>
        <w:t xml:space="preserve">Secondary form — within the context of severe intellectual disability or genetic syndrome.</w:t>
      </w:r>
    </w:p>
    <w:p>
      <w:pPr>
        <w:pStyle w:val="Compact"/>
        <w:numPr>
          <w:ilvl w:val="0"/>
          <w:numId w:val="1150"/>
        </w:numPr>
      </w:pPr>
      <w:r>
        <w:t xml:space="preserve">Self-injurious behavior — especially in Lesch-Nyhan, Cornelia de Lange.</w:t>
      </w:r>
    </w:p>
    <w:p>
      <w:pPr>
        <w:pStyle w:val="Compact"/>
        <w:numPr>
          <w:ilvl w:val="0"/>
          <w:numId w:val="1150"/>
        </w:numPr>
      </w:pPr>
      <w:r>
        <w:t xml:space="preserve">Comorbid autism spectrum disorder.</w:t>
      </w:r>
    </w:p>
    <w:p>
      <w:pPr>
        <w:pStyle w:val="Compact"/>
        <w:numPr>
          <w:ilvl w:val="0"/>
          <w:numId w:val="1150"/>
        </w:numPr>
      </w:pPr>
      <w:r>
        <w:t xml:space="preserve">Non-response to behavioral intervention.</w:t>
      </w:r>
    </w:p>
    <w:bookmarkEnd w:id="319"/>
    <w:bookmarkStart w:id="320" w:name="follow-up-targets-6"/>
    <w:p>
      <w:pPr>
        <w:pStyle w:val="Heading4"/>
      </w:pPr>
      <w:r>
        <w:t xml:space="preserve">Follow-up targets</w:t>
      </w:r>
    </w:p>
    <w:p>
      <w:pPr>
        <w:pStyle w:val="Compact"/>
        <w:numPr>
          <w:ilvl w:val="0"/>
          <w:numId w:val="1151"/>
        </w:numPr>
      </w:pPr>
      <w:r>
        <w:t xml:space="preserve">Frequency, duration, intensity of stereotypy (SSS) — 3–6 months.</w:t>
      </w:r>
    </w:p>
    <w:p>
      <w:pPr>
        <w:pStyle w:val="Compact"/>
        <w:numPr>
          <w:ilvl w:val="0"/>
          <w:numId w:val="1151"/>
        </w:numPr>
      </w:pPr>
      <w:r>
        <w:t xml:space="preserve">Functional impairment and self-harm monitoring.</w:t>
      </w:r>
    </w:p>
    <w:p>
      <w:pPr>
        <w:pStyle w:val="Compact"/>
        <w:numPr>
          <w:ilvl w:val="0"/>
          <w:numId w:val="1151"/>
        </w:numPr>
      </w:pPr>
      <w:r>
        <w:t xml:space="preserve">Comorbidity (autism, ADHD, anxiety, OCD) screening.</w:t>
      </w:r>
    </w:p>
    <w:p>
      <w:pPr>
        <w:pStyle w:val="Compact"/>
        <w:numPr>
          <w:ilvl w:val="0"/>
          <w:numId w:val="1151"/>
        </w:numPr>
      </w:pPr>
      <w:r>
        <w:t xml:space="preserve">Social adjustment support in adolescence and adulthood.</w:t>
      </w:r>
    </w:p>
    <w:p>
      <w:pPr>
        <w:pStyle w:val="Compact"/>
        <w:numPr>
          <w:ilvl w:val="0"/>
          <w:numId w:val="1151"/>
        </w:numPr>
      </w:pPr>
      <w:r>
        <w:t xml:space="preserve">In those receiving pharmacotherapy — monitoring for side effects (metabolic, EPS).</w:t>
      </w:r>
    </w:p>
    <w:bookmarkEnd w:id="320"/>
    <w:bookmarkEnd w:id="321"/>
    <w:bookmarkStart w:id="336" w:name="X10e3b3572d34627833836ef14d8f9454086c3f8"/>
    <w:p>
      <w:pPr>
        <w:pStyle w:val="Heading3"/>
      </w:pPr>
      <w:r>
        <w:t xml:space="preserve">10. Myths and misconceptions</w:t>
      </w:r>
    </w:p>
    <w:bookmarkStart w:id="325" w:name="aetiology-myths-6"/>
    <w:p>
      <w:pPr>
        <w:pStyle w:val="Heading4"/>
      </w:pPr>
      <w:r>
        <w:t xml:space="preserve">10.1 Aetiology myths</w:t>
      </w:r>
    </w:p>
    <w:bookmarkStart w:id="322" w:name="X88aedc7320d8583ffa630c1b994eb013df07e25"/>
    <w:p>
      <w:pPr>
        <w:pStyle w:val="Heading5"/>
      </w:pPr>
      <w:r>
        <w:t xml:space="preserve">Myth 1: “Stereotypy is always a sign of autism”</w:t>
      </w:r>
    </w:p>
    <w:p>
      <w:pPr>
        <w:pStyle w:val="FirstParagraph"/>
      </w:pPr>
      <w:r>
        <w:t xml:space="preserve">Why it is widespread: Stereotypies are included in DSM-5 autism criteria and primarily associated with autism in mass media.</w:t>
      </w:r>
    </w:p>
    <w:p>
      <w:pPr>
        <w:pStyle w:val="BodyText"/>
      </w:pPr>
      <w:r>
        <w:t xml:space="preserve">Clinical and biological rationale: Mahone E.M. et al. J Child Neurol 2004, 2014 — the syndrome of “Primary Complex Motor Stereotypies” can also occur in children with normal cognitive development without social reciprocal interaction deficit or restricted-repetitive behavior pattern. 30–50% of these children may have comorbid autism or ADHD, but most do not.</w:t>
      </w:r>
    </w:p>
    <w:p>
      <w:pPr>
        <w:pStyle w:val="BodyText"/>
      </w:pPr>
      <w:r>
        <w:t xml:space="preserve">Evidence: Mahone 2014; Freeman R.D. et al. Mov Disord 2010 — primary stereotypy is a distinct clinical entity from autism.</w:t>
      </w:r>
    </w:p>
    <w:p>
      <w:pPr>
        <w:pStyle w:val="BodyText"/>
      </w:pPr>
      <w:r>
        <w:t xml:space="preserve">Real clinical step: each child with stereotypical behavior should be separately evaluated for autism spectrum as differential; if no comorbidity, family should not be alarmed.</w:t>
      </w:r>
    </w:p>
    <w:bookmarkEnd w:id="322"/>
    <w:bookmarkStart w:id="323" w:name="Xb263029f3e17f3823667374bfad769e949cc956"/>
    <w:p>
      <w:pPr>
        <w:pStyle w:val="Heading5"/>
      </w:pPr>
      <w:r>
        <w:t xml:space="preserve">Myth 2: “Stereotypy is a result of poor upbringing or emotional deprivation”</w:t>
      </w:r>
    </w:p>
    <w:p>
      <w:pPr>
        <w:pStyle w:val="FirstParagraph"/>
      </w:pPr>
      <w:r>
        <w:t xml:space="preserve">Why it is widespread: In the 1960s, observations of high prevalence in institutionalized children strengthened the ‘deprivation’ theory.</w:t>
      </w:r>
    </w:p>
    <w:p>
      <w:pPr>
        <w:pStyle w:val="BodyText"/>
      </w:pPr>
      <w:r>
        <w:t xml:space="preserve">Evidence: Bodfish J.W. et al. J Autism Dev Disord 2000 — stereotypy is a neurobiologically based disorder, with dysfunction of the basal ganglia and cortex-striatum circuit. Sensory deprivation can affect severity, but is not etiology. It is also observed in children growing up in healthy, supportive families.</w:t>
      </w:r>
    </w:p>
    <w:bookmarkEnd w:id="323"/>
    <w:bookmarkStart w:id="324" w:name="Xaecb1ac1d59ab5d927f63fffb6a99cb9d053c66"/>
    <w:p>
      <w:pPr>
        <w:pStyle w:val="Heading5"/>
      </w:pPr>
      <w:r>
        <w:t xml:space="preserve">Myth 3: “The child will outgrow it with age — no action is needed”</w:t>
      </w:r>
    </w:p>
    <w:p>
      <w:pPr>
        <w:pStyle w:val="FirstParagraph"/>
      </w:pPr>
      <w:r>
        <w:t xml:space="preserve">Evidence: Transient childhood stereotypies resolve by age 3; however primary clinical stereotypy typically progresses — Mahone 2014 follow-up studies have documented this up to adulthood. The family should be provided with a realistic prognosis; intervention is required if self-harm or functional impairment exists.</w:t>
      </w:r>
    </w:p>
    <w:bookmarkEnd w:id="324"/>
    <w:bookmarkEnd w:id="325"/>
    <w:bookmarkStart w:id="329" w:name="harmful-or-erroneous-methods"/>
    <w:p>
      <w:pPr>
        <w:pStyle w:val="Heading4"/>
      </w:pPr>
      <w:r>
        <w:t xml:space="preserve">10.2 Harmful or erroneous methods</w:t>
      </w:r>
    </w:p>
    <w:bookmarkStart w:id="326" w:name="Xd0db222bf29cb1409e7f6a95f98dd431ae260d2"/>
    <w:p>
      <w:pPr>
        <w:pStyle w:val="Heading5"/>
      </w:pPr>
      <w:r>
        <w:t xml:space="preserve">Myth 4: “Physical restraint of a child (tying arms, stopping movement) resolves stereotypies”</w:t>
      </w:r>
    </w:p>
    <w:p>
      <w:pPr>
        <w:pStyle w:val="FirstParagraph"/>
      </w:pPr>
      <w:r>
        <w:t xml:space="preserve">Why it is widespread: intuitively, physically holding or restraining the child appears to eliminate the symptom.</w:t>
      </w:r>
    </w:p>
    <w:p>
      <w:pPr>
        <w:pStyle w:val="BodyText"/>
      </w:pPr>
      <w:r>
        <w:t xml:space="preserve">Clinical logic and evidence: Continuous physical restraint is counterproductive — increases patient distress, impairs autonomy, causes skin injury and contractures. NICE NG11 (2015), AAP — restraint only for urgent and short-term self-harm situations for protective purposes; not recommended as continuous treatment. Functional behavioral analysis-based positive behavioral intervention (PBS) superior.</w:t>
      </w:r>
    </w:p>
    <w:bookmarkEnd w:id="326"/>
    <w:bookmarkStart w:id="327" w:name="X298343198ec0534535a46f9e82683d708683b70"/>
    <w:p>
      <w:pPr>
        <w:pStyle w:val="Heading5"/>
      </w:pPr>
      <w:r>
        <w:t xml:space="preserve">Myth 5: “Punishment (sharp redirection, scolding, physical punishment) resolves stereotypy”</w:t>
      </w:r>
    </w:p>
    <w:p>
      <w:pPr>
        <w:pStyle w:val="FirstParagraph"/>
      </w:pPr>
      <w:r>
        <w:t xml:space="preserve">Evidence: NICE NG11 — punishment-based approach is not effective in reducing behavior; creates risk of emotional harm and trauma. ABA practice in modern form is based on positive reinforcement (DRO) instead of punishment.</w:t>
      </w:r>
    </w:p>
    <w:bookmarkEnd w:id="327"/>
    <w:bookmarkStart w:id="328" w:name="X1c57a927686c7a810d241213e6e0c56787305c0"/>
    <w:p>
      <w:pPr>
        <w:pStyle w:val="Heading5"/>
      </w:pPr>
      <w:r>
        <w:t xml:space="preserve">Myth 6: “Antipsychotics are effective for all stereotypic movements”</w:t>
      </w:r>
    </w:p>
    <w:p>
      <w:pPr>
        <w:pStyle w:val="FirstParagraph"/>
      </w:pPr>
      <w:r>
        <w:t xml:space="preserve">Evidence: Antipsychotics (risperidone, aripiprazole) FDA-approved for irritability in ASD — including self-harm. No FDA approval for primary stereotypy; effect on ‘core’ stereotypy limited. Side effect burden (metabolic, EPS, prolactin) significant. NICE NG11 — antipsychotic only for refractory severe behavior and short-term.</w:t>
      </w:r>
    </w:p>
    <w:bookmarkEnd w:id="328"/>
    <w:bookmarkEnd w:id="329"/>
    <w:bookmarkStart w:id="335" w:name="X52a0e3d72275055edabb87eaabbf622af07885b"/>
    <w:p>
      <w:pPr>
        <w:pStyle w:val="Heading4"/>
      </w:pPr>
      <w:r>
        <w:t xml:space="preserve">10.3 Ineffective or scientifically unfounded methods</w:t>
      </w:r>
    </w:p>
    <w:bookmarkStart w:id="330" w:name="X822ada83f4b393def237de39c412041bbc56ec5"/>
    <w:p>
      <w:pPr>
        <w:pStyle w:val="Heading5"/>
      </w:pPr>
      <w:r>
        <w:t xml:space="preserve">Myth 7: “Sensory integration therapy (Ayres SI) cures stereotypy”</w:t>
      </w:r>
    </w:p>
    <w:p>
      <w:pPr>
        <w:pStyle w:val="FirstParagraph"/>
      </w:pPr>
      <w:r>
        <w:t xml:space="preserve">Evidence: AAP 2012 Sensory Integration Statement — therapeutic effect classified as ‘research ongoing’; specific effect evidence for stereotypical behavior is weak. Functional behavioral intervention (HRT, DRO) is superior in evidence.</w:t>
      </w:r>
    </w:p>
    <w:bookmarkEnd w:id="330"/>
    <w:bookmarkStart w:id="331" w:name="X67f37d7c3790ad6dd396c837e3b8af787054d05"/>
    <w:p>
      <w:pPr>
        <w:pStyle w:val="Heading5"/>
      </w:pPr>
      <w:r>
        <w:t xml:space="preserve">Myth 8: “Hyperbaric oxygen chamber, stem cell injections, chelation resolve stereotypy”</w:t>
      </w:r>
    </w:p>
    <w:p>
      <w:pPr>
        <w:pStyle w:val="FirstParagraph"/>
      </w:pPr>
      <w:r>
        <w:t xml:space="preserve">Evidence: Cochrane and FDA warnings (same position in the context of autism) — these interventions have no effect on stereotypy or neurodevelopmental disorder, and the risk profile is significant.</w:t>
      </w:r>
    </w:p>
    <w:bookmarkEnd w:id="331"/>
    <w:bookmarkStart w:id="332" w:name="X76b6d971b9cf1a4111d80a66748e9a2846de0b3"/>
    <w:p>
      <w:pPr>
        <w:pStyle w:val="Heading5"/>
      </w:pPr>
      <w:r>
        <w:t xml:space="preserve">Myth 9: “Special diet (gluten-free, casein-free) eliminates stereotypies”</w:t>
      </w:r>
    </w:p>
    <w:p>
      <w:pPr>
        <w:pStyle w:val="FirstParagraph"/>
      </w:pPr>
      <w:r>
        <w:t xml:space="preserve">Evidence: Hyman S.L. et al. AAP 2020 — effect of special diet for stereotypy or autism not proven.</w:t>
      </w:r>
    </w:p>
    <w:bookmarkEnd w:id="332"/>
    <w:bookmarkStart w:id="333" w:name="Xe549c06cbd75702393432276223dcc4c4263c97"/>
    <w:p>
      <w:pPr>
        <w:pStyle w:val="Heading5"/>
      </w:pPr>
      <w:r>
        <w:t xml:space="preserve">Myth 10: “EEG Neurofeedback resolves stereotypies”</w:t>
      </w:r>
    </w:p>
    <w:p>
      <w:pPr>
        <w:pStyle w:val="FirstParagraph"/>
      </w:pPr>
      <w:r>
        <w:t xml:space="preserve">Evidence: No evidence base for neurofeedback in stereotypical movement disorder. Mild effect in ADHD, but extrapolation to stereotypical behavior is unfounded.</w:t>
      </w:r>
    </w:p>
    <w:bookmarkEnd w:id="333"/>
    <w:bookmarkStart w:id="334" w:name="Xb37974d5158c668237c469e02417538e671b989"/>
    <w:p>
      <w:pPr>
        <w:pStyle w:val="Heading5"/>
      </w:pPr>
      <w:r>
        <w:t xml:space="preserve">Myth 11: “Homeopathy, acupuncture, craniosacral therapy”</w:t>
      </w:r>
    </w:p>
    <w:p>
      <w:pPr>
        <w:pStyle w:val="FirstParagraph"/>
      </w:pPr>
      <w:r>
        <w:t xml:space="preserve">Evidence: none have proven efficacy for stereotypical movement disorder.</w:t>
      </w:r>
    </w:p>
    <w:bookmarkEnd w:id="334"/>
    <w:bookmarkEnd w:id="335"/>
    <w:bookmarkEnd w:id="336"/>
    <w:bookmarkStart w:id="2996" w:name="X28f4e868c40dcb9d1ebb5c3c16ba688c6cfce40"/>
    <w:p>
      <w:pPr>
        <w:pStyle w:val="Heading3"/>
      </w:pPr>
      <w:r>
        <w:t xml:space="preserve">11. Sources</w:t>
      </w:r>
    </w:p>
    <w:p>
      <w:pPr>
        <w:pStyle w:val="Compact"/>
        <w:numPr>
          <w:ilvl w:val="0"/>
          <w:numId w:val="1152"/>
        </w:numPr>
      </w:pPr>
      <w:r>
        <w:t xml:space="preserve">WHO. ICD-11 for Mortality and Morbidity Statistics. 6A06 Stereotyped movement disorder. 2024.</w:t>
      </w:r>
    </w:p>
    <w:p>
      <w:pPr>
        <w:pStyle w:val="Compact"/>
        <w:numPr>
          <w:ilvl w:val="0"/>
          <w:numId w:val="1152"/>
        </w:numPr>
      </w:pPr>
      <w:r>
        <w:t xml:space="preserve">American Psychiatric Association. DSM-5-TR. Washington DC: APA Publishing; 2022.</w:t>
      </w:r>
    </w:p>
    <w:p>
      <w:pPr>
        <w:pStyle w:val="Compact"/>
        <w:numPr>
          <w:ilvl w:val="0"/>
          <w:numId w:val="1152"/>
        </w:numPr>
      </w:pPr>
      <w:r>
        <w:t xml:space="preserve">Mahone E.M., Bridges D., Prahme C., Singer H.S. Repetitive arm and hand movements (complex motor stereotypies) in children. J Child Neurol 2004;19(5):379–383.</w:t>
      </w:r>
    </w:p>
    <w:p>
      <w:pPr>
        <w:pStyle w:val="Compact"/>
        <w:numPr>
          <w:ilvl w:val="0"/>
          <w:numId w:val="1152"/>
        </w:numPr>
      </w:pPr>
      <w:r>
        <w:t xml:space="preserve">Singer H.S. Motor stereotypies. Semin Pediatr Neurol 2009;16(2):77–81.</w:t>
      </w:r>
    </w:p>
    <w:p>
      <w:pPr>
        <w:pStyle w:val="Compact"/>
        <w:numPr>
          <w:ilvl w:val="0"/>
          <w:numId w:val="1152"/>
        </w:numPr>
      </w:pPr>
      <w:r>
        <w:t xml:space="preserve">Freeman R.D., Soltanifar A., Baer S. Stereotypic movement disorder: easily missed. Dev Med Child Neurol 2010;52(8):733–738.</w:t>
      </w:r>
    </w:p>
    <w:p>
      <w:pPr>
        <w:pStyle w:val="Compact"/>
        <w:numPr>
          <w:ilvl w:val="0"/>
          <w:numId w:val="1152"/>
        </w:numPr>
      </w:pPr>
      <w:r>
        <w:t xml:space="preserve">Bodfish J.W., Symons F.J., Parker D.E., Lewis M.H. Varieties of repetitive behavior in autism: comparisons to mental retardation. J Autism Dev Disord 2000;30(3):237–243.</w:t>
      </w:r>
    </w:p>
    <w:p>
      <w:pPr>
        <w:pStyle w:val="Compact"/>
        <w:numPr>
          <w:ilvl w:val="0"/>
          <w:numId w:val="1152"/>
        </w:numPr>
      </w:pPr>
      <w:r>
        <w:t xml:space="preserve">Specht M.W., Mahone E.M., Kline T. et al. Efficacy of parent-delivered behavioral therapy for primary complex motor stereotypies. J Child Neurol 2017;32(2):204–212.</w:t>
      </w:r>
    </w:p>
    <w:p>
      <w:pPr>
        <w:pStyle w:val="Compact"/>
        <w:numPr>
          <w:ilvl w:val="0"/>
          <w:numId w:val="1152"/>
        </w:numPr>
      </w:pPr>
      <w:r>
        <w:t xml:space="preserve">NICE Guideline NG11. Challenging behaviour and learning disabilities: prevention and interventions for people with learning disabilities whose behaviour challenges. 2015.</w:t>
      </w:r>
    </w:p>
    <w:p>
      <w:pPr>
        <w:pStyle w:val="Compact"/>
        <w:numPr>
          <w:ilvl w:val="0"/>
          <w:numId w:val="1152"/>
        </w:numPr>
      </w:pPr>
      <w:r>
        <w:t xml:space="preserve">Symons F.J., Thompson A., Rodriguez M.C. Self-injurious behavior and the efficacy of naltrexone treatment: a quantitative synthesis. Ment Retard Dev Disabil Res Rev 2004;10(3):193–200.</w:t>
      </w:r>
    </w:p>
    <w:p>
      <w:pPr>
        <w:pStyle w:val="Compact"/>
        <w:numPr>
          <w:ilvl w:val="0"/>
          <w:numId w:val="1152"/>
        </w:numPr>
      </w:pPr>
      <w:r>
        <w:t xml:space="preserve">Ahearn W.H., Clark K.M., MacDonald R.P., Chung B.I. Assessing and treating vocal stereotypy in children with autism. J Appl Behav Anal 2007;40(2):263–275.</w:t>
      </w:r>
    </w:p>
    <w:p>
      <w:pPr>
        <w:pStyle w:val="Compact"/>
        <w:numPr>
          <w:ilvl w:val="0"/>
          <w:numId w:val="1152"/>
        </w:numPr>
      </w:pPr>
      <w:r>
        <w:t xml:space="preserve">Foster L.G. Nervous habits and stereotyped behaviors in preschool children. J Am Acad Child Adolesc Psychiatry 1998;37(7):711–717.</w:t>
      </w:r>
    </w:p>
    <w:p>
      <w:pPr>
        <w:pStyle w:val="Compact"/>
        <w:numPr>
          <w:ilvl w:val="0"/>
          <w:numId w:val="115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52"/>
        </w:numPr>
      </w:pPr>
      <w:r>
        <w:t xml:space="preserve">Azrin N.H., Nunn R.G. Habit-reversal: a method of eliminating nervous habits and tics. Behav Res Ther 1973;11(4):619–628.</w:t>
      </w:r>
    </w:p>
    <w:p>
      <w:pPr>
        <w:pStyle w:val="Compact"/>
        <w:numPr>
          <w:ilvl w:val="0"/>
          <w:numId w:val="1152"/>
        </w:numPr>
      </w:pPr>
      <w:r>
        <w:t xml:space="preserve">Miller J.M., Singer H.S., Bridges D.D., Waranch H.R. Behavioral therapy for treatment of stereotypic movements in nonautistic children. J Child Neurol 2006;21(2):119–125.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37" w:name="m98a05.0-primary-tics-or-tic-disorders"/>
            <w:r>
              <w:t xml:space="preserve">8A05.0 PRIMARY TICS OR TIC DISORDERS</w:t>
            </w:r>
            <w:bookmarkEnd w:id="337"/>
          </w:p>
          <w:p>
            <w:pPr>
              <w:pStyle w:val="Compact"/>
              <w:ind w:firstLine="0" w:left="0"/>
            </w:pPr>
            <w:r>
              <w:rPr>
                <w:lang w:val="en"/>
              </w:rPr>
              <w:t xml:space="preserve">Primary tics or 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Combined vocal and multiple motor tic disorder [de la Tourette]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Tourette's Disorder (and other tic disorders F95.0–F95.1)</w:t>
            </w:r>
          </w:p>
        </w:tc>
      </w:tr>
    </w:tbl>
    <w:bookmarkStart w:id="338" w:name="X13a8520434ee4676a773911df5a3d775d4a82f1"/>
    <w:p>
      <w:pPr>
        <w:pStyle w:val="Heading3"/>
      </w:pPr>
      <w:r>
        <w:t xml:space="preserve">1. Definition and nosology</w:t>
      </w:r>
    </w:p>
    <w:p>
      <w:pPr>
        <w:pStyle w:val="FirstParagraph"/>
      </w:pPr>
      <w:r>
        <w:t xml:space="preserve">Primary tics or tic disorders (ICD-11:</w:t>
      </w:r>
      <w:r>
        <w:t xml:space="preserve"> </w:t>
      </w:r>
      <w:r>
        <w:t xml:space="preserve">8A05.0</w:t>
      </w:r>
      <w:r>
        <w:t xml:space="preserve">; DSM-5-TR: F95.0–F95.2) — a group of neurodevelopmental disorders characterized by sudden, rapid, recurrent, nonrhythmic, involuntary or semi-voluntary motor movements and/or vocal/sound productions. Tics are typically accompanied by a premonitory urge (an urge or tension) and can be voluntarily suppressed for a short period.</w:t>
      </w:r>
    </w:p>
    <w:p>
      <w:pPr>
        <w:pStyle w:val="BodyText"/>
      </w:pPr>
      <w:r>
        <w:t xml:space="preserve">Three main categories in ICD-11 and DSM-5-TR:</w:t>
      </w:r>
    </w:p>
    <w:p>
      <w:pPr>
        <w:pStyle w:val="Compact"/>
        <w:numPr>
          <w:ilvl w:val="0"/>
          <w:numId w:val="1153"/>
        </w:numPr>
      </w:pPr>
      <w:r>
        <w:t xml:space="preserve">Tourette syndrome (DSM-5-TR F95.2) — multiple motor tics and one or several vocal tics lasting ≥1 year, onset before age 18</w:t>
      </w:r>
    </w:p>
    <w:p>
      <w:pPr>
        <w:pStyle w:val="Compact"/>
        <w:numPr>
          <w:ilvl w:val="0"/>
          <w:numId w:val="1153"/>
        </w:numPr>
      </w:pPr>
      <w:r>
        <w:t xml:space="preserve">Persistent (chronic) motor or vocal tic disorder (DSM-5-TR F95.1) — motor or vocal (but not both) ≥ 1 year;</w:t>
      </w:r>
    </w:p>
    <w:p>
      <w:pPr>
        <w:pStyle w:val="Compact"/>
        <w:numPr>
          <w:ilvl w:val="0"/>
          <w:numId w:val="1153"/>
        </w:numPr>
      </w:pPr>
      <w:r>
        <w:t xml:space="preserve">Transient tic disorder (DSM-5-TR F95.0) — tic (motor and/or vocal) &lt; 1 year, onset up to 18 years.</w:t>
      </w:r>
    </w:p>
    <w:bookmarkEnd w:id="338"/>
    <w:bookmarkStart w:id="339" w:name="Xacd19abdfa203720f4de10adc4931e2d2318198"/>
    <w:p>
      <w:pPr>
        <w:pStyle w:val="Heading3"/>
      </w:pPr>
      <w:r>
        <w:t xml:space="preserve">2. History</w:t>
      </w:r>
    </w:p>
    <w:p>
      <w:pPr>
        <w:pStyle w:val="Compact"/>
        <w:numPr>
          <w:ilvl w:val="0"/>
          <w:numId w:val="1154"/>
        </w:numPr>
      </w:pPr>
      <w:r>
        <w:t xml:space="preserve">Itard J.M.G. (1825) — the first clinical description of motor and vocal tics in Marquise de Dampierre.</w:t>
      </w:r>
    </w:p>
    <w:p>
      <w:pPr>
        <w:pStyle w:val="Compact"/>
        <w:numPr>
          <w:ilvl w:val="0"/>
          <w:numId w:val="1154"/>
        </w:numPr>
      </w:pPr>
      <w:r>
        <w:t xml:space="preserve">Gilles de la Tourette G. (1885) — Classical description of 9 patients at Salpêtrière hospital under Charcot's direction; name of the syndrome.</w:t>
      </w:r>
    </w:p>
    <w:p>
      <w:pPr>
        <w:pStyle w:val="Compact"/>
        <w:numPr>
          <w:ilvl w:val="0"/>
          <w:numId w:val="1154"/>
        </w:numPr>
      </w:pPr>
      <w:r>
        <w:t xml:space="preserve">1960s — psychoanalytic explanation was dominant (‘neurotic disorder’).</w:t>
      </w:r>
    </w:p>
    <w:p>
      <w:pPr>
        <w:pStyle w:val="Compact"/>
        <w:numPr>
          <w:ilvl w:val="0"/>
          <w:numId w:val="1154"/>
        </w:numPr>
      </w:pPr>
      <w:r>
        <w:t xml:space="preserve">1961 (Seignot J.N.) — the first clinical use of haloperidol revealed its effect in tics — basis for transition to neurobiological concept.</w:t>
      </w:r>
    </w:p>
    <w:p>
      <w:pPr>
        <w:pStyle w:val="Compact"/>
        <w:numPr>
          <w:ilvl w:val="0"/>
          <w:numId w:val="1154"/>
        </w:numPr>
      </w:pPr>
      <w:r>
        <w:t xml:space="preserve">DSM-III (1980) and subsequent revisions — formal status of tics as a medical disorder.</w:t>
      </w:r>
    </w:p>
    <w:p>
      <w:pPr>
        <w:pStyle w:val="Compact"/>
        <w:numPr>
          <w:ilvl w:val="0"/>
          <w:numId w:val="1154"/>
        </w:numPr>
      </w:pPr>
      <w:r>
        <w:t xml:space="preserve">AAN 2019 (Pringsheim T. et al. Neurology 2019;92(19)) — international evidence-based clinical guideline; emphasized that α2-agonists are first-line compared to antipsychotics due to more favorable side effect profile.</w:t>
      </w:r>
    </w:p>
    <w:p>
      <w:pPr>
        <w:pStyle w:val="Compact"/>
        <w:numPr>
          <w:ilvl w:val="0"/>
          <w:numId w:val="1154"/>
        </w:numPr>
      </w:pPr>
      <w:r>
        <w:t xml:space="preserve">ESSTS — European Society for the Study of Tourette Syndrome — European Clinical Guidelines (2011, updated 2022).</w:t>
      </w:r>
    </w:p>
    <w:bookmarkEnd w:id="339"/>
    <w:bookmarkStart w:id="340" w:name="X532165f77c6db7189335c72779617528616a5da"/>
    <w:p>
      <w:pPr>
        <w:pStyle w:val="Heading3"/>
      </w:pPr>
      <w:r>
        <w:t xml:space="preserve">3. Epidemiology</w:t>
      </w:r>
    </w:p>
    <w:p>
      <w:pPr>
        <w:pStyle w:val="Compact"/>
        <w:numPr>
          <w:ilvl w:val="0"/>
          <w:numId w:val="1155"/>
        </w:numPr>
      </w:pPr>
      <w:r>
        <w:t xml:space="preserve">Tourette syndrome prevalence: in children 0.5–1% (Knight T. et al. systematic review Pediatr Neurol 2012).</w:t>
      </w:r>
    </w:p>
    <w:p>
      <w:pPr>
        <w:pStyle w:val="Compact"/>
        <w:numPr>
          <w:ilvl w:val="0"/>
          <w:numId w:val="1155"/>
        </w:numPr>
      </w:pPr>
      <w:r>
        <w:t xml:space="preserve">Persistent motor or vocal tic: ~1–2%.</w:t>
      </w:r>
    </w:p>
    <w:p>
      <w:pPr>
        <w:pStyle w:val="Compact"/>
        <w:numPr>
          <w:ilvl w:val="0"/>
          <w:numId w:val="1155"/>
        </w:numPr>
      </w:pPr>
      <w:r>
        <w:t xml:space="preserve">Transient tics: Up to 20% of school-age children.</w:t>
      </w:r>
    </w:p>
    <w:p>
      <w:pPr>
        <w:pStyle w:val="Compact"/>
        <w:numPr>
          <w:ilvl w:val="0"/>
          <w:numId w:val="1155"/>
        </w:numPr>
      </w:pPr>
      <w:r>
        <w:t xml:space="preserve">Sex: Higher by 3–4 times in males.</w:t>
      </w:r>
    </w:p>
    <w:p>
      <w:pPr>
        <w:pStyle w:val="Compact"/>
        <w:numPr>
          <w:ilvl w:val="0"/>
          <w:numId w:val="1155"/>
        </w:numPr>
      </w:pPr>
      <w:r>
        <w:t xml:space="preserve">Age of onset: 5–7 years; peak severity at 10–12 years.</w:t>
      </w:r>
    </w:p>
    <w:p>
      <w:pPr>
        <w:pStyle w:val="Compact"/>
        <w:numPr>
          <w:ilvl w:val="0"/>
          <w:numId w:val="1155"/>
        </w:numPr>
      </w:pPr>
      <w:r>
        <w:t xml:space="preserve">Persistence: In adulthood, tics significantly decrease in ~50%, persist in ~30%, and severe form remains in ~20% (Bloch M.H., Leckman J.F. J Psychosom Res 2009).</w:t>
      </w:r>
    </w:p>
    <w:p>
      <w:pPr>
        <w:pStyle w:val="Compact"/>
        <w:numPr>
          <w:ilvl w:val="0"/>
          <w:numId w:val="1155"/>
        </w:numPr>
      </w:pPr>
      <w:r>
        <w:t xml:space="preserve">Comorbidity: ADHD 50–60%, OCD 30–50%, anxiety 30%, depression 20%, learning disorder 20–30%, angry outbursts, sleep disorders.</w:t>
      </w:r>
    </w:p>
    <w:bookmarkEnd w:id="340"/>
    <w:bookmarkStart w:id="344" w:name="X2110ecf92623d1bf63f75480d730c09b0b42be3"/>
    <w:p>
      <w:pPr>
        <w:pStyle w:val="Heading3"/>
      </w:pPr>
      <w:r>
        <w:t xml:space="preserve">4. Aetiology and pathogenesis</w:t>
      </w:r>
    </w:p>
    <w:bookmarkStart w:id="341" w:name="genetic-factors-3"/>
    <w:p>
      <w:pPr>
        <w:pStyle w:val="Heading4"/>
      </w:pPr>
      <w:r>
        <w:t xml:space="preserve">4.1 Genetic factors</w:t>
      </w:r>
    </w:p>
    <w:p>
      <w:pPr>
        <w:pStyle w:val="Compact"/>
        <w:numPr>
          <w:ilvl w:val="0"/>
          <w:numId w:val="1156"/>
        </w:numPr>
      </w:pPr>
      <w:r>
        <w:t xml:space="preserve">Heritability: 0.77 (Mataix-Cols D. et al. JAMA Psychiatry 2015 family and twin studies, n&gt;200 000 Sweden) — among the most heritable psychiatric disorders.</w:t>
      </w:r>
    </w:p>
    <w:p>
      <w:pPr>
        <w:pStyle w:val="Compact"/>
        <w:numPr>
          <w:ilvl w:val="0"/>
          <w:numId w:val="1156"/>
        </w:numPr>
      </w:pPr>
      <w:r>
        <w:t xml:space="preserve">Polygenic nature: GWAS (Yu D. et al. Am J Psychiatry 2019) — risk loci identified; no single gene.</w:t>
      </w:r>
    </w:p>
    <w:p>
      <w:pPr>
        <w:pStyle w:val="Compact"/>
        <w:numPr>
          <w:ilvl w:val="0"/>
          <w:numId w:val="1156"/>
        </w:numPr>
      </w:pPr>
      <w:r>
        <w:t xml:space="preserve">Rare mutations: SLITRK1, HDC (histidine decarboxylase), CELSR3 — in a small number of families.</w:t>
      </w:r>
    </w:p>
    <w:p>
      <w:pPr>
        <w:pStyle w:val="Compact"/>
        <w:numPr>
          <w:ilvl w:val="0"/>
          <w:numId w:val="1156"/>
        </w:numPr>
      </w:pPr>
      <w:r>
        <w:t xml:space="preserve">High density of OCD and ADHD in family history — genetic overlap.</w:t>
      </w:r>
    </w:p>
    <w:bookmarkEnd w:id="341"/>
    <w:bookmarkStart w:id="342" w:name="neurobiological-mechanisms-4"/>
    <w:p>
      <w:pPr>
        <w:pStyle w:val="Heading4"/>
      </w:pPr>
      <w:r>
        <w:t xml:space="preserve">4.2 Neurobiological mechanisms</w:t>
      </w:r>
    </w:p>
    <w:p>
      <w:pPr>
        <w:pStyle w:val="Compact"/>
        <w:numPr>
          <w:ilvl w:val="0"/>
          <w:numId w:val="1157"/>
        </w:numPr>
      </w:pPr>
      <w:r>
        <w:t xml:space="preserve">Cortico-striato-thalamo-cortical (CSTC) circuit dysfunction — disruption of motor inhibition in basal ganglia and related regions (Leckman J.F. et al. Neuron 2000;28(2):349–354).</w:t>
      </w:r>
    </w:p>
    <w:p>
      <w:pPr>
        <w:pStyle w:val="Compact"/>
        <w:numPr>
          <w:ilvl w:val="0"/>
          <w:numId w:val="1157"/>
        </w:numPr>
      </w:pPr>
      <w:r>
        <w:t xml:space="preserve">Dopaminergic system hyperactivity — mechanism of tic reduction by dopamine antagonists (haloperidol, risperidone).</w:t>
      </w:r>
    </w:p>
    <w:p>
      <w:pPr>
        <w:pStyle w:val="Compact"/>
        <w:numPr>
          <w:ilvl w:val="0"/>
          <w:numId w:val="1157"/>
        </w:numPr>
      </w:pPr>
      <w:r>
        <w:t xml:space="preserve">Histaminergic system — HDC mutations rare; histaminergic tone low.</w:t>
      </w:r>
    </w:p>
    <w:p>
      <w:pPr>
        <w:pStyle w:val="Compact"/>
        <w:numPr>
          <w:ilvl w:val="0"/>
          <w:numId w:val="1157"/>
        </w:numPr>
      </w:pPr>
      <w:r>
        <w:t xml:space="preserve">Structural changes: Reduction in caudate volume, sensorimotor cortical thinning (Sowell E.R. et al. Nat Neurosci 2008).</w:t>
      </w:r>
    </w:p>
    <w:bookmarkEnd w:id="342"/>
    <w:bookmarkStart w:id="343" w:name="environmental-factors-modifier-1"/>
    <w:p>
      <w:pPr>
        <w:pStyle w:val="Heading4"/>
      </w:pPr>
      <w:r>
        <w:t xml:space="preserve">4.3 Environmental factors (modifier)</w:t>
      </w:r>
    </w:p>
    <w:p>
      <w:pPr>
        <w:pStyle w:val="Compact"/>
        <w:numPr>
          <w:ilvl w:val="0"/>
          <w:numId w:val="1158"/>
        </w:numPr>
      </w:pPr>
      <w:r>
        <w:t xml:space="preserve">Preterm birth, perinatal hypoxia — moderately increases risk.</w:t>
      </w:r>
    </w:p>
    <w:p>
      <w:pPr>
        <w:pStyle w:val="Compact"/>
        <w:numPr>
          <w:ilvl w:val="0"/>
          <w:numId w:val="1158"/>
        </w:numPr>
      </w:pPr>
      <w:r>
        <w:t xml:space="preserve">Maternal tobacco use during pregnancy.</w:t>
      </w:r>
    </w:p>
    <w:p>
      <w:pPr>
        <w:pStyle w:val="Compact"/>
        <w:numPr>
          <w:ilvl w:val="0"/>
          <w:numId w:val="1158"/>
        </w:numPr>
      </w:pPr>
      <w:r>
        <w:t xml:space="preserve">Psychosocial stress — is not a cause for the onset of tics, but influences severity.</w:t>
      </w:r>
    </w:p>
    <w:p>
      <w:pPr>
        <w:pStyle w:val="Compact"/>
        <w:numPr>
          <w:ilvl w:val="0"/>
          <w:numId w:val="1158"/>
        </w:numPr>
      </w:pPr>
      <w:r>
        <w:t xml:space="preserve">PANDAS / PANS (Pediatric Autoimmune Neuropsychiatric Disorders Associated with Streptococcal infections / Pediatric Acute-onset Neuropsychiatric Syndrome) — rare; most cases are actually typical Tourette/OCD (see expanded §10).</w:t>
      </w:r>
    </w:p>
    <w:bookmarkEnd w:id="343"/>
    <w:bookmarkEnd w:id="344"/>
    <w:bookmarkStart w:id="349" w:name="Xd503d46db8ea28c5b45cadba6f622ab08d24a99"/>
    <w:p>
      <w:pPr>
        <w:pStyle w:val="Heading3"/>
      </w:pPr>
      <w:r>
        <w:t xml:space="preserve">5. Clinical features</w:t>
      </w:r>
    </w:p>
    <w:bookmarkStart w:id="345" w:name="motor-tics"/>
    <w:p>
      <w:pPr>
        <w:pStyle w:val="Heading4"/>
      </w:pPr>
      <w:r>
        <w:t xml:space="preserve">5.1 Motor tics</w:t>
      </w:r>
    </w:p>
    <w:p>
      <w:pPr>
        <w:pStyle w:val="Compact"/>
        <w:numPr>
          <w:ilvl w:val="0"/>
          <w:numId w:val="1159"/>
        </w:numPr>
      </w:pPr>
      <w:r>
        <w:t xml:space="preserve">Simple motor tics: Eye blinking (most frequent onset), nose sniffing, head shaking, shoulder shrugging, lip play.</w:t>
      </w:r>
    </w:p>
    <w:p>
      <w:pPr>
        <w:pStyle w:val="Compact"/>
        <w:numPr>
          <w:ilvl w:val="0"/>
          <w:numId w:val="1159"/>
        </w:numPr>
      </w:pPr>
      <w:r>
        <w:t xml:space="preserve">Complex motor tics: Sequential movements — hopping, touching, spinning on the spot; rarely an obscene gesture (copropraxia, ~5%).</w:t>
      </w:r>
    </w:p>
    <w:bookmarkEnd w:id="345"/>
    <w:bookmarkStart w:id="346" w:name="vocalphonic-tics"/>
    <w:p>
      <w:pPr>
        <w:pStyle w:val="Heading4"/>
      </w:pPr>
      <w:r>
        <w:t xml:space="preserve">5.2 Vocal/phonic tics</w:t>
      </w:r>
    </w:p>
    <w:p>
      <w:pPr>
        <w:pStyle w:val="Compact"/>
        <w:numPr>
          <w:ilvl w:val="0"/>
          <w:numId w:val="1160"/>
        </w:numPr>
      </w:pPr>
      <w:r>
        <w:t xml:space="preserve">Simple vocal tic: coughing, sniffling, wheezing, throat clearing, shouting.</w:t>
      </w:r>
    </w:p>
    <w:p>
      <w:pPr>
        <w:pStyle w:val="Compact"/>
        <w:numPr>
          <w:ilvl w:val="0"/>
          <w:numId w:val="1160"/>
        </w:numPr>
      </w:pPr>
      <w:r>
        <w:t xml:space="preserve">Complex vocal: word, echolalia (repetition of others' words), palilalia (repetition of own words).</w:t>
      </w:r>
    </w:p>
    <w:p>
      <w:pPr>
        <w:pStyle w:val="Compact"/>
        <w:numPr>
          <w:ilvl w:val="0"/>
          <w:numId w:val="1160"/>
        </w:numPr>
      </w:pPr>
      <w:r>
        <w:t xml:space="preserve">Coprolalia (obscene word/phrase) — occurs in 19.3% of males and 14.6% of females with Tourette syndrome (Freeman R.D. et al. Dev Med Child Neurol 2009 international Tourette database, n=597), and differs from the portrayal in mass media.</w:t>
      </w:r>
    </w:p>
    <w:bookmarkEnd w:id="346"/>
    <w:bookmarkStart w:id="347" w:name="X625176a3ae41e2b72a212d4911ab35accd1e025"/>
    <w:p>
      <w:pPr>
        <w:pStyle w:val="Heading4"/>
      </w:pPr>
      <w:r>
        <w:t xml:space="preserve">5.3 Premonitory urge and voluntary suppression</w:t>
      </w:r>
    </w:p>
    <w:p>
      <w:pPr>
        <w:pStyle w:val="FirstParagraph"/>
      </w:pPr>
      <w:r>
        <w:t xml:space="preserve">Most patients experience a premonitory urge (somatic urge, tension) before tics; the tic temporarily relieves this sensation. Tics can be voluntarily suppressed for a short period (seconds to minutes), but this suppression creates internal tension and discomfort — the subsequent tic episode is usually more intense.</w:t>
      </w:r>
    </w:p>
    <w:bookmarkEnd w:id="347"/>
    <w:bookmarkStart w:id="348" w:name="course-and-variability"/>
    <w:p>
      <w:pPr>
        <w:pStyle w:val="Heading4"/>
      </w:pPr>
      <w:r>
        <w:t xml:space="preserve">5.4 Course and variability</w:t>
      </w:r>
    </w:p>
    <w:p>
      <w:pPr>
        <w:pStyle w:val="Compact"/>
        <w:numPr>
          <w:ilvl w:val="0"/>
          <w:numId w:val="1161"/>
        </w:numPr>
      </w:pPr>
      <w:r>
        <w:t xml:space="preserve">tics “Waxing and waning” — severity waxes and wanes; one tic type replaced by another.</w:t>
      </w:r>
    </w:p>
    <w:p>
      <w:pPr>
        <w:pStyle w:val="Compact"/>
        <w:numPr>
          <w:ilvl w:val="0"/>
          <w:numId w:val="1161"/>
        </w:numPr>
      </w:pPr>
      <w:r>
        <w:t xml:space="preserve">Triggers — stress (positive or negative), excitement, fatigue, specific contexts (e.g., suppressing tics at school).</w:t>
      </w:r>
    </w:p>
    <w:p>
      <w:pPr>
        <w:pStyle w:val="Compact"/>
        <w:numPr>
          <w:ilvl w:val="0"/>
          <w:numId w:val="1161"/>
        </w:numPr>
      </w:pPr>
      <w:r>
        <w:t xml:space="preserve">Tics decrease during sleep, but do not completely disappear.</w:t>
      </w:r>
    </w:p>
    <w:p>
      <w:pPr>
        <w:pStyle w:val="Compact"/>
        <w:numPr>
          <w:ilvl w:val="0"/>
          <w:numId w:val="1161"/>
        </w:numPr>
      </w:pPr>
      <w:r>
        <w:t xml:space="preserve">Peak severity at ages 10–12; decreases in most patients during adolescence.</w:t>
      </w:r>
    </w:p>
    <w:bookmarkEnd w:id="348"/>
    <w:bookmarkEnd w:id="349"/>
    <w:bookmarkStart w:id="354" w:name="Xb1106d70aa4ab0bfe578b330d9ddd5a9409c791"/>
    <w:p>
      <w:pPr>
        <w:pStyle w:val="Heading3"/>
      </w:pPr>
      <w:r>
        <w:t xml:space="preserve">6. Diagnosis</w:t>
      </w:r>
    </w:p>
    <w:bookmarkStart w:id="350" w:name="X67e6aa8ac45e69d2ef9096138b11a66b7a1ced2"/>
    <w:p>
      <w:pPr>
        <w:pStyle w:val="Heading4"/>
      </w:pPr>
      <w:r>
        <w:t xml:space="preserve">6.1 Unified diagnostic criteria (DSM-5-TR · ICD-11 · AAN 2019 consensus points)</w:t>
      </w:r>
    </w:p>
    <w:p>
      <w:pPr>
        <w:pStyle w:val="FirstParagraph"/>
      </w:pPr>
      <w:r>
        <w:t xml:space="preserve">For Tourette syndrome:</w:t>
      </w:r>
    </w:p>
    <w:p>
      <w:pPr>
        <w:pStyle w:val="Compact"/>
        <w:numPr>
          <w:ilvl w:val="0"/>
          <w:numId w:val="1162"/>
        </w:numPr>
      </w:pPr>
      <w:r>
        <w:t xml:space="preserve">Multiple motor tics and one or several vocal tics (occurring at different times, not required to be present simultaneously)</w:t>
      </w:r>
    </w:p>
    <w:p>
      <w:pPr>
        <w:pStyle w:val="Compact"/>
        <w:numPr>
          <w:ilvl w:val="0"/>
          <w:numId w:val="1162"/>
        </w:numPr>
      </w:pPr>
      <w:r>
        <w:t xml:space="preserve">Tics persist for at least 1 year (they may vary over time).</w:t>
      </w:r>
    </w:p>
    <w:p>
      <w:pPr>
        <w:pStyle w:val="Compact"/>
        <w:numPr>
          <w:ilvl w:val="0"/>
          <w:numId w:val="1162"/>
        </w:numPr>
      </w:pPr>
      <w:r>
        <w:t xml:space="preserve">Onset Up to 18 years.</w:t>
      </w:r>
    </w:p>
    <w:p>
      <w:pPr>
        <w:pStyle w:val="Compact"/>
        <w:numPr>
          <w:ilvl w:val="0"/>
          <w:numId w:val="1162"/>
        </w:numPr>
      </w:pPr>
      <w:r>
        <w:t xml:space="preserve">Exceptions — not fully explained by substance (e.g., cocaine) or medical condition (Huntington's, postviral encephalitis).</w:t>
      </w:r>
    </w:p>
    <w:p>
      <w:pPr>
        <w:pStyle w:val="FirstParagraph"/>
      </w:pPr>
      <w:r>
        <w:t xml:space="preserve">Persistent motor or vocal tic disorder: Same criteria as Tourette, but single type tic (motor or vocal, not both).</w:t>
      </w:r>
    </w:p>
    <w:p>
      <w:pPr>
        <w:pStyle w:val="BodyText"/>
      </w:pPr>
      <w:r>
        <w:t xml:space="preserve">Transient tic disorder: Same criteria as Tourette, but duration &lt; 1 year.</w:t>
      </w:r>
    </w:p>
    <w:bookmarkEnd w:id="350"/>
    <w:bookmarkStart w:id="351" w:name="differences-between-sources-12"/>
    <w:p>
      <w:pPr>
        <w:pStyle w:val="Heading4"/>
      </w:pPr>
      <w:r>
        <w:t xml:space="preserve">6.2 Differences between sources</w:t>
      </w:r>
    </w:p>
    <w:p>
      <w:pPr>
        <w:pStyle w:val="Compact"/>
        <w:numPr>
          <w:ilvl w:val="0"/>
          <w:numId w:val="1163"/>
        </w:numPr>
      </w:pPr>
      <w:r>
        <w:t xml:space="preserve">DSM-5-TR: Three separate categories (F95.0, F95.1, F95.2). “Functional impairment” and “severity” were not included in the diagnostic requirement — merely meeting the criteria is diagnostically sufficient; however, the intervention decision is based on functional impairment.</w:t>
      </w:r>
    </w:p>
    <w:p>
      <w:pPr>
        <w:pStyle w:val="Compact"/>
        <w:numPr>
          <w:ilvl w:val="0"/>
          <w:numId w:val="1163"/>
        </w:numPr>
      </w:pPr>
      <w:r>
        <w:t xml:space="preserve">ICD-11 (8A05.0): “Primary tics or tic disorders” — sub-specifications: Tourette, persistent, provisional.</w:t>
      </w:r>
    </w:p>
    <w:p>
      <w:pPr>
        <w:pStyle w:val="Compact"/>
        <w:numPr>
          <w:ilvl w:val="0"/>
          <w:numId w:val="1163"/>
        </w:numPr>
      </w:pPr>
      <w:r>
        <w:t xml:space="preserve">AAN 2019 (Pringsheim T. et al.): the diagnosis is clinical, video recordings are an adjunct; YGTSS (Yale Global Tic Severity Scale) for baseline measurement and follow-up; comorbidity (ADHD, OCD) must be assessed.</w:t>
      </w:r>
    </w:p>
    <w:p>
      <w:pPr>
        <w:pStyle w:val="Compact"/>
        <w:numPr>
          <w:ilvl w:val="0"/>
          <w:numId w:val="1163"/>
        </w:numPr>
      </w:pPr>
      <w:r>
        <w:t xml:space="preserve">ESSTS 2022 (Müller-Vahl K.R. et al.): In the European context — same criteria; accepts CBIT as first-line non-pharmacological intervention.</w:t>
      </w:r>
    </w:p>
    <w:bookmarkEnd w:id="351"/>
    <w:bookmarkStart w:id="352" w:name="diagnostic-algorithm-7"/>
    <w:p>
      <w:pPr>
        <w:pStyle w:val="Heading4"/>
      </w:pPr>
      <w:r>
        <w:t xml:space="preserve">6.3 Diagnostic algorithm</w:t>
      </w:r>
    </w:p>
    <w:p>
      <w:pPr>
        <w:pStyle w:val="Compact"/>
        <w:numPr>
          <w:ilvl w:val="0"/>
          <w:numId w:val="1164"/>
        </w:numPr>
      </w:pPr>
      <w:r>
        <w:t xml:space="preserve">Parent and patient interview — onset age, course, triggers, premonitory feeling.</w:t>
      </w:r>
    </w:p>
    <w:p>
      <w:pPr>
        <w:pStyle w:val="Compact"/>
        <w:numPr>
          <w:ilvl w:val="0"/>
          <w:numId w:val="1164"/>
        </w:numPr>
      </w:pPr>
      <w:r>
        <w:t xml:space="preserve">Video recordings — episodes captured at home by family (in clinic context tics often diminish)</w:t>
      </w:r>
    </w:p>
    <w:p>
      <w:pPr>
        <w:pStyle w:val="Compact"/>
        <w:numPr>
          <w:ilvl w:val="0"/>
          <w:numId w:val="1164"/>
        </w:numPr>
      </w:pPr>
      <w:r>
        <w:t xml:space="preserve">Standardized scale— YGTSS (Yale Global Tic Severity Scale, baseline measures and monitoring).</w:t>
      </w:r>
    </w:p>
    <w:p>
      <w:pPr>
        <w:pStyle w:val="Compact"/>
        <w:numPr>
          <w:ilvl w:val="0"/>
          <w:numId w:val="1164"/>
        </w:numPr>
      </w:pPr>
      <w:r>
        <w:t xml:space="preserve">Comorbidity screening — ADHD (Conners, Vanderbilt), OCD (CY-BOCS), anxiety, depression, learning disorder, sleep.</w:t>
      </w:r>
    </w:p>
    <w:p>
      <w:pPr>
        <w:pStyle w:val="Compact"/>
        <w:numPr>
          <w:ilvl w:val="0"/>
          <w:numId w:val="1164"/>
        </w:numPr>
      </w:pPr>
      <w:r>
        <w:t xml:space="preserve">Neurological examination — focal signs, exclusion of choreoathetosis.</w:t>
      </w:r>
    </w:p>
    <w:p>
      <w:pPr>
        <w:pStyle w:val="Compact"/>
        <w:numPr>
          <w:ilvl w:val="0"/>
          <w:numId w:val="1164"/>
        </w:numPr>
      </w:pPr>
      <w:r>
        <w:t xml:space="preserve">Specific clinical suspicion — Huntington's disease (HTT gene), Wilson's disease (ceruloplasmin, copper), neuroacanthocytosis.</w:t>
      </w:r>
    </w:p>
    <w:p>
      <w:pPr>
        <w:pStyle w:val="Compact"/>
        <w:numPr>
          <w:ilvl w:val="0"/>
          <w:numId w:val="1164"/>
        </w:numPr>
      </w:pPr>
      <w:r>
        <w:t xml:space="preserve">PANDAS/PANS suspicion — only if classic clinical picture (rapid onset, OCD + tics + emotional lability post-streptococcal); routine antistreptolysin O tests are not recommended (NIMH 2017).</w:t>
      </w:r>
    </w:p>
    <w:bookmarkEnd w:id="352"/>
    <w:bookmarkStart w:id="353" w:name="differential-diagnosis-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Stereotyped movement disorder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Rhythmic, longer-lasting (seconds-minutes), no premonitory urge; onset &lt;3 years.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Myoclonus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Brief, sudden, involuntary, no premonitory sensation; neurological etiology.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Choreoathetosis, dystonia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involuntary movements; cannot be suppressed; neurological examination.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 — compulsions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purposeful sequences; response to obsession. Comorbid is common.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Functional tic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Rapid onset in adulthood, complex bizarre patterns, copying from mass media; increase observed during COVID-19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Rapid onset post-streptococcal; OCD + tics co-occurrence outbreak; rare.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 (epileptic)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Alteration in consciousness; 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Wilson's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Hepatic and neurological symptoms; Kayser-Fleischer rings, decreased ceruloplasmin.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Huntington's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Typical onset in adulthood; chorea, cognitive decline, family history.</w:t>
            </w:r>
          </w:p>
        </w:tc>
      </w:tr>
    </w:tbl>
    <w:bookmarkEnd w:id="353"/>
    <w:bookmarkEnd w:id="354"/>
    <w:bookmarkStart w:id="358" w:name="Xdb5c6b17b3ff4c30d6852386c61206cab639ffe"/>
    <w:p>
      <w:pPr>
        <w:pStyle w:val="Heading3"/>
      </w:pPr>
      <w:r>
        <w:t xml:space="preserve">7. Examination and assessment</w:t>
      </w:r>
    </w:p>
    <w:bookmarkStart w:id="355" w:name="clinical-scales-1"/>
    <w:p>
      <w:pPr>
        <w:pStyle w:val="Heading4"/>
      </w:pPr>
      <w:r>
        <w:t xml:space="preserve">7.1 Clinical scales</w:t>
      </w:r>
    </w:p>
    <w:p>
      <w:pPr>
        <w:pStyle w:val="Compact"/>
        <w:numPr>
          <w:ilvl w:val="0"/>
          <w:numId w:val="1165"/>
        </w:numPr>
      </w:pPr>
      <w:r>
        <w:t xml:space="preserve">YGTSS (Yale Global Tic Severity Scale, Leckman J.F. et al. 1989) — separate for motor and vocal tics; frequency, intensity, complexity, interference, number on a 0–5 scale; global impairment 0–50. Baseline measures and treatment monitoring.</w:t>
      </w:r>
    </w:p>
    <w:p>
      <w:pPr>
        <w:pStyle w:val="Compact"/>
        <w:numPr>
          <w:ilvl w:val="0"/>
          <w:numId w:val="1165"/>
        </w:numPr>
      </w:pPr>
      <w:r>
        <w:t xml:space="preserve">PUTS (Premonitory Urge for Tics Scale).</w:t>
      </w:r>
    </w:p>
    <w:p>
      <w:pPr>
        <w:pStyle w:val="Compact"/>
        <w:numPr>
          <w:ilvl w:val="0"/>
          <w:numId w:val="1165"/>
        </w:numPr>
      </w:pPr>
      <w:r>
        <w:t xml:space="preserve">CY-BOCS — comorbid condition assessment.</w:t>
      </w:r>
    </w:p>
    <w:p>
      <w:pPr>
        <w:pStyle w:val="Compact"/>
        <w:numPr>
          <w:ilvl w:val="0"/>
          <w:numId w:val="1165"/>
        </w:numPr>
      </w:pPr>
      <w:r>
        <w:t xml:space="preserve">Conners-3, Vanderbilt — comorbid ADHD.</w:t>
      </w:r>
    </w:p>
    <w:bookmarkEnd w:id="355"/>
    <w:bookmarkStart w:id="356" w:name="laboratory-investigations-6"/>
    <w:p>
      <w:pPr>
        <w:pStyle w:val="Heading4"/>
      </w:pPr>
      <w:r>
        <w:t xml:space="preserve">7.2 Laboratory investigations</w:t>
      </w:r>
    </w:p>
    <w:p>
      <w:pPr>
        <w:pStyle w:val="FirstParagraph"/>
      </w:pPr>
      <w:r>
        <w:t xml:space="preserve">No specific laboratory indication for routine tics. Based on clinical suspicion:</w:t>
      </w:r>
    </w:p>
    <w:p>
      <w:pPr>
        <w:pStyle w:val="Compact"/>
        <w:numPr>
          <w:ilvl w:val="0"/>
          <w:numId w:val="1166"/>
        </w:numPr>
      </w:pPr>
      <w:r>
        <w:t xml:space="preserve">Thyroid function (TSH) — in hyperthyroidism context.</w:t>
      </w:r>
    </w:p>
    <w:p>
      <w:pPr>
        <w:pStyle w:val="Compact"/>
        <w:numPr>
          <w:ilvl w:val="0"/>
          <w:numId w:val="1166"/>
        </w:numPr>
      </w:pPr>
      <w:r>
        <w:t xml:space="preserve">Ceruloplasmin, 24-hour urine copper — suspicion of Wilson's disease (especially hepatic or movement adjunct).</w:t>
      </w:r>
    </w:p>
    <w:p>
      <w:pPr>
        <w:pStyle w:val="Compact"/>
        <w:numPr>
          <w:ilvl w:val="0"/>
          <w:numId w:val="1166"/>
        </w:numPr>
      </w:pPr>
      <w:r>
        <w:t xml:space="preserve">HTT — suspected Huntington (family history).</w:t>
      </w:r>
    </w:p>
    <w:p>
      <w:pPr>
        <w:pStyle w:val="Compact"/>
        <w:numPr>
          <w:ilvl w:val="0"/>
          <w:numId w:val="1166"/>
        </w:numPr>
      </w:pPr>
      <w:r>
        <w:t xml:space="preserve">Streptococcal antibodies (ASO, anti-DNase B) — only if classic PANDAS clinical picture present; not recommended routinely.</w:t>
      </w:r>
    </w:p>
    <w:bookmarkEnd w:id="356"/>
    <w:bookmarkStart w:id="357" w:name="instrumental-investigations-7"/>
    <w:p>
      <w:pPr>
        <w:pStyle w:val="Heading4"/>
      </w:pPr>
      <w:r>
        <w:t xml:space="preserve">7.3 Instrumental investigations</w:t>
      </w:r>
    </w:p>
    <w:p>
      <w:pPr>
        <w:pStyle w:val="Compact"/>
        <w:numPr>
          <w:ilvl w:val="0"/>
          <w:numId w:val="1167"/>
        </w:numPr>
      </w:pPr>
      <w:r>
        <w:t xml:space="preserve">EEG — only if seizure suspected.</w:t>
      </w:r>
    </w:p>
    <w:p>
      <w:pPr>
        <w:pStyle w:val="Compact"/>
        <w:numPr>
          <w:ilvl w:val="0"/>
          <w:numId w:val="1167"/>
        </w:numPr>
      </w:pPr>
      <w:r>
        <w:t xml:space="preserve">Brain MRI — focal neurological signs, atypical clinical picture.</w:t>
      </w:r>
    </w:p>
    <w:p>
      <w:pPr>
        <w:pStyle w:val="Compact"/>
        <w:numPr>
          <w:ilvl w:val="0"/>
          <w:numId w:val="1167"/>
        </w:numPr>
      </w:pPr>
      <w:r>
        <w:t xml:space="preserve">Routine neuroimaging for tics is not recommended.</w:t>
      </w:r>
    </w:p>
    <w:bookmarkEnd w:id="357"/>
    <w:bookmarkEnd w:id="358"/>
    <w:bookmarkStart w:id="366" w:name="Xbf11b7d7141f080b933a5afe299b0e5ed3a85e2"/>
    <w:p>
      <w:pPr>
        <w:pStyle w:val="Heading3"/>
      </w:pPr>
      <w:r>
        <w:t xml:space="preserve">8. Treatment</w:t>
      </w:r>
    </w:p>
    <w:bookmarkStart w:id="359" w:name="X5c44441262be13cf60bee365373ef211ab224e6"/>
    <w:p>
      <w:pPr>
        <w:pStyle w:val="Heading4"/>
      </w:pPr>
      <w:r>
        <w:t xml:space="preserve">8.1 General principles (AAN 2019 · ESSTS 2022 consensus)</w:t>
      </w:r>
    </w:p>
    <w:p>
      <w:pPr>
        <w:pStyle w:val="Compact"/>
        <w:numPr>
          <w:ilvl w:val="0"/>
          <w:numId w:val="1168"/>
        </w:numPr>
      </w:pPr>
      <w:r>
        <w:t xml:space="preserve">Intervention decision based on functional impairment — mild tics may be observed; aggressive intervention not required.</w:t>
      </w:r>
    </w:p>
    <w:p>
      <w:pPr>
        <w:pStyle w:val="Compact"/>
        <w:numPr>
          <w:ilvl w:val="0"/>
          <w:numId w:val="1168"/>
        </w:numPr>
      </w:pPr>
      <w:r>
        <w:t xml:space="preserve">Psychoeducation for family and school — the first step — nature of tics, ‘waxing and waning’, premonitory urge.</w:t>
      </w:r>
    </w:p>
    <w:p>
      <w:pPr>
        <w:pStyle w:val="Compact"/>
        <w:numPr>
          <w:ilvl w:val="0"/>
          <w:numId w:val="1168"/>
        </w:numPr>
      </w:pPr>
      <w:r>
        <w:t xml:space="preserve">Behavioral intervention — CBIT (Comprehensive Behavioral Intervention for Tics) AAN 2019 first-line recommendation (age 8+). HRT (Habit Reversal Training) + functional intervention + relaxation.</w:t>
      </w:r>
    </w:p>
    <w:p>
      <w:pPr>
        <w:pStyle w:val="Compact"/>
        <w:numPr>
          <w:ilvl w:val="0"/>
          <w:numId w:val="1168"/>
        </w:numPr>
      </w:pPr>
      <w:r>
        <w:t xml:space="preserve">Pharmacotherapy — when functional impairment is present and CBIT is unavailable or insufficiently effective:</w:t>
      </w:r>
    </w:p>
    <w:p>
      <w:pPr>
        <w:pStyle w:val="Compact"/>
        <w:numPr>
          <w:ilvl w:val="1"/>
          <w:numId w:val="1169"/>
        </w:numPr>
      </w:pPr>
      <w:r>
        <w:t xml:space="preserve">First-line: α2 adrenergic agonists — clonidine, guanfacine (ER) — side effect profile superior to antipsychotics; particularly beneficial in comorbid ADHD.</w:t>
      </w:r>
    </w:p>
    <w:p>
      <w:pPr>
        <w:pStyle w:val="Compact"/>
        <w:numPr>
          <w:ilvl w:val="1"/>
          <w:numId w:val="1169"/>
        </w:numPr>
      </w:pPr>
      <w:r>
        <w:t xml:space="preserve">Second-line: Atypical antipsychotic — aripiprazole (FDA-approved for Tourette syndrome, ages 6–18, 2014), risperidone, ziprasidone. Stronger anti-tic effect, but metabolic and EPS side effects.</w:t>
      </w:r>
    </w:p>
    <w:p>
      <w:pPr>
        <w:pStyle w:val="Compact"/>
        <w:numPr>
          <w:ilvl w:val="1"/>
          <w:numId w:val="1169"/>
        </w:numPr>
      </w:pPr>
      <w:r>
        <w:t xml:space="preserve">Third-line: typical antipsychotic — haloperidol, pimozide (FDA approval for Tourette, but EPS and QTc prolongation risk).</w:t>
      </w:r>
    </w:p>
    <w:p>
      <w:pPr>
        <w:pStyle w:val="Compact"/>
        <w:numPr>
          <w:ilvl w:val="1"/>
          <w:numId w:val="1169"/>
        </w:numPr>
      </w:pPr>
      <w:r>
        <w:t xml:space="preserve">In refractory cases — VMAT2 inhibitors (tetrabenazine off-label; deutetrabenazine and valbenazine under investigation for tics), botulinum toxin for focal tics.</w:t>
      </w:r>
    </w:p>
    <w:p>
      <w:pPr>
        <w:pStyle w:val="Compact"/>
        <w:numPr>
          <w:ilvl w:val="0"/>
          <w:numId w:val="1168"/>
        </w:numPr>
      </w:pPr>
      <w:r>
        <w:t xml:space="preserve">Comorbidity treatment — ADHD (stimulants do not significantly worsen tics – meta-analysis: Bloch M.H. et al. JAACAP 2009; but patients should be monitored), OCD (SSRI + CBT), anxiety, sleep.</w:t>
      </w:r>
    </w:p>
    <w:p>
      <w:pPr>
        <w:pStyle w:val="Compact"/>
        <w:numPr>
          <w:ilvl w:val="0"/>
          <w:numId w:val="1168"/>
        </w:numPr>
      </w:pPr>
      <w:r>
        <w:t xml:space="preserve">Refractory severe in Tourette's — Deep Brain Stimulation (DBS) — thalamic centromedian-parafascicular or GPi (globus pallidus internus) targets; multidisciplinary selection in certified center (Schrock L.E. et al. Mov Disord 2015).</w:t>
      </w:r>
    </w:p>
    <w:bookmarkEnd w:id="359"/>
    <w:bookmarkStart w:id="360" w:name="pharmacotherapy-first-line-α2-agonists"/>
    <w:p>
      <w:pPr>
        <w:pStyle w:val="Heading4"/>
      </w:pPr>
      <w:r>
        <w:t xml:space="preserve">8.2 Pharmacotherapy — First-Line (α2-Agonists)</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0.05–0.3 mg/day (divided or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Sedation, hypotension; beneficial in comorbid ADHD cases.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Guanfacine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Long-term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mg/day (once)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Less sedation, selective α2A; FDA-approved in ADHD.</w:t>
            </w:r>
          </w:p>
        </w:tc>
      </w:tr>
    </w:tbl>
    <w:bookmarkEnd w:id="360"/>
    <w:bookmarkStart w:id="361" w:name="second-line-atypical-antipsychotic"/>
    <w:p>
      <w:pPr>
        <w:pStyle w:val="Heading4"/>
      </w:pPr>
      <w:r>
        <w:t xml:space="preserve">8.3 Second-Line (Atypical Antipsychotic)</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Side effect profile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Akathisia, sedation; metabolic better.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0.25–6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Weight gain, prolactin elevation,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Ziprasidone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20–80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QT prolongation, EKG monitoring.</w:t>
            </w:r>
          </w:p>
        </w:tc>
      </w:tr>
    </w:tbl>
    <w:bookmarkEnd w:id="361"/>
    <w:bookmarkStart w:id="362" w:name="third-line-typical-antipsychotic"/>
    <w:p>
      <w:pPr>
        <w:pStyle w:val="Heading4"/>
      </w:pPr>
      <w:r>
        <w:t xml:space="preserve">8.4 Third-Line (Typical Antipsychotic)</w:t>
      </w:r>
    </w:p>
    <w:p>
      <w:pPr>
        <w:pStyle w:val="Compact"/>
        <w:numPr>
          <w:ilvl w:val="0"/>
          <w:numId w:val="1170"/>
        </w:numPr>
      </w:pPr>
      <w:r>
        <w:t xml:space="preserve">Haloperidol 0.5–4 mg/day — FDA approved for Tourette, but side effects: EPS, tardive dyskinesia, sedation.</w:t>
      </w:r>
    </w:p>
    <w:p>
      <w:pPr>
        <w:pStyle w:val="Compact"/>
        <w:numPr>
          <w:ilvl w:val="0"/>
          <w:numId w:val="1170"/>
        </w:numPr>
      </w:pPr>
      <w:r>
        <w:t xml:space="preserve">Pimozide 1–4 mg/day — FDA approval for Tourette; QTc prolongation, EKG mandatory.</w:t>
      </w:r>
    </w:p>
    <w:bookmarkEnd w:id="362"/>
    <w:bookmarkStart w:id="363" w:name="approach-in-comorbid-conditions"/>
    <w:p>
      <w:pPr>
        <w:pStyle w:val="Heading4"/>
      </w:pPr>
      <w:r>
        <w:t xml:space="preserve">8.5 Approach in Comorbid Conditions</w:t>
      </w:r>
    </w:p>
    <w:p>
      <w:pPr>
        <w:pStyle w:val="Compact"/>
        <w:numPr>
          <w:ilvl w:val="0"/>
          <w:numId w:val="1171"/>
        </w:numPr>
      </w:pPr>
      <w:r>
        <w:t xml:space="preserve">ADHD + tic: α2 agonist + stimulant or atomoxetine. Stimulants had a controversial history as a ‘tic enhancer’, but Bloch 2009 meta-analysis and the TACT (Tourette's Syndrome Study Group. Neurology 2002;58(4):527–536) — moderate-dose methylphenidate does not significantly exacerbate tics; monitor.</w:t>
      </w:r>
    </w:p>
    <w:p>
      <w:pPr>
        <w:pStyle w:val="Compact"/>
        <w:numPr>
          <w:ilvl w:val="0"/>
          <w:numId w:val="1171"/>
        </w:numPr>
      </w:pPr>
      <w:r>
        <w:t xml:space="preserve">OCD + tic: SSRI + ERP; adjunctive aripiprazole or risperidone.</w:t>
      </w:r>
    </w:p>
    <w:p>
      <w:pPr>
        <w:pStyle w:val="Compact"/>
        <w:numPr>
          <w:ilvl w:val="0"/>
          <w:numId w:val="1171"/>
        </w:numPr>
      </w:pPr>
      <w:r>
        <w:t xml:space="preserve">Sleep disorder: melatonin; clonidine also assists in the sleep component.</w:t>
      </w:r>
    </w:p>
    <w:bookmarkEnd w:id="363"/>
    <w:bookmarkStart w:id="364" w:name="source-specific-clarifications-2"/>
    <w:p>
      <w:pPr>
        <w:pStyle w:val="Heading4"/>
      </w:pPr>
      <w:r>
        <w:t xml:space="preserve">8.6 Source-Specific Clarifications</w:t>
      </w:r>
    </w:p>
    <w:p>
      <w:pPr>
        <w:pStyle w:val="Compact"/>
        <w:numPr>
          <w:ilvl w:val="0"/>
          <w:numId w:val="1172"/>
        </w:numPr>
      </w:pPr>
      <w:r>
        <w:t xml:space="preserve">AAN 2019 (Pringsheim Neurology 2019): CBIT first-line non-pharmacological; α2-agonists before antipsychotics (favorable side effect profile); dual benefit in comorbid ADHD.</w:t>
      </w:r>
    </w:p>
    <w:p>
      <w:pPr>
        <w:pStyle w:val="Compact"/>
        <w:numPr>
          <w:ilvl w:val="0"/>
          <w:numId w:val="1172"/>
        </w:numPr>
      </w:pPr>
      <w:r>
        <w:t xml:space="preserve">ESSTS 2022 (Müller-Vahl): In the European context; choice of CBIT and pharmacotherapy is individualized based on patient characteristics.</w:t>
      </w:r>
    </w:p>
    <w:p>
      <w:pPr>
        <w:pStyle w:val="Compact"/>
        <w:numPr>
          <w:ilvl w:val="0"/>
          <w:numId w:val="1172"/>
        </w:numPr>
      </w:pPr>
      <w:r>
        <w:t xml:space="preserve">Piacentini J. et al. JAMA 2010 (CBIT pivotal RCT): n=126, ages 9–17 — CBIT significantly superior to placebo (supportive therapy); reduction of 7.6 vs 3.5 points on YGTSS; effect size g = 0.68.</w:t>
      </w:r>
    </w:p>
    <w:p>
      <w:pPr>
        <w:pStyle w:val="Compact"/>
        <w:numPr>
          <w:ilvl w:val="0"/>
          <w:numId w:val="1172"/>
        </w:numPr>
      </w:pPr>
      <w:r>
        <w:t xml:space="preserve">Tourette Association of America Behavioral Sciences Consortium — Implementation of CBIT program and therapist training.</w:t>
      </w:r>
    </w:p>
    <w:bookmarkEnd w:id="364"/>
    <w:bookmarkStart w:id="365" w:name="treatment-methods-7"/>
    <w:p>
      <w:pPr>
        <w:pStyle w:val="Heading4"/>
      </w:pPr>
      <w:r>
        <w:t xml:space="preserve">8.7 Treatment methods</w:t>
      </w:r>
    </w:p>
    <w:p>
      <w:pPr>
        <w:pStyle w:val="Compact"/>
        <w:numPr>
          <w:ilvl w:val="0"/>
          <w:numId w:val="1173"/>
        </w:numPr>
      </w:pPr>
      <w:r>
        <w:t xml:space="preserve">Comprehensive Behavioral Intervention for Tics (CBIT) — Woods D.W., Piacentini J. — First-line non-pharmacological intervention (AAN 2019). Three core components: (1) Habit Reversal Training (HRT — recognition of premonitory sensation, learning competing behavior); (2) functional intervention (modifying contexts that reinforce tics); (3) relaxation training. Standard course — 8 individual sessions, 10 weeks; ongoing booster sessions. Evidence: Piacentini J. et al. JAMA 2010 RCT — pivotal study; Wilhelm S. et al. Arch Gen Psychiatry 2012 RCT in adults; effect size moderate. tourette.org.</w:t>
      </w:r>
    </w:p>
    <w:p>
      <w:pPr>
        <w:pStyle w:val="Compact"/>
        <w:numPr>
          <w:ilvl w:val="0"/>
          <w:numId w:val="1173"/>
        </w:numPr>
      </w:pPr>
      <w:r>
        <w:t xml:space="preserve">Habit Reversal Training (HRT — Habit Reversal Training) — Azrin (Azrin N.H.), Nunn (Nunn R.G.) — Core component of CBIT — awareness training + competing response. Separate competing behavior for each tic (e.g., for neck jerking, holding neck centered).</w:t>
      </w:r>
    </w:p>
    <w:p>
      <w:pPr>
        <w:pStyle w:val="Compact"/>
        <w:numPr>
          <w:ilvl w:val="0"/>
          <w:numId w:val="1173"/>
        </w:numPr>
      </w:pPr>
      <w:r>
        <w:t xml:space="preserve">Exposure and Response Prevention (ERP) for Tics — Alternative behavioral approach to HRT — patient learns to tolerate premonitory urge without responding with tic. Verdellen C.W. et al. Behav Res Ther 2004. ESSTS — alternative evidence-based behavioral method.</w:t>
      </w:r>
    </w:p>
    <w:p>
      <w:pPr>
        <w:pStyle w:val="Compact"/>
        <w:numPr>
          <w:ilvl w:val="0"/>
          <w:numId w:val="1173"/>
        </w:numPr>
      </w:pPr>
      <w:r>
        <w:t xml:space="preserve">Yale Global Tic Severity Scale (YGTSS — Yale Global Tic Severity Scale) — Leckman (Leckman J.F.) et al., 1989 — Gold standard severity scale for tic disorders; separate counts for motor and vocal tics: frequency, intensity, complexity, interference level (0–5 points); global impairment 0–50. Baseline indicators and monitoring.</w:t>
      </w:r>
    </w:p>
    <w:p>
      <w:pPr>
        <w:pStyle w:val="Compact"/>
        <w:numPr>
          <w:ilvl w:val="0"/>
          <w:numId w:val="1173"/>
        </w:numPr>
      </w:pPr>
      <w:r>
        <w:t xml:space="preserve">Premonitory Urge for Tics Scale (PUTS) — Woods D.W., Piacentini J — 9-item self-assessment; intensity of premonitory urge and its effect on intervention behavior.</w:t>
      </w:r>
    </w:p>
    <w:p>
      <w:pPr>
        <w:pStyle w:val="Compact"/>
        <w:numPr>
          <w:ilvl w:val="0"/>
          <w:numId w:val="1173"/>
        </w:numPr>
      </w:pPr>
      <w:r>
        <w:t xml:space="preserve">Deep Brain Stimulation (DBS) — Surgical intervention for refractory severe Tourette; typical targets — thalamus (centromedian-parafascicular) and globus pallidus internus (GPi). Multidisciplinary selection; Schrock L.E. et al. Mov Disord 2015 international consensus.</w:t>
      </w:r>
    </w:p>
    <w:p>
      <w:pPr>
        <w:pStyle w:val="Compact"/>
        <w:numPr>
          <w:ilvl w:val="0"/>
          <w:numId w:val="1173"/>
        </w:numPr>
      </w:pPr>
      <w:r>
        <w:t xml:space="preserve">Botulinum Toxin — Injection into target muscle in focal motor (e.g., neck, lip, eye) and vocal tics; 3–4 month effect. Marras C. et al. Neurology 2001 RCT.</w:t>
      </w:r>
    </w:p>
    <w:bookmarkEnd w:id="365"/>
    <w:bookmarkEnd w:id="366"/>
    <w:bookmarkStart w:id="370" w:name="X0a8634c77ada67b63fe9eeb29793e812f7af2f1"/>
    <w:p>
      <w:pPr>
        <w:pStyle w:val="Heading3"/>
      </w:pPr>
      <w:r>
        <w:t xml:space="preserve">9. Prognosis</w:t>
      </w:r>
    </w:p>
    <w:bookmarkStart w:id="367" w:name="good-prognostic-factors-7"/>
    <w:p>
      <w:pPr>
        <w:pStyle w:val="Heading4"/>
      </w:pPr>
      <w:r>
        <w:t xml:space="preserve">Good prognostic factors</w:t>
      </w:r>
    </w:p>
    <w:p>
      <w:pPr>
        <w:pStyle w:val="Compact"/>
        <w:numPr>
          <w:ilvl w:val="0"/>
          <w:numId w:val="1174"/>
        </w:numPr>
      </w:pPr>
      <w:r>
        <w:t xml:space="preserve">Typical tic disorder (distinct from rapid functional tic-like behavior).</w:t>
      </w:r>
    </w:p>
    <w:p>
      <w:pPr>
        <w:pStyle w:val="Compact"/>
        <w:numPr>
          <w:ilvl w:val="0"/>
          <w:numId w:val="1174"/>
        </w:numPr>
      </w:pPr>
      <w:r>
        <w:t xml:space="preserve">Mild-moderate YGTSS severity.</w:t>
      </w:r>
    </w:p>
    <w:p>
      <w:pPr>
        <w:pStyle w:val="Compact"/>
        <w:numPr>
          <w:ilvl w:val="0"/>
          <w:numId w:val="1174"/>
        </w:numPr>
      </w:pPr>
      <w:r>
        <w:t xml:space="preserve">Active management of comorbidity (ADHD, OCD).</w:t>
      </w:r>
    </w:p>
    <w:p>
      <w:pPr>
        <w:pStyle w:val="Compact"/>
        <w:numPr>
          <w:ilvl w:val="0"/>
          <w:numId w:val="1174"/>
        </w:numPr>
      </w:pPr>
      <w:r>
        <w:t xml:space="preserve">Early psychoeducation and family-school support.</w:t>
      </w:r>
    </w:p>
    <w:p>
      <w:pPr>
        <w:pStyle w:val="Compact"/>
        <w:numPr>
          <w:ilvl w:val="0"/>
          <w:numId w:val="1174"/>
        </w:numPr>
      </w:pPr>
      <w:r>
        <w:t xml:space="preserve">CBIT availability.</w:t>
      </w:r>
    </w:p>
    <w:bookmarkEnd w:id="367"/>
    <w:bookmarkStart w:id="368" w:name="poor-prognostic-factors-7"/>
    <w:p>
      <w:pPr>
        <w:pStyle w:val="Heading4"/>
      </w:pPr>
      <w:r>
        <w:t xml:space="preserve">Poor prognostic factors</w:t>
      </w:r>
    </w:p>
    <w:p>
      <w:pPr>
        <w:pStyle w:val="Compact"/>
        <w:numPr>
          <w:ilvl w:val="0"/>
          <w:numId w:val="1175"/>
        </w:numPr>
      </w:pPr>
      <w:r>
        <w:t xml:space="preserve">Severe comorbidity (severe OCD, ADHD, anxiety, depression).</w:t>
      </w:r>
    </w:p>
    <w:p>
      <w:pPr>
        <w:pStyle w:val="Compact"/>
        <w:numPr>
          <w:ilvl w:val="0"/>
          <w:numId w:val="1175"/>
        </w:numPr>
      </w:pPr>
      <w:r>
        <w:t xml:space="preserve">Self-injurious tics (e.g., head banging).</w:t>
      </w:r>
    </w:p>
    <w:p>
      <w:pPr>
        <w:pStyle w:val="Compact"/>
        <w:numPr>
          <w:ilvl w:val="0"/>
          <w:numId w:val="1175"/>
        </w:numPr>
      </w:pPr>
      <w:r>
        <w:t xml:space="preserve">Social and academic limited adaptation.</w:t>
      </w:r>
    </w:p>
    <w:p>
      <w:pPr>
        <w:pStyle w:val="Compact"/>
        <w:numPr>
          <w:ilvl w:val="0"/>
          <w:numId w:val="1175"/>
        </w:numPr>
      </w:pPr>
      <w:r>
        <w:t xml:space="preserve">Refractory pharmacotherapy response.</w:t>
      </w:r>
    </w:p>
    <w:bookmarkEnd w:id="368"/>
    <w:bookmarkStart w:id="369" w:name="follow-up-targets-7"/>
    <w:p>
      <w:pPr>
        <w:pStyle w:val="Heading4"/>
      </w:pPr>
      <w:r>
        <w:t xml:space="preserve">Follow-up targets</w:t>
      </w:r>
    </w:p>
    <w:p>
      <w:pPr>
        <w:pStyle w:val="Compact"/>
        <w:numPr>
          <w:ilvl w:val="0"/>
          <w:numId w:val="1176"/>
        </w:numPr>
      </w:pPr>
      <w:r>
        <w:t xml:space="preserve">YGTSS every 3–6 months.</w:t>
      </w:r>
    </w:p>
    <w:p>
      <w:pPr>
        <w:pStyle w:val="Compact"/>
        <w:numPr>
          <w:ilvl w:val="0"/>
          <w:numId w:val="1176"/>
        </w:numPr>
      </w:pPr>
      <w:r>
        <w:t xml:space="preserve">Comorbidity (ADHD, OCD, anxiety, depression) — annual.</w:t>
      </w:r>
    </w:p>
    <w:p>
      <w:pPr>
        <w:pStyle w:val="Compact"/>
        <w:numPr>
          <w:ilvl w:val="0"/>
          <w:numId w:val="1176"/>
        </w:numPr>
      </w:pPr>
      <w:r>
        <w:t xml:space="preserve">Monitoring side effects (in those taking antipsychotics — metabolic, EPS, prolactin, QTc).</w:t>
      </w:r>
    </w:p>
    <w:p>
      <w:pPr>
        <w:pStyle w:val="Compact"/>
        <w:numPr>
          <w:ilvl w:val="0"/>
          <w:numId w:val="1176"/>
        </w:numPr>
      </w:pPr>
      <w:r>
        <w:t xml:space="preserve">Social and academic support.</w:t>
      </w:r>
    </w:p>
    <w:p>
      <w:pPr>
        <w:pStyle w:val="Compact"/>
        <w:numPr>
          <w:ilvl w:val="0"/>
          <w:numId w:val="1176"/>
        </w:numPr>
      </w:pPr>
      <w:r>
        <w:t xml:space="preserve">In adolescence, possibility of spontaneous remission; possibility of gradual reduction of pharmacotherapy.</w:t>
      </w:r>
    </w:p>
    <w:p>
      <w:pPr>
        <w:pStyle w:val="Compact"/>
        <w:numPr>
          <w:ilvl w:val="0"/>
          <w:numId w:val="1176"/>
        </w:numPr>
      </w:pPr>
      <w:r>
        <w:t xml:space="preserve">Support for occupation and relationships in adult patients.</w:t>
      </w:r>
    </w:p>
    <w:bookmarkEnd w:id="369"/>
    <w:bookmarkEnd w:id="370"/>
    <w:bookmarkStart w:id="387" w:name="X3fa1aa088226280b42b5f1d6ca78df84e604479"/>
    <w:p>
      <w:pPr>
        <w:pStyle w:val="Heading3"/>
      </w:pPr>
      <w:r>
        <w:t xml:space="preserve">10. Myths and misconceptions</w:t>
      </w:r>
    </w:p>
    <w:bookmarkStart w:id="375" w:name="aetiology-myths-7"/>
    <w:p>
      <w:pPr>
        <w:pStyle w:val="Heading4"/>
      </w:pPr>
      <w:r>
        <w:t xml:space="preserve">10.1 Aetiology myths</w:t>
      </w:r>
    </w:p>
    <w:bookmarkStart w:id="371" w:name="X3ede1fac08f10674e53e1fdf5f79bf05e8b1424"/>
    <w:p>
      <w:pPr>
        <w:pStyle w:val="Heading5"/>
      </w:pPr>
      <w:r>
        <w:t xml:space="preserve">Myth 1: “Tourette syndrome is always accompanied by coprolalia (swear words)”</w:t>
      </w:r>
    </w:p>
    <w:p>
      <w:pPr>
        <w:pStyle w:val="FirstParagraph"/>
      </w:pPr>
      <w:r>
        <w:t xml:space="preserve">Why it is widespread: In mass media (film, television), the portrayal of Tourette is almost always presented with coprolalia; sensational media choice.</w:t>
      </w:r>
    </w:p>
    <w:p>
      <w:pPr>
        <w:pStyle w:val="BodyText"/>
      </w:pPr>
      <w:r>
        <w:t xml:space="preserve">Clinical and biological rationale: Coprolalia is the rare complex vocal tic form; neither motor nor vocal tics are obscene in most Tourette patients.</w:t>
      </w:r>
    </w:p>
    <w:p>
      <w:pPr>
        <w:pStyle w:val="BodyText"/>
      </w:pPr>
      <w:r>
        <w:t xml:space="preserve">Evidence: Freeman R.D. et al. Dev Med Child Neurol 2009 — International Tourette Syndrome Association database n=597: coprolalia occurs in 19.3%, of males and 14.6% of females.</w:t>
      </w:r>
    </w:p>
    <w:p>
      <w:pPr>
        <w:pStyle w:val="BodyText"/>
      </w:pPr>
      <w:r>
        <w:t xml:space="preserve">Real clinical step: Provide correct information to family and school; reduce patient's social stigma.</w:t>
      </w:r>
    </w:p>
    <w:bookmarkEnd w:id="371"/>
    <w:bookmarkStart w:id="372" w:name="X1118d9932c94a173fc7635d874e9c0df9967467"/>
    <w:p>
      <w:pPr>
        <w:pStyle w:val="Heading5"/>
      </w:pPr>
      <w:r>
        <w:t xml:space="preserve">Myth 2: “Tourette's is a result of poor upbringing or parental mistakes”</w:t>
      </w:r>
    </w:p>
    <w:p>
      <w:pPr>
        <w:pStyle w:val="FirstParagraph"/>
      </w:pPr>
      <w:r>
        <w:t xml:space="preserve">Evidence: heritability 0.77 (Mataix-Cols JAMA Psychiatry 2015) — highest among psychiatric disorders. Genetic and neurobiological basis; parental experience not etiology.</w:t>
      </w:r>
    </w:p>
    <w:bookmarkEnd w:id="372"/>
    <w:bookmarkStart w:id="373" w:name="Xb60984f4bd9a9d3999a07e82dca6fa41d124302"/>
    <w:p>
      <w:pPr>
        <w:pStyle w:val="Heading5"/>
      </w:pPr>
      <w:r>
        <w:t xml:space="preserve">Myth 3: “Tourette's is caused by emotional trauma or stress”</w:t>
      </w:r>
    </w:p>
    <w:p>
      <w:pPr>
        <w:pStyle w:val="FirstParagraph"/>
      </w:pPr>
      <w:r>
        <w:t xml:space="preserve">Clinical logic: Stress is not a cause of tic onset — tics are genetic and neurodevelopmental in origin. However, stress influences the severity of existing tics.</w:t>
      </w:r>
    </w:p>
    <w:bookmarkEnd w:id="373"/>
    <w:bookmarkStart w:id="374" w:name="Xad8b94b088f31032930b1d450e621c7bf6bf96a"/>
    <w:p>
      <w:pPr>
        <w:pStyle w:val="Heading5"/>
      </w:pPr>
      <w:r>
        <w:t xml:space="preserve">Myth 4: “All tics are PANDAS and must be treated with antibiotics”</w:t>
      </w:r>
    </w:p>
    <w:p>
      <w:pPr>
        <w:pStyle w:val="FirstParagraph"/>
      </w:pPr>
      <w:r>
        <w:t xml:space="preserve">Why it is widespread: In the 1990s, PANDAS (Pediatric Autoimmune Neuropsychiatric Disorders Associated with Streptococcal infections) hypothesis by Susan Swedo and colleagues, and marketing by alternative clinics.</w:t>
      </w:r>
    </w:p>
    <w:p>
      <w:pPr>
        <w:pStyle w:val="BodyText"/>
      </w:pPr>
      <w:r>
        <w:t xml:space="preserve">Clinical and biological rationale: Classic PANDAS clinical picture — rapid (hours-days) onset OCD/tics + emotional lability + post-streptococcal infection — is a rare event. Most tic patients show a typical course (gradual onset, waxing and waning).</w:t>
      </w:r>
    </w:p>
    <w:p>
      <w:pPr>
        <w:pStyle w:val="BodyText"/>
      </w:pPr>
      <w:r>
        <w:t xml:space="preserve">Evidence: NIMH 2017 PANDAS/PANS clinical statement: routine antistreptolysin O testing or antibiotic prophylaxis in general tic disorders is not recommended; assessed only if a classic clinical picture is present. Routine use of IVIG and plasmapheresis is not evidence-based (only within clinical trials).</w:t>
      </w:r>
    </w:p>
    <w:bookmarkEnd w:id="374"/>
    <w:bookmarkEnd w:id="375"/>
    <w:bookmarkStart w:id="379" w:name="harmful-or-erroneous-methods-1"/>
    <w:p>
      <w:pPr>
        <w:pStyle w:val="Heading4"/>
      </w:pPr>
      <w:r>
        <w:t xml:space="preserve">10.2 Harmful or erroneous methods</w:t>
      </w:r>
    </w:p>
    <w:bookmarkStart w:id="376" w:name="X46263e7108a10ae5eeeb235f3fa268f223d1033"/>
    <w:p>
      <w:pPr>
        <w:pStyle w:val="Heading5"/>
      </w:pPr>
      <w:r>
        <w:t xml:space="preserve">Myth 5: “Scolding or punishing a child harshly when they tic will make the tics go away”</w:t>
      </w:r>
    </w:p>
    <w:p>
      <w:pPr>
        <w:pStyle w:val="FirstParagraph"/>
      </w:pPr>
      <w:r>
        <w:t xml:space="preserve">Clinical logic: Tics can be partially voluntarily suppressed, but prolonged suppression leads to an increase in internal tension and subsequent “rebound” tic outbursts. Punishment does not reduce tics; on the contrary, it increases stress-related intensity.</w:t>
      </w:r>
    </w:p>
    <w:p>
      <w:pPr>
        <w:pStyle w:val="BodyText"/>
      </w:pPr>
      <w:r>
        <w:t xml:space="preserve">Evidence: AAN 2019, ESSTS 2022 — tics are not voluntary behavior; punitive approach is ineffective and harmful.</w:t>
      </w:r>
    </w:p>
    <w:bookmarkEnd w:id="376"/>
    <w:bookmarkStart w:id="377" w:name="X0daf4ad2095686121b318ceb19b56f265b243a1"/>
    <w:p>
      <w:pPr>
        <w:pStyle w:val="Heading5"/>
      </w:pPr>
      <w:r>
        <w:t xml:space="preserve">Myth 6: “Antipsychotic haloperidol should be first-line in all tic patients”</w:t>
      </w:r>
    </w:p>
    <w:p>
      <w:pPr>
        <w:pStyle w:val="FirstParagraph"/>
      </w:pPr>
      <w:r>
        <w:t xml:space="preserve">Evidence: AAN 2019 (Pringsheim) — α2-agonists (clonidine, guanfacine) Before antipsychotics. It is recommended due to its favorable side effect profile. Haloperidol and pimozide are FDA-approved, but they have third-line status because of risks for EPS, tardive dyskinesia, sedation, prolactin, and QTc prolongation.</w:t>
      </w:r>
    </w:p>
    <w:bookmarkEnd w:id="377"/>
    <w:bookmarkStart w:id="378" w:name="Xafc4a8f88e8f79c27f0e215a928ce4f3ac1a7b9"/>
    <w:p>
      <w:pPr>
        <w:pStyle w:val="Heading5"/>
      </w:pPr>
      <w:r>
        <w:t xml:space="preserve">Myth 7: “Stimulants cause tic explosions — stimulants are contraindicated for a Tourette patient with ADHD”</w:t>
      </w:r>
    </w:p>
    <w:p>
      <w:pPr>
        <w:pStyle w:val="FirstParagraph"/>
      </w:pPr>
      <w:r>
        <w:t xml:space="preserve">Evidence: Bloch M.H. et al. JAACAP 2009 meta-analysis (n=9 RCTs, n=477) and TACT (Treatment of ADHD in Children with Tics; Tourette's Syndrome Study Group. Neurology 2002;58(4):527–536) — moderate-dose methylphenidate does not significantly exacerbate tics; in some patients it even reduces tic severity. Comorbid ADHD constitutes the major part of functional impairment — considering stimulants as contraindicated is incorrect.</w:t>
      </w:r>
    </w:p>
    <w:p>
      <w:pPr>
        <w:pStyle w:val="BodyText"/>
      </w:pPr>
      <w:r>
        <w:t xml:space="preserve">Real clinical step: In comorbid ADHD, start stimulant, monitor patient for tic severity; if exacerbation observed, reduce dose or α2-agonist + stimulant combination.</w:t>
      </w:r>
    </w:p>
    <w:bookmarkEnd w:id="378"/>
    <w:bookmarkEnd w:id="379"/>
    <w:bookmarkStart w:id="386" w:name="Xef1fd3d05d2aca54e2c181ab75893d4eae8b3c3"/>
    <w:p>
      <w:pPr>
        <w:pStyle w:val="Heading4"/>
      </w:pPr>
      <w:r>
        <w:t xml:space="preserve">10.3 Ineffective or scientifically unfounded methods</w:t>
      </w:r>
    </w:p>
    <w:bookmarkStart w:id="380" w:name="X48d711b361495ad4c6b6167da4ce2ed26ffdd03"/>
    <w:p>
      <w:pPr>
        <w:pStyle w:val="Heading5"/>
      </w:pPr>
      <w:r>
        <w:t xml:space="preserve">Myth 8: “Cannabis (medical marijuana) is an effective treatment for Tourette syndrome”</w:t>
      </w:r>
    </w:p>
    <w:p>
      <w:pPr>
        <w:pStyle w:val="FirstParagraph"/>
      </w:pPr>
      <w:r>
        <w:t xml:space="preserve">Why it is widespread: anecdotal reports on social media, cannabis industry marketing, modest effects shown in some pilot studies.</w:t>
      </w:r>
    </w:p>
    <w:p>
      <w:pPr>
        <w:pStyle w:val="BodyText"/>
      </w:pPr>
      <w:r>
        <w:t xml:space="preserve">Evidence: Müller-Vahl K.R. studies (small RCTs) — THC may partially reduce tics, but evidence base is insufficient for clinical recommendation. AAN 2019 — cannabinoids are not standard first-line; risk profile (psychosis risk in adolescents, cognitive effects, dependence) is significant. May be considered only in refractory adult cases and where national legislation permits.</w:t>
      </w:r>
    </w:p>
    <w:bookmarkEnd w:id="380"/>
    <w:bookmarkStart w:id="381" w:name="Xdf34cab10bbd91164b9a2de8bcc013b75ea84d5"/>
    <w:p>
      <w:pPr>
        <w:pStyle w:val="Heading5"/>
      </w:pPr>
      <w:r>
        <w:t xml:space="preserve">Myth 9: “Special diet (gluten-free, casein-free) or avoidance of food additives eliminates Tourette's”</w:t>
      </w:r>
    </w:p>
    <w:p>
      <w:pPr>
        <w:pStyle w:val="FirstParagraph"/>
      </w:pPr>
      <w:r>
        <w:t xml:space="preserve">Evidence: No specific clinical evidence; AAP, AAN do not recommend.</w:t>
      </w:r>
    </w:p>
    <w:bookmarkEnd w:id="381"/>
    <w:bookmarkStart w:id="382" w:name="myth-10-eeg-neurofeedback-reduces-tics"/>
    <w:p>
      <w:pPr>
        <w:pStyle w:val="Heading5"/>
      </w:pPr>
      <w:r>
        <w:t xml:space="preserve">Myth 10: “EEG neurofeedback reduces tics”</w:t>
      </w:r>
    </w:p>
    <w:p>
      <w:pPr>
        <w:pStyle w:val="FirstParagraph"/>
      </w:pPr>
      <w:r>
        <w:t xml:space="preserve">Evidence: Evidence base is limited; AAN 2019 — not first-line; CBIT is significantly superior.</w:t>
      </w:r>
    </w:p>
    <w:bookmarkEnd w:id="382"/>
    <w:bookmarkStart w:id="383" w:name="Xd43997fc69ffca42ae83c04c72b98ed79bac2c1"/>
    <w:p>
      <w:pPr>
        <w:pStyle w:val="Heading5"/>
      </w:pPr>
      <w:r>
        <w:t xml:space="preserve">Myth 11: “Vitamin mega-doses, omega-3, magnesium resolve tics”</w:t>
      </w:r>
    </w:p>
    <w:p>
      <w:pPr>
        <w:pStyle w:val="FirstParagraph"/>
      </w:pPr>
      <w:r>
        <w:t xml:space="preserve">Evidence: Efficacy of these supplements for Tourette has not been proven; AAN 2019 and ESSTS 2022 do not recommend.</w:t>
      </w:r>
    </w:p>
    <w:bookmarkEnd w:id="383"/>
    <w:bookmarkStart w:id="384" w:name="Xc84fcc8600b417eba67047af48e8db37b99a92c"/>
    <w:p>
      <w:pPr>
        <w:pStyle w:val="Heading5"/>
      </w:pPr>
      <w:r>
        <w:t xml:space="preserve">Myth 12: “Acupuncture, homeopathy, craniosacral therapy cure Tourette's”</w:t>
      </w:r>
    </w:p>
    <w:p>
      <w:pPr>
        <w:pStyle w:val="FirstParagraph"/>
      </w:pPr>
      <w:r>
        <w:t xml:space="preserve">Evidence: Cochrane and systematic reviews — the effect of these complementary interventions for tic disorders has not been proven.</w:t>
      </w:r>
    </w:p>
    <w:bookmarkEnd w:id="384"/>
    <w:bookmarkStart w:id="385" w:name="X417e5d4e249b27e4b45bda16b7c5f432157e7b8"/>
    <w:p>
      <w:pPr>
        <w:pStyle w:val="Heading5"/>
      </w:pPr>
      <w:r>
        <w:t xml:space="preserve">Myth 13: “Hypnotherapy or psychoanalytic therapy resolves tics”</w:t>
      </w:r>
    </w:p>
    <w:p>
      <w:pPr>
        <w:pStyle w:val="FirstParagraph"/>
      </w:pPr>
      <w:r>
        <w:t xml:space="preserve">Evidence: Was dominant until the 1960s, but shows no efficacy in modern evidence base; CBIT or pharmacotherapy is superior.</w:t>
      </w:r>
    </w:p>
    <w:bookmarkEnd w:id="385"/>
    <w:bookmarkEnd w:id="386"/>
    <w:bookmarkEnd w:id="387"/>
    <w:bookmarkStart w:id="388" w:name="X22b129f98060b16b06569a47c0c2e29f65dcf29"/>
    <w:p>
      <w:pPr>
        <w:pStyle w:val="Heading3"/>
      </w:pPr>
      <w:r>
        <w:t xml:space="preserve">11. Sources</w:t>
      </w:r>
    </w:p>
    <w:p>
      <w:pPr>
        <w:pStyle w:val="Compact"/>
        <w:numPr>
          <w:ilvl w:val="0"/>
          <w:numId w:val="1177"/>
        </w:numPr>
      </w:pPr>
      <w:r>
        <w:t xml:space="preserve">WHO. ICD-11 for Mortality and Morbidity Statistics. 8A05.0 Primary tics or tic disorders. 2024.</w:t>
      </w:r>
    </w:p>
    <w:p>
      <w:pPr>
        <w:pStyle w:val="Compact"/>
        <w:numPr>
          <w:ilvl w:val="0"/>
          <w:numId w:val="1177"/>
        </w:numPr>
      </w:pPr>
      <w:r>
        <w:t xml:space="preserve">American Psychiatric Association. DSM-5-TR. Washington DC: APA Publishing; 2022.</w:t>
      </w:r>
    </w:p>
    <w:p>
      <w:pPr>
        <w:pStyle w:val="Compact"/>
        <w:numPr>
          <w:ilvl w:val="0"/>
          <w:numId w:val="1177"/>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177"/>
        </w:numPr>
      </w:pPr>
      <w:r>
        <w:t xml:space="preserve">Müller-Vahl K.R., Szejko N., Verdellen C. et al. European clinical guidelines for Tourette syndrome and other tic disorders — version 2.0. Eur Child Adolesc Psychiatry 2022;31(3):403–423.</w:t>
      </w:r>
    </w:p>
    <w:p>
      <w:pPr>
        <w:pStyle w:val="Compact"/>
        <w:numPr>
          <w:ilvl w:val="0"/>
          <w:numId w:val="1177"/>
        </w:numPr>
      </w:pPr>
      <w:r>
        <w:t xml:space="preserve">Piacentini J., Woods D.W., Scahill L. et al. Behavior therapy for children with Tourette disorder: a randomized controlled trial. JAMA 2010;303(19):1929–1937.</w:t>
      </w:r>
    </w:p>
    <w:p>
      <w:pPr>
        <w:pStyle w:val="Compact"/>
        <w:numPr>
          <w:ilvl w:val="0"/>
          <w:numId w:val="1177"/>
        </w:numPr>
      </w:pPr>
      <w:r>
        <w:t xml:space="preserve">Wilhelm S., Peterson A.L., Piacentini J. et al. Randomized trial of behavior therapy for adults with Tourette syndrome. Arch Gen Psychiatry 2012;69(8):795–803.</w:t>
      </w:r>
    </w:p>
    <w:p>
      <w:pPr>
        <w:pStyle w:val="Compact"/>
        <w:numPr>
          <w:ilvl w:val="0"/>
          <w:numId w:val="1177"/>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177"/>
        </w:numPr>
      </w:pPr>
      <w:r>
        <w:t xml:space="preserve">Bloch M.H., Leckman J.F. Clinical course of Tourette syndrome. J Psychosom Res 2009;67(6):497–501.</w:t>
      </w:r>
    </w:p>
    <w:p>
      <w:pPr>
        <w:pStyle w:val="Compact"/>
        <w:numPr>
          <w:ilvl w:val="0"/>
          <w:numId w:val="1177"/>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177"/>
        </w:numPr>
      </w:pPr>
      <w:r>
        <w:t xml:space="preserve">Freeman R.D. et al. Coprophenomena in Tourette syndrome. Dev Med Child Neurol 2009;51(3):218–227.</w:t>
      </w:r>
    </w:p>
    <w:p>
      <w:pPr>
        <w:pStyle w:val="Compact"/>
        <w:numPr>
          <w:ilvl w:val="0"/>
          <w:numId w:val="1177"/>
        </w:numPr>
      </w:pPr>
      <w:r>
        <w:t xml:space="preserve">Knight T., Steeves T., Day L. et al. Prevalence of tic disorders: a systematic review and meta-analysis. Pediatr Neurol 2012;47(2):77–90.</w:t>
      </w:r>
    </w:p>
    <w:p>
      <w:pPr>
        <w:pStyle w:val="Compact"/>
        <w:numPr>
          <w:ilvl w:val="0"/>
          <w:numId w:val="1177"/>
        </w:numPr>
      </w:pPr>
      <w:r>
        <w:t xml:space="preserve">Mataix-Cols D., Isomura K., Pérez-Vigil A. et al. Familial risks of Tourette syndrome and chronic tic disorders: a population-based cohort study. JAMA Psychiatry 2015;72(8):787–793.</w:t>
      </w:r>
    </w:p>
    <w:p>
      <w:pPr>
        <w:pStyle w:val="Compact"/>
        <w:numPr>
          <w:ilvl w:val="0"/>
          <w:numId w:val="1177"/>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177"/>
        </w:numPr>
      </w:pPr>
      <w:r>
        <w:t xml:space="preserve">Roessner V., Schoenefeld K., Buse J. et al. Pharmacological treatment of tic disorders and Tourette syndrome. Neuropharmacology 2013;68:143–149.</w:t>
      </w:r>
    </w:p>
    <w:p>
      <w:pPr>
        <w:pStyle w:val="Compact"/>
        <w:numPr>
          <w:ilvl w:val="0"/>
          <w:numId w:val="1177"/>
        </w:numPr>
      </w:pPr>
      <w:r>
        <w:t xml:space="preserve">Roessner V., Plessen K.J., Rothenberger A. et al. European clinical guidelines for Tourette syndrome and other tic disorders. Part II: pharmacological treatment. Eur Child Adolesc Psychiatry 2011;20(4):173–196.</w:t>
      </w:r>
    </w:p>
    <w:p>
      <w:pPr>
        <w:pStyle w:val="Compact"/>
        <w:numPr>
          <w:ilvl w:val="0"/>
          <w:numId w:val="1177"/>
        </w:numPr>
      </w:pPr>
      <w:r>
        <w:t xml:space="preserve">Tourette's Syndrome Study Group. Treatment of ADHD in children with tics: a randomized controlled trial. Neurology 2002;58(4):527–536.</w:t>
      </w:r>
    </w:p>
    <w:p>
      <w:pPr>
        <w:pStyle w:val="Compact"/>
        <w:numPr>
          <w:ilvl w:val="0"/>
          <w:numId w:val="1177"/>
        </w:numPr>
      </w:pPr>
      <w:r>
        <w:t xml:space="preserve">Pringsheim T., Ganos C., McGuire J.F. et al. Rapid Onset Functional Tic-Like Behaviors in Young Females During the COVID-19 Pandemic. Mov Disord 2021;36(12):2707–2713.</w:t>
      </w:r>
    </w:p>
    <w:p>
      <w:pPr>
        <w:pStyle w:val="Compact"/>
        <w:numPr>
          <w:ilvl w:val="0"/>
          <w:numId w:val="1177"/>
        </w:numPr>
      </w:pPr>
      <w:r>
        <w:t xml:space="preserve">Schrock L.E., Mink J.W., Woods D.W. et al. Tourette syndrome deep brain stimulation: a review and updated recommendations. Mov Disord 2015;30(4):448–471.</w:t>
      </w:r>
    </w:p>
    <w:p>
      <w:pPr>
        <w:pStyle w:val="Compact"/>
        <w:numPr>
          <w:ilvl w:val="0"/>
          <w:numId w:val="1177"/>
        </w:numPr>
      </w:pPr>
      <w:r>
        <w:t xml:space="preserve">National Institute of Mental Health (NIMH). PANDAS/PANS Information for Clinicians. 2017.</w:t>
      </w:r>
    </w:p>
    <w:p>
      <w:pPr>
        <w:pStyle w:val="Compact"/>
        <w:numPr>
          <w:ilvl w:val="0"/>
          <w:numId w:val="1177"/>
        </w:numPr>
      </w:pPr>
      <w:r>
        <w:t xml:space="preserve">Azrin N.H., Nunn R.G. Habit-reversal: a method of eliminating nervous habits and tics. Behav Res Ther 1973;11(4):619–628.</w:t>
      </w:r>
    </w:p>
    <w:bookmarkEnd w:id="388"/>
    <w:bookmarkStart w:id="389" w:name="m106a206a2z-schizophrenia-spectrum"/>
    <w:p>
      <w:pPr>
        <w:pageBreakBefore/>
        <w:pStyle w:val="Heading1"/>
      </w:pPr>
      <w:r>
        <w:t xml:space="preserve">6A20–6A2Z SCHIZOPHRENIA SPECTRUM</w:t>
      </w:r>
    </w:p>
    <w:p>
      <w:pPr>
        <w:pStyle w:val="FirstParagraph"/>
      </w:pPr>
      <w:r>
        <w:t xml:space="preserve">Schizophrenia or other primary psychotic disorders</w:t>
      </w:r>
    </w:p>
    <w:bookmarkEnd w:id="389"/>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390" w:name="m116a20-schizophrenia"/>
            <w:r>
              <w:t xml:space="preserve">6A20 SCHIZOPHRENIA</w:t>
            </w:r>
            <w:bookmarkEnd w:id="390"/>
          </w:p>
          <w:p>
            <w:pPr>
              <w:pStyle w:val="Compact"/>
              <w:ind w:firstLine="0" w:left="0"/>
            </w:pPr>
            <w:r>
              <w:rPr>
                <w:lang w:val="en"/>
              </w:rPr>
              <w:t xml:space="preserve">Schizophrenia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w:t>
            </w:r>
          </w:p>
        </w:tc>
      </w:tr>
    </w:tbl>
    <w:bookmarkStart w:id="391" w:name="X5d2d45aa740fdbdbeff9c35241309996444cba9"/>
    <w:p>
      <w:pPr>
        <w:pStyle w:val="Heading3"/>
      </w:pPr>
      <w:r>
        <w:t xml:space="preserve">1. Definition and nosology</w:t>
      </w:r>
    </w:p>
    <w:p>
      <w:pPr>
        <w:pStyle w:val="FirstParagraph"/>
      </w:pPr>
      <w:r>
        <w:t xml:space="preserve">Schizophrenia — a psychotic disorder characterized by significant disturbance in thought, perception, affect, and behavior, accompanied by at least one month of active-phase symptoms and typically a chronic course. In the ICD-11 classification it is placed under code</w:t>
      </w:r>
      <w:r>
        <w:t xml:space="preserve"> </w:t>
      </w:r>
      <w:r>
        <w:t xml:space="preserve">6A20</w:t>
      </w:r>
      <w:r>
        <w:t xml:space="preserve"> </w:t>
      </w:r>
      <w:r>
        <w:t xml:space="preserve">in the group ‘Schizophrenia and other primary psychotic disorders’ (6A2x).</w:t>
      </w:r>
    </w:p>
    <w:p>
      <w:pPr>
        <w:pStyle w:val="BodyText"/>
      </w:pPr>
      <w:r>
        <w:t xml:space="preserve">Nosologically, it is a primary psychotic disturbance — meaning psychotic symptoms are not fully explained by another medical condition, substance effect, or affective disturbance. Schizoaffective disturbance (</w:t>
      </w:r>
      <w:r>
        <w:t xml:space="preserve">6A21</w:t>
      </w:r>
      <w:r>
        <w:t xml:space="preserve">), schizotypal disorder (</w:t>
      </w:r>
      <w:r>
        <w:t xml:space="preserve">6A22</w:t>
      </w:r>
      <w:r>
        <w:t xml:space="preserve">), acute and transient psychotic disorder (</w:t>
      </w:r>
      <w:r>
        <w:t xml:space="preserve">6A23</w:t>
      </w:r>
      <w:r>
        <w:t xml:space="preserve">) and delusional disorder (</w:t>
      </w:r>
      <w:r>
        <w:t xml:space="preserve">6A24</w:t>
      </w:r>
      <w:r>
        <w:t xml:space="preserve">) are coded separately.</w:t>
      </w:r>
    </w:p>
    <w:bookmarkEnd w:id="391"/>
    <w:bookmarkStart w:id="392" w:name="Xb23b87584ae2b4b8aea5aa019e94e04b367c77b"/>
    <w:p>
      <w:pPr>
        <w:pStyle w:val="Heading3"/>
      </w:pPr>
      <w:r>
        <w:t xml:space="preserve">2. History</w:t>
      </w:r>
    </w:p>
    <w:p>
      <w:pPr>
        <w:pStyle w:val="FirstParagraph"/>
      </w:pPr>
      <w:r>
        <w:t xml:space="preserve">The modern concept of schizophrenia has passed through four main stages:</w:t>
      </w:r>
    </w:p>
    <w:p>
      <w:pPr>
        <w:pStyle w:val="Compact"/>
        <w:numPr>
          <w:ilvl w:val="0"/>
          <w:numId w:val="1178"/>
        </w:numPr>
      </w:pPr>
      <w:r>
        <w:t xml:space="preserve">Kraepelin (1899) — “dementia praecox” (early dementia) — a disorder characterized by persistent cognitive decline that begins in early adulthood.</w:t>
      </w:r>
    </w:p>
    <w:p>
      <w:pPr>
        <w:pStyle w:val="Compact"/>
        <w:numPr>
          <w:ilvl w:val="0"/>
          <w:numId w:val="1178"/>
        </w:numPr>
      </w:pPr>
      <w:r>
        <w:t xml:space="preserve">Bleuler (1911) — The term “schizophrenias” (meaning “split mind,” but not in the sense of “dual personality”); the “4A” symptoms (loosening of associations, affect, ambivalence, autism) are taken as fundamental.</w:t>
      </w:r>
    </w:p>
    <w:p>
      <w:pPr>
        <w:pStyle w:val="Compact"/>
        <w:numPr>
          <w:ilvl w:val="0"/>
          <w:numId w:val="1178"/>
        </w:numPr>
      </w:pPr>
      <w:r>
        <w:t xml:space="preserve">Schneider (1959) — “1st-degree symptoms” (thought-audible, commentary hallucinations, thought theft, sense of control) accepted as diagnostic priority; this approach is reflected in DSM-III and ICD-10.</w:t>
      </w:r>
    </w:p>
    <w:p>
      <w:pPr>
        <w:pStyle w:val="Compact"/>
        <w:numPr>
          <w:ilvl w:val="0"/>
          <w:numId w:val="1178"/>
        </w:numPr>
      </w:pPr>
      <w:r>
        <w:t xml:space="preserve">DSM-5 (2013) and ICD-11 (2019) — subtypes (paranoid, hebephrenic, catatonic, simple) have been abolished (clinical utility and validity not proven, variable over time); Schneider's first-rank symptoms have been downgraded to equal status with other symptoms; additionally in ICD-11 dimensional approach has been applied —</w:t>
      </w:r>
      <w:r>
        <w:t xml:space="preserve"> </w:t>
      </w:r>
      <w:r>
        <w:t xml:space="preserve">6A25</w:t>
      </w:r>
      <w:r>
        <w:t xml:space="preserve"> </w:t>
      </w:r>
      <w:r>
        <w:t xml:space="preserve">symptom domains (positive, negative, depressive, manic, psychomotor, cognitive) and</w:t>
      </w:r>
      <w:r>
        <w:t xml:space="preserve"> </w:t>
      </w:r>
      <w:r>
        <w:t xml:space="preserve">6A20.x</w:t>
      </w:r>
      <w:r>
        <w:t xml:space="preserve"> </w:t>
      </w:r>
      <w:r>
        <w:t xml:space="preserve">Course qualifiers.</w:t>
      </w:r>
    </w:p>
    <w:p>
      <w:pPr>
        <w:pStyle w:val="FirstParagraph"/>
      </w:pPr>
      <w:r>
        <w:t xml:space="preserve">Main changes compared with ICD-10 (</w:t>
      </w:r>
      <w:r>
        <w:t xml:space="preserve">F20</w:t>
      </w:r>
      <w:r>
        <w:t xml:space="preserve">): elimination of subtypes, elimination of the special status of Schneiderian symptoms, retention of the 1-month duration criterion, but unlike the 6-month requirement in DSM-5-TR, no total illness duration requirement.</w:t>
      </w:r>
    </w:p>
    <w:bookmarkEnd w:id="392"/>
    <w:bookmarkStart w:id="396" w:name="X0b7c25860e035a2e56cd6e5015f332438a951aa"/>
    <w:p>
      <w:pPr>
        <w:pStyle w:val="Heading3"/>
      </w:pPr>
      <w:r>
        <w:t xml:space="preserve">3. Epidemiology</w:t>
      </w:r>
    </w:p>
    <w:bookmarkStart w:id="393" w:name="prevalence-and-incidence"/>
    <w:p>
      <w:pPr>
        <w:pStyle w:val="Heading4"/>
      </w:pPr>
      <w:r>
        <w:t xml:space="preserve">Prevalence and incidence</w:t>
      </w:r>
    </w:p>
    <w:p>
      <w:pPr>
        <w:pStyle w:val="Compact"/>
        <w:numPr>
          <w:ilvl w:val="0"/>
          <w:numId w:val="1179"/>
        </w:numPr>
      </w:pPr>
      <w:r>
        <w:t xml:space="preserve">Lifetime prevalence: 0.3–0.7% (Saha S. et al. PLoS Med 2005, systematic review, 188 studies, 46 countries).</w:t>
      </w:r>
    </w:p>
    <w:p>
      <w:pPr>
        <w:pStyle w:val="Compact"/>
        <w:numPr>
          <w:ilvl w:val="0"/>
          <w:numId w:val="1179"/>
        </w:numPr>
      </w:pPr>
      <w:r>
        <w:t xml:space="preserve">Annual incidence: 15.2 / 100 000 (McGrath J.J. et al. BMC Med 2004 meta-analysis).</w:t>
      </w:r>
    </w:p>
    <w:p>
      <w:pPr>
        <w:pStyle w:val="Compact"/>
        <w:numPr>
          <w:ilvl w:val="0"/>
          <w:numId w:val="1179"/>
        </w:numPr>
      </w:pPr>
      <w:r>
        <w:t xml:space="preserve">Geographic and cultural variability exists, but the core incidence rate remains within a certain range.</w:t>
      </w:r>
    </w:p>
    <w:bookmarkEnd w:id="393"/>
    <w:bookmarkStart w:id="394" w:name="sex-and-age"/>
    <w:p>
      <w:pPr>
        <w:pStyle w:val="Heading4"/>
      </w:pPr>
      <w:r>
        <w:t xml:space="preserve">Sex and age</w:t>
      </w:r>
    </w:p>
    <w:p>
      <w:pPr>
        <w:pStyle w:val="Compact"/>
        <w:numPr>
          <w:ilvl w:val="0"/>
          <w:numId w:val="1180"/>
        </w:numPr>
      </w:pPr>
      <w:r>
        <w:t xml:space="preserve">Male : female ratio ~1.4 : 1; onset age in males 18–25, in females 25–35 (Aleman A. et al. Arch Gen Psychiatry 2003).</w:t>
      </w:r>
    </w:p>
    <w:p>
      <w:pPr>
        <w:pStyle w:val="Compact"/>
        <w:numPr>
          <w:ilvl w:val="0"/>
          <w:numId w:val="1180"/>
        </w:numPr>
      </w:pPr>
      <w:r>
        <w:t xml:space="preserve">In women, a second incidence peak is observed after menopause (associated with the reduction of the neuroprotective effect of estrogen).</w:t>
      </w:r>
    </w:p>
    <w:p>
      <w:pPr>
        <w:pStyle w:val="Compact"/>
        <w:numPr>
          <w:ilvl w:val="0"/>
          <w:numId w:val="1180"/>
        </w:numPr>
      </w:pPr>
      <w:r>
        <w:t xml:space="preserve">Onset in childhood is rare (&lt;1% of all cases); a first diagnosis after the age of 50 is uncommon.</w:t>
      </w:r>
    </w:p>
    <w:bookmarkEnd w:id="394"/>
    <w:bookmarkStart w:id="395" w:name="comorbidity-and-mortality"/>
    <w:p>
      <w:pPr>
        <w:pStyle w:val="Heading4"/>
      </w:pPr>
      <w:r>
        <w:t xml:space="preserve">Comorbidity and mortality</w:t>
      </w:r>
    </w:p>
    <w:p>
      <w:pPr>
        <w:pStyle w:val="Compact"/>
        <w:numPr>
          <w:ilvl w:val="0"/>
          <w:numId w:val="1181"/>
        </w:numPr>
      </w:pPr>
      <w:r>
        <w:t xml:space="preserve">Substance use disorder — comorbid ~50% (especially tobacco, cannabis, alcohol).</w:t>
      </w:r>
    </w:p>
    <w:p>
      <w:pPr>
        <w:pStyle w:val="Compact"/>
        <w:numPr>
          <w:ilvl w:val="0"/>
          <w:numId w:val="1181"/>
        </w:numPr>
      </w:pPr>
      <w:r>
        <w:t xml:space="preserve">Depression — comorbid in 25–80% over the course.</w:t>
      </w:r>
    </w:p>
    <w:p>
      <w:pPr>
        <w:pStyle w:val="Compact"/>
        <w:numPr>
          <w:ilvl w:val="0"/>
          <w:numId w:val="1181"/>
        </w:numPr>
      </w:pPr>
      <w:r>
        <w:t xml:space="preserve">Suicide: Lifetime risk ~5–10% (Hor K., Taylor M. J Psychopharmacol 2010); the highest risk is within the first 5 years.</w:t>
      </w:r>
    </w:p>
    <w:p>
      <w:pPr>
        <w:pStyle w:val="Compact"/>
        <w:numPr>
          <w:ilvl w:val="0"/>
          <w:numId w:val="1181"/>
        </w:numPr>
      </w:pPr>
      <w:r>
        <w:t xml:space="preserve">Overall mortality: 2–3 times higher compared to the population; average expected lifespan is 15–20 years shorter (Olfson M. et al. JAMA Psychiatry 2015) — mainly cardiovascular diseases, metabolic syndrome, tobacco use.</w:t>
      </w:r>
    </w:p>
    <w:bookmarkEnd w:id="395"/>
    <w:bookmarkEnd w:id="396"/>
    <w:bookmarkStart w:id="401" w:name="X98f72511956a7ffb85dd483617558c7565321e1"/>
    <w:p>
      <w:pPr>
        <w:pStyle w:val="Heading3"/>
      </w:pPr>
      <w:r>
        <w:t xml:space="preserve">4. Aetiology and pathogenesis</w:t>
      </w:r>
    </w:p>
    <w:bookmarkStart w:id="397" w:name="genetic-factors-4"/>
    <w:p>
      <w:pPr>
        <w:pStyle w:val="Heading4"/>
      </w:pPr>
      <w:r>
        <w:t xml:space="preserve">4.1 Genetic factors</w:t>
      </w:r>
    </w:p>
    <w:p>
      <w:pPr>
        <w:pStyle w:val="FirstParagraph"/>
      </w:pPr>
      <w:r>
        <w:t xml:space="preserve">Heritability 60–80% (Sullivan P.F. et al. Arch Gen Psychiatry 2003, twin meta-analysis). Monozygotic twin concordance ~50%, dizygotic ~15%, general population risk ~1%. One parent with schizophrenia — child risk ~10%; both parents — ~40%.</w:t>
      </w:r>
    </w:p>
    <w:p>
      <w:pPr>
        <w:pStyle w:val="BodyText"/>
      </w:pPr>
      <w:r>
        <w:t xml:space="preserve">Polygenic nature: GWAS studies have identified over 200 risk loci (Trubetskoy V. et al. Nature 2022, n&gt;76,000 cases). There is no single “schizophrenia gene” — the risk is made up of hundreds of small-effect variants and Copy number variations (CNV) — 22q11.2 deletion (~25-fold increased risk), 16p11.2, NRXN1 deletions.</w:t>
      </w:r>
    </w:p>
    <w:bookmarkEnd w:id="397"/>
    <w:bookmarkStart w:id="398" w:name="neurodevelopmental-model"/>
    <w:p>
      <w:pPr>
        <w:pStyle w:val="Heading4"/>
      </w:pPr>
      <w:r>
        <w:t xml:space="preserve">4.2 Neurodevelopmental model</w:t>
      </w:r>
    </w:p>
    <w:p>
      <w:pPr>
        <w:pStyle w:val="FirstParagraph"/>
      </w:pPr>
      <w:r>
        <w:t xml:space="preserve">Schizophrenia as a neurodevelopmental disorder — accepted (Weinberger D.R. Arch Gen Psychiatry 1987; Murray R.M., Lewis S.W. BMJ 1987). Disturbance in early brain development (intrauterine and early postnatal) leads to clinical manifestation in young age. Evidence:</w:t>
      </w:r>
    </w:p>
    <w:p>
      <w:pPr>
        <w:pStyle w:val="Compact"/>
        <w:numPr>
          <w:ilvl w:val="0"/>
          <w:numId w:val="1182"/>
        </w:numPr>
      </w:pPr>
      <w:r>
        <w:t xml:space="preserve">Premorbid cognitive deficits and motor delays — documented from childhood.</w:t>
      </w:r>
    </w:p>
    <w:p>
      <w:pPr>
        <w:pStyle w:val="Compact"/>
        <w:numPr>
          <w:ilvl w:val="0"/>
          <w:numId w:val="1182"/>
        </w:numPr>
      </w:pPr>
      <w:r>
        <w:t xml:space="preserve">Synaptic pruning (during puberty) is excessive — reduction in cortical gray matter mass.</w:t>
      </w:r>
    </w:p>
    <w:p>
      <w:pPr>
        <w:pStyle w:val="Compact"/>
        <w:numPr>
          <w:ilvl w:val="0"/>
          <w:numId w:val="1182"/>
        </w:numPr>
      </w:pPr>
      <w:r>
        <w:t xml:space="preserve">Already documented brain structural changes in the first episode (not a mediator — a marker).</w:t>
      </w:r>
    </w:p>
    <w:bookmarkEnd w:id="398"/>
    <w:bookmarkStart w:id="399" w:name="environmental-risk-factors-2"/>
    <w:p>
      <w:pPr>
        <w:pStyle w:val="Heading4"/>
      </w:pPr>
      <w:r>
        <w:t xml:space="preserve">4.3 Environmental risk factors</w:t>
      </w:r>
    </w:p>
    <w:p>
      <w:pPr>
        <w:pStyle w:val="Compact"/>
        <w:numPr>
          <w:ilvl w:val="0"/>
          <w:numId w:val="1183"/>
        </w:numPr>
      </w:pPr>
      <w:r>
        <w:t xml:space="preserve">Obstetric complications — hypoxia, infection, fetal growth restriction (Cannon M. et al. Am J Psychiatry 2002 meta-analysis, OR ~2).</w:t>
      </w:r>
    </w:p>
    <w:p>
      <w:pPr>
        <w:pStyle w:val="Compact"/>
        <w:numPr>
          <w:ilvl w:val="0"/>
          <w:numId w:val="1183"/>
        </w:numPr>
      </w:pPr>
      <w:r>
        <w:t xml:space="preserve">Maternal viral infections during pregnancy (influenza, herpes) — increase risk by 2–7 times (Brown A.S. Schizophr Bull 2006).</w:t>
      </w:r>
    </w:p>
    <w:p>
      <w:pPr>
        <w:pStyle w:val="Compact"/>
        <w:numPr>
          <w:ilvl w:val="0"/>
          <w:numId w:val="1183"/>
        </w:numPr>
      </w:pPr>
      <w:r>
        <w:t xml:space="preserve">Cannabis use during adulthood — increases psychosis risk 2–3 times, even with early and high THC doses (Marconi A. et al. Schizophr Bull 2016 meta-analysis).</w:t>
      </w:r>
    </w:p>
    <w:p>
      <w:pPr>
        <w:pStyle w:val="Compact"/>
        <w:numPr>
          <w:ilvl w:val="0"/>
          <w:numId w:val="1183"/>
        </w:numPr>
      </w:pPr>
      <w:r>
        <w:t xml:space="preserve">Growing up in urban environments, migration, social isolation, childhood trauma — moderate increase in risk (van Os J. et al. Nature 2010 review).</w:t>
      </w:r>
    </w:p>
    <w:p>
      <w:pPr>
        <w:pStyle w:val="Compact"/>
        <w:numPr>
          <w:ilvl w:val="0"/>
          <w:numId w:val="1183"/>
        </w:numPr>
      </w:pPr>
      <w:r>
        <w:t xml:space="preserve">Paternal age 45+ — associated with increased risk of new mutations (Malaspina D. Arch Gen Psychiatry 2001).</w:t>
      </w:r>
    </w:p>
    <w:bookmarkEnd w:id="399"/>
    <w:bookmarkStart w:id="400" w:name="neurobiological-mechanisms-5"/>
    <w:p>
      <w:pPr>
        <w:pStyle w:val="Heading4"/>
      </w:pPr>
      <w:r>
        <w:t xml:space="preserve">4.4 Neurobiological mechanisms</w:t>
      </w:r>
    </w:p>
    <w:p>
      <w:pPr>
        <w:pStyle w:val="Compact"/>
        <w:numPr>
          <w:ilvl w:val="0"/>
          <w:numId w:val="1184"/>
        </w:numPr>
      </w:pPr>
      <w:r>
        <w:t xml:space="preserve">Dopamine hypothesis (updated): mesolimbic dopamine</w:t>
      </w:r>
      <w:r>
        <w:t xml:space="preserve"> </w:t>
      </w:r>
      <w:r>
        <w:rPr>
          <w:i/>
          <w:iCs/>
        </w:rPr>
        <w:t xml:space="preserve">hyperactivity</w:t>
      </w:r>
      <w:r>
        <w:t xml:space="preserve"> </w:t>
      </w:r>
      <w:r>
        <w:t xml:space="preserve">→ positive symptoms; mesocortical</w:t>
      </w:r>
      <w:r>
        <w:t xml:space="preserve"> </w:t>
      </w:r>
      <w:r>
        <w:rPr>
          <w:i/>
          <w:iCs/>
        </w:rPr>
        <w:t xml:space="preserve">hypoactivity</w:t>
      </w:r>
      <w:r>
        <w:t xml:space="preserve"> </w:t>
      </w:r>
      <w:r>
        <w:t xml:space="preserve">→ negative and cognitive symptoms (Howes O.D., Kapur S. Schizophr Bull 2009).</w:t>
      </w:r>
    </w:p>
    <w:p>
      <w:pPr>
        <w:pStyle w:val="Compact"/>
        <w:numPr>
          <w:ilvl w:val="0"/>
          <w:numId w:val="1184"/>
        </w:numPr>
      </w:pPr>
      <w:r>
        <w:t xml:space="preserve">Glutamate NMDA hypofunction: Ketamine and PCP produce schizophrenia-like symptoms via NMDA blockade; this places the glutamate system as the second key mechanism (Olney J.W., Farber N.B. Arch Gen Psychiatry 1995).</w:t>
      </w:r>
    </w:p>
    <w:p>
      <w:pPr>
        <w:pStyle w:val="Compact"/>
        <w:numPr>
          <w:ilvl w:val="0"/>
          <w:numId w:val="1184"/>
        </w:numPr>
      </w:pPr>
      <w:r>
        <w:t xml:space="preserve">GABAergic interneurons: Parvalbumin-positive interneuron dysfunction in the prefrontal cortex leads to working memory impairment.</w:t>
      </w:r>
    </w:p>
    <w:p>
      <w:pPr>
        <w:pStyle w:val="Compact"/>
        <w:numPr>
          <w:ilvl w:val="0"/>
          <w:numId w:val="1184"/>
        </w:numPr>
      </w:pPr>
      <w:r>
        <w:t xml:space="preserve">Structural changes: a decrease in cortical gray matter volume (particularly prefrontal and superior temporal cortex), ventricular enlargement, hippocampal volume reduction (Haijma S.V. et al. Schizophr Bull 2013, meta-analysis n&gt;8000).</w:t>
      </w:r>
    </w:p>
    <w:p>
      <w:pPr>
        <w:pStyle w:val="Compact"/>
        <w:numPr>
          <w:ilvl w:val="0"/>
          <w:numId w:val="1184"/>
        </w:numPr>
      </w:pPr>
      <w:r>
        <w:t xml:space="preserve">Inflammation theory: Elevated CRP, IL-6, and microglia activation documented in first episodes (Khandaker G.M. et al. Lancet Psychiatry 2015).</w:t>
      </w:r>
    </w:p>
    <w:bookmarkEnd w:id="400"/>
    <w:bookmarkEnd w:id="401"/>
    <w:bookmarkStart w:id="405" w:name="Xb49eb48f29cede65a084c7647c96e1009b3137a"/>
    <w:p>
      <w:pPr>
        <w:pStyle w:val="Heading3"/>
      </w:pPr>
      <w:r>
        <w:t xml:space="preserve">5. Clinical features</w:t>
      </w:r>
    </w:p>
    <w:bookmarkStart w:id="402" w:name="symptom-domains-icd-11-6a25"/>
    <w:p>
      <w:pPr>
        <w:pStyle w:val="Heading4"/>
      </w:pPr>
      <w:r>
        <w:t xml:space="preserve">Symptom domains (ICD-11 / 6A25)</w:t>
      </w:r>
    </w:p>
    <w:p>
      <w:pPr>
        <w:pStyle w:val="DefinitionTerm"/>
      </w:pPr>
      <w:r>
        <w:t xml:space="preserve">Positive symptoms</w:t>
      </w:r>
    </w:p>
    <w:p>
      <w:pPr>
        <w:pStyle w:val="Definition"/>
      </w:pPr>
      <w:r>
        <w:t xml:space="preserve">Delusion (persecutory, relational, grandiose, control), hallucinations (most typical auditory — commentary or dialogue), formal thought disorder (disorganized speech, neologisms, “word salad”), grossly disorganized behavior.</w:t>
      </w:r>
    </w:p>
    <w:p>
      <w:pPr>
        <w:pStyle w:val="DefinitionTerm"/>
      </w:pPr>
      <w:r>
        <w:t xml:space="preserve">Negative symptoms</w:t>
      </w:r>
    </w:p>
    <w:p>
      <w:pPr>
        <w:pStyle w:val="Definition"/>
      </w:pPr>
      <w:r>
        <w:t xml:space="preserve">Affective flattening, avolition (loss of motivation), alogia (poverty of speech), anhedonia, social withdrawal. A major factor in functional impairment; responds poorly to pharmacotherapy.</w:t>
      </w:r>
    </w:p>
    <w:p>
      <w:pPr>
        <w:pStyle w:val="DefinitionTerm"/>
      </w:pPr>
      <w:r>
        <w:t xml:space="preserve">Cognitive symptoms</w:t>
      </w:r>
    </w:p>
    <w:p>
      <w:pPr>
        <w:pStyle w:val="Definition"/>
      </w:pPr>
      <w:r>
        <w:t xml:space="preserve">Working memory, attention, executive function, semantic and work-related memory impairments. Present in 75–85% of patients (Heinrichs R.W., Zakzanis K.K. Neuropsychology 1998 meta-analysis).</w:t>
      </w:r>
    </w:p>
    <w:p>
      <w:pPr>
        <w:pStyle w:val="DefinitionTerm"/>
      </w:pPr>
      <w:r>
        <w:t xml:space="preserve">Depressive and manic symptoms</w:t>
      </w:r>
    </w:p>
    <w:p>
      <w:pPr>
        <w:pStyle w:val="Definition"/>
      </w:pPr>
      <w:r>
        <w:t xml:space="preserve">Affective episodes are widespread in the course of schizophrenia; if the affective episode does not explain the psychotic symptoms, the diagnosis of schizophrenia remains.</w:t>
      </w:r>
    </w:p>
    <w:p>
      <w:pPr>
        <w:pStyle w:val="DefinitionTerm"/>
      </w:pPr>
      <w:r>
        <w:t xml:space="preserve">Psychomotor symptoms</w:t>
      </w:r>
    </w:p>
    <w:p>
      <w:pPr>
        <w:pStyle w:val="Definition"/>
      </w:pPr>
      <w:r>
        <w:t xml:space="preserve">Catatonic components (mutism, negativism, waxy flexibility, stereotypy), agitation, retardation.</w:t>
      </w:r>
    </w:p>
    <w:bookmarkEnd w:id="402"/>
    <w:bookmarkStart w:id="403" w:name="stages-of-illness"/>
    <w:p>
      <w:pPr>
        <w:pStyle w:val="Heading4"/>
      </w:pPr>
      <w:r>
        <w:t xml:space="preserve">Stages of illness</w:t>
      </w:r>
    </w:p>
    <w:p>
      <w:pPr>
        <w:pStyle w:val="Compact"/>
        <w:numPr>
          <w:ilvl w:val="0"/>
          <w:numId w:val="1185"/>
        </w:numPr>
      </w:pPr>
      <w:r>
        <w:t xml:space="preserve">Premorbid phase — discrete cognitive and social deficits starting from childhood (clinical schizophrenia is not yet present).</w:t>
      </w:r>
    </w:p>
    <w:p>
      <w:pPr>
        <w:pStyle w:val="Compact"/>
        <w:numPr>
          <w:ilvl w:val="0"/>
          <w:numId w:val="1185"/>
        </w:numPr>
      </w:pPr>
      <w:r>
        <w:t xml:space="preserve">Prodromal phase — months-years; social withdrawal, unusual experiences, depressive symptoms, subclinical psychotic symptoms.</w:t>
      </w:r>
    </w:p>
    <w:p>
      <w:pPr>
        <w:pStyle w:val="Compact"/>
        <w:numPr>
          <w:ilvl w:val="0"/>
          <w:numId w:val="1185"/>
        </w:numPr>
      </w:pPr>
      <w:r>
        <w:t xml:space="preserve">Acute (first) psychotic episode — manifest positive symptoms; average age 18–25 (in males).</w:t>
      </w:r>
    </w:p>
    <w:p>
      <w:pPr>
        <w:pStyle w:val="Compact"/>
        <w:numPr>
          <w:ilvl w:val="0"/>
          <w:numId w:val="1185"/>
        </w:numPr>
      </w:pPr>
      <w:r>
        <w:t xml:space="preserve">Stabilization and residual phases — residual symptoms, functional impairment, relapse episodes.</w:t>
      </w:r>
    </w:p>
    <w:bookmarkEnd w:id="403"/>
    <w:bookmarkStart w:id="404" w:name="X3030864c2142fca0319591bff1ef3c7e62e0f49"/>
    <w:p>
      <w:pPr>
        <w:pStyle w:val="Heading4"/>
      </w:pPr>
      <w:r>
        <w:t xml:space="preserve">The “1/3 principle” (Hegarty J.D. et al. Am J Psychiatry 1994 review)</w:t>
      </w:r>
    </w:p>
    <w:p>
      <w:pPr>
        <w:pStyle w:val="Compact"/>
        <w:numPr>
          <w:ilvl w:val="0"/>
          <w:numId w:val="1186"/>
        </w:numPr>
      </w:pPr>
      <w:r>
        <w:t xml:space="preserve">1/3 patients — good functional recovery.</w:t>
      </w:r>
    </w:p>
    <w:p>
      <w:pPr>
        <w:pStyle w:val="Compact"/>
        <w:numPr>
          <w:ilvl w:val="0"/>
          <w:numId w:val="1186"/>
        </w:numPr>
      </w:pPr>
      <w:r>
        <w:t xml:space="preserve">~1/3 — residual symptoms, partial functional recovery.</w:t>
      </w:r>
    </w:p>
    <w:p>
      <w:pPr>
        <w:pStyle w:val="Compact"/>
        <w:numPr>
          <w:ilvl w:val="0"/>
          <w:numId w:val="1186"/>
        </w:numPr>
      </w:pPr>
      <w:r>
        <w:t xml:space="preserve">~1/3 — severe chronic course, requires continuous support.</w:t>
      </w:r>
    </w:p>
    <w:bookmarkEnd w:id="404"/>
    <w:bookmarkEnd w:id="405"/>
    <w:bookmarkStart w:id="410" w:name="X9d6ea0bb65452464ff618b5d3e8886ad7290f7a"/>
    <w:p>
      <w:pPr>
        <w:pStyle w:val="Heading3"/>
      </w:pPr>
      <w:r>
        <w:t xml:space="preserve">6. Diagnosis</w:t>
      </w:r>
    </w:p>
    <w:bookmarkStart w:id="406" w:name="Xe9f96a6de242fa448af500cb787e102b40d271f"/>
    <w:p>
      <w:pPr>
        <w:pStyle w:val="Heading4"/>
      </w:pPr>
      <w:r>
        <w:t xml:space="preserve">6.1 Unified diagnostic criteria (DSM-5-TR · ICD-11 · NICE CG178 consensus)</w:t>
      </w:r>
    </w:p>
    <w:p>
      <w:pPr>
        <w:pStyle w:val="FirstParagraph"/>
      </w:pPr>
      <w:r>
        <w:t xml:space="preserve">A. Active-phase symptoms — at least 2 of the following must have persisted for ≥ 1 month; at least one must be from (1)–(3):</w:t>
      </w:r>
    </w:p>
    <w:p>
      <w:pPr>
        <w:pStyle w:val="Compact"/>
        <w:numPr>
          <w:ilvl w:val="0"/>
          <w:numId w:val="1187"/>
        </w:numPr>
      </w:pPr>
      <w:r>
        <w:t xml:space="preserve">Delusion</w:t>
      </w:r>
    </w:p>
    <w:p>
      <w:pPr>
        <w:pStyle w:val="Compact"/>
        <w:numPr>
          <w:ilvl w:val="0"/>
          <w:numId w:val="1187"/>
        </w:numPr>
      </w:pPr>
      <w:r>
        <w:t xml:space="preserve">Hallucinations</w:t>
      </w:r>
    </w:p>
    <w:p>
      <w:pPr>
        <w:pStyle w:val="Compact"/>
        <w:numPr>
          <w:ilvl w:val="0"/>
          <w:numId w:val="1187"/>
        </w:numPr>
      </w:pPr>
      <w:r>
        <w:t xml:space="preserve">Formal thought disorder / disorganized speech</w:t>
      </w:r>
    </w:p>
    <w:p>
      <w:pPr>
        <w:pStyle w:val="Compact"/>
        <w:numPr>
          <w:ilvl w:val="0"/>
          <w:numId w:val="1187"/>
        </w:numPr>
      </w:pPr>
      <w:r>
        <w:t xml:space="preserve">Grossly disorganized or catatonic behavior</w:t>
      </w:r>
    </w:p>
    <w:p>
      <w:pPr>
        <w:pStyle w:val="Compact"/>
        <w:numPr>
          <w:ilvl w:val="0"/>
          <w:numId w:val="1187"/>
        </w:numPr>
      </w:pPr>
      <w:r>
        <w:t xml:space="preserve">Negative symptoms (affective flattening, avolition, alogia)</w:t>
      </w:r>
    </w:p>
    <w:p>
      <w:pPr>
        <w:pStyle w:val="FirstParagraph"/>
      </w:pPr>
      <w:r>
        <w:t xml:space="preserve">B. Functional impairment — significant decline in one or several areas of work, relationship or self-care.</w:t>
      </w:r>
    </w:p>
    <w:p>
      <w:pPr>
        <w:pStyle w:val="BodyText"/>
      </w:pPr>
      <w:r>
        <w:t xml:space="preserve">C. Exclusions — psychoactive substance effects and organic causes (toxicology screening, brain imaging, lab tests) must be excluded.</w:t>
      </w:r>
    </w:p>
    <w:p>
      <w:pPr>
        <w:pStyle w:val="BodyText"/>
      </w:pPr>
      <w:r>
        <w:t xml:space="preserve">D. Affective differentiation — affective episode does not fully explain psychotic symptoms (schizoaffective disorder or affective disorder with psychotic features excluded).</w:t>
      </w:r>
    </w:p>
    <w:bookmarkEnd w:id="406"/>
    <w:bookmarkStart w:id="407" w:name="differences-between-sources-13"/>
    <w:p>
      <w:pPr>
        <w:pStyle w:val="Heading4"/>
      </w:pPr>
      <w:r>
        <w:t xml:space="preserve">6.2 Differences between sources</w:t>
      </w:r>
    </w:p>
    <w:p>
      <w:pPr>
        <w:pStyle w:val="Compact"/>
        <w:numPr>
          <w:ilvl w:val="0"/>
          <w:numId w:val="1188"/>
        </w:numPr>
      </w:pPr>
      <w:r>
        <w:t xml:space="preserve">DSM-5-TR (F20.9) additional requirement: general disease duration ≥6 months (1 month active + prodromal and/or residual). On a background of autism spectrum or speech disorder — schizophrenia is coded only when clear delusions or hallucinations are additionally present.</w:t>
      </w:r>
    </w:p>
    <w:p>
      <w:pPr>
        <w:pStyle w:val="Compact"/>
        <w:numPr>
          <w:ilvl w:val="0"/>
          <w:numId w:val="1188"/>
        </w:numPr>
      </w:pPr>
      <w:r>
        <w:t xml:space="preserve">Difference in ICD-11 (6A20): ≥ 1 month of active symptoms is sufficient, overall 6-month requirement is not necessary. Subtypes have been abolished; instead 6A25 symptom domains and 6A20.x course qualifiers (0 first episode acute, 1 first episode partial or full remission, 2 multiple episodes, 3 continuous, Z unspecified) is coded.</w:t>
      </w:r>
    </w:p>
    <w:p>
      <w:pPr>
        <w:pStyle w:val="Compact"/>
        <w:numPr>
          <w:ilvl w:val="0"/>
          <w:numId w:val="1188"/>
        </w:numPr>
      </w:pPr>
      <w:r>
        <w:t xml:space="preserve">NICE CG178 practice requirement: The diagnosis is clinical, but should be supported by structured interview (SCID-5 or MINI) and severity scale (PANSS or BPRS); first episode: brain MRI, EKG, baseline metabolic indicators (glucose, HbA1c, lipids, prolactin) is mandatory.</w:t>
      </w:r>
    </w:p>
    <w:bookmarkEnd w:id="407"/>
    <w:bookmarkStart w:id="408" w:name="diagnostic-algorithm-8"/>
    <w:p>
      <w:pPr>
        <w:pStyle w:val="Heading4"/>
      </w:pPr>
      <w:r>
        <w:t xml:space="preserve">6.3 Diagnostic algorithm</w:t>
      </w:r>
    </w:p>
    <w:p>
      <w:pPr>
        <w:pStyle w:val="Compact"/>
        <w:numPr>
          <w:ilvl w:val="0"/>
          <w:numId w:val="1189"/>
        </w:numPr>
      </w:pPr>
      <w:r>
        <w:t xml:space="preserve">Clinical interview (patient + at least one informed relative).</w:t>
      </w:r>
    </w:p>
    <w:p>
      <w:pPr>
        <w:pStyle w:val="Compact"/>
        <w:numPr>
          <w:ilvl w:val="0"/>
          <w:numId w:val="1189"/>
        </w:numPr>
      </w:pPr>
      <w:r>
        <w:t xml:space="preserve">Structured diagnostic interview (SCID-5 or MINI).</w:t>
      </w:r>
    </w:p>
    <w:p>
      <w:pPr>
        <w:pStyle w:val="Compact"/>
        <w:numPr>
          <w:ilvl w:val="0"/>
          <w:numId w:val="1189"/>
        </w:numPr>
      </w:pPr>
      <w:r>
        <w:t xml:space="preserve">Severity assessment (initial PANSS or BPRS score).</w:t>
      </w:r>
    </w:p>
    <w:p>
      <w:pPr>
        <w:pStyle w:val="Compact"/>
        <w:numPr>
          <w:ilvl w:val="0"/>
          <w:numId w:val="1189"/>
        </w:numPr>
      </w:pPr>
      <w:r>
        <w:t xml:space="preserve">Physical and neurological examination.</w:t>
      </w:r>
    </w:p>
    <w:p>
      <w:pPr>
        <w:pStyle w:val="Compact"/>
        <w:numPr>
          <w:ilvl w:val="0"/>
          <w:numId w:val="1189"/>
        </w:numPr>
      </w:pPr>
      <w:r>
        <w:t xml:space="preserve">Toxicology screening (urine) and substance use history.</w:t>
      </w:r>
    </w:p>
    <w:p>
      <w:pPr>
        <w:pStyle w:val="Compact"/>
        <w:numPr>
          <w:ilvl w:val="0"/>
          <w:numId w:val="1189"/>
        </w:numPr>
      </w:pPr>
      <w:r>
        <w:t xml:space="preserve">Mandatory laboratory tests (see § 7.2 below).</w:t>
      </w:r>
    </w:p>
    <w:p>
      <w:pPr>
        <w:pStyle w:val="Compact"/>
        <w:numPr>
          <w:ilvl w:val="0"/>
          <w:numId w:val="1189"/>
        </w:numPr>
      </w:pPr>
      <w:r>
        <w:t xml:space="preserve">Brain MRI (at first episode).</w:t>
      </w:r>
    </w:p>
    <w:p>
      <w:pPr>
        <w:pStyle w:val="Compact"/>
        <w:numPr>
          <w:ilvl w:val="0"/>
          <w:numId w:val="1189"/>
        </w:numPr>
      </w:pPr>
      <w:r>
        <w:t xml:space="preserve">Differential diagnosis (§ 6.4).</w:t>
      </w:r>
    </w:p>
    <w:p>
      <w:pPr>
        <w:pStyle w:val="Compact"/>
        <w:numPr>
          <w:ilvl w:val="0"/>
          <w:numId w:val="1189"/>
        </w:numPr>
      </w:pPr>
      <w:r>
        <w:t xml:space="preserve">Comorbidity and suicide risk assessment (C-SSRS).</w:t>
      </w:r>
    </w:p>
    <w:p>
      <w:pPr>
        <w:pStyle w:val="Compact"/>
        <w:numPr>
          <w:ilvl w:val="0"/>
          <w:numId w:val="1189"/>
        </w:numPr>
      </w:pPr>
      <w:r>
        <w:t xml:space="preserve">Functional level assessment (GAF or PSP).</w:t>
      </w:r>
    </w:p>
    <w:bookmarkEnd w:id="408"/>
    <w:bookmarkStart w:id="409" w:name="differential-diagnosis-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Schizoaffective disorder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 affective episode is present during a significant portion of the psychotic symptoms, but psychosis also persists during periods outside the affective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Schizotypal disorder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Psychotic-like symptoms; full psychosis criteria absent; persistent personality traits.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Delusions only; hallucinations minimal or absent; functioning relatively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and transient psychotic disorder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Duration ≤ 3 months (ICD-11) or &lt; 1 month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disorder with psychotic features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Psychosis exists only in the context of manic or depressive episodes.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Temporal relationship with substance use or withdrawal; remission after substance elimination.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Secondary (organic) psychosis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condition-related (epilepsy, autoimmune encephalitis, brain tumor, Wilson's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Early onset, social-communicative deficit primary; hallucinations/delusions not typical.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 disorders (6D10) — with schizotypal and paranoid characteristics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personality traits, no full psychotic episodes.</w:t>
            </w:r>
          </w:p>
        </w:tc>
      </w:tr>
    </w:tbl>
    <w:bookmarkEnd w:id="409"/>
    <w:bookmarkEnd w:id="410"/>
    <w:bookmarkStart w:id="414" w:name="X64edcc89755752b449f22d8d01100422fbf4705"/>
    <w:p>
      <w:pPr>
        <w:pStyle w:val="Heading3"/>
      </w:pPr>
      <w:r>
        <w:t xml:space="preserve">7. Examination and assessment</w:t>
      </w:r>
    </w:p>
    <w:bookmarkStart w:id="411" w:name="clinical-interview-and-scales-1"/>
    <w:p>
      <w:pPr>
        <w:pStyle w:val="Heading4"/>
      </w:pPr>
      <w:r>
        <w:t xml:space="preserve">7.1 Clinical interview and scales</w:t>
      </w:r>
    </w:p>
    <w:p>
      <w:pPr>
        <w:pStyle w:val="Compact"/>
        <w:numPr>
          <w:ilvl w:val="0"/>
          <w:numId w:val="1190"/>
        </w:numPr>
      </w:pPr>
      <w:r>
        <w:t xml:space="preserve">Structured interview: SCID-5 (for DSM-5), MINI (short, accessible in clinical practice).</w:t>
      </w:r>
    </w:p>
    <w:p>
      <w:pPr>
        <w:pStyle w:val="Compact"/>
        <w:numPr>
          <w:ilvl w:val="0"/>
          <w:numId w:val="1190"/>
        </w:numPr>
      </w:pPr>
      <w:r>
        <w:t xml:space="preserve">Severity scales (gold standard): PANSS (30 indicators, 7-point scale), BPRS (18 indicators), SANS/SAPS (negative/positive separately), CGI-S.</w:t>
      </w:r>
    </w:p>
    <w:p>
      <w:pPr>
        <w:pStyle w:val="Compact"/>
        <w:numPr>
          <w:ilvl w:val="0"/>
          <w:numId w:val="1190"/>
        </w:numPr>
      </w:pPr>
      <w:r>
        <w:t xml:space="preserve">Functional level: GAF (DSM-IV), PSP (Personal and Social Performance Scale).</w:t>
      </w:r>
    </w:p>
    <w:p>
      <w:pPr>
        <w:pStyle w:val="Compact"/>
        <w:numPr>
          <w:ilvl w:val="0"/>
          <w:numId w:val="1190"/>
        </w:numPr>
      </w:pPr>
      <w:r>
        <w:t xml:space="preserve">Suicide risk: C-SSRS (Columbia Suicide Severity Rating Scale).</w:t>
      </w:r>
    </w:p>
    <w:p>
      <w:pPr>
        <w:pStyle w:val="Compact"/>
        <w:numPr>
          <w:ilvl w:val="0"/>
          <w:numId w:val="1190"/>
        </w:numPr>
      </w:pPr>
      <w:r>
        <w:t xml:space="preserve">Cognitive assessment: MATRICS Consensus Cognitive Battery (MCCB) — research and specialized clinics.</w:t>
      </w:r>
    </w:p>
    <w:bookmarkEnd w:id="411"/>
    <w:bookmarkStart w:id="412" w:name="laboratory-investigations-7"/>
    <w:p>
      <w:pPr>
        <w:pStyle w:val="Heading4"/>
      </w:pPr>
      <w:r>
        <w:t xml:space="preserve">7.2 Laboratory investigations</w:t>
      </w:r>
    </w:p>
    <w:p>
      <w:pPr>
        <w:pStyle w:val="FirstParagraph"/>
      </w:pPr>
      <w:r>
        <w:t xml:space="preserve">Mandatory in first episode: Complete blood count, liver and kidney function tests, fasting glucose and HbA1c, lipid profile, TSH and T4, vitamin B12 and folate, toxicology screening (cannabis, amphetamine, opioid, cocaine, PCP, MDMA), HIV and syphilis serology, pregnancy test (in females), baseline prolactin level.</w:t>
      </w:r>
    </w:p>
    <w:p>
      <w:pPr>
        <w:pStyle w:val="BodyText"/>
      </w:pPr>
      <w:r>
        <w:t xml:space="preserve">Selective (based on clinical suspicion): EEG (rule out seizure or delirium), anti-NMDA-R antibodies (CSF — atypical presentation), ceruloplasmin and 24-hour urine copper (suspected Wilson's disease), B12/folate/homocysteine (suspected organic cause).</w:t>
      </w:r>
    </w:p>
    <w:bookmarkEnd w:id="412"/>
    <w:bookmarkStart w:id="413" w:name="instrumental-investigations-8"/>
    <w:p>
      <w:pPr>
        <w:pStyle w:val="Heading4"/>
      </w:pPr>
      <w:r>
        <w:t xml:space="preserve">7.3 Instrumental investigations</w:t>
      </w:r>
    </w:p>
    <w:p>
      <w:pPr>
        <w:pStyle w:val="Compact"/>
        <w:numPr>
          <w:ilvl w:val="0"/>
          <w:numId w:val="1191"/>
        </w:numPr>
      </w:pPr>
      <w:r>
        <w:t xml:space="preserve">Brain MRI (T1, T2, FLAIR) — recommended at first episode (NICE CG178).</w:t>
      </w:r>
    </w:p>
    <w:p>
      <w:pPr>
        <w:pStyle w:val="Compact"/>
        <w:numPr>
          <w:ilvl w:val="0"/>
          <w:numId w:val="1191"/>
        </w:numPr>
      </w:pPr>
      <w:r>
        <w:t xml:space="preserve">EKG — before starting antipsychotic (baseline QTc).</w:t>
      </w:r>
    </w:p>
    <w:p>
      <w:pPr>
        <w:pStyle w:val="Compact"/>
        <w:numPr>
          <w:ilvl w:val="0"/>
          <w:numId w:val="1191"/>
        </w:numPr>
      </w:pPr>
      <w:r>
        <w:t xml:space="preserve">Brain CT — when MRI is unavailable.</w:t>
      </w:r>
    </w:p>
    <w:bookmarkEnd w:id="413"/>
    <w:bookmarkEnd w:id="414"/>
    <w:bookmarkStart w:id="424" w:name="Xae9e6fdaa02912726dffd7674aa675e26605902"/>
    <w:p>
      <w:pPr>
        <w:pStyle w:val="Heading3"/>
      </w:pPr>
      <w:r>
        <w:t xml:space="preserve">8. Treatment</w:t>
      </w:r>
    </w:p>
    <w:bookmarkStart w:id="415" w:name="Xa4d4030cc71104d734c6b7c0ffa4d916fa1be60"/>
    <w:p>
      <w:pPr>
        <w:pStyle w:val="Heading4"/>
      </w:pPr>
      <w:r>
        <w:t xml:space="preserve">8.1 General principles (NICE CG178 · APA 2021 · WFSBP 2015 · Maudsley 14e consensus)</w:t>
      </w:r>
    </w:p>
    <w:p>
      <w:pPr>
        <w:pStyle w:val="Compact"/>
        <w:numPr>
          <w:ilvl w:val="0"/>
          <w:numId w:val="1192"/>
        </w:numPr>
      </w:pPr>
      <w:r>
        <w:t xml:space="preserve">Multimodal approach — pharmacotherapy + psychosocial intervention + systemic support. Pharmacotherapy alone is not sufficient for functional recovery.</w:t>
      </w:r>
    </w:p>
    <w:p>
      <w:pPr>
        <w:pStyle w:val="Compact"/>
        <w:numPr>
          <w:ilvl w:val="0"/>
          <w:numId w:val="1192"/>
        </w:numPr>
      </w:pPr>
      <w:r>
        <w:t xml:space="preserve">Collaborative decision-making with the patient (shared decision making) — medication, dose, and side effect profile are discussed; adherence begins at this stage.</w:t>
      </w:r>
    </w:p>
    <w:p>
      <w:pPr>
        <w:pStyle w:val="Compact"/>
        <w:numPr>
          <w:ilvl w:val="0"/>
          <w:numId w:val="1192"/>
        </w:numPr>
      </w:pPr>
      <w:r>
        <w:t xml:space="preserve">Atypical antipsychotic in first episode preferred — low dose, gradual titration. In a first episode the lower half of the standard dose may be sufficient.</w:t>
      </w:r>
    </w:p>
    <w:p>
      <w:pPr>
        <w:pStyle w:val="Compact"/>
        <w:numPr>
          <w:ilvl w:val="0"/>
          <w:numId w:val="1192"/>
        </w:numPr>
      </w:pPr>
      <w:r>
        <w:t xml:space="preserve">Effect assessment — Partial response in 2–4 weeks, full response at adequate dose expected in 4–6 weeks. If no response, the medication is changed.</w:t>
      </w:r>
    </w:p>
    <w:p>
      <w:pPr>
        <w:pStyle w:val="Compact"/>
        <w:numPr>
          <w:ilvl w:val="0"/>
          <w:numId w:val="1192"/>
        </w:numPr>
      </w:pPr>
      <w:r>
        <w:t xml:space="preserve">Monotherapy — antipsychotic polypharmacy increases side effect burden, evidence of effect weak; clozapine + second antipsychotic may be an exception.</w:t>
      </w:r>
    </w:p>
    <w:p>
      <w:pPr>
        <w:pStyle w:val="Compact"/>
        <w:numPr>
          <w:ilvl w:val="0"/>
          <w:numId w:val="1192"/>
        </w:numPr>
      </w:pPr>
      <w:r>
        <w:t xml:space="preserve">Treatment-resistant schizophrenia (TRS) — failure to respond to two different antipsychotics at adequate dose and duration (each 6–8 weeks) — clozapine initiated.</w:t>
      </w:r>
    </w:p>
    <w:p>
      <w:pPr>
        <w:pStyle w:val="Compact"/>
        <w:numPr>
          <w:ilvl w:val="0"/>
          <w:numId w:val="1192"/>
        </w:numPr>
      </w:pPr>
      <w:r>
        <w:t xml:space="preserve">Supportive treatment — at least 1–2 years after first episode, long-term/lifetime after multiple episodes. Discontinuing the antipsychotic sharply raises relapse risk: at one year relapse was 27% on drug versus 64% on placebo (Leucht S. et al. Lancet 2012, 65 trials, n=6493; RR 0.40).</w:t>
      </w:r>
    </w:p>
    <w:p>
      <w:pPr>
        <w:pStyle w:val="Compact"/>
        <w:numPr>
          <w:ilvl w:val="0"/>
          <w:numId w:val="1192"/>
        </w:numPr>
      </w:pPr>
      <w:r>
        <w:t xml:space="preserve">Psychosocial intervention — CBTp and family intervention should be offered to all patients (NICE CG178 — strong recommendation).</w:t>
      </w:r>
    </w:p>
    <w:p>
      <w:pPr>
        <w:pStyle w:val="Compact"/>
        <w:numPr>
          <w:ilvl w:val="0"/>
          <w:numId w:val="1192"/>
        </w:numPr>
      </w:pPr>
      <w:r>
        <w:t xml:space="preserve">Systematic monitoring — metabolic parameters, EPS, prolactin, EKG.</w:t>
      </w:r>
    </w:p>
    <w:p>
      <w:pPr>
        <w:pStyle w:val="Compact"/>
        <w:numPr>
          <w:ilvl w:val="0"/>
          <w:numId w:val="1192"/>
        </w:numPr>
      </w:pPr>
      <w:r>
        <w:t xml:space="preserve">LAI (long-acting injectable) — in cases of adherence issues or patient preference; better outcome in relapse prevention after first episode (Tiihonen J. et al. JAMA Psychiatry 2017).</w:t>
      </w:r>
    </w:p>
    <w:bookmarkEnd w:id="415"/>
    <w:bookmarkStart w:id="416" w:name="X1e2cda477bd3d43f55fcad09f9458a7e227e8a8"/>
    <w:p>
      <w:pPr>
        <w:pStyle w:val="Heading4"/>
      </w:pPr>
      <w:r>
        <w:t xml:space="preserve">8.2 Pharmacotherapy — First-Line Antipsychotics</w:t>
      </w:r>
    </w:p>
    <w:p>
      <w:pPr>
        <w:pStyle w:val="FirstParagraph"/>
      </w:pPr>
      <w:r>
        <w:t xml:space="preserve">Mechanism, dose, evidence, and side effect profile for each medication.</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Receptor profile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Standard dose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Main adverse effect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Advantage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5–20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Weight gain, metabolic syndrome, sedation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High efficacy, but metabolic risk high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EPS (dose &gt; 6 mg), hyperprolactinemia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Widely used, inexpensive, LAI variant available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partial agonist, 5-HT1A agonist, 5-HT2A antagonist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10–30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Akathisia, dizziness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Metabolic profile good, prolactin neutral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Quetiapine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(weak),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300–800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Sedation, orthostatic hypotension, weight gain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Soft EPS profile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Active metabolite of risperidone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6–12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Hyperprolactinemia,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LAI (monthly, 3-monthly, 6-monthly) formulations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Lurasidone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40–160 mg/day (with meals)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Akathisia, nausea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Metabolic profile very good; must be taken with food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Ziprasidone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80–160 mg/day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QT prolongation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Requires EKG monitoring</w:t>
            </w:r>
          </w:p>
        </w:tc>
      </w:tr>
    </w:tbl>
    <w:p>
      <w:pPr>
        <w:pStyle w:val="BodyText"/>
      </w:pPr>
      <w:r>
        <w:t xml:space="preserve">Typical (first generation) antipsychotics — haloperidol 5–20 mg/day, chlorpromazine 200–800 mg/day, flupentixol 6–18 mg/day, zuclopenthixol 25–150 mg/day. Effective for positive symptoms, but EPS, tardive dyskinesia, and weak effect on negative symptoms — not superior when atypical antipsychotics are available.</w:t>
      </w:r>
    </w:p>
    <w:p>
      <w:pPr>
        <w:pStyle w:val="BodyText"/>
      </w:pPr>
      <w:r>
        <w:t xml:space="preserve">Note on the mechanism: Primary mechanism of all antipsychotics is mesolimbic D2 receptor antagonism (in atypicals, additional 5-HT2A antagonism — contributes to the reduction of negative symptoms and EPS). 60–80% D2 occupancy is therapeutic range; &gt;80% increases EPS risk. Below 60% the effect is insufficient (Kapur S., Mamo D. Prog Neuropsychopharmacol Biol Psychiatry 2003).</w:t>
      </w:r>
    </w:p>
    <w:bookmarkEnd w:id="416"/>
    <w:bookmarkStart w:id="417" w:name="X8facef28cec57556cd3e2f9a9e8e9a177dbbb80"/>
    <w:p>
      <w:pPr>
        <w:pStyle w:val="Heading4"/>
      </w:pPr>
      <w:r>
        <w:t xml:space="preserve">8.3 Treatment-Resistant Schizophrenia and Clozapine</w:t>
      </w:r>
    </w:p>
    <w:p>
      <w:pPr>
        <w:pStyle w:val="FirstParagraph"/>
      </w:pPr>
      <w:r>
        <w:t xml:space="preserve">Clozapine — The single superior evidence-based medication in TRS (Kane J. et al. Arch Gen Psychiatry 1988 initial RCT; Siskind D. et al. Br J Psychiatry 2016 meta-analysis). 30–60% of TRS patients respond to clozapine.</w:t>
      </w:r>
    </w:p>
    <w:p>
      <w:pPr>
        <w:pStyle w:val="BodyText"/>
      </w:pPr>
      <w:r>
        <w:t xml:space="preserve">Why is it superior: Low D2 occupancy (40–60%), but strong effect on various receptors (D4, 5-HT2A, M1, α1); fewer EPS, better effect on negative symptoms; reduces suicide (FDA indication).</w:t>
      </w:r>
    </w:p>
    <w:p>
      <w:pPr>
        <w:pStyle w:val="BodyText"/>
      </w:pPr>
      <w:r>
        <w:t xml:space="preserve">Initiation protocol: 12.5 mg starting; gradually increase to 200–450 mg/day (max 900 mg/day). Complete blood count + leukocyte formula — weekly for first 18 weeks, then every 2 weeks for up to 1 year, then monthly. Neutrophils 1000–1499 /μL — mild neutropenia, continue with enhanced monitoring; &lt; 1000 /μL → interrupt treatment; &lt; 500 /μL → severe neutropenia. In benign ethnic neutropenia the threshold is &lt; 500 /μL.</w:t>
      </w:r>
    </w:p>
    <w:p>
      <w:pPr>
        <w:pStyle w:val="BodyText"/>
      </w:pPr>
      <w:r>
        <w:t xml:space="preserve">Clozapine side effects and management:</w:t>
      </w:r>
    </w:p>
    <w:p>
      <w:pPr>
        <w:pStyle w:val="Compact"/>
        <w:numPr>
          <w:ilvl w:val="0"/>
          <w:numId w:val="1193"/>
        </w:numPr>
      </w:pPr>
      <w:r>
        <w:t xml:space="preserve">Agranulocytosis (~0.8%, mortality 5%) — blood count monitoring.</w:t>
      </w:r>
    </w:p>
    <w:p>
      <w:pPr>
        <w:pStyle w:val="Compact"/>
        <w:numPr>
          <w:ilvl w:val="0"/>
          <w:numId w:val="1193"/>
        </w:numPr>
      </w:pPr>
      <w:r>
        <w:t xml:space="preserve">Myocarditis — especially within the first 4 weeks; troponin, EKG.</w:t>
      </w:r>
    </w:p>
    <w:p>
      <w:pPr>
        <w:pStyle w:val="Compact"/>
        <w:numPr>
          <w:ilvl w:val="0"/>
          <w:numId w:val="1193"/>
        </w:numPr>
      </w:pPr>
      <w:r>
        <w:t xml:space="preserve">Constipation — risk of ileus and perforation; prophylactic laxative.</w:t>
      </w:r>
    </w:p>
    <w:p>
      <w:pPr>
        <w:pStyle w:val="Compact"/>
        <w:numPr>
          <w:ilvl w:val="0"/>
          <w:numId w:val="1193"/>
        </w:numPr>
      </w:pPr>
      <w:r>
        <w:t xml:space="preserve">Hypersalivation, sedation — dose-dependent.</w:t>
      </w:r>
    </w:p>
    <w:p>
      <w:pPr>
        <w:pStyle w:val="Compact"/>
        <w:numPr>
          <w:ilvl w:val="0"/>
          <w:numId w:val="1193"/>
        </w:numPr>
      </w:pPr>
      <w:r>
        <w:t xml:space="preserve">Seizures — the risk rises at doses above 600 mg/day; EEG monitoring.</w:t>
      </w:r>
    </w:p>
    <w:p>
      <w:pPr>
        <w:pStyle w:val="Compact"/>
        <w:numPr>
          <w:ilvl w:val="0"/>
          <w:numId w:val="1193"/>
        </w:numPr>
      </w:pPr>
      <w:r>
        <w:t xml:space="preserve">Metabolic syndrome — high; regular monitoring.</w:t>
      </w:r>
    </w:p>
    <w:p>
      <w:pPr>
        <w:pStyle w:val="FirstParagraph"/>
      </w:pPr>
      <w:r>
        <w:t xml:space="preserve">Clozapine discontinuation — important clinical point: sudden cessation causes rebound psychosis (more severe than original symptoms), cholinergic rebound (nausea, vomiting, diarrhea) and adrenergic rebound (agitation, insomnia). If discontinuation is required due to agranulocytosis — the patient is switched gradually to another antipsychotic (olanzapine or quetiapine) in an inpatient setting. For planned discontinuation — 25% reduction per week.</w:t>
      </w:r>
    </w:p>
    <w:bookmarkEnd w:id="417"/>
    <w:bookmarkStart w:id="418" w:name="lai-long-acting-injectable-options"/>
    <w:p>
      <w:pPr>
        <w:pStyle w:val="Heading4"/>
      </w:pPr>
      <w:r>
        <w:t xml:space="preserve">8.4 LAI (Long-Acting Injectable) Options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Standard dose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Risperidone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Every 2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25–50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Paliperidone palmitate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Monthly / 3-monthly / 6-monthly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mg monthly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Aripiprazole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Monthly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Olanzapine pamoate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Once every 2–4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150–300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Haloperidol decanoate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Every 4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50–200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Flupentixol decanoate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Once every 2–4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mg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Zuclopenthixol decanoate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Once every 2–4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200–400 mg</w:t>
            </w:r>
          </w:p>
        </w:tc>
      </w:tr>
    </w:tbl>
    <w:bookmarkEnd w:id="418"/>
    <w:bookmarkStart w:id="419" w:name="Xe492af0ca6a09649f1165c11b32d528d6d79bf9"/>
    <w:p>
      <w:pPr>
        <w:pStyle w:val="Heading4"/>
      </w:pPr>
      <w:r>
        <w:t xml:space="preserve">8.5 Management of Acute Psychomotor Agitation</w:t>
      </w:r>
    </w:p>
    <w:p>
      <w:pPr>
        <w:pStyle w:val="Compact"/>
        <w:numPr>
          <w:ilvl w:val="0"/>
          <w:numId w:val="1194"/>
        </w:numPr>
      </w:pPr>
      <w:r>
        <w:t xml:space="preserve">Oral (dominant): lorazepam 1–2 mg + olanzapine 5–10 mg oral disintegrating tablet, or risperidone 1–2 mg oral solution.</w:t>
      </w:r>
    </w:p>
    <w:p>
      <w:pPr>
        <w:pStyle w:val="Compact"/>
        <w:numPr>
          <w:ilvl w:val="0"/>
          <w:numId w:val="1194"/>
        </w:numPr>
      </w:pPr>
      <w:r>
        <w:t xml:space="preserve">Intramuscular Olanzapine im 10 mg, or aripiprazole im 9.75 mg, or haloperidol 5 mg + lorazepam 2 mg im (classic).</w:t>
      </w:r>
    </w:p>
    <w:p>
      <w:pPr>
        <w:pStyle w:val="Compact"/>
        <w:numPr>
          <w:ilvl w:val="0"/>
          <w:numId w:val="1194"/>
        </w:numPr>
      </w:pPr>
      <w:r>
        <w:t xml:space="preserve">Attention: Olanzapine im + benzodiazepine parenteral — risk of respiratory depression; should not be used concurrently.</w:t>
      </w:r>
    </w:p>
    <w:bookmarkEnd w:id="419"/>
    <w:bookmarkStart w:id="420" w:name="management-of-side-effects"/>
    <w:p>
      <w:pPr>
        <w:pStyle w:val="Heading4"/>
      </w:pPr>
      <w:r>
        <w:t xml:space="preserve">8.6 Management of Side Effects</w:t>
      </w:r>
    </w:p>
    <w:p>
      <w:pPr>
        <w:pStyle w:val="FirstParagraph"/>
      </w:pPr>
      <w:r>
        <w:t xml:space="preserve">Extrapyramidal symptoms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Symptom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manifestation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Intervention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dystonia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Spasm of neck, tongue, eye muscles (first hours–days)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Biperiden 2–5 mg IM (emergency)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Parkinsonism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Tremor, rigidity, bradykinesia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Dose reduction; biperiden 2–4 mg/day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Akathisia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Inner restlessness, inability to sit still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Propranolol 30–80 mg/day; dose reduction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Tardive dyskinesia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Late-onset dyskinetic movements (months–years)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Valbenazine / deutetrabenazine; switch to clozapine</w:t>
            </w:r>
          </w:p>
        </w:tc>
      </w:tr>
    </w:tbl>
    <w:p>
      <w:pPr>
        <w:pStyle w:val="BodyText"/>
      </w:pPr>
      <w:r>
        <w:t xml:space="preserve">Metabolic side effect: Body weight, waist circumference, blood pressure — monthly for the first 6 months, then every 6 months; fasting glucose, HbA1c, lipids — at baseline, 12 weeks, then annually. Intervention: diet and physical activity counseling, metformin (in overweight), switching antipsychotic to a metabolically neutral agent (aripiprazole, lurasidone).</w:t>
      </w:r>
    </w:p>
    <w:p>
      <w:pPr>
        <w:pStyle w:val="BodyText"/>
      </w:pPr>
      <w:r>
        <w:t xml:space="preserve">Hyperprolactinemia: high risk — risperidone, paliperidone, amisulpride, typicals; low risk — aripiprazole, quetiapine, clozapine. In symptomatic cases (galactorrhea, amenorrhea, sexual dysfunction, osteoporosis) — change the medication.</w:t>
      </w:r>
    </w:p>
    <w:p>
      <w:pPr>
        <w:pStyle w:val="BodyText"/>
      </w:pPr>
      <w:r>
        <w:t xml:space="preserve">Neuroleptic Malignant Syndrome (NMS) — a medical emergency (mortality up to 10%): Clinical tetrad — hyperthermia, muscle rigidity, altered consciousness, autonomic instability. Lab: CPK &gt; 1000, leukocytosis, myoglobinuria. Intervention: immediate discontinuation of antipsychotic, intensive care support, dantrolene, bromocriptine, ECT if necessary.</w:t>
      </w:r>
    </w:p>
    <w:bookmarkEnd w:id="420"/>
    <w:bookmarkStart w:id="421" w:name="special-conditions-1"/>
    <w:p>
      <w:pPr>
        <w:pStyle w:val="Heading4"/>
      </w:pPr>
      <w:r>
        <w:t xml:space="preserve">8.7 Special Conditions</w:t>
      </w:r>
    </w:p>
    <w:p>
      <w:pPr>
        <w:pStyle w:val="Compact"/>
        <w:numPr>
          <w:ilvl w:val="0"/>
          <w:numId w:val="1195"/>
        </w:numPr>
      </w:pPr>
      <w:r>
        <w:t xml:space="preserve">Pregnancy: complete discontinuation of the antipsychotic increases relapse risk. As a class, antipsychotics do not meaningfully increase the risk of congenital malformations (Huybrechts K.F. et al. JAMA Psychiatry 2016, 1,3 mln pregnancies); the possible exception is risperidone (about 26% higher risk, needs confirmation). The choice is individual: a drug that works is usually continued.</w:t>
      </w:r>
    </w:p>
    <w:p>
      <w:pPr>
        <w:pStyle w:val="Compact"/>
        <w:numPr>
          <w:ilvl w:val="0"/>
          <w:numId w:val="1195"/>
        </w:numPr>
      </w:pPr>
      <w:r>
        <w:t xml:space="preserve">Older adults: EPS, orthostatic hypotension, sensitivity to anticholinergic effects; low dose, quetiapine or risperidone preferred; refer to Beers Criteria.</w:t>
      </w:r>
    </w:p>
    <w:p>
      <w:pPr>
        <w:pStyle w:val="Compact"/>
        <w:numPr>
          <w:ilvl w:val="0"/>
          <w:numId w:val="1195"/>
        </w:numPr>
      </w:pPr>
      <w:r>
        <w:t xml:space="preserve">Comorbid substance use: smoking cessation support, cannabis cessation, concurrent treatment of alcohol dependence (naltrexone, acamprosate).</w:t>
      </w:r>
    </w:p>
    <w:bookmarkEnd w:id="421"/>
    <w:bookmarkStart w:id="422" w:name="source-specific-clarifications-3"/>
    <w:p>
      <w:pPr>
        <w:pStyle w:val="Heading4"/>
      </w:pPr>
      <w:r>
        <w:t xml:space="preserve">8.8 Source-Specific Clarifications</w:t>
      </w:r>
    </w:p>
    <w:p>
      <w:pPr>
        <w:pStyle w:val="Compact"/>
        <w:numPr>
          <w:ilvl w:val="0"/>
          <w:numId w:val="1196"/>
        </w:numPr>
      </w:pPr>
      <w:r>
        <w:t xml:space="preserve">NICE CG178: Early Intervention Services (EIP) — intensive multidisciplinary support in the first 3 years; clozapine first-line in resistance after two antipsychotics.</w:t>
      </w:r>
    </w:p>
    <w:p>
      <w:pPr>
        <w:pStyle w:val="Compact"/>
        <w:numPr>
          <w:ilvl w:val="0"/>
          <w:numId w:val="1196"/>
        </w:numPr>
      </w:pPr>
      <w:r>
        <w:t xml:space="preserve">APA 2021: supportive treatment duration after first episode 2–5 years; cognitive remediation and supported employment are strongly recommended for functional recovery.</w:t>
      </w:r>
    </w:p>
    <w:p>
      <w:pPr>
        <w:pStyle w:val="Compact"/>
        <w:numPr>
          <w:ilvl w:val="0"/>
          <w:numId w:val="1196"/>
        </w:numPr>
      </w:pPr>
      <w:r>
        <w:t xml:space="preserve">WFSBP 2015: equivalent dose ranges and adequate duration (4–6 weeks) before medication change; LAI effective in relapse prevention.</w:t>
      </w:r>
    </w:p>
    <w:p>
      <w:pPr>
        <w:pStyle w:val="Compact"/>
        <w:numPr>
          <w:ilvl w:val="0"/>
          <w:numId w:val="1196"/>
        </w:numPr>
      </w:pPr>
      <w:r>
        <w:t xml:space="preserve">Maudsley 14e (2021): Detailed protocol for clozapine titration, side effect management, and polypharmacy reasons.</w:t>
      </w:r>
    </w:p>
    <w:p>
      <w:pPr>
        <w:pStyle w:val="Compact"/>
        <w:numPr>
          <w:ilvl w:val="0"/>
          <w:numId w:val="1196"/>
        </w:numPr>
      </w:pPr>
      <w:r>
        <w:t xml:space="preserve">AR Ministry of Health Clinical Protocol (2009): Atypical antipsychotic first-line; conventional neuroleptic — when atypical unavailable. General algorithm aligns with NICE/APA.</w:t>
      </w:r>
    </w:p>
    <w:bookmarkEnd w:id="422"/>
    <w:bookmarkStart w:id="423" w:name="treatment-methods-8"/>
    <w:p>
      <w:pPr>
        <w:pStyle w:val="Heading4"/>
      </w:pPr>
      <w:r>
        <w:t xml:space="preserve">8.9 Treatment methods</w:t>
      </w:r>
    </w:p>
    <w:p>
      <w:pPr>
        <w:pStyle w:val="Compact"/>
        <w:numPr>
          <w:ilvl w:val="0"/>
          <w:numId w:val="1197"/>
        </w:numPr>
      </w:pPr>
      <w:r>
        <w:t xml:space="preserve">Cognitive Behavioral Therapy for psychosis (CBTp — Cognitive Behavioural Therapy for psychosis) — Re-evaluation of psychotic symptoms within “thought–emotion–behavior” formulation; patient addresses hallucinations and delusions with reality testing, behavioral experiments, and search for alternative explanations. Standard course — 16+ individual sessions, 6–12 months. Effect: small-to-medium effect on positive symptoms (Grade A in NICE), improvement in functional level (Wykes T. et al. Schizophr Bull 2008, n=2284 meta-analysis; NICE CG178 § 1.3.7.1).</w:t>
      </w:r>
    </w:p>
    <w:p>
      <w:pPr>
        <w:pStyle w:val="Compact"/>
        <w:numPr>
          <w:ilvl w:val="0"/>
          <w:numId w:val="1197"/>
        </w:numPr>
      </w:pPr>
      <w:r>
        <w:t xml:space="preserve">Family Intervention — Psychoeducation, communication training and problem-solving in families with high expressed emotion (EE). Patient + at least one family member, 10+ sessions, 3–12 months. Effect: reduces relapse risk by ~20%, reduces hospitalization (Pharoah F. et al. Cochrane Database Syst Rev 2010;(12):CD000088, n&gt;3500). NICE CG178 § 1.3.7.2.</w:t>
      </w:r>
    </w:p>
    <w:p>
      <w:pPr>
        <w:pStyle w:val="Compact"/>
        <w:numPr>
          <w:ilvl w:val="0"/>
          <w:numId w:val="1197"/>
        </w:numPr>
      </w:pPr>
      <w:r>
        <w:t xml:space="preserve">Cognitive Remediation — Computer- or trainer-based structured cognitive exercises — attention, working memory, executive function, social cognition. 20–40 sessions, 2–3 times per week. Effect: small-medium improvement in cognitive indicators, transfers to functional level only when applied together with psychosocial rehabilitation (Wykes T., Huddy V., Cellard C., McGurk S.R., Czobor P. Am J Psychiatry 2011;168(5):472–485, meta-analysis n=2104).</w:t>
      </w:r>
    </w:p>
    <w:p>
      <w:pPr>
        <w:pStyle w:val="Compact"/>
        <w:numPr>
          <w:ilvl w:val="0"/>
          <w:numId w:val="1197"/>
        </w:numPr>
      </w:pPr>
      <w:r>
        <w:t xml:space="preserve">Supported Employment / Individual Placement and Support (IPS) — Direct supported engagement in real workplaces — “place-then-train” principle (starting job search without prior preparation stage). Personal job coordinator, finding job based on individual interest and ability, on-site support. Effect: more than half enter competitive employment (20% in control groups) — Drake R.E., Bond G.R., Goldman H.H. et al. Health Aff (Millwood) 2016;35(6):1098–1105. NICE CG178 § 1.3.7.3.</w:t>
      </w:r>
    </w:p>
    <w:p>
      <w:pPr>
        <w:pStyle w:val="Compact"/>
        <w:numPr>
          <w:ilvl w:val="0"/>
          <w:numId w:val="1197"/>
        </w:numPr>
      </w:pPr>
      <w:r>
        <w:t xml:space="preserve">Early Intervention in Psychosis (EIP — Early Intervention in Psychosis) — Intensive multidisciplinary care over 3 years following first psychotic episode — low-dose pharmacotherapy, CBTp, family intervention, employment support, peer support. RAISE and EDEN RCTs (Kane J.M. et al. Am J Psychiatry 2016; Marshall M. et al. Lancet 2011) — EIP superior to standard care, reduces relapse, improves functional level. NICE CG178 § 1.4.</w:t>
      </w:r>
    </w:p>
    <w:p>
      <w:pPr>
        <w:pStyle w:val="Compact"/>
        <w:numPr>
          <w:ilvl w:val="0"/>
          <w:numId w:val="1197"/>
        </w:numPr>
      </w:pPr>
      <w:r>
        <w:t xml:space="preserve">Assertive Community Treatment (ACT) — Multidisciplinary team (psychiatrist, clinical psychologist, social worker, peer specialist) provides intensive support to the patient in the community (at home, workplace); 24/7 accessibility, low patient/staff ratio (~10:1). Target: patients with high risk of rehospitalization and homelessness. Effect: reduces hospital days, increases residential stability (Marshall M., Lockwood A. Cochrane 2011).</w:t>
      </w:r>
    </w:p>
    <w:p>
      <w:pPr>
        <w:pStyle w:val="Compact"/>
        <w:numPr>
          <w:ilvl w:val="0"/>
          <w:numId w:val="1197"/>
        </w:numPr>
      </w:pPr>
      <w:r>
        <w:t xml:space="preserve">PANSS / BPRS — Severity scales — PANSS (Positive and Negative Syndrome Scale) — 30 items, 7-point scale; BPRS (Brief Psychiatric Rating Scale) — 18 items. Quantitative assessment of psychotic symptoms based on structured interview. For initial assessment and treatment monitoring in clinical practice. Kay S.R., Fiszbein A., Opler L.A. Schizophr Bull 1987;13(2):261–276 (PANSS); Overall J.E., Gorham D.R. Psychol Rep 1962;10:799–812 (BPRS).</w:t>
      </w:r>
    </w:p>
    <w:bookmarkEnd w:id="423"/>
    <w:bookmarkEnd w:id="424"/>
    <w:bookmarkStart w:id="428" w:name="X82f91ae8570eec0826ee575ef2be1ebd93c2954"/>
    <w:p>
      <w:pPr>
        <w:pStyle w:val="Heading3"/>
      </w:pPr>
      <w:r>
        <w:t xml:space="preserve">9. Prognosis</w:t>
      </w:r>
    </w:p>
    <w:bookmarkStart w:id="425" w:name="good-prognostic-factors-8"/>
    <w:p>
      <w:pPr>
        <w:pStyle w:val="Heading4"/>
      </w:pPr>
      <w:r>
        <w:t xml:space="preserve">Good prognostic factors</w:t>
      </w:r>
    </w:p>
    <w:p>
      <w:pPr>
        <w:pStyle w:val="Compact"/>
        <w:numPr>
          <w:ilvl w:val="0"/>
          <w:numId w:val="1198"/>
        </w:numPr>
      </w:pPr>
      <w:r>
        <w:t xml:space="preserve">Brief untreated period (DUP &lt; 6 months)</w:t>
      </w:r>
    </w:p>
    <w:p>
      <w:pPr>
        <w:pStyle w:val="Compact"/>
        <w:numPr>
          <w:ilvl w:val="0"/>
          <w:numId w:val="1198"/>
        </w:numPr>
      </w:pPr>
      <w:r>
        <w:t xml:space="preserve">Acute onset, clear stressor</w:t>
      </w:r>
    </w:p>
    <w:p>
      <w:pPr>
        <w:pStyle w:val="Compact"/>
        <w:numPr>
          <w:ilvl w:val="0"/>
          <w:numId w:val="1198"/>
        </w:numPr>
      </w:pPr>
      <w:r>
        <w:t xml:space="preserve">Premorbid good function</w:t>
      </w:r>
    </w:p>
    <w:p>
      <w:pPr>
        <w:pStyle w:val="Compact"/>
        <w:numPr>
          <w:ilvl w:val="0"/>
          <w:numId w:val="1198"/>
        </w:numPr>
      </w:pPr>
      <w:r>
        <w:t xml:space="preserve">Predominance of positive symptoms (negative few)</w:t>
      </w:r>
    </w:p>
    <w:p>
      <w:pPr>
        <w:pStyle w:val="Compact"/>
        <w:numPr>
          <w:ilvl w:val="0"/>
          <w:numId w:val="1198"/>
        </w:numPr>
      </w:pPr>
      <w:r>
        <w:t xml:space="preserve">Presence of an affective component</w:t>
      </w:r>
    </w:p>
    <w:p>
      <w:pPr>
        <w:pStyle w:val="Compact"/>
        <w:numPr>
          <w:ilvl w:val="0"/>
          <w:numId w:val="1198"/>
        </w:numPr>
      </w:pPr>
      <w:r>
        <w:t xml:space="preserve">Good social support, family cooperation</w:t>
      </w:r>
    </w:p>
    <w:p>
      <w:pPr>
        <w:pStyle w:val="Compact"/>
        <w:numPr>
          <w:ilvl w:val="0"/>
          <w:numId w:val="1198"/>
        </w:numPr>
      </w:pPr>
      <w:r>
        <w:t xml:space="preserve">Early intervention and adherence</w:t>
      </w:r>
    </w:p>
    <w:bookmarkEnd w:id="425"/>
    <w:bookmarkStart w:id="426" w:name="poor-prognostic-factors-8"/>
    <w:p>
      <w:pPr>
        <w:pStyle w:val="Heading4"/>
      </w:pPr>
      <w:r>
        <w:t xml:space="preserve">Poor prognostic factors</w:t>
      </w:r>
    </w:p>
    <w:p>
      <w:pPr>
        <w:pStyle w:val="Compact"/>
        <w:numPr>
          <w:ilvl w:val="0"/>
          <w:numId w:val="1199"/>
        </w:numPr>
      </w:pPr>
      <w:r>
        <w:t xml:space="preserve">Gradual onset, long prodrome</w:t>
      </w:r>
    </w:p>
    <w:p>
      <w:pPr>
        <w:pStyle w:val="Compact"/>
        <w:numPr>
          <w:ilvl w:val="0"/>
          <w:numId w:val="1199"/>
        </w:numPr>
      </w:pPr>
      <w:r>
        <w:t xml:space="preserve">Early age of onset (childhood or early adolescence)</w:t>
      </w:r>
    </w:p>
    <w:p>
      <w:pPr>
        <w:pStyle w:val="Compact"/>
        <w:numPr>
          <w:ilvl w:val="0"/>
          <w:numId w:val="1199"/>
        </w:numPr>
      </w:pPr>
      <w:r>
        <w:t xml:space="preserve">Premorbid functional impairment (from childhood)</w:t>
      </w:r>
    </w:p>
    <w:p>
      <w:pPr>
        <w:pStyle w:val="Compact"/>
        <w:numPr>
          <w:ilvl w:val="0"/>
          <w:numId w:val="1199"/>
        </w:numPr>
      </w:pPr>
      <w:r>
        <w:t xml:space="preserve">Predominance of negative symptoms</w:t>
      </w:r>
    </w:p>
    <w:p>
      <w:pPr>
        <w:pStyle w:val="Compact"/>
        <w:numPr>
          <w:ilvl w:val="0"/>
          <w:numId w:val="1199"/>
        </w:numPr>
      </w:pPr>
      <w:r>
        <w:t xml:space="preserve">Severity of cognitive deficit</w:t>
      </w:r>
    </w:p>
    <w:p>
      <w:pPr>
        <w:pStyle w:val="Compact"/>
        <w:numPr>
          <w:ilvl w:val="0"/>
          <w:numId w:val="1199"/>
        </w:numPr>
      </w:pPr>
      <w:r>
        <w:t xml:space="preserve">Substance use (especially cannabis, amphetamine)</w:t>
      </w:r>
    </w:p>
    <w:p>
      <w:pPr>
        <w:pStyle w:val="Compact"/>
        <w:numPr>
          <w:ilvl w:val="0"/>
          <w:numId w:val="1199"/>
        </w:numPr>
      </w:pPr>
      <w:r>
        <w:t xml:space="preserve">Non-adherence, social isolation</w:t>
      </w:r>
    </w:p>
    <w:p>
      <w:pPr>
        <w:pStyle w:val="Compact"/>
        <w:numPr>
          <w:ilvl w:val="0"/>
          <w:numId w:val="1199"/>
        </w:numPr>
      </w:pPr>
      <w:r>
        <w:t xml:space="preserve">DUP &gt; 1 year</w:t>
      </w:r>
    </w:p>
    <w:bookmarkEnd w:id="426"/>
    <w:bookmarkStart w:id="427" w:name="follow-up-targets-8"/>
    <w:p>
      <w:pPr>
        <w:pStyle w:val="Heading4"/>
      </w:pPr>
      <w:r>
        <w:t xml:space="preserve">Follow-up targets</w:t>
      </w:r>
    </w:p>
    <w:p>
      <w:pPr>
        <w:pStyle w:val="Compact"/>
        <w:numPr>
          <w:ilvl w:val="0"/>
          <w:numId w:val="1200"/>
        </w:numPr>
      </w:pPr>
      <w:r>
        <w:t xml:space="preserve">Clinical stability and relapse prevention (antipsychotic adherence, consideration of LAI).</w:t>
      </w:r>
    </w:p>
    <w:p>
      <w:pPr>
        <w:pStyle w:val="Compact"/>
        <w:numPr>
          <w:ilvl w:val="0"/>
          <w:numId w:val="1200"/>
        </w:numPr>
      </w:pPr>
      <w:r>
        <w:t xml:space="preserve">Metabolic and cardiovascular risk management (a major contributor to mortality).</w:t>
      </w:r>
    </w:p>
    <w:p>
      <w:pPr>
        <w:pStyle w:val="Compact"/>
        <w:numPr>
          <w:ilvl w:val="0"/>
          <w:numId w:val="1200"/>
        </w:numPr>
      </w:pPr>
      <w:r>
        <w:t xml:space="preserve">Functional recovery — employment, independent living, social relationships.</w:t>
      </w:r>
    </w:p>
    <w:p>
      <w:pPr>
        <w:pStyle w:val="Compact"/>
        <w:numPr>
          <w:ilvl w:val="0"/>
          <w:numId w:val="1200"/>
        </w:numPr>
      </w:pPr>
      <w:r>
        <w:t xml:space="preserve">Comorbid substance use, depression, suicide risk monitoring.</w:t>
      </w:r>
    </w:p>
    <w:p>
      <w:pPr>
        <w:pStyle w:val="Compact"/>
        <w:numPr>
          <w:ilvl w:val="0"/>
          <w:numId w:val="1200"/>
        </w:numPr>
      </w:pPr>
      <w:r>
        <w:t xml:space="preserve">Strengthening family and community support systems.</w:t>
      </w:r>
    </w:p>
    <w:bookmarkEnd w:id="427"/>
    <w:bookmarkEnd w:id="428"/>
    <w:bookmarkStart w:id="443" w:name="X6fb83d7e2359ce28df28c5918321c84234fca49"/>
    <w:p>
      <w:pPr>
        <w:pStyle w:val="Heading3"/>
      </w:pPr>
      <w:r>
        <w:t xml:space="preserve">10. Myths and misconceptions</w:t>
      </w:r>
    </w:p>
    <w:bookmarkStart w:id="433" w:name="aetiology-myths-8"/>
    <w:p>
      <w:pPr>
        <w:pStyle w:val="Heading4"/>
      </w:pPr>
      <w:r>
        <w:t xml:space="preserve">10.1 Aetiology myths</w:t>
      </w:r>
    </w:p>
    <w:bookmarkStart w:id="429" w:name="X86a7dbd84da80be9ffbe48644dfed8594eed08b"/>
    <w:p>
      <w:pPr>
        <w:pStyle w:val="Heading5"/>
      </w:pPr>
      <w:r>
        <w:t xml:space="preserve">Myth 1: “Schizophrenia is possession by spirits or demonic possession”</w:t>
      </w:r>
    </w:p>
    <w:p>
      <w:pPr>
        <w:pStyle w:val="FirstParagraph"/>
      </w:pPr>
      <w:r>
        <w:t xml:space="preserve">Why it is widespread: Historical-religious context — psychosis in medieval Europe explained as ‘demonic possession’; the subjectively extraordinary nature of hallucinations reinforces this; in communities with low psychiatric service accessibility, family first consults religious leader.</w:t>
      </w:r>
    </w:p>
    <w:p>
      <w:pPr>
        <w:pStyle w:val="BodyText"/>
      </w:pPr>
      <w:r>
        <w:t xml:space="preserve">Clinical and biological rationale: Schizophrenia possesses measurable neurobiological markers — reduction in cortical gray matter volume (Haijma S.V. Schizophr Bull 2013, meta-analysis n&gt;8000), mesolimbic dopamine hyperactivity (Howes O.D. Schizophr Bull 2009), 60–80% heritability (Sullivan P.F. 2003). Dose-proportional effect of D2 receptor antagonist antipsychotics proves specificity of pharmacological mechanism. ‘Possession’ concept cannot be tested at these levels and is not open to falsification.</w:t>
      </w:r>
    </w:p>
    <w:p>
      <w:pPr>
        <w:pStyle w:val="BodyText"/>
      </w:pPr>
      <w:r>
        <w:t xml:space="preserve">Evidence: WHO mhGAP Intervention Guide v2.0 — schizophrenia recognized as a medical condition. APA Resource Document on Religious/Spiritual Commitments (2018): religious practice</w:t>
      </w:r>
      <w:r>
        <w:t xml:space="preserve"> </w:t>
      </w:r>
      <w:r>
        <w:rPr>
          <w:i/>
          <w:iCs/>
        </w:rPr>
        <w:t xml:space="preserve">may complement</w:t>
      </w:r>
      <w:r>
        <w:t xml:space="preserve"> </w:t>
      </w:r>
      <w:r>
        <w:t xml:space="preserve">treatment, but</w:t>
      </w:r>
      <w:r>
        <w:t xml:space="preserve"> </w:t>
      </w:r>
      <w:r>
        <w:rPr>
          <w:i/>
          <w:iCs/>
        </w:rPr>
        <w:t xml:space="preserve">cannot replace it</w:t>
      </w:r>
      <w:r>
        <w:t xml:space="preserve">.</w:t>
      </w:r>
    </w:p>
    <w:p>
      <w:pPr>
        <w:pStyle w:val="BodyText"/>
      </w:pPr>
      <w:r>
        <w:t xml:space="preserve">Real clinical step: Antipsychotic initiation should not be delayed. Respecting family's religious-cultural beliefs preserves therapeutic alliance — allowing exorcism rituals to replace antipsychotic treatment results in delayed onset and poor prognosis (Marshall M. et al. Arch Gen Psychiatry 2005 — DUP &gt; 1 year is a poor prognostic marker).</w:t>
      </w:r>
    </w:p>
    <w:bookmarkEnd w:id="429"/>
    <w:bookmarkStart w:id="430" w:name="X78724ae78ecf656a907d839438deb4a91fd7f6d"/>
    <w:p>
      <w:pPr>
        <w:pStyle w:val="Heading5"/>
      </w:pPr>
      <w:r>
        <w:t xml:space="preserve">Myth 2: “Schizophrenia is a result of poor upbringing or a ‘cold mother’”</w:t>
      </w:r>
    </w:p>
    <w:p>
      <w:pPr>
        <w:pStyle w:val="FirstParagraph"/>
      </w:pPr>
      <w:r>
        <w:t xml:space="preserve">Why it is widespread: In the 1940s–1960s, influence of the psychoanalytic school (Fromm-Reichmann F. — concept of ‘schizophrenogenic mother’); the family-blaming model remained dominant in clinical practice for a long time.</w:t>
      </w:r>
    </w:p>
    <w:p>
      <w:pPr>
        <w:pStyle w:val="BodyText"/>
      </w:pPr>
      <w:r>
        <w:t xml:space="preserve">Clinical and biological rationale: Heritability 60–80% — in children adopted away from biological family, risk associated with diagnosis of biological parents, not characteristics of adoptive family (Heston L.L. Br J Psychiatry 1966; Tienari P. et al. Br J Psychiatry 2004 — Finland adoptive study). High emotional expression (EE) in family increases relapse risk, but this — not a primary aetiology, is a course modulator.</w:t>
      </w:r>
    </w:p>
    <w:p>
      <w:pPr>
        <w:pStyle w:val="BodyText"/>
      </w:pPr>
      <w:r>
        <w:t xml:space="preserve">Evidence: APA, AAP, NICE — the concept of ‘schizophrenogenic mother’ has been abandoned by the scientific community.</w:t>
      </w:r>
    </w:p>
    <w:p>
      <w:pPr>
        <w:pStyle w:val="BodyText"/>
      </w:pPr>
      <w:r>
        <w:t xml:space="preserve">Real clinical step: Family intervention (see “Treatment methods”) — based not on blaming, but on psychoeducation and communication training.</w:t>
      </w:r>
    </w:p>
    <w:bookmarkEnd w:id="430"/>
    <w:bookmarkStart w:id="431" w:name="myth-3-schizophrenia-split-personality"/>
    <w:p>
      <w:pPr>
        <w:pStyle w:val="Heading5"/>
      </w:pPr>
      <w:r>
        <w:t xml:space="preserve">Myth 3: “Schizophrenia = split personality”</w:t>
      </w:r>
    </w:p>
    <w:p>
      <w:pPr>
        <w:pStyle w:val="FirstParagraph"/>
      </w:pPr>
      <w:r>
        <w:t xml:space="preserve">Why it is widespread: Etymological fallacy — mistranslation of “schizo” (split) + “phrenia” (mind) as “split personality”; mass culture (film, literature) reinforces false images.</w:t>
      </w:r>
    </w:p>
    <w:p>
      <w:pPr>
        <w:pStyle w:val="BodyText"/>
      </w:pPr>
      <w:r>
        <w:t xml:space="preserve">Clinical and biological rationale: Bleuler's 1911 term described a disruption of the mind's internal coherence (splitting of associations), not the existence of separate personalities. “Double personality” is a distinct disorder: Dissociative Identity Disorder (6B64), with a completely different etiology (childhood trauma) and clinical manifestations.</w:t>
      </w:r>
    </w:p>
    <w:p>
      <w:pPr>
        <w:pStyle w:val="BodyText"/>
      </w:pPr>
      <w:r>
        <w:t xml:space="preserve">Evidence: WHO ICD-11 — schizophrenia (6A20) and DID (6B64) are coded as separate disorders.</w:t>
      </w:r>
    </w:p>
    <w:bookmarkEnd w:id="431"/>
    <w:bookmarkStart w:id="432" w:name="Xfaee60425d9a26ca3cbdf38660f49556e7fdc8b"/>
    <w:p>
      <w:pPr>
        <w:pStyle w:val="Heading5"/>
      </w:pPr>
      <w:r>
        <w:t xml:space="preserve">Myth 4: “People with schizophrenia are dangerous and aggressive”</w:t>
      </w:r>
    </w:p>
    <w:p>
      <w:pPr>
        <w:pStyle w:val="FirstParagraph"/>
      </w:pPr>
      <w:r>
        <w:t xml:space="preserve">Why it is widespread: Mass media particularly emphasizes a history of psychosis in violent incidents — notes attract attention, but the base rate is not presented.</w:t>
      </w:r>
    </w:p>
    <w:p>
      <w:pPr>
        <w:pStyle w:val="BodyText"/>
      </w:pPr>
      <w:r>
        <w:t xml:space="preserve">Clinical and biological rationale: People with schizophrenia are more likely to become victims of violence (Maniglio R. Acta Psychiatr Scand 2009 systematic review — victimization ratio 2.3–140 times higher depending on crime type). Violence risk increased only in specific narrow context: untreated acute paranoid delusions + concurrent substance use (Fazel S. et al. PLoS Med 2009 meta-analysis). Minimal difference compared to population in treated, stable patients.</w:t>
      </w:r>
    </w:p>
    <w:p>
      <w:pPr>
        <w:pStyle w:val="BodyText"/>
      </w:pPr>
      <w:r>
        <w:t xml:space="preserve">Evidence: All violent incidents related to schizophrenia constitute less than 5% of all violence in society (Fazel S. Br J Psychiatry 2014).</w:t>
      </w:r>
    </w:p>
    <w:p>
      <w:pPr>
        <w:pStyle w:val="BodyText"/>
      </w:pPr>
      <w:r>
        <w:t xml:space="preserve">Real clinical step: Stigma impedes psychosocial recovery; psychoeducation for family and community is critically important.</w:t>
      </w:r>
    </w:p>
    <w:bookmarkEnd w:id="432"/>
    <w:bookmarkEnd w:id="433"/>
    <w:bookmarkStart w:id="436" w:name="harmful-treatment-methods-1"/>
    <w:p>
      <w:pPr>
        <w:pStyle w:val="Heading4"/>
      </w:pPr>
      <w:r>
        <w:t xml:space="preserve">10.2 Harmful “treatment” methods</w:t>
      </w:r>
    </w:p>
    <w:bookmarkStart w:id="434" w:name="X26c660a0e2bed8f7660e9b905a5f9e711f44a6f"/>
    <w:p>
      <w:pPr>
        <w:pStyle w:val="Heading5"/>
      </w:pPr>
      <w:r>
        <w:t xml:space="preserve">Myth 5: “Exorcism or religious ritual can replace an antipsychotic”</w:t>
      </w:r>
    </w:p>
    <w:p>
      <w:pPr>
        <w:pStyle w:val="FirstParagraph"/>
      </w:pPr>
      <w:r>
        <w:t xml:space="preserve">Why it is widespread: Fear of antipsychotic side effects; greater accessibility of social support within religious communities; stigma of psychiatric care.</w:t>
      </w:r>
    </w:p>
    <w:p>
      <w:pPr>
        <w:pStyle w:val="BodyText"/>
      </w:pPr>
      <w:r>
        <w:t xml:space="preserve">Risk: Each month increase in Duration of Untreated Psychosis (DUP) worsens long-term functional prognosis (Marshall M. et al. Arch Gen Psychiatry 2005, n=3700 meta-analysis). In patients with DUP &gt; 1 year, remission rate significantly decreases. High risk of suicide in untreated acute episode.</w:t>
      </w:r>
    </w:p>
    <w:p>
      <w:pPr>
        <w:pStyle w:val="BodyText"/>
      </w:pPr>
      <w:r>
        <w:t xml:space="preserve">Evidence: NICE CG178, WHO mhGAP — antipsychotic treatment should not be delayed; religious-cultural support may be applied in parallel.</w:t>
      </w:r>
    </w:p>
    <w:bookmarkEnd w:id="434"/>
    <w:bookmarkStart w:id="435" w:name="Xf4a34c067980f67f30ef591a03c09cfe0834470"/>
    <w:p>
      <w:pPr>
        <w:pStyle w:val="Heading5"/>
      </w:pPr>
      <w:r>
        <w:t xml:space="preserve">Myth 6: “‘Insulin coma therapy’ and ‘lobotomy’ — old treatments are still secretly used in hospitals”</w:t>
      </w:r>
    </w:p>
    <w:p>
      <w:pPr>
        <w:pStyle w:val="FirstParagraph"/>
      </w:pPr>
      <w:r>
        <w:t xml:space="preserve">Reality: Insulin coma therapy (Sakel 1933) and prefrontal lobotomy (Moniz 1936, Freeman 1945) were widely used in the 1950s, but were abandoned due to lack of comparative evidence of effectiveness and severe side effects following the introduction of antipsychotics (chlorpromazine 1952). These methods are not used in modern clinical practice. ECT (electroconvulsive therapy) is different — evidence-based, used in modern indications for schizophrenia with catatonic features or in refractory cases (NICE TA59).</w:t>
      </w:r>
    </w:p>
    <w:bookmarkEnd w:id="435"/>
    <w:bookmarkEnd w:id="436"/>
    <w:bookmarkStart w:id="442" w:name="X672eba54296ebc786066a309ddf255767347e46"/>
    <w:p>
      <w:pPr>
        <w:pStyle w:val="Heading4"/>
      </w:pPr>
      <w:r>
        <w:t xml:space="preserve">10.3 Ineffective methods or those delaying primary treatment</w:t>
      </w:r>
    </w:p>
    <w:bookmarkStart w:id="437" w:name="X1da902096155dc71d5bea6521b968dba46175f6"/>
    <w:p>
      <w:pPr>
        <w:pStyle w:val="Heading5"/>
      </w:pPr>
      <w:r>
        <w:t xml:space="preserve">Myth 7: “Mega-doses of Vitamin B3 (niacin) cure schizophrenia (orthomolecular psychiatry)”</w:t>
      </w:r>
    </w:p>
    <w:p>
      <w:pPr>
        <w:pStyle w:val="FirstParagraph"/>
      </w:pPr>
      <w:r>
        <w:t xml:space="preserve">Why it is widespread: Hoffer and Osmond in the 1950s proposed the niacin mega-dose theory based on single case report studies; the alternative medicine movement continues to support this approach.</w:t>
      </w:r>
    </w:p>
    <w:p>
      <w:pPr>
        <w:pStyle w:val="BodyText"/>
      </w:pPr>
      <w:r>
        <w:t xml:space="preserve">Evidence: APA Task Force (Lipton M.A. et al. 1973) and subsequent RCTs — vitamin B3 or other vitamin mega-doses have no effect on schizophrenia symptoms. Niacin mega-dose can cause liver damage and hyperuricemia.</w:t>
      </w:r>
    </w:p>
    <w:bookmarkEnd w:id="437"/>
    <w:bookmarkStart w:id="438" w:name="Xf20cad16f9fa54adf5c56ccf8cb7480ac32cc68"/>
    <w:p>
      <w:pPr>
        <w:pStyle w:val="Heading5"/>
      </w:pPr>
      <w:r>
        <w:t xml:space="preserve">Myth 8: “Cannabis (especially CBD) cures schizophrenia”</w:t>
      </w:r>
    </w:p>
    <w:p>
      <w:pPr>
        <w:pStyle w:val="FirstParagraph"/>
      </w:pPr>
      <w:r>
        <w:t xml:space="preserve">Why it is widespread: Exaggerated media presentation of preliminary studies on CBD's antipsychotic effect; marketing by the medical cannabis industry.</w:t>
      </w:r>
    </w:p>
    <w:p>
      <w:pPr>
        <w:pStyle w:val="BodyText"/>
      </w:pPr>
      <w:r>
        <w:t xml:space="preserve">Reality: THC (primary psychoactive component of cannabis) increases psychosis risk 2-3 fold (Marconi A. et al. Schizophr Bull 2016 meta-analysis). Preliminary RCTs on CBD (McGuire P. et al. Am J Psychiatry 2018) showed modest effect, but evidence base is insufficient to replace standard antipsychotics.</w:t>
      </w:r>
    </w:p>
    <w:p>
      <w:pPr>
        <w:pStyle w:val="BodyText"/>
      </w:pPr>
      <w:r>
        <w:t xml:space="preserve">Evidence: NICE CG178, APA 2021 — CBD is not a standard recommendation for schizophrenia treatment; THC-containing cannabis is contraindicated.</w:t>
      </w:r>
    </w:p>
    <w:bookmarkEnd w:id="438"/>
    <w:bookmarkStart w:id="439" w:name="Xbebde55ae64b22809f90519bc5539803bb23435"/>
    <w:p>
      <w:pPr>
        <w:pStyle w:val="Heading5"/>
      </w:pPr>
      <w:r>
        <w:t xml:space="preserve">Myth 9: Antipsychotics destroy the brain, turn you into a “zombie”; lifelong use is harmful</w:t>
      </w:r>
    </w:p>
    <w:p>
      <w:pPr>
        <w:pStyle w:val="FirstParagraph"/>
      </w:pPr>
      <w:r>
        <w:t xml:space="preserve">Why it is widespread: Severe EPS side effects of early typical antipsychotics; patient experiences shared on social media.</w:t>
      </w:r>
    </w:p>
    <w:p>
      <w:pPr>
        <w:pStyle w:val="BodyText"/>
      </w:pPr>
      <w:r>
        <w:t xml:space="preserve">Biological logic: Structural changes associated with antipsychotic use exist (Ho B.C. et al. Arch Gen Psychiatry 2011), but it should be compared: untreated schizophrenia itself causes faster cortical volume reduction (Cahn W. et al. Arch Gen Psychiatry 2002). Antipsychotic discontinuation sharply increases relapse risk — 64% at one year versus 27% (Leucht S. Lancet 2012), relapse itself exerts neurotoxic effects.</w:t>
      </w:r>
    </w:p>
    <w:p>
      <w:pPr>
        <w:pStyle w:val="BodyText"/>
      </w:pPr>
      <w:r>
        <w:t xml:space="preserve">Evidence: Tiihonen J. et al. (Lancet 2009, JAMA Psychiatry 2018) Finnish registry studies n&gt;60,000: continuous antipsychotic use reduces mortality and hospital admissions.</w:t>
      </w:r>
    </w:p>
    <w:p>
      <w:pPr>
        <w:pStyle w:val="BodyText"/>
      </w:pPr>
      <w:r>
        <w:t xml:space="preserve">Real clinical step: Medication selection based on side effect profile, dose titration, and response to patient complaints are managed within the antipsychotic dialogue.</w:t>
      </w:r>
    </w:p>
    <w:bookmarkEnd w:id="439"/>
    <w:bookmarkStart w:id="440" w:name="Xf3081771dfd4db5d50cc3420becb5a37d0aa6c6"/>
    <w:p>
      <w:pPr>
        <w:pStyle w:val="Heading5"/>
      </w:pPr>
      <w:r>
        <w:t xml:space="preserve">Myth 10: “Schizophrenia is incurable, lifelong illness, recovery is impossible”</w:t>
      </w:r>
    </w:p>
    <w:p>
      <w:pPr>
        <w:pStyle w:val="FirstParagraph"/>
      </w:pPr>
      <w:r>
        <w:t xml:space="preserve">Reality: Hegarty 1/3 principle (Am J Psychiatry 1994) — approximately 1/3 of patients achieve good functional recovery; this rate increases, especially with Early Intervention Services (EIP) (Kane J.M. et al. Am J Psychiatry 2016 — RAISE RCT). “Clinical recovery” and “personal recovery” (Recovery model) are distinguished — a patient can build a meaningful life even without complete symptom remission.</w:t>
      </w:r>
    </w:p>
    <w:p>
      <w:pPr>
        <w:pStyle w:val="BodyText"/>
      </w:pPr>
      <w:r>
        <w:t xml:space="preserve">Real clinical step: The prognosis is individual; early intervention, adherence, family support and psychosocial rehabilitation significantly increase recovery chances.</w:t>
      </w:r>
    </w:p>
    <w:bookmarkEnd w:id="440"/>
    <w:bookmarkStart w:id="441" w:name="X9027acd18ef961e511ee82e870c579b9bb5bb57"/>
    <w:p>
      <w:pPr>
        <w:pStyle w:val="Heading5"/>
      </w:pPr>
      <w:r>
        <w:t xml:space="preserve">Myth 11: “Acupuncture, homeopathy, valerian are effective instead of antipsychotics”</w:t>
      </w:r>
    </w:p>
    <w:p>
      <w:pPr>
        <w:pStyle w:val="FirstParagraph"/>
      </w:pPr>
      <w:r>
        <w:t xml:space="preserve">Evidence: Cochrane reviews (Rathbone J. Cochrane 2007 — acupuncture; Ernst E. reviews — homeopathy) — no evidence of efficacy in schizophrenia. Complementary methods can be applied as adjuncts (stress management, sleep hygiene), but do not replace antipsychotics.</w:t>
      </w:r>
    </w:p>
    <w:bookmarkEnd w:id="441"/>
    <w:bookmarkEnd w:id="442"/>
    <w:bookmarkEnd w:id="443"/>
    <w:bookmarkStart w:id="2995" w:name="X3843e2ac4cfe13fec19108ed45f59b56b7762b9"/>
    <w:p>
      <w:pPr>
        <w:pStyle w:val="Heading3"/>
      </w:pPr>
      <w:r>
        <w:t xml:space="preserve">11. Sources</w:t>
      </w:r>
    </w:p>
    <w:p>
      <w:pPr>
        <w:pStyle w:val="Compact"/>
        <w:numPr>
          <w:ilvl w:val="0"/>
          <w:numId w:val="1201"/>
        </w:numPr>
      </w:pPr>
      <w:r>
        <w:t xml:space="preserve">WHO. ICD-11 for Mortality and Morbidity Statistics (Version 2024). 6A20 Schizophrenia. icd.who.int</w:t>
      </w:r>
    </w:p>
    <w:p>
      <w:pPr>
        <w:pStyle w:val="Compact"/>
        <w:numPr>
          <w:ilvl w:val="0"/>
          <w:numId w:val="1201"/>
        </w:numPr>
      </w:pPr>
      <w:r>
        <w:t xml:space="preserve">American Psychiatric Association. Diagnostic and Statistical Manual of Mental Disorders, Fifth Edition, Text Revision (DSM-5-TR). Washington, DC: American Psychiatric Association Publishing; 2022.</w:t>
      </w:r>
    </w:p>
    <w:p>
      <w:pPr>
        <w:pStyle w:val="Compact"/>
        <w:numPr>
          <w:ilvl w:val="0"/>
          <w:numId w:val="1201"/>
        </w:numPr>
      </w:pPr>
      <w:r>
        <w:t xml:space="preserve">NICE Clinical Guideline 178. Psychosis and schizophrenia in adults: prevention and management. 2014, 2019 update. nice.org.uk/guidance/cg178</w:t>
      </w:r>
    </w:p>
    <w:p>
      <w:pPr>
        <w:pStyle w:val="Compact"/>
        <w:numPr>
          <w:ilvl w:val="0"/>
          <w:numId w:val="1201"/>
        </w:numPr>
      </w:pPr>
      <w:r>
        <w:t xml:space="preserve">American Psychiatric Association. Practice Guideline for the Treatment of Patients with Schizophrenia, 3rd ed. 2021.</w:t>
      </w:r>
    </w:p>
    <w:p>
      <w:pPr>
        <w:pStyle w:val="Compact"/>
        <w:numPr>
          <w:ilvl w:val="0"/>
          <w:numId w:val="1201"/>
        </w:numPr>
      </w:pPr>
      <w:r>
        <w:t xml:space="preserve">Hasan A., Falkai P., Wobrock T. et al. WFSBP Guidelines for Biological Treatment of Schizophrenia. World J Biol Psychiatry 2012;13(5):318–378; 2015 update.</w:t>
      </w:r>
    </w:p>
    <w:p>
      <w:pPr>
        <w:pStyle w:val="Compact"/>
        <w:numPr>
          <w:ilvl w:val="0"/>
          <w:numId w:val="1201"/>
        </w:numPr>
      </w:pPr>
      <w:r>
        <w:t xml:space="preserve">Taylor D.M., Barnes T.R.E., Young A.H. The Maudsley Prescribing Guidelines in Psychiatry, 14th ed. Wiley-Blackwell; 2021.</w:t>
      </w:r>
    </w:p>
    <w:p>
      <w:pPr>
        <w:pStyle w:val="Compact"/>
        <w:numPr>
          <w:ilvl w:val="0"/>
          <w:numId w:val="1201"/>
        </w:numPr>
      </w:pPr>
      <w:r>
        <w:t xml:space="preserve">Sullivan P.F., Kendler K.S., Neale M.C. Schizophrenia as a complex trait. Arch Gen Psychiatry 2003;60(12):1187–1192.</w:t>
      </w:r>
    </w:p>
    <w:p>
      <w:pPr>
        <w:pStyle w:val="Compact"/>
        <w:numPr>
          <w:ilvl w:val="0"/>
          <w:numId w:val="1201"/>
        </w:numPr>
      </w:pPr>
      <w:r>
        <w:t xml:space="preserve">Trubetskoy V., Pardiñas A.F., Qi T. et al. Mapping genomic loci implicates genes and synaptic biology in schizophrenia. Nature 2022;604(7906):502–508.</w:t>
      </w:r>
    </w:p>
    <w:p>
      <w:pPr>
        <w:pStyle w:val="Compact"/>
        <w:numPr>
          <w:ilvl w:val="0"/>
          <w:numId w:val="1201"/>
        </w:numPr>
      </w:pPr>
      <w:r>
        <w:t xml:space="preserve">Howes O.D., Kapur S. The dopamine hypothesis of schizophrenia: version III. Schizophr Bull 2009;35(3):549–562.</w:t>
      </w:r>
    </w:p>
    <w:p>
      <w:pPr>
        <w:pStyle w:val="Compact"/>
        <w:numPr>
          <w:ilvl w:val="0"/>
          <w:numId w:val="1201"/>
        </w:numPr>
      </w:pPr>
      <w:r>
        <w:t xml:space="preserve">Haijma S.V., Van Haren N., Cahn W. et al. Brain volumes in schizophrenia: a meta-analysis. Schizophr Bull 2013;39(5):1129–1138.</w:t>
      </w:r>
    </w:p>
    <w:p>
      <w:pPr>
        <w:pStyle w:val="Compact"/>
        <w:numPr>
          <w:ilvl w:val="0"/>
          <w:numId w:val="1201"/>
        </w:numPr>
      </w:pPr>
      <w:r>
        <w:t xml:space="preserve">Saha S., Chant D., Welham J., McGrath J. A systematic review of the prevalence of schizophrenia. PLoS Med 2005;2(5):e141.</w:t>
      </w:r>
    </w:p>
    <w:p>
      <w:pPr>
        <w:pStyle w:val="Compact"/>
        <w:numPr>
          <w:ilvl w:val="0"/>
          <w:numId w:val="1201"/>
        </w:numPr>
      </w:pPr>
      <w:r>
        <w:t xml:space="preserve">Marconi A., Di Forti M., Lewis C.M. et al. Cannabis use and risk of psychosis. Schizophr Bull 2016;42(5):1262–1269.</w:t>
      </w:r>
    </w:p>
    <w:p>
      <w:pPr>
        <w:pStyle w:val="Compact"/>
        <w:numPr>
          <w:ilvl w:val="0"/>
          <w:numId w:val="1201"/>
        </w:numPr>
      </w:pPr>
      <w:r>
        <w:t xml:space="preserve">Hor K., Taylor M. Suicide and schizophrenia. J Psychopharmacol 2010;24(11 Suppl 4):81–90.</w:t>
      </w:r>
    </w:p>
    <w:p>
      <w:pPr>
        <w:pStyle w:val="Compact"/>
        <w:numPr>
          <w:ilvl w:val="0"/>
          <w:numId w:val="1201"/>
        </w:numPr>
      </w:pPr>
      <w:r>
        <w:t xml:space="preserve">Leucht S., Tardy M., Komossa K. et al. Antipsychotic drugs versus placebo for relapse prevention in schizophrenia. Lancet 2012;379(9831):2063–2071.</w:t>
      </w:r>
    </w:p>
    <w:p>
      <w:pPr>
        <w:pStyle w:val="Compact"/>
        <w:numPr>
          <w:ilvl w:val="0"/>
          <w:numId w:val="1201"/>
        </w:numPr>
      </w:pPr>
      <w:r>
        <w:t xml:space="preserve">Kane J., Honigfeld G., Singer J., Meltzer H. Clozapine for the treatment-resistant schizophrenic. Arch Gen Psychiatry 1988;45(9):789–796.</w:t>
      </w:r>
    </w:p>
    <w:p>
      <w:pPr>
        <w:pStyle w:val="Compact"/>
        <w:numPr>
          <w:ilvl w:val="0"/>
          <w:numId w:val="1201"/>
        </w:numPr>
      </w:pPr>
      <w:r>
        <w:t xml:space="preserve">Siskind D., McCartney L., Goldschlager R., Kisely S. Clozapine v. first- and second-generation antipsychotics in treatment-refractory schizophrenia. Br J Psychiatry 2016;209(5):385–392.</w:t>
      </w:r>
    </w:p>
    <w:p>
      <w:pPr>
        <w:pStyle w:val="Compact"/>
        <w:numPr>
          <w:ilvl w:val="0"/>
          <w:numId w:val="1201"/>
        </w:numPr>
      </w:pPr>
      <w:r>
        <w:t xml:space="preserve">Wykes T., Steel C., Everitt B., Tarrier N. Cognitive behavior therapy for schizophrenia: effect sizes, clinical models, and methodological rigor. Schizophr Bull 2008;34(3):523–537.</w:t>
      </w:r>
    </w:p>
    <w:p>
      <w:pPr>
        <w:pStyle w:val="Compact"/>
        <w:numPr>
          <w:ilvl w:val="0"/>
          <w:numId w:val="1201"/>
        </w:numPr>
      </w:pPr>
      <w:r>
        <w:t xml:space="preserve">Pharoah F., Mari J., Rathbone J., Wong W. Family intervention for schizophrenia. Cochrane Database Syst Rev 2010;(12):CD000088.</w:t>
      </w:r>
    </w:p>
    <w:p>
      <w:pPr>
        <w:pStyle w:val="Compact"/>
        <w:numPr>
          <w:ilvl w:val="0"/>
          <w:numId w:val="1201"/>
        </w:numPr>
      </w:pPr>
      <w:r>
        <w:t xml:space="preserve">Drake R.E., Bond G.R., Goldman H.H. et al. Individual placement and support services boost employment for people with serious mental illnesses. Health Aff (Millwood) 2016;35(6):1098–1105.</w:t>
      </w:r>
    </w:p>
    <w:p>
      <w:pPr>
        <w:pStyle w:val="Compact"/>
        <w:numPr>
          <w:ilvl w:val="0"/>
          <w:numId w:val="1201"/>
        </w:numPr>
      </w:pPr>
      <w:r>
        <w:t xml:space="preserve">Kane J.M., Robinson D.G., Schooler N.R. et al. Comprehensive versus usual community care for first-episode psychosis (RAISE). Am J Psychiatry 2016;173(4):362–372.</w:t>
      </w:r>
    </w:p>
    <w:p>
      <w:pPr>
        <w:pStyle w:val="Compact"/>
        <w:numPr>
          <w:ilvl w:val="0"/>
          <w:numId w:val="1201"/>
        </w:numPr>
      </w:pPr>
      <w:r>
        <w:t xml:space="preserve">Tiihonen J., Mittendorfer-Rutz E., Majak M. et al. Real-world effectiveness of antipsychotic treatments in a nationwide cohort of 29,823 patients with schizophrenia. JAMA Psychiatry 2017;74(7):686–693.</w:t>
      </w:r>
    </w:p>
    <w:p>
      <w:pPr>
        <w:pStyle w:val="Compact"/>
        <w:numPr>
          <w:ilvl w:val="0"/>
          <w:numId w:val="1201"/>
        </w:numPr>
      </w:pPr>
      <w:r>
        <w:rPr>
          <w:lang w:val="az"/>
        </w:rPr>
        <w:t xml:space="preserve">Azərbaycan Respublikası Səhiyyə Nazirliyi. Şizofreniyanın diaqnostika və müalicəsi üzrə Klinik Protokol</w:t>
      </w:r>
      <w:r>
        <w:t xml:space="preserve">. Bakı; 2009. [Ministry of Health of the Republic of Azerbaijan. Clinical Protocol for Diagnosis and Treatment of Schizophrenia.]</w:t>
      </w:r>
    </w:p>
    <w:p>
      <w:pPr>
        <w:pStyle w:val="Compact"/>
        <w:numPr>
          <w:ilvl w:val="0"/>
          <w:numId w:val="1201"/>
        </w:numPr>
      </w:pPr>
      <w:r>
        <w:t xml:space="preserve">Fromm-Reichmann F. Notes on the development of treatment of schizophrenics by psychoanalytic psychotherapy. Psychiatry 1948;11(3):263–273.</w:t>
      </w:r>
    </w:p>
    <w:p>
      <w:pPr>
        <w:pStyle w:val="Compact"/>
        <w:numPr>
          <w:ilvl w:val="0"/>
          <w:numId w:val="1201"/>
        </w:numPr>
      </w:pPr>
      <w:r>
        <w:t xml:space="preserve">Ernst E. A systematic review of systematic reviews of homeopathy. Br J Clin Pharmacol 2002;54(6):577–582.</w:t>
      </w:r>
    </w:p>
    <w:p>
      <w:pPr>
        <w:pStyle w:val="Compact"/>
        <w:numPr>
          <w:ilvl w:val="0"/>
          <w:numId w:val="1201"/>
        </w:numPr>
      </w:pPr>
      <w:r>
        <w:t xml:space="preserve">Huybrechts K.F., Hernández-Díaz S., Patorno E. et al. Antipsychotic use in pregnancy and the risk for congenital malformations. JAMA Psychiatry 2016;73(9):938–946.</w:t>
      </w:r>
    </w:p>
    <w:p>
      <w:pPr>
        <w:pStyle w:val="Compact"/>
        <w:numPr>
          <w:ilvl w:val="0"/>
          <w:numId w:val="1201"/>
        </w:numPr>
      </w:pPr>
      <w:r>
        <w:t xml:space="preserve">Aleman A., Kahn R.S., Selten J.P. Sex differences in the risk of schizophrenia: evidence from meta-analysis. Arch Gen Psychiatry 2003;60(6):565–571.</w:t>
      </w:r>
    </w:p>
    <w:p>
      <w:pPr>
        <w:pStyle w:val="Compact"/>
        <w:numPr>
          <w:ilvl w:val="0"/>
          <w:numId w:val="1201"/>
        </w:numPr>
      </w:pPr>
      <w:r>
        <w:t xml:space="preserve">Olfson M., Gerhard T., Huang C. et al. Premature mortality among adults with schizophrenia in the United States. JAMA Psychiatry 2015;72(12):1172–1181.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44" w:name="m126a21-schizoaffective-disorder"/>
            <w:r>
              <w:t xml:space="preserve">6A21 SCHIZOAFFECTIVE DISORDER</w:t>
            </w:r>
            <w:bookmarkEnd w:id="444"/>
          </w:p>
          <w:p>
            <w:pPr>
              <w:pStyle w:val="Compact"/>
              <w:ind w:firstLine="0" w:left="0"/>
            </w:pPr>
            <w:r>
              <w:rPr>
                <w:lang w:val="en"/>
              </w:rPr>
              <w:t xml:space="preserve">Schizoaffective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Schizoaffective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Schizoaffective Disorder</w:t>
            </w:r>
          </w:p>
        </w:tc>
      </w:tr>
    </w:tbl>
    <w:bookmarkStart w:id="445" w:name="Xe8505ea0197d7fb71266ee9278298e2e6489c56"/>
    <w:p>
      <w:pPr>
        <w:pStyle w:val="Heading3"/>
      </w:pPr>
      <w:r>
        <w:t xml:space="preserve">1. Definition and nosology</w:t>
      </w:r>
    </w:p>
    <w:p>
      <w:pPr>
        <w:pStyle w:val="FirstParagraph"/>
      </w:pPr>
      <w:r>
        <w:t xml:space="preserve">Schizoaffective disorder (ICD-11:</w:t>
      </w:r>
      <w:r>
        <w:t xml:space="preserve"> </w:t>
      </w:r>
      <w:r>
        <w:t xml:space="preserve">6A21</w:t>
      </w:r>
      <w:r>
        <w:t xml:space="preserve">; DSM-5-TR: F25.0–F25.1) — a primary psychotic disorder in which psychotic symptoms (delusion, hallucination, disorganized speech) and an affective episode (manic or depressive) are observed together during the same clinical episode, but in which, additionally, psychotic symptoms persist outside the affective episode as well.</w:t>
      </w:r>
    </w:p>
    <w:p>
      <w:pPr>
        <w:pStyle w:val="BodyText"/>
      </w:pPr>
      <w:r>
        <w:t xml:space="preserve">On the spectrum of psychotic disorders the disorder occupies an intermediate position between schizophrenia and affective disorder — on one hand, it is differentiated from “affective disorder with psychotic features,” and on the other hand, from “schizophrenia” (by the persistence of psychotic symptoms independent of the context of an affective episode).</w:t>
      </w:r>
    </w:p>
    <w:p>
      <w:pPr>
        <w:pStyle w:val="BodyText"/>
      </w:pPr>
      <w:r>
        <w:t xml:space="preserve">DSM-5-TR — two type specifiers: bipolar type (manic and/or depressive episodes) and depressive type (only depressive episodes). In ICD-11, sub-specifications are parallel — according to the type of affective episode.</w:t>
      </w:r>
    </w:p>
    <w:bookmarkEnd w:id="445"/>
    <w:bookmarkStart w:id="446" w:name="X16b966d552448af0456b184f85f1c5b7fdebb2f"/>
    <w:p>
      <w:pPr>
        <w:pStyle w:val="Heading3"/>
      </w:pPr>
      <w:r>
        <w:t xml:space="preserve">2. History</w:t>
      </w:r>
    </w:p>
    <w:p>
      <w:pPr>
        <w:pStyle w:val="Compact"/>
        <w:numPr>
          <w:ilvl w:val="0"/>
          <w:numId w:val="1202"/>
        </w:numPr>
      </w:pPr>
      <w:r>
        <w:t xml:space="preserve">Kasanin J. (1933) — The term “acute schizoaffective psychosis” was first introduced; a rapid onset and favorable prognosis were emphasized.</w:t>
      </w:r>
    </w:p>
    <w:p>
      <w:pPr>
        <w:pStyle w:val="Compact"/>
        <w:numPr>
          <w:ilvl w:val="0"/>
          <w:numId w:val="1202"/>
        </w:numPr>
      </w:pPr>
      <w:r>
        <w:t xml:space="preserve">1970s — Carpenter W., Strauss J., Bartko J. — research as a distinct clinical entity from schizophrenia and affective disorder.</w:t>
      </w:r>
    </w:p>
    <w:p>
      <w:pPr>
        <w:pStyle w:val="Compact"/>
        <w:numPr>
          <w:ilvl w:val="0"/>
          <w:numId w:val="1202"/>
        </w:numPr>
      </w:pPr>
      <w:r>
        <w:t xml:space="preserve">DSM-III (1980) — schizoaffective disorder as a “mixed” category.</w:t>
      </w:r>
    </w:p>
    <w:p>
      <w:pPr>
        <w:pStyle w:val="Compact"/>
        <w:numPr>
          <w:ilvl w:val="0"/>
          <w:numId w:val="1202"/>
        </w:numPr>
      </w:pPr>
      <w:r>
        <w:t xml:space="preserve">DSM-IV (1994), DSM-5 (2013) — diagnostic criteria have been clarified; bipolar/depressive type distinction retained.</w:t>
      </w:r>
    </w:p>
    <w:p>
      <w:pPr>
        <w:pStyle w:val="Compact"/>
        <w:numPr>
          <w:ilvl w:val="0"/>
          <w:numId w:val="1202"/>
        </w:numPr>
      </w:pPr>
      <w:r>
        <w:t xml:space="preserve">ICD-11 (2019) — affective episode type sub-specifications.</w:t>
      </w:r>
    </w:p>
    <w:p>
      <w:pPr>
        <w:pStyle w:val="Compact"/>
        <w:numPr>
          <w:ilvl w:val="0"/>
          <w:numId w:val="1202"/>
        </w:numPr>
      </w:pPr>
      <w:r>
        <w:t xml:space="preserve">Diagnostic validity debate — Malhi G.S. et al. Aust N Z J Psychiatry 2008, Lake C.R., Hurwitz N. Curr Psychiatry Rep 2007: whether schizoaffective disorder is a distinct entity separate from schizophrenia and affective disorder is debated; some researchers view it within a spectrum concept.</w:t>
      </w:r>
    </w:p>
    <w:bookmarkEnd w:id="446"/>
    <w:bookmarkStart w:id="447" w:name="X0339d7aae056bbeeee4b93b017188b0cf27413d"/>
    <w:p>
      <w:pPr>
        <w:pStyle w:val="Heading3"/>
      </w:pPr>
      <w:r>
        <w:t xml:space="preserve">3. Epidemiology</w:t>
      </w:r>
    </w:p>
    <w:p>
      <w:pPr>
        <w:pStyle w:val="Compact"/>
        <w:numPr>
          <w:ilvl w:val="0"/>
          <w:numId w:val="1203"/>
        </w:numPr>
      </w:pPr>
      <w:r>
        <w:t xml:space="preserve">Lifetime prevalence: 0.3% (Perälä J. et al. Arch Gen Psychiatry 2007 Finland population study, n=8000).</w:t>
      </w:r>
    </w:p>
    <w:p>
      <w:pPr>
        <w:pStyle w:val="Compact"/>
        <w:numPr>
          <w:ilvl w:val="0"/>
          <w:numId w:val="1203"/>
        </w:numPr>
      </w:pPr>
      <w:r>
        <w:t xml:space="preserve">Markedly less common than schizophrenia (0.3–0.7%).</w:t>
      </w:r>
    </w:p>
    <w:p>
      <w:pPr>
        <w:pStyle w:val="Compact"/>
        <w:numPr>
          <w:ilvl w:val="0"/>
          <w:numId w:val="1203"/>
        </w:numPr>
      </w:pPr>
      <w:r>
        <w:t xml:space="preserve">Sex: Relatively more frequent in women (1:1.2–1.5); depressive type dominant in women.</w:t>
      </w:r>
    </w:p>
    <w:p>
      <w:pPr>
        <w:pStyle w:val="Compact"/>
        <w:numPr>
          <w:ilvl w:val="0"/>
          <w:numId w:val="1203"/>
        </w:numPr>
      </w:pPr>
      <w:r>
        <w:t xml:space="preserve">Age of onset: Mean age 20–30 years; bipolar type younger, depressive type later.</w:t>
      </w:r>
    </w:p>
    <w:p>
      <w:pPr>
        <w:pStyle w:val="Compact"/>
        <w:numPr>
          <w:ilvl w:val="0"/>
          <w:numId w:val="1203"/>
        </w:numPr>
      </w:pPr>
      <w:r>
        <w:t xml:space="preserve">Comorbidity: Substance use disorders ~40%, anxiety disorders ~30%, suicide risk comparable to schizophrenia (~5%).</w:t>
      </w:r>
    </w:p>
    <w:p>
      <w:pPr>
        <w:pStyle w:val="Compact"/>
        <w:numPr>
          <w:ilvl w:val="0"/>
          <w:numId w:val="1203"/>
        </w:numPr>
      </w:pPr>
      <w:r>
        <w:t xml:space="preserve">Mortality: general mortality is 2–3 times higher compared to the population.</w:t>
      </w:r>
    </w:p>
    <w:bookmarkEnd w:id="447"/>
    <w:bookmarkStart w:id="451" w:name="X32c3c1ebddf39eeb8d47b85be32bc60a1241d0c"/>
    <w:p>
      <w:pPr>
        <w:pStyle w:val="Heading3"/>
      </w:pPr>
      <w:r>
        <w:t xml:space="preserve">4. Aetiology and pathogenesis</w:t>
      </w:r>
    </w:p>
    <w:bookmarkStart w:id="448" w:name="genetic-factors-5"/>
    <w:p>
      <w:pPr>
        <w:pStyle w:val="Heading4"/>
      </w:pPr>
      <w:r>
        <w:t xml:space="preserve">4.1 Genetic factors</w:t>
      </w:r>
    </w:p>
    <w:p>
      <w:pPr>
        <w:pStyle w:val="Compact"/>
        <w:numPr>
          <w:ilvl w:val="0"/>
          <w:numId w:val="1204"/>
        </w:numPr>
      </w:pPr>
      <w:r>
        <w:t xml:space="preserve">Genetic overlap with schizophrenia and bipolar disorder is high: GWAS studies (Cross-Disorder Group of Psychiatric Genomics Consortium. Lancet 2013, Cell 2019) — broad genetic correlation between schizophrenia, bipolar disorder, and schizoaffective disorder.</w:t>
      </w:r>
    </w:p>
    <w:p>
      <w:pPr>
        <w:pStyle w:val="Compact"/>
        <w:numPr>
          <w:ilvl w:val="0"/>
          <w:numId w:val="1204"/>
        </w:numPr>
      </w:pPr>
      <w:r>
        <w:t xml:space="preserve">Family studies — relatives of schizoaffective patients have increased risk of both schizophrenia and mood disorders (Maier W. et al. Arch Gen Psychiatry 1993).</w:t>
      </w:r>
    </w:p>
    <w:bookmarkEnd w:id="448"/>
    <w:bookmarkStart w:id="449" w:name="neurobiology-1"/>
    <w:p>
      <w:pPr>
        <w:pStyle w:val="Heading4"/>
      </w:pPr>
      <w:r>
        <w:t xml:space="preserve">4.2 Neurobiology</w:t>
      </w:r>
    </w:p>
    <w:p>
      <w:pPr>
        <w:pStyle w:val="Compact"/>
        <w:numPr>
          <w:ilvl w:val="0"/>
          <w:numId w:val="1205"/>
        </w:numPr>
      </w:pPr>
      <w:r>
        <w:t xml:space="preserve">Overlapping models with schizophrenia — dopamine dysregulation, cortical volume changes, glutamate NMDA dysfunction.</w:t>
      </w:r>
    </w:p>
    <w:p>
      <w:pPr>
        <w:pStyle w:val="Compact"/>
        <w:numPr>
          <w:ilvl w:val="0"/>
          <w:numId w:val="1205"/>
        </w:numPr>
      </w:pPr>
      <w:r>
        <w:t xml:space="preserve">Related to the affective component — limbic and monoaminergic (serotonin, noradrenaline) system dysfunction.</w:t>
      </w:r>
    </w:p>
    <w:p>
      <w:pPr>
        <w:pStyle w:val="Compact"/>
        <w:numPr>
          <w:ilvl w:val="0"/>
          <w:numId w:val="1205"/>
        </w:numPr>
      </w:pPr>
      <w:r>
        <w:t xml:space="preserve">Less severe structural changes and better cognitive profile observed compared to schizophrenia (Heckers S. Curr Psychiatry Rep 2009 review).</w:t>
      </w:r>
    </w:p>
    <w:bookmarkEnd w:id="449"/>
    <w:bookmarkStart w:id="450" w:name="environmental-risk-factors-3"/>
    <w:p>
      <w:pPr>
        <w:pStyle w:val="Heading4"/>
      </w:pPr>
      <w:r>
        <w:t xml:space="preserve">4.3 Environmental risk factors</w:t>
      </w:r>
    </w:p>
    <w:p>
      <w:pPr>
        <w:pStyle w:val="Compact"/>
        <w:numPr>
          <w:ilvl w:val="0"/>
          <w:numId w:val="1206"/>
        </w:numPr>
      </w:pPr>
      <w:r>
        <w:t xml:space="preserve">Overlap with schizophrenia — obstetric complications, prenatal infections, adolescent cannabis use, migration, urban environment.</w:t>
      </w:r>
    </w:p>
    <w:p>
      <w:pPr>
        <w:pStyle w:val="Compact"/>
        <w:numPr>
          <w:ilvl w:val="0"/>
          <w:numId w:val="1206"/>
        </w:numPr>
      </w:pPr>
      <w:r>
        <w:t xml:space="preserve">Early trauma and psychosocial stress may play a role as a trigger for the affective component.</w:t>
      </w:r>
    </w:p>
    <w:bookmarkEnd w:id="450"/>
    <w:bookmarkEnd w:id="451"/>
    <w:bookmarkStart w:id="454" w:name="Xd847d77450d51a662a63ef57b4096b9071c2feb"/>
    <w:p>
      <w:pPr>
        <w:pStyle w:val="Heading3"/>
      </w:pPr>
      <w:r>
        <w:t xml:space="preserve">5. Clinical features</w:t>
      </w:r>
    </w:p>
    <w:bookmarkStart w:id="452" w:name="core-patterns"/>
    <w:p>
      <w:pPr>
        <w:pStyle w:val="Heading4"/>
      </w:pPr>
      <w:r>
        <w:t xml:space="preserve">5.1 Core patterns</w:t>
      </w:r>
    </w:p>
    <w:p>
      <w:pPr>
        <w:pStyle w:val="Compact"/>
        <w:numPr>
          <w:ilvl w:val="0"/>
          <w:numId w:val="1207"/>
        </w:numPr>
      </w:pPr>
      <w:r>
        <w:t xml:space="preserve">Psychosis in the context of a manic episode — grandiose delusions, ego-syntonic hallucinations, rapid thought flow, hyperspeech and behavior.</w:t>
      </w:r>
    </w:p>
    <w:p>
      <w:pPr>
        <w:pStyle w:val="Compact"/>
        <w:numPr>
          <w:ilvl w:val="0"/>
          <w:numId w:val="1207"/>
        </w:numPr>
      </w:pPr>
      <w:r>
        <w:t xml:space="preserve">Psychosis in the context of a depressive episode — guilt delusions, nihilistic delusions, auditory hallucinations (judging voices), low motivation.</w:t>
      </w:r>
    </w:p>
    <w:p>
      <w:pPr>
        <w:pStyle w:val="Compact"/>
        <w:numPr>
          <w:ilvl w:val="0"/>
          <w:numId w:val="1207"/>
        </w:numPr>
      </w:pPr>
      <w:r>
        <w:t xml:space="preserve">During periods outside the affective episode — positive (delusion, hallucination) and/or negative (affective flattening, avolition) symptoms persist — this criterion distinguishes the disorder from ‘affective disorder with psychotic features’.</w:t>
      </w:r>
    </w:p>
    <w:bookmarkEnd w:id="452"/>
    <w:bookmarkStart w:id="453" w:name="course-and-stages"/>
    <w:p>
      <w:pPr>
        <w:pStyle w:val="Heading4"/>
      </w:pPr>
      <w:r>
        <w:t xml:space="preserve">5.2 Course and stages</w:t>
      </w:r>
    </w:p>
    <w:p>
      <w:pPr>
        <w:pStyle w:val="Compact"/>
        <w:numPr>
          <w:ilvl w:val="0"/>
          <w:numId w:val="1208"/>
        </w:numPr>
      </w:pPr>
      <w:r>
        <w:t xml:space="preserve">Course is typically episodic — affective episodes and psychotic components of varying intensity.</w:t>
      </w:r>
    </w:p>
    <w:p>
      <w:pPr>
        <w:pStyle w:val="Compact"/>
        <w:numPr>
          <w:ilvl w:val="0"/>
          <w:numId w:val="1208"/>
        </w:numPr>
      </w:pPr>
      <w:r>
        <w:t xml:space="preserve">Better functional recovery compared to schizophrenia, but significant social and occupational impairment exists.</w:t>
      </w:r>
    </w:p>
    <w:p>
      <w:pPr>
        <w:pStyle w:val="Compact"/>
        <w:numPr>
          <w:ilvl w:val="0"/>
          <w:numId w:val="1208"/>
        </w:numPr>
      </w:pPr>
      <w:r>
        <w:t xml:space="preserve">Manic and depressive cycles in bipolar type; persistent depressive components in depressive type.</w:t>
      </w:r>
    </w:p>
    <w:bookmarkEnd w:id="453"/>
    <w:bookmarkEnd w:id="454"/>
    <w:bookmarkStart w:id="459" w:name="X0d232fb418175a1d83073144f1636106c2f0797"/>
    <w:p>
      <w:pPr>
        <w:pStyle w:val="Heading3"/>
      </w:pPr>
      <w:r>
        <w:t xml:space="preserve">6. Diagnosis</w:t>
      </w:r>
    </w:p>
    <w:bookmarkStart w:id="455" w:name="X765b4c4aeaf078ff403b75ddd94cea909eac73c"/>
    <w:p>
      <w:pPr>
        <w:pStyle w:val="Heading4"/>
      </w:pPr>
      <w:r>
        <w:t xml:space="preserve">6.1 Unified diagnostic criteria (DSM-5-TR · ICD-11 consensus points)</w:t>
      </w:r>
    </w:p>
    <w:p>
      <w:pPr>
        <w:pStyle w:val="FirstParagraph"/>
      </w:pPr>
      <w:r>
        <w:t xml:space="preserve">A. Within the same illness episode, a major affective episode (manic or depressive) must be observed together with active-phase symptoms meeting schizophrenia criterion A (≥1 month).</w:t>
      </w:r>
    </w:p>
    <w:p>
      <w:pPr>
        <w:pStyle w:val="BodyText"/>
      </w:pPr>
      <w:r>
        <w:t xml:space="preserve">B. Delusions or hallucinations have been present for ≥ 2 weeks in the absence of a major affective episode (in the lifetime course of the illness).</w:t>
      </w:r>
    </w:p>
    <w:p>
      <w:pPr>
        <w:pStyle w:val="BodyText"/>
      </w:pPr>
      <w:r>
        <w:t xml:space="preserve">C. Symptoms consistent with a major affective episode of illness must be present for a significant portion of the overall course (along with active and residual phases).</w:t>
      </w:r>
    </w:p>
    <w:p>
      <w:pPr>
        <w:pStyle w:val="BodyText"/>
      </w:pPr>
      <w:r>
        <w:t xml:space="preserve">D. Exclusions — psychosis not fully explained by substance (e.g., amphetamine) or medical condition (e.g., encephalitis).</w:t>
      </w:r>
    </w:p>
    <w:bookmarkEnd w:id="455"/>
    <w:bookmarkStart w:id="456" w:name="differences-between-sources-14"/>
    <w:p>
      <w:pPr>
        <w:pStyle w:val="Heading4"/>
      </w:pPr>
      <w:r>
        <w:t xml:space="preserve">6.2 Differences between sources</w:t>
      </w:r>
    </w:p>
    <w:p>
      <w:pPr>
        <w:pStyle w:val="Compact"/>
        <w:numPr>
          <w:ilvl w:val="0"/>
          <w:numId w:val="1209"/>
        </w:numPr>
      </w:pPr>
      <w:r>
        <w:t xml:space="preserve">DSM-5-TR (F25.0–F25.1): Criterion B specifies a minimum duration of 2 weeks (DSM-IV had no specific number). Type qualifiers — bipolar (has manic episodes) or depressive (only depressive).</w:t>
      </w:r>
    </w:p>
    <w:p>
      <w:pPr>
        <w:pStyle w:val="Compact"/>
        <w:numPr>
          <w:ilvl w:val="0"/>
          <w:numId w:val="1209"/>
        </w:numPr>
      </w:pPr>
      <w:r>
        <w:t xml:space="preserve">ICD-11 (6A21): “Schizoaffective disorder” — sub-specifications by affective episode type; specific 2-week requirement in ICD-11 is stated as “significant duration” rather than a fixed number.</w:t>
      </w:r>
    </w:p>
    <w:p>
      <w:pPr>
        <w:pStyle w:val="Compact"/>
        <w:numPr>
          <w:ilvl w:val="0"/>
          <w:numId w:val="1209"/>
        </w:numPr>
      </w:pPr>
      <w:r>
        <w:t xml:space="preserve">APA Practice Guideline (Schizophrenia 2021): There is no separate algorithm for schizoaffective disorder; treatment principles for schizophrenia and mood disorders are combined.</w:t>
      </w:r>
    </w:p>
    <w:p>
      <w:pPr>
        <w:pStyle w:val="Compact"/>
        <w:numPr>
          <w:ilvl w:val="0"/>
          <w:numId w:val="1209"/>
        </w:numPr>
      </w:pPr>
      <w:r>
        <w:t xml:space="preserve">WFSBP: Schizoaffective disorder is evaluated within the spectrum of schizophrenia disorders.</w:t>
      </w:r>
    </w:p>
    <w:bookmarkEnd w:id="456"/>
    <w:bookmarkStart w:id="457" w:name="diagnostic-algorithm-9"/>
    <w:p>
      <w:pPr>
        <w:pStyle w:val="Heading4"/>
      </w:pPr>
      <w:r>
        <w:t xml:space="preserve">6.3 Diagnostic algorithm</w:t>
      </w:r>
    </w:p>
    <w:p>
      <w:pPr>
        <w:pStyle w:val="Compact"/>
        <w:numPr>
          <w:ilvl w:val="0"/>
          <w:numId w:val="1210"/>
        </w:numPr>
      </w:pPr>
      <w:r>
        <w:t xml:space="preserve">Clinical interview + information from relatives — chronological order of affective episodes and psychotic symptoms.</w:t>
      </w:r>
    </w:p>
    <w:p>
      <w:pPr>
        <w:pStyle w:val="Compact"/>
        <w:numPr>
          <w:ilvl w:val="0"/>
          <w:numId w:val="1210"/>
        </w:numPr>
      </w:pPr>
      <w:r>
        <w:t xml:space="preserve">Structured interview (SCID-5 or MINI).</w:t>
      </w:r>
    </w:p>
    <w:p>
      <w:pPr>
        <w:pStyle w:val="Compact"/>
        <w:numPr>
          <w:ilvl w:val="0"/>
          <w:numId w:val="1210"/>
        </w:numPr>
      </w:pPr>
      <w:r>
        <w:t xml:space="preserve">PANSS or BPRS — severity of psychotic symptoms; HAM-D, MADRS — depressive; YMRS — manic.</w:t>
      </w:r>
    </w:p>
    <w:p>
      <w:pPr>
        <w:pStyle w:val="Compact"/>
        <w:numPr>
          <w:ilvl w:val="0"/>
          <w:numId w:val="1210"/>
        </w:numPr>
      </w:pPr>
      <w:r>
        <w:t xml:space="preserve">Physical and neurological examination.</w:t>
      </w:r>
    </w:p>
    <w:p>
      <w:pPr>
        <w:pStyle w:val="Compact"/>
        <w:numPr>
          <w:ilvl w:val="0"/>
          <w:numId w:val="1210"/>
        </w:numPr>
      </w:pPr>
      <w:r>
        <w:t xml:space="preserve">Toxicology screening (urine).</w:t>
      </w:r>
    </w:p>
    <w:p>
      <w:pPr>
        <w:pStyle w:val="Compact"/>
        <w:numPr>
          <w:ilvl w:val="0"/>
          <w:numId w:val="1210"/>
        </w:numPr>
      </w:pPr>
      <w:r>
        <w:t xml:space="preserve">Laboratory (complete blood count, thyroid, liver, kidney, glucose, HbA1c, lipid, prolactin).</w:t>
      </w:r>
    </w:p>
    <w:p>
      <w:pPr>
        <w:pStyle w:val="Compact"/>
        <w:numPr>
          <w:ilvl w:val="0"/>
          <w:numId w:val="1210"/>
        </w:numPr>
      </w:pPr>
      <w:r>
        <w:t xml:space="preserve">Brain MRI (first episode) — rule out organic cause.</w:t>
      </w:r>
    </w:p>
    <w:p>
      <w:pPr>
        <w:pStyle w:val="Compact"/>
        <w:numPr>
          <w:ilvl w:val="0"/>
          <w:numId w:val="1210"/>
        </w:numPr>
      </w:pPr>
      <w:r>
        <w:t xml:space="preserve">Comorbidity and suicide risk assessment (C-SSRS).</w:t>
      </w:r>
    </w:p>
    <w:bookmarkEnd w:id="457"/>
    <w:bookmarkStart w:id="458" w:name="differential-diagnosis-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episodes are absent or minimal; if present, they occur during a small portion of the psychosis course.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I with psychotic features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Psychosis only in the context of manic or depressive episodes; no psychosis outside affective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disorder with psychotic features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Psychosis only in the context of a depressive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Temporal relationship with substance use; remission after elimination.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Secondary (organic) psychosis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Associated with a medical condition (encephalitis, lupus, paraneoplastic).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Delusions only; affective component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and transient psychotic disorder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3 months (ICD-11) / &lt; 1 month (DSM-5-TR Brief Psychotic).</w:t>
            </w:r>
          </w:p>
        </w:tc>
      </w:tr>
    </w:tbl>
    <w:bookmarkEnd w:id="458"/>
    <w:bookmarkEnd w:id="459"/>
    <w:bookmarkStart w:id="463" w:name="Xc82a9e8b3d38f7c08aa90ef75d37e70d493830b"/>
    <w:p>
      <w:pPr>
        <w:pStyle w:val="Heading3"/>
      </w:pPr>
      <w:r>
        <w:t xml:space="preserve">7. Examination and assessment</w:t>
      </w:r>
    </w:p>
    <w:bookmarkStart w:id="460" w:name="clinical-scales-2"/>
    <w:p>
      <w:pPr>
        <w:pStyle w:val="Heading4"/>
      </w:pPr>
      <w:r>
        <w:t xml:space="preserve">7.1 Clinical scales</w:t>
      </w:r>
    </w:p>
    <w:p>
      <w:pPr>
        <w:pStyle w:val="Compact"/>
        <w:numPr>
          <w:ilvl w:val="0"/>
          <w:numId w:val="1211"/>
        </w:numPr>
      </w:pPr>
      <w:r>
        <w:t xml:space="preserve">Structured interview: SCID-5, MINI.</w:t>
      </w:r>
    </w:p>
    <w:p>
      <w:pPr>
        <w:pStyle w:val="Compact"/>
        <w:numPr>
          <w:ilvl w:val="0"/>
          <w:numId w:val="1211"/>
        </w:numPr>
      </w:pPr>
      <w:r>
        <w:t xml:space="preserve">Psychotic severity: PANSS, BPRS.</w:t>
      </w:r>
    </w:p>
    <w:p>
      <w:pPr>
        <w:pStyle w:val="Compact"/>
        <w:numPr>
          <w:ilvl w:val="0"/>
          <w:numId w:val="1211"/>
        </w:numPr>
      </w:pPr>
      <w:r>
        <w:t xml:space="preserve">Depressive severity: HAM-D (Hamilton), MADRS (Montgomery-Åsberg).</w:t>
      </w:r>
    </w:p>
    <w:p>
      <w:pPr>
        <w:pStyle w:val="Compact"/>
        <w:numPr>
          <w:ilvl w:val="0"/>
          <w:numId w:val="1211"/>
        </w:numPr>
      </w:pPr>
      <w:r>
        <w:t xml:space="preserve">Manic severity: YMRS (Young Mania Rating Scale).</w:t>
      </w:r>
    </w:p>
    <w:p>
      <w:pPr>
        <w:pStyle w:val="Compact"/>
        <w:numPr>
          <w:ilvl w:val="0"/>
          <w:numId w:val="1211"/>
        </w:numPr>
      </w:pPr>
      <w:r>
        <w:t xml:space="preserve">Functional: GAF, PSP, SOFAS.</w:t>
      </w:r>
    </w:p>
    <w:p>
      <w:pPr>
        <w:pStyle w:val="Compact"/>
        <w:numPr>
          <w:ilvl w:val="0"/>
          <w:numId w:val="1211"/>
        </w:numPr>
      </w:pPr>
      <w:r>
        <w:t xml:space="preserve">Suicide risk: C-SSRS.</w:t>
      </w:r>
    </w:p>
    <w:bookmarkEnd w:id="460"/>
    <w:bookmarkStart w:id="461" w:name="laboratory-investigations-8"/>
    <w:p>
      <w:pPr>
        <w:pStyle w:val="Heading4"/>
      </w:pPr>
      <w:r>
        <w:t xml:space="preserve">7.2 Laboratory investigations</w:t>
      </w:r>
    </w:p>
    <w:p>
      <w:pPr>
        <w:pStyle w:val="FirstParagraph"/>
      </w:pPr>
      <w:r>
        <w:t xml:space="preserve">Schizophrenia-like (see 6A20 §7.2):</w:t>
      </w:r>
    </w:p>
    <w:p>
      <w:pPr>
        <w:pStyle w:val="Compact"/>
        <w:numPr>
          <w:ilvl w:val="0"/>
          <w:numId w:val="1212"/>
        </w:numPr>
      </w:pPr>
      <w:r>
        <w:t xml:space="preserve">Absolute: complete blood count, liver/kidney, glucose, HbA1c, lipid profile, TSH, B12, folate, toxicology screening, HIV, syphilis, pregnancy test, prolactin baseline.</w:t>
      </w:r>
    </w:p>
    <w:p>
      <w:pPr>
        <w:pStyle w:val="Compact"/>
        <w:numPr>
          <w:ilvl w:val="0"/>
          <w:numId w:val="1212"/>
        </w:numPr>
      </w:pPr>
      <w:r>
        <w:t xml:space="preserve">Selective: EEG, anti-NMDA-R antibodies, ceruloplasmin (Wilson).</w:t>
      </w:r>
    </w:p>
    <w:p>
      <w:pPr>
        <w:pStyle w:val="Compact"/>
        <w:numPr>
          <w:ilvl w:val="0"/>
          <w:numId w:val="1212"/>
        </w:numPr>
      </w:pPr>
      <w:r>
        <w:t xml:space="preserve">Before starting lithium — creatinine, TSH, calcium, EKG.</w:t>
      </w:r>
    </w:p>
    <w:p>
      <w:pPr>
        <w:pStyle w:val="Compact"/>
        <w:numPr>
          <w:ilvl w:val="0"/>
          <w:numId w:val="1212"/>
        </w:numPr>
      </w:pPr>
      <w:r>
        <w:t xml:space="preserve">Before initiating valproate — liver and blood tests.</w:t>
      </w:r>
    </w:p>
    <w:bookmarkEnd w:id="461"/>
    <w:bookmarkStart w:id="462" w:name="instrumental-investigations-9"/>
    <w:p>
      <w:pPr>
        <w:pStyle w:val="Heading4"/>
      </w:pPr>
      <w:r>
        <w:t xml:space="preserve">7.3 Instrumental investigations</w:t>
      </w:r>
    </w:p>
    <w:p>
      <w:pPr>
        <w:pStyle w:val="Compact"/>
        <w:numPr>
          <w:ilvl w:val="0"/>
          <w:numId w:val="1213"/>
        </w:numPr>
      </w:pPr>
      <w:r>
        <w:t xml:space="preserve">Brain MRI — in first episode.</w:t>
      </w:r>
    </w:p>
    <w:p>
      <w:pPr>
        <w:pStyle w:val="Compact"/>
        <w:numPr>
          <w:ilvl w:val="0"/>
          <w:numId w:val="1213"/>
        </w:numPr>
      </w:pPr>
      <w:r>
        <w:t xml:space="preserve">EKG — before starting antipsychotic or lithium.</w:t>
      </w:r>
    </w:p>
    <w:bookmarkEnd w:id="462"/>
    <w:bookmarkEnd w:id="463"/>
    <w:bookmarkStart w:id="469" w:name="X38d8db0c903f40da6a659446e3436c602290d07"/>
    <w:p>
      <w:pPr>
        <w:pStyle w:val="Heading3"/>
      </w:pPr>
      <w:r>
        <w:t xml:space="preserve">8. Treatment</w:t>
      </w:r>
    </w:p>
    <w:bookmarkStart w:id="464" w:name="X13c1f9e6d13baafe19b0d12c85fc200be6d0c35"/>
    <w:p>
      <w:pPr>
        <w:pStyle w:val="Heading4"/>
      </w:pPr>
      <w:r>
        <w:t xml:space="preserve">8.1 General principles (APA 2021 · NICE CG178 / CG185 · WFSBP consensus)</w:t>
      </w:r>
    </w:p>
    <w:p>
      <w:pPr>
        <w:pStyle w:val="Compact"/>
        <w:numPr>
          <w:ilvl w:val="0"/>
          <w:numId w:val="1214"/>
        </w:numPr>
      </w:pPr>
      <w:r>
        <w:t xml:space="preserve">Multimodal approach — antipsychotic + mood stabilizer and/or antidepressant + psychosocial intervention.</w:t>
      </w:r>
    </w:p>
    <w:p>
      <w:pPr>
        <w:pStyle w:val="Compact"/>
        <w:numPr>
          <w:ilvl w:val="0"/>
          <w:numId w:val="1214"/>
        </w:numPr>
      </w:pPr>
      <w:r>
        <w:t xml:space="preserve">Atypical antipsychotic first-line — paliperidone or paliperidone palmitate (LAI) — FDA approval specifically for schizoaffective disorder; risperidone, olanzapine, quetiapine, aripiprazole — widely used.</w:t>
      </w:r>
    </w:p>
    <w:p>
      <w:pPr>
        <w:pStyle w:val="Compact"/>
        <w:numPr>
          <w:ilvl w:val="0"/>
          <w:numId w:val="1214"/>
        </w:numPr>
      </w:pPr>
      <w:r>
        <w:t xml:space="preserve">Mood stabilizer in bipolar type — lithium (suicidal risk reduction effect), valproate, lamotrigine (especially when the depressive component is predominant).</w:t>
      </w:r>
    </w:p>
    <w:p>
      <w:pPr>
        <w:pStyle w:val="Compact"/>
        <w:numPr>
          <w:ilvl w:val="0"/>
          <w:numId w:val="1214"/>
        </w:numPr>
      </w:pPr>
      <w:r>
        <w:t xml:space="preserve">Antidepressant in depressive type — SSRI (sertraline, escitalopram) or SNRI (venlafaxine); antidepressant not used alone, combined with antipsychotic.</w:t>
      </w:r>
    </w:p>
    <w:p>
      <w:pPr>
        <w:pStyle w:val="Compact"/>
        <w:numPr>
          <w:ilvl w:val="0"/>
          <w:numId w:val="1214"/>
        </w:numPr>
      </w:pPr>
      <w:r>
        <w:t xml:space="preserve">Clozapine — in refractory cases (non-response to two antipsychotics).</w:t>
      </w:r>
    </w:p>
    <w:p>
      <w:pPr>
        <w:pStyle w:val="Compact"/>
        <w:numPr>
          <w:ilvl w:val="0"/>
          <w:numId w:val="1214"/>
        </w:numPr>
      </w:pPr>
      <w:r>
        <w:t xml:space="preserve">ECT — severe catatonic, with depressive component, high suicide risk, effective in refractory cases (NICE TA59 — in psychotic depression and catatonia).</w:t>
      </w:r>
    </w:p>
    <w:p>
      <w:pPr>
        <w:pStyle w:val="Compact"/>
        <w:numPr>
          <w:ilvl w:val="0"/>
          <w:numId w:val="1214"/>
        </w:numPr>
      </w:pPr>
      <w:r>
        <w:t xml:space="preserve">Psychosocial intervention — CBTp (CBT for psychosis), family psychoeducation, supportive therapy, IPS supported employment.</w:t>
      </w:r>
    </w:p>
    <w:p>
      <w:pPr>
        <w:pStyle w:val="Compact"/>
        <w:numPr>
          <w:ilvl w:val="0"/>
          <w:numId w:val="1214"/>
        </w:numPr>
      </w:pPr>
      <w:r>
        <w:t xml:space="preserve">Adherence and relapse prevention — LAI (paliperidone palmitate, aripiprazole LAI) in selected patients.</w:t>
      </w:r>
    </w:p>
    <w:p>
      <w:pPr>
        <w:pStyle w:val="Compact"/>
        <w:numPr>
          <w:ilvl w:val="0"/>
          <w:numId w:val="1214"/>
        </w:numPr>
      </w:pPr>
      <w:r>
        <w:t xml:space="preserve">Comorbidity treatment — substance use (co-occurring program), anxiety, somatic disorders.</w:t>
      </w:r>
    </w:p>
    <w:p>
      <w:pPr>
        <w:pStyle w:val="Compact"/>
        <w:numPr>
          <w:ilvl w:val="0"/>
          <w:numId w:val="1214"/>
        </w:numPr>
      </w:pPr>
      <w:r>
        <w:t xml:space="preserve">Metabolic and side effect monitoring — standard in antipsychotics.</w:t>
      </w:r>
    </w:p>
    <w:bookmarkEnd w:id="464"/>
    <w:bookmarkStart w:id="465" w:name="pharmacotherapy"/>
    <w:p>
      <w:pPr>
        <w:pStyle w:val="Heading4"/>
      </w:pPr>
      <w:r>
        <w:t xml:space="preserve">8.2 Pharmacotherapy</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Class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 / samples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Indication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Atypical antipsychotic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Paliperidone (FDA approval), risperidone, olanzapine, quetiapine, aripiprazole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Positive and negative symptoms; baseline treatment in all cases.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Atypical antipsychotic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Paliperidone palmitate (monthly/3-monthly/6-monthly), aripiprazole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case of adherence problems or patient choice.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Mood stabilizer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Lithium, valproate, carbamazepine, lamotrigine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Lithium reduces suicide in bipolar type.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Antidepressant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 (sertraline, escitalopram), SNRI (venlafaxine)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depressive type; not alone, but in combination with antipsychotic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Refractory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Clozapine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Failure to respond to two antipsychotics.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Adjunct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Benzodiazepine (lorazepam) short-term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acute agitation or catatonia.</w:t>
            </w:r>
          </w:p>
        </w:tc>
      </w:tr>
    </w:tbl>
    <w:bookmarkEnd w:id="465"/>
    <w:bookmarkStart w:id="466" w:name="ect-indications"/>
    <w:p>
      <w:pPr>
        <w:pStyle w:val="Heading4"/>
      </w:pPr>
      <w:r>
        <w:t xml:space="preserve">8.3 ECT Indications</w:t>
      </w:r>
    </w:p>
    <w:p>
      <w:pPr>
        <w:pStyle w:val="Compact"/>
        <w:numPr>
          <w:ilvl w:val="0"/>
          <w:numId w:val="1215"/>
        </w:numPr>
      </w:pPr>
      <w:r>
        <w:t xml:space="preserve">Catatonic features.</w:t>
      </w:r>
    </w:p>
    <w:p>
      <w:pPr>
        <w:pStyle w:val="Compact"/>
        <w:numPr>
          <w:ilvl w:val="0"/>
          <w:numId w:val="1215"/>
        </w:numPr>
      </w:pPr>
      <w:r>
        <w:t xml:space="preserve">Severe psychotic depressive episode.</w:t>
      </w:r>
    </w:p>
    <w:p>
      <w:pPr>
        <w:pStyle w:val="Compact"/>
        <w:numPr>
          <w:ilvl w:val="0"/>
          <w:numId w:val="1215"/>
        </w:numPr>
      </w:pPr>
      <w:r>
        <w:t xml:space="preserve">Suicide risk, or refusal of food and fluids.</w:t>
      </w:r>
    </w:p>
    <w:p>
      <w:pPr>
        <w:pStyle w:val="Compact"/>
        <w:numPr>
          <w:ilvl w:val="0"/>
          <w:numId w:val="1215"/>
        </w:numPr>
      </w:pPr>
      <w:r>
        <w:t xml:space="preserve">During pregnancy (safe alternative).</w:t>
      </w:r>
    </w:p>
    <w:p>
      <w:pPr>
        <w:pStyle w:val="Compact"/>
        <w:numPr>
          <w:ilvl w:val="0"/>
          <w:numId w:val="1215"/>
        </w:numPr>
      </w:pPr>
      <w:r>
        <w:t xml:space="preserve">Non-response to pharmacotherapy.</w:t>
      </w:r>
    </w:p>
    <w:bookmarkEnd w:id="466"/>
    <w:bookmarkStart w:id="467" w:name="source-specific-clarifications-4"/>
    <w:p>
      <w:pPr>
        <w:pStyle w:val="Heading4"/>
      </w:pPr>
      <w:r>
        <w:t xml:space="preserve">8.4 Source-Specific Clarifications</w:t>
      </w:r>
    </w:p>
    <w:p>
      <w:pPr>
        <w:pStyle w:val="Compact"/>
        <w:numPr>
          <w:ilvl w:val="0"/>
          <w:numId w:val="1216"/>
        </w:numPr>
      </w:pPr>
      <w:r>
        <w:t xml:space="preserve">APA 2021 (Schizophrenia): Schizoaffective disorder treatment algorithm parallels schizophrenia; additional intervention based on affective component.</w:t>
      </w:r>
    </w:p>
    <w:p>
      <w:pPr>
        <w:pStyle w:val="Compact"/>
        <w:numPr>
          <w:ilvl w:val="0"/>
          <w:numId w:val="1216"/>
        </w:numPr>
      </w:pPr>
      <w:r>
        <w:t xml:space="preserve">NICE CG178 (Psychosis) + CG185 (Bipolar): both apply to schizoaffective disorder — psychotic component CG178, affective component CG185.</w:t>
      </w:r>
    </w:p>
    <w:p>
      <w:pPr>
        <w:pStyle w:val="Compact"/>
        <w:numPr>
          <w:ilvl w:val="0"/>
          <w:numId w:val="1216"/>
        </w:numPr>
      </w:pPr>
      <w:r>
        <w:t xml:space="preserve">WFSBP: In schizoaffective disorder, paliperidone and aripiprazole have the best evidence base.</w:t>
      </w:r>
    </w:p>
    <w:p>
      <w:pPr>
        <w:pStyle w:val="Compact"/>
        <w:numPr>
          <w:ilvl w:val="0"/>
          <w:numId w:val="1216"/>
        </w:numPr>
      </w:pPr>
      <w:r>
        <w:t xml:space="preserve">CANMAT / ISBD 2018: Bipolar type schizoaffective disorder — bipolar disorder is adapted to treatment algorithms.</w:t>
      </w:r>
    </w:p>
    <w:bookmarkEnd w:id="467"/>
    <w:bookmarkStart w:id="468" w:name="treatment-methods-9"/>
    <w:p>
      <w:pPr>
        <w:pStyle w:val="Heading4"/>
      </w:pPr>
      <w:r>
        <w:t xml:space="preserve">8.5 Treatment methods</w:t>
      </w:r>
    </w:p>
    <w:p>
      <w:pPr>
        <w:pStyle w:val="Compact"/>
        <w:numPr>
          <w:ilvl w:val="0"/>
          <w:numId w:val="1217"/>
        </w:numPr>
      </w:pPr>
      <w:r>
        <w:t xml:space="preserve">Cognitive Behavioral Therapy for psychosis (CBTp — Cognitive Behavioural Therapy for psychosis) — Adapted as in schizophrenia; see “Treatment Protocols”, 6A20.html and NICE CG178 §1.3.7.1.</w:t>
      </w:r>
    </w:p>
    <w:p>
      <w:pPr>
        <w:pStyle w:val="Compact"/>
        <w:numPr>
          <w:ilvl w:val="0"/>
          <w:numId w:val="1217"/>
        </w:numPr>
      </w:pPr>
      <w:r>
        <w:t xml:space="preserve">Family Psychoeducation and Intervention (Family Psychoeducation) — Reduces relapse in families with high expressed emotion (EE). NICE CG178 §1.3.7.2; Pharoah Cochrane 2010.</w:t>
      </w:r>
    </w:p>
    <w:p>
      <w:pPr>
        <w:pStyle w:val="Compact"/>
        <w:numPr>
          <w:ilvl w:val="0"/>
          <w:numId w:val="1217"/>
        </w:numPr>
      </w:pPr>
      <w:r>
        <w:t xml:space="preserve">Individual Placement and Support (IPS) — Supported employment engagement “place-then-train” principle. Drake R.E. et al. Health Aff (Millwood) 2016.</w:t>
      </w:r>
    </w:p>
    <w:p>
      <w:pPr>
        <w:pStyle w:val="Compact"/>
        <w:numPr>
          <w:ilvl w:val="0"/>
          <w:numId w:val="1217"/>
        </w:numPr>
      </w:pPr>
      <w:r>
        <w:t xml:space="preserve">Lithium — Mood stabilization and suicide prevention in bipolar-type schizoaffective disorder; initial parameters creatinine, TSH, calcium, EKG; therapeutic level 0.6–1.0 mEq/L; Cipriani A. et al. BMJ 2013 — reduces suicide.</w:t>
      </w:r>
    </w:p>
    <w:p>
      <w:pPr>
        <w:pStyle w:val="Compact"/>
        <w:numPr>
          <w:ilvl w:val="0"/>
          <w:numId w:val="1217"/>
        </w:numPr>
      </w:pPr>
      <w:r>
        <w:t xml:space="preserve">Lamotrigine — Preventive in bipolar depressive episode; initial titration slow (risk of Stevens-Johnson syndrome).</w:t>
      </w:r>
    </w:p>
    <w:p>
      <w:pPr>
        <w:pStyle w:val="Compact"/>
        <w:numPr>
          <w:ilvl w:val="0"/>
          <w:numId w:val="1217"/>
        </w:numPr>
      </w:pPr>
      <w:r>
        <w:t xml:space="preserve">Paliperidone Palmitate (LAI — long-acting injection) — Monthly, 3-monthly, and 6-monthly formulations. The FDA schizoaffective indication belongs to the monthly form only (Invega Sustenna); the 3-monthly (Trinza) and 6-monthly (Hafyera) forms are approved for schizophrenia only. Superior in adherence issues and relapse prophylaxis.</w:t>
      </w:r>
    </w:p>
    <w:p>
      <w:pPr>
        <w:pStyle w:val="Compact"/>
        <w:numPr>
          <w:ilvl w:val="0"/>
          <w:numId w:val="1217"/>
        </w:numPr>
      </w:pPr>
      <w:r>
        <w:t xml:space="preserve">Electroconvulsive Therapy (ECT) — Effective with catatonic features, severe psychotic depression, suicide risk, or refractory cases. NICE TA59 — strong recommendation for psychotic depression or catatonia. UK ECT Review Group Lancet 2003 meta-analysis — ECT superior to pharmacotherapy in severe depression.</w:t>
      </w:r>
    </w:p>
    <w:p>
      <w:pPr>
        <w:pStyle w:val="Compact"/>
        <w:numPr>
          <w:ilvl w:val="0"/>
          <w:numId w:val="1217"/>
        </w:numPr>
      </w:pPr>
      <w:r>
        <w:t xml:space="preserve">PANSS, HAM-D, YMRS — Separate standardized assessment of psychotic, depressive, manic components.</w:t>
      </w:r>
    </w:p>
    <w:bookmarkEnd w:id="468"/>
    <w:bookmarkEnd w:id="469"/>
    <w:bookmarkStart w:id="473" w:name="X7c76c7617eef600bca7dd6016a973275b0778ae"/>
    <w:p>
      <w:pPr>
        <w:pStyle w:val="Heading3"/>
      </w:pPr>
      <w:r>
        <w:t xml:space="preserve">9. Prognosis</w:t>
      </w:r>
    </w:p>
    <w:bookmarkStart w:id="470" w:name="good-prognostic-factors-9"/>
    <w:p>
      <w:pPr>
        <w:pStyle w:val="Heading4"/>
      </w:pPr>
      <w:r>
        <w:t xml:space="preserve">Good prognostic factors</w:t>
      </w:r>
    </w:p>
    <w:p>
      <w:pPr>
        <w:pStyle w:val="Compact"/>
        <w:numPr>
          <w:ilvl w:val="0"/>
          <w:numId w:val="1218"/>
        </w:numPr>
      </w:pPr>
      <w:r>
        <w:t xml:space="preserve">Bipolar type (better prognosis than depressive type).</w:t>
      </w:r>
    </w:p>
    <w:p>
      <w:pPr>
        <w:pStyle w:val="Compact"/>
        <w:numPr>
          <w:ilvl w:val="0"/>
          <w:numId w:val="1218"/>
        </w:numPr>
      </w:pPr>
      <w:r>
        <w:t xml:space="preserve">Rapid onset, clear affective component.</w:t>
      </w:r>
    </w:p>
    <w:p>
      <w:pPr>
        <w:pStyle w:val="Compact"/>
        <w:numPr>
          <w:ilvl w:val="0"/>
          <w:numId w:val="1218"/>
        </w:numPr>
      </w:pPr>
      <w:r>
        <w:t xml:space="preserve">Premorbid good functional level.</w:t>
      </w:r>
    </w:p>
    <w:p>
      <w:pPr>
        <w:pStyle w:val="Compact"/>
        <w:numPr>
          <w:ilvl w:val="0"/>
          <w:numId w:val="1218"/>
        </w:numPr>
      </w:pPr>
      <w:r>
        <w:t xml:space="preserve">Early intervention and adherence.</w:t>
      </w:r>
    </w:p>
    <w:p>
      <w:pPr>
        <w:pStyle w:val="Compact"/>
        <w:numPr>
          <w:ilvl w:val="0"/>
          <w:numId w:val="1218"/>
        </w:numPr>
      </w:pPr>
      <w:r>
        <w:t xml:space="preserve">Social support.</w:t>
      </w:r>
    </w:p>
    <w:p>
      <w:pPr>
        <w:pStyle w:val="Compact"/>
        <w:numPr>
          <w:ilvl w:val="0"/>
          <w:numId w:val="1218"/>
        </w:numPr>
      </w:pPr>
      <w:r>
        <w:t xml:space="preserve">Comorbid substance use management.</w:t>
      </w:r>
    </w:p>
    <w:bookmarkEnd w:id="470"/>
    <w:bookmarkStart w:id="471" w:name="poor-prognostic-factors-9"/>
    <w:p>
      <w:pPr>
        <w:pStyle w:val="Heading4"/>
      </w:pPr>
      <w:r>
        <w:t xml:space="preserve">Poor prognostic factors</w:t>
      </w:r>
    </w:p>
    <w:p>
      <w:pPr>
        <w:pStyle w:val="Compact"/>
        <w:numPr>
          <w:ilvl w:val="0"/>
          <w:numId w:val="1219"/>
        </w:numPr>
      </w:pPr>
      <w:r>
        <w:t xml:space="preserve">Depressive type.</w:t>
      </w:r>
    </w:p>
    <w:p>
      <w:pPr>
        <w:pStyle w:val="Compact"/>
        <w:numPr>
          <w:ilvl w:val="0"/>
          <w:numId w:val="1219"/>
        </w:numPr>
      </w:pPr>
      <w:r>
        <w:t xml:space="preserve">Gradual onset.</w:t>
      </w:r>
    </w:p>
    <w:p>
      <w:pPr>
        <w:pStyle w:val="Compact"/>
        <w:numPr>
          <w:ilvl w:val="0"/>
          <w:numId w:val="1219"/>
        </w:numPr>
      </w:pPr>
      <w:r>
        <w:t xml:space="preserve">Predominance of negative symptoms.</w:t>
      </w:r>
    </w:p>
    <w:p>
      <w:pPr>
        <w:pStyle w:val="Compact"/>
        <w:numPr>
          <w:ilvl w:val="0"/>
          <w:numId w:val="1219"/>
        </w:numPr>
      </w:pPr>
      <w:r>
        <w:t xml:space="preserve">Comorbid substance use.</w:t>
      </w:r>
    </w:p>
    <w:p>
      <w:pPr>
        <w:pStyle w:val="Compact"/>
        <w:numPr>
          <w:ilvl w:val="0"/>
          <w:numId w:val="1219"/>
        </w:numPr>
      </w:pPr>
      <w:r>
        <w:t xml:space="preserve">History of suicide attempt.</w:t>
      </w:r>
    </w:p>
    <w:p>
      <w:pPr>
        <w:pStyle w:val="Compact"/>
        <w:numPr>
          <w:ilvl w:val="0"/>
          <w:numId w:val="1219"/>
        </w:numPr>
      </w:pPr>
      <w:r>
        <w:t xml:space="preserve">Non-adherence.</w:t>
      </w:r>
    </w:p>
    <w:bookmarkEnd w:id="471"/>
    <w:bookmarkStart w:id="472" w:name="follow-up-targets-9"/>
    <w:p>
      <w:pPr>
        <w:pStyle w:val="Heading4"/>
      </w:pPr>
      <w:r>
        <w:t xml:space="preserve">Follow-up targets</w:t>
      </w:r>
    </w:p>
    <w:p>
      <w:pPr>
        <w:pStyle w:val="Compact"/>
        <w:numPr>
          <w:ilvl w:val="0"/>
          <w:numId w:val="1220"/>
        </w:numPr>
      </w:pPr>
      <w:r>
        <w:t xml:space="preserve">Separate monitoring of psychotic and affective symptoms (PANSS, HAM-D, YMRS).</w:t>
      </w:r>
    </w:p>
    <w:p>
      <w:pPr>
        <w:pStyle w:val="Compact"/>
        <w:numPr>
          <w:ilvl w:val="0"/>
          <w:numId w:val="1220"/>
        </w:numPr>
      </w:pPr>
      <w:r>
        <w:t xml:space="preserve">Suicide risk (C-SSRS) — particularly during depressive episodes and in the first years.</w:t>
      </w:r>
    </w:p>
    <w:p>
      <w:pPr>
        <w:pStyle w:val="Compact"/>
        <w:numPr>
          <w:ilvl w:val="0"/>
          <w:numId w:val="1220"/>
        </w:numPr>
      </w:pPr>
      <w:r>
        <w:t xml:space="preserve">Metabolic monitoring.</w:t>
      </w:r>
    </w:p>
    <w:p>
      <w:pPr>
        <w:pStyle w:val="Compact"/>
        <w:numPr>
          <w:ilvl w:val="0"/>
          <w:numId w:val="1220"/>
        </w:numPr>
      </w:pPr>
      <w:r>
        <w:t xml:space="preserve">In those on lithium — TSH, creatinine, calcium (every 6 months).</w:t>
      </w:r>
    </w:p>
    <w:p>
      <w:pPr>
        <w:pStyle w:val="Compact"/>
        <w:numPr>
          <w:ilvl w:val="0"/>
          <w:numId w:val="1220"/>
        </w:numPr>
      </w:pPr>
      <w:r>
        <w:t xml:space="preserve">Functional recovery, employment, social relationships.</w:t>
      </w:r>
    </w:p>
    <w:p>
      <w:pPr>
        <w:pStyle w:val="Compact"/>
        <w:numPr>
          <w:ilvl w:val="0"/>
          <w:numId w:val="1220"/>
        </w:numPr>
      </w:pPr>
      <w:r>
        <w:t xml:space="preserve">Family support and psychoeducation.</w:t>
      </w:r>
    </w:p>
    <w:bookmarkEnd w:id="472"/>
    <w:bookmarkEnd w:id="473"/>
    <w:bookmarkStart w:id="488" w:name="X8a754a4d93e811ad26a72daa69fff2012cc15df"/>
    <w:p>
      <w:pPr>
        <w:pStyle w:val="Heading3"/>
      </w:pPr>
      <w:r>
        <w:t xml:space="preserve">10. Myths and misconceptions</w:t>
      </w:r>
    </w:p>
    <w:bookmarkStart w:id="477" w:name="etiology-and-conceptual-myths"/>
    <w:p>
      <w:pPr>
        <w:pStyle w:val="Heading4"/>
      </w:pPr>
      <w:r>
        <w:t xml:space="preserve">10.1 Etiology and conceptual myths</w:t>
      </w:r>
    </w:p>
    <w:bookmarkStart w:id="474" w:name="X71c2005e372735ca30f1c9b937004e06643f29d"/>
    <w:p>
      <w:pPr>
        <w:pStyle w:val="Heading5"/>
      </w:pPr>
      <w:r>
        <w:t xml:space="preserve">Myth 1: “Schizoaffective disorder is mild schizophrenia”</w:t>
      </w:r>
    </w:p>
    <w:p>
      <w:pPr>
        <w:pStyle w:val="FirstParagraph"/>
      </w:pPr>
      <w:r>
        <w:t xml:space="preserve">Why it is widespread: Schizoaffective patients, on average, demonstrate better functional recovery than schizophrenia patients; this is often misinterpreted.</w:t>
      </w:r>
    </w:p>
    <w:p>
      <w:pPr>
        <w:pStyle w:val="BodyText"/>
      </w:pPr>
      <w:r>
        <w:t xml:space="preserve">Clinical and biological rationale: Schizoaffective disorder clinically overlaps with schizophrenia in manifestations (psychotic symptoms outside affective episode), but adds mood disorder component. Not a ‘mild form’ — a separate diagnostic entity. Some patients show severe course.</w:t>
      </w:r>
    </w:p>
    <w:p>
      <w:pPr>
        <w:pStyle w:val="BodyText"/>
      </w:pPr>
      <w:r>
        <w:t xml:space="preserve">Evidence: Heckers S. Curr Psychiatry Rep 2009 — schizoaffective disorder overlaps neurobiologically with schizophrenia, but with significant clinical differences; the concept of a “mild form of schizophrenia” is not supported.</w:t>
      </w:r>
    </w:p>
    <w:bookmarkEnd w:id="474"/>
    <w:bookmarkStart w:id="475" w:name="Xb41e772340a02a61979da141edea5ef7985a0bc"/>
    <w:p>
      <w:pPr>
        <w:pStyle w:val="Heading5"/>
      </w:pPr>
      <w:r>
        <w:t xml:space="preserve">Myth 2: “Schizoaffective disorder is just a mix of two separate diagnoses (schizophrenia + bipolar)”</w:t>
      </w:r>
    </w:p>
    <w:p>
      <w:pPr>
        <w:pStyle w:val="FirstParagraph"/>
      </w:pPr>
      <w:r>
        <w:t xml:space="preserve">Evidence: Cross-Disorder Psychiatric Genomics Consortium 2013 — extensive genetic overlap between schizophrenia, bipolar, and schizoaffective disorders. This indicates that diagnostic entities lie within a spectrum — schizoaffective disorder deserves a separate clinical designation because it shows a distinct course and treatment response in long-term follow-up.</w:t>
      </w:r>
    </w:p>
    <w:bookmarkEnd w:id="475"/>
    <w:bookmarkStart w:id="476" w:name="X70eba84b59a7abb490d3a27ea2a195792b7ca7f"/>
    <w:p>
      <w:pPr>
        <w:pStyle w:val="Heading5"/>
      </w:pPr>
      <w:r>
        <w:t xml:space="preserve">Myth 3: “Schizoaffective disorder is a fabricated diagnosis with no validity”</w:t>
      </w:r>
    </w:p>
    <w:p>
      <w:pPr>
        <w:pStyle w:val="FirstParagraph"/>
      </w:pPr>
      <w:r>
        <w:t xml:space="preserve">Why it is widespread: Academic debate (Malhi 2008, Lake &amp; Hurwitz 2007) — some researchers question the practical value of the diagnosis.</w:t>
      </w:r>
    </w:p>
    <w:p>
      <w:pPr>
        <w:pStyle w:val="BodyText"/>
      </w:pPr>
      <w:r>
        <w:t xml:space="preserve">Clinical logic: diagnostic validity is controversial, but clinical utility (useful framework for treatment decision and prognosis) retained. DSM-5-TR and ICD-11 both retain as diagnostic unit. In clinical practice, patient should be assessed by experienced psychiatrist — accurately differentiating from other disorders is important, as treatment approach differs.</w:t>
      </w:r>
    </w:p>
    <w:bookmarkEnd w:id="476"/>
    <w:bookmarkEnd w:id="477"/>
    <w:bookmarkStart w:id="481" w:name="misguided-treatment-approaches"/>
    <w:p>
      <w:pPr>
        <w:pStyle w:val="Heading4"/>
      </w:pPr>
      <w:r>
        <w:t xml:space="preserve">10.2 Misguided treatment approaches</w:t>
      </w:r>
    </w:p>
    <w:bookmarkStart w:id="478" w:name="X06e37a3075f03630997964f02183524dab9239f"/>
    <w:p>
      <w:pPr>
        <w:pStyle w:val="Heading5"/>
      </w:pPr>
      <w:r>
        <w:t xml:space="preserve">Myth 4: “Antidepressants can be used alone in schizoaffective disorder”</w:t>
      </w:r>
    </w:p>
    <w:p>
      <w:pPr>
        <w:pStyle w:val="FirstParagraph"/>
      </w:pPr>
      <w:r>
        <w:t xml:space="preserve">Clinical logic and evidence: Antidepressant monotherapy contraindicated in schizoaffective disorder — risk of triggering a manic shift, and risk of psychosis exacerbation in the depressive episode. NICE CG185, CANMAT 2018 – together with antipsychotic.</w:t>
      </w:r>
    </w:p>
    <w:bookmarkEnd w:id="478"/>
    <w:bookmarkStart w:id="479" w:name="X98b8e7fa9b44bbca9a72b2bfb98cf3074b42296"/>
    <w:p>
      <w:pPr>
        <w:pStyle w:val="Heading5"/>
      </w:pPr>
      <w:r>
        <w:t xml:space="preserve">Myth 5: “Lithium is ineffective in schizoaffective disorder”</w:t>
      </w:r>
    </w:p>
    <w:p>
      <w:pPr>
        <w:pStyle w:val="FirstParagraph"/>
      </w:pPr>
      <w:r>
        <w:t xml:space="preserve">Evidence: Cipriani A. et al. BMJ 2013 meta-analysis — lithium significantly reduces suicide risk in the bipolar spectrum (including schizoaffective bipolar type). Lithium is an effective mood stabilizer in bipolar-type schizoaffective disorder.</w:t>
      </w:r>
    </w:p>
    <w:bookmarkEnd w:id="479"/>
    <w:bookmarkStart w:id="480" w:name="X0ed561bb2c06cbf5f0db8fb392cf758959a80a2"/>
    <w:p>
      <w:pPr>
        <w:pStyle w:val="Heading5"/>
      </w:pPr>
      <w:r>
        <w:t xml:space="preserve">Myth 6: “Clozapine is only for refractory schizophrenia, not schizoaffective”</w:t>
      </w:r>
    </w:p>
    <w:p>
      <w:pPr>
        <w:pStyle w:val="FirstParagraph"/>
      </w:pPr>
      <w:r>
        <w:t xml:space="preserve">Evidence: Clozapine use in case of failure of two antipsychotics in schizoaffective disorder is accepted clinical practice; suicide risk reduction effect extends to schizoaffective patients (Meltzer H.Y. et al. Arch Gen Psychiatry 2003 InterSePT study).</w:t>
      </w:r>
    </w:p>
    <w:bookmarkEnd w:id="480"/>
    <w:bookmarkEnd w:id="481"/>
    <w:bookmarkStart w:id="487" w:name="ineffective-or-harmful-approaches"/>
    <w:p>
      <w:pPr>
        <w:pStyle w:val="Heading4"/>
      </w:pPr>
      <w:r>
        <w:t xml:space="preserve">10.3 Ineffective or harmful approaches</w:t>
      </w:r>
    </w:p>
    <w:bookmarkStart w:id="482" w:name="X4c540fc3eee43ca18353851c78cb3df07c99734"/>
    <w:p>
      <w:pPr>
        <w:pStyle w:val="Heading5"/>
      </w:pPr>
      <w:r>
        <w:t xml:space="preserve">Myth 7: “Exorcism, spiritual practice, or religious ritual cures schizoaffective disorder”</w:t>
      </w:r>
    </w:p>
    <w:p>
      <w:pPr>
        <w:pStyle w:val="FirstParagraph"/>
      </w:pPr>
      <w:r>
        <w:t xml:space="preserve">Evidence: similar to schizophrenia — psychotic symptoms are neurobiological in basis; exorcism delays antipsychotic treatment, worsens clinical outcomes (DUP is a poor prognosis marker, Marshall Arch Gen Psychiatry 2005).</w:t>
      </w:r>
    </w:p>
    <w:bookmarkEnd w:id="482"/>
    <w:bookmarkStart w:id="483" w:name="Xbcee0a63a0c3c67db7fcaa18bb1660954c20867"/>
    <w:p>
      <w:pPr>
        <w:pStyle w:val="Heading5"/>
      </w:pPr>
      <w:r>
        <w:t xml:space="preserve">Myth 8: “Cannabis as a mood stabilizer cures schizoaffective disorder”</w:t>
      </w:r>
    </w:p>
    <w:p>
      <w:pPr>
        <w:pStyle w:val="FirstParagraph"/>
      </w:pPr>
      <w:r>
        <w:t xml:space="preserve">Evidence: Cannabis increases psychosis risk by 2–3 times (Marconi A. et al. Schizophr Bull 2016); in schizoaffective patients considered contraindicated — exacerbates symptoms.</w:t>
      </w:r>
    </w:p>
    <w:bookmarkEnd w:id="483"/>
    <w:bookmarkStart w:id="484" w:name="X88f25d63c2086d4f9ef82383379a576b868dafd"/>
    <w:p>
      <w:pPr>
        <w:pStyle w:val="Heading5"/>
      </w:pPr>
      <w:r>
        <w:t xml:space="preserve">Myth 9: “Mega-dose vitamins or herbal preparations (St John's Wort, valerian) replace pharmacotherapy”</w:t>
      </w:r>
    </w:p>
    <w:p>
      <w:pPr>
        <w:pStyle w:val="FirstParagraph"/>
      </w:pPr>
      <w:r>
        <w:t xml:space="preserve">Evidence: no evidence of effect in systematic reviews; St John's Wort reduces levels of antipsychotics and mood stabilizers through cytochrome P450 induction.</w:t>
      </w:r>
    </w:p>
    <w:bookmarkEnd w:id="484"/>
    <w:bookmarkStart w:id="485" w:name="X31b48f0905a32fadb760126280ece24cabcabd5"/>
    <w:p>
      <w:pPr>
        <w:pStyle w:val="Heading5"/>
      </w:pPr>
      <w:r>
        <w:t xml:space="preserve">Myth 10: “Complementary interventions (acupuncture, homeopathy, craniosacral) replace antipsychotics”</w:t>
      </w:r>
    </w:p>
    <w:p>
      <w:pPr>
        <w:pStyle w:val="FirstParagraph"/>
      </w:pPr>
      <w:r>
        <w:t xml:space="preserve">Evidence: none have proven efficacy for schizoaffective disorder.</w:t>
      </w:r>
    </w:p>
    <w:bookmarkEnd w:id="485"/>
    <w:bookmarkStart w:id="486" w:name="X43254121ebf60a993b72c0d7425b0adca822d09"/>
    <w:p>
      <w:pPr>
        <w:pStyle w:val="Heading5"/>
      </w:pPr>
      <w:r>
        <w:t xml:space="preserve">Myth 11: “Pharmacotherapy is not required outside an active depressive episode”</w:t>
      </w:r>
    </w:p>
    <w:p>
      <w:pPr>
        <w:pStyle w:val="FirstParagraph"/>
      </w:pPr>
      <w:r>
        <w:t xml:space="preserve">Evidence: According to the criteria for schizoaffective disorder, psychotic symptoms persist during periods outside of affective episodes — antipsychotic maintenance therapy is recommended long-term.</w:t>
      </w:r>
    </w:p>
    <w:bookmarkEnd w:id="486"/>
    <w:bookmarkEnd w:id="487"/>
    <w:bookmarkEnd w:id="488"/>
    <w:bookmarkStart w:id="2994" w:name="Xf858688a7edfc85514bbf7db091957188121aa3"/>
    <w:p>
      <w:pPr>
        <w:pStyle w:val="Heading3"/>
      </w:pPr>
      <w:r>
        <w:t xml:space="preserve">11. Sources</w:t>
      </w:r>
    </w:p>
    <w:p>
      <w:pPr>
        <w:pStyle w:val="Compact"/>
        <w:numPr>
          <w:ilvl w:val="0"/>
          <w:numId w:val="1221"/>
        </w:numPr>
      </w:pPr>
      <w:r>
        <w:t xml:space="preserve">WHO. ICD-11 for Mortality and Morbidity Statistics. 6A21 Schizoaffective disorder. 2024.</w:t>
      </w:r>
    </w:p>
    <w:p>
      <w:pPr>
        <w:pStyle w:val="Compact"/>
        <w:numPr>
          <w:ilvl w:val="0"/>
          <w:numId w:val="1221"/>
        </w:numPr>
      </w:pPr>
      <w:r>
        <w:t xml:space="preserve">American Psychiatric Association. DSM-5-TR. Washington DC: APA Publishing; 2022.</w:t>
      </w:r>
    </w:p>
    <w:p>
      <w:pPr>
        <w:pStyle w:val="Compact"/>
        <w:numPr>
          <w:ilvl w:val="0"/>
          <w:numId w:val="1221"/>
        </w:numPr>
      </w:pPr>
      <w:r>
        <w:t xml:space="preserve">American Psychiatric Association. Practice Guideline for the Treatment of Patients with Schizophrenia, 3rd ed. 2021.</w:t>
      </w:r>
    </w:p>
    <w:p>
      <w:pPr>
        <w:pStyle w:val="Compact"/>
        <w:numPr>
          <w:ilvl w:val="0"/>
          <w:numId w:val="1221"/>
        </w:numPr>
      </w:pPr>
      <w:r>
        <w:t xml:space="preserve">NICE Clinical Guideline 178. Psychosis and schizophrenia in adults: prevention and management. 2014, 2019 update.</w:t>
      </w:r>
    </w:p>
    <w:p>
      <w:pPr>
        <w:pStyle w:val="Compact"/>
        <w:numPr>
          <w:ilvl w:val="0"/>
          <w:numId w:val="1221"/>
        </w:numPr>
      </w:pPr>
      <w:r>
        <w:t xml:space="preserve">NICE Clinical Guideline 185. Bipolar disorder: assessment and management. 2014, 2020 update.</w:t>
      </w:r>
    </w:p>
    <w:p>
      <w:pPr>
        <w:pStyle w:val="Compact"/>
        <w:numPr>
          <w:ilvl w:val="0"/>
          <w:numId w:val="1221"/>
        </w:numPr>
      </w:pPr>
      <w:r>
        <w:t xml:space="preserve">Yatham L.N., Kennedy S.H., Parikh S.V. et al. CANMAT and ISBD 2018 guidelines for the management of patients with bipolar disorder. Bipolar Disord 2018;20(2):97–170.</w:t>
      </w:r>
    </w:p>
    <w:p>
      <w:pPr>
        <w:pStyle w:val="Compact"/>
        <w:numPr>
          <w:ilvl w:val="0"/>
          <w:numId w:val="1221"/>
        </w:numPr>
      </w:pPr>
      <w:r>
        <w:t xml:space="preserve">Perälä J., Suvisaari J., Saarni S.I. et al. Lifetime prevalence of psychotic and bipolar I disorders in a general population. Arch Gen Psychiatry 2007;64(1):19–28.</w:t>
      </w:r>
    </w:p>
    <w:p>
      <w:pPr>
        <w:pStyle w:val="Compact"/>
        <w:numPr>
          <w:ilvl w:val="0"/>
          <w:numId w:val="1221"/>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21"/>
        </w:numPr>
      </w:pPr>
      <w:r>
        <w:t xml:space="preserve">Heckers S. Is schizoaffective disorder a useful diagnosis? Curr Psychiatry Rep 2009;11(4):332–337.</w:t>
      </w:r>
    </w:p>
    <w:p>
      <w:pPr>
        <w:pStyle w:val="Compact"/>
        <w:numPr>
          <w:ilvl w:val="0"/>
          <w:numId w:val="1221"/>
        </w:numPr>
      </w:pPr>
      <w:r>
        <w:t xml:space="preserve">Malhi G.S., Green M., Fagiolini A., Peselow E.D., Kumari V. Schizoaffective disorder: diagnostic issues and future recommendations. Bipolar Disord 2008;10(1 Pt 2):215–230.</w:t>
      </w:r>
    </w:p>
    <w:p>
      <w:pPr>
        <w:pStyle w:val="Compact"/>
        <w:numPr>
          <w:ilvl w:val="0"/>
          <w:numId w:val="1221"/>
        </w:numPr>
      </w:pPr>
      <w:r>
        <w:t xml:space="preserve">Lake C.R., Hurwitz N. Schizoaffective disorder merges schizophrenia and bipolar disorders as one disease — there is no schizoaffective disorder. Curr Opin Psychiatry 2007;20(4):365–379.</w:t>
      </w:r>
    </w:p>
    <w:p>
      <w:pPr>
        <w:pStyle w:val="Compact"/>
        <w:numPr>
          <w:ilvl w:val="0"/>
          <w:numId w:val="1221"/>
        </w:numPr>
      </w:pPr>
      <w:r>
        <w:t xml:space="preserve">Cipriani A., Hawton K., Stockton S., Geddes J.R. Lithium in the prevention of suicide in mood disorders: updated systematic review and meta-analysis. BMJ 2013;346:f3646.</w:t>
      </w:r>
    </w:p>
    <w:p>
      <w:pPr>
        <w:pStyle w:val="Compact"/>
        <w:numPr>
          <w:ilvl w:val="0"/>
          <w:numId w:val="1221"/>
        </w:numPr>
      </w:pPr>
      <w:r>
        <w:t xml:space="preserve">Meltzer H.Y., Alphs L., Green A.I. et al. Clozapine treatment for suicidality in schizophrenia: International Suicide Prevention Trial (InterSePT). Arch Gen Psychiatry 2003;60(1):82–91.</w:t>
      </w:r>
    </w:p>
    <w:p>
      <w:pPr>
        <w:pStyle w:val="Compact"/>
        <w:numPr>
          <w:ilvl w:val="0"/>
          <w:numId w:val="1221"/>
        </w:numPr>
      </w:pPr>
      <w:r>
        <w:t xml:space="preserve">Marshall M., Lewis S., Lockwood A. et al. Association between duration of untreated psychosis and outcome. Arch Gen Psychiatry 2005;62(9):975–983.</w:t>
      </w:r>
    </w:p>
    <w:p>
      <w:pPr>
        <w:pStyle w:val="Compact"/>
        <w:numPr>
          <w:ilvl w:val="0"/>
          <w:numId w:val="1221"/>
        </w:numPr>
      </w:pPr>
      <w:r>
        <w:t xml:space="preserve">UK ECT Review Group. Efficacy and safety of electroconvulsive therapy in depressive disorders: a systematic review and meta-analysis. Lancet 2003;361(9360):799–808.</w:t>
      </w:r>
    </w:p>
    <w:p>
      <w:pPr>
        <w:pStyle w:val="Compact"/>
        <w:numPr>
          <w:ilvl w:val="0"/>
          <w:numId w:val="1221"/>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489" w:name="m136a22-schizotypal-disorder"/>
            <w:r>
              <w:t xml:space="preserve">6A22 SCHIZOTYPAL DISORDER</w:t>
            </w:r>
            <w:bookmarkEnd w:id="489"/>
          </w:p>
          <w:p>
            <w:pPr>
              <w:pStyle w:val="Compact"/>
              <w:ind w:firstLine="0" w:left="0"/>
            </w:pPr>
            <w:r>
              <w:rPr>
                <w:lang w:val="en"/>
              </w:rPr>
              <w:t xml:space="preserve">Schizotypal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Schizotypal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Schizotypal Personality Disorder</w:t>
            </w:r>
          </w:p>
        </w:tc>
      </w:tr>
    </w:tbl>
    <w:bookmarkStart w:id="490" w:name="Xa487df68752c928e7f3707547dfc099a330c296"/>
    <w:p>
      <w:pPr>
        <w:pStyle w:val="Heading3"/>
      </w:pPr>
      <w:r>
        <w:t xml:space="preserve">1. Definition and nosology</w:t>
      </w:r>
    </w:p>
    <w:p>
      <w:pPr>
        <w:pStyle w:val="FirstParagraph"/>
      </w:pPr>
      <w:r>
        <w:t xml:space="preserve">Schizotypal disorder (ICD-11:</w:t>
      </w:r>
      <w:r>
        <w:t xml:space="preserve"> </w:t>
      </w:r>
      <w:r>
        <w:t xml:space="preserve">6A22</w:t>
      </w:r>
      <w:r>
        <w:t xml:space="preserve">; DSM-5-TR: F21 Schizotypal Personality Disorder) — a clinical condition characterized by persistent thought and perception disturbances, bizarre (eccentric) behavior, social deficits, and psychotic-like experiences, but not meeting the criteria for a full psychotic episode.</w:t>
      </w:r>
    </w:p>
    <w:p>
      <w:pPr>
        <w:pStyle w:val="BodyText"/>
      </w:pPr>
      <w:r>
        <w:t xml:space="preserve">Important nosological issue: Different placement in ICD-11 and DSM-5-TR:</w:t>
      </w:r>
    </w:p>
    <w:p>
      <w:pPr>
        <w:pStyle w:val="Compact"/>
        <w:numPr>
          <w:ilvl w:val="0"/>
          <w:numId w:val="1222"/>
        </w:numPr>
      </w:pPr>
      <w:r>
        <w:t xml:space="preserve">ICD-11 — within schizophrenia spectrum disorders (psychotic category),</w:t>
      </w:r>
      <w:r>
        <w:t xml:space="preserve"> </w:t>
      </w:r>
      <w:r>
        <w:t xml:space="preserve">6A22</w:t>
      </w:r>
      <w:r>
        <w:t xml:space="preserve">;</w:t>
      </w:r>
    </w:p>
    <w:p>
      <w:pPr>
        <w:pStyle w:val="Compact"/>
        <w:numPr>
          <w:ilvl w:val="0"/>
          <w:numId w:val="1222"/>
        </w:numPr>
      </w:pPr>
      <w:r>
        <w:t xml:space="preserve">DSM-5-TR — in the personality disorders chapter (Cluster A) and, at the same time, in the schizophrenia spectrum disorders list — double-coded.</w:t>
      </w:r>
    </w:p>
    <w:bookmarkEnd w:id="490"/>
    <w:bookmarkStart w:id="491" w:name="X9fd820dd247e700931c12eec6b8e1faad162fa7"/>
    <w:p>
      <w:pPr>
        <w:pStyle w:val="Heading3"/>
      </w:pPr>
      <w:r>
        <w:t xml:space="preserve">2. History</w:t>
      </w:r>
    </w:p>
    <w:p>
      <w:pPr>
        <w:pStyle w:val="Compact"/>
        <w:numPr>
          <w:ilvl w:val="0"/>
          <w:numId w:val="1223"/>
        </w:numPr>
      </w:pPr>
      <w:r>
        <w:t xml:space="preserve">Bleuler E. (1911) — latent schizophrenia — a condition closely related to schizophrenia but without a full psychotic episode.</w:t>
      </w:r>
    </w:p>
    <w:p>
      <w:pPr>
        <w:pStyle w:val="Compact"/>
        <w:numPr>
          <w:ilvl w:val="0"/>
          <w:numId w:val="1223"/>
        </w:numPr>
      </w:pPr>
      <w:r>
        <w:t xml:space="preserve">Rado S. (1953) — The term “schizotype” refers to a persistent personality expression of genetic predisposition to schizophrenia.</w:t>
      </w:r>
    </w:p>
    <w:p>
      <w:pPr>
        <w:pStyle w:val="Compact"/>
        <w:numPr>
          <w:ilvl w:val="0"/>
          <w:numId w:val="1223"/>
        </w:numPr>
      </w:pPr>
      <w:r>
        <w:t xml:space="preserve">Kety S.S. et al. (1968) — Danish adoptive studies — high schizotypal traits in biological relatives of schizophrenia; basis of “schizophrenia spectrum” concept.</w:t>
      </w:r>
    </w:p>
    <w:p>
      <w:pPr>
        <w:pStyle w:val="Compact"/>
        <w:numPr>
          <w:ilvl w:val="0"/>
          <w:numId w:val="1223"/>
        </w:numPr>
      </w:pPr>
      <w:r>
        <w:t xml:space="preserve">DSM-III (1980) — Schizotypal Personality Disorder among personality disorders.</w:t>
      </w:r>
    </w:p>
    <w:p>
      <w:pPr>
        <w:pStyle w:val="Compact"/>
        <w:numPr>
          <w:ilvl w:val="0"/>
          <w:numId w:val="1223"/>
        </w:numPr>
      </w:pPr>
      <w:r>
        <w:t xml:space="preserve">ICD-10 (1990) and ICD-11 (2019) — schizotypal disorder in psychotic disorders chapter.</w:t>
      </w:r>
    </w:p>
    <w:p>
      <w:pPr>
        <w:pStyle w:val="Compact"/>
        <w:numPr>
          <w:ilvl w:val="0"/>
          <w:numId w:val="1223"/>
        </w:numPr>
      </w:pPr>
      <w:r>
        <w:t xml:space="preserve">DSM-5 (2013) — double placement (personality disorders + schizophrenia spectrum) — conceptual bridge.</w:t>
      </w:r>
    </w:p>
    <w:bookmarkEnd w:id="491"/>
    <w:bookmarkStart w:id="492" w:name="X3f6f55997314f3c8c55f37364611bbca65ab2e3"/>
    <w:p>
      <w:pPr>
        <w:pStyle w:val="Heading3"/>
      </w:pPr>
      <w:r>
        <w:t xml:space="preserve">3. Epidemiology</w:t>
      </w:r>
    </w:p>
    <w:p>
      <w:pPr>
        <w:pStyle w:val="Compact"/>
        <w:numPr>
          <w:ilvl w:val="0"/>
          <w:numId w:val="1224"/>
        </w:numPr>
      </w:pPr>
      <w:r>
        <w:t xml:space="preserve">Lifetime prevalence: 0.6–4% — wide range (Pulay A.J. et al. Prim Care Companion J Clin Psychiatry 2009 US NESARC study n&gt;34,000 — 3.9%).</w:t>
      </w:r>
    </w:p>
    <w:p>
      <w:pPr>
        <w:pStyle w:val="Compact"/>
        <w:numPr>
          <w:ilvl w:val="0"/>
          <w:numId w:val="1224"/>
        </w:numPr>
      </w:pPr>
      <w:r>
        <w:t xml:space="preserve">Sex: Relatively frequent in males; difference minimal in some studies.</w:t>
      </w:r>
    </w:p>
    <w:p>
      <w:pPr>
        <w:pStyle w:val="Compact"/>
        <w:numPr>
          <w:ilvl w:val="0"/>
          <w:numId w:val="1224"/>
        </w:numPr>
      </w:pPr>
      <w:r>
        <w:t xml:space="preserve">Onset: Adolescence and early adulthood period.</w:t>
      </w:r>
    </w:p>
    <w:p>
      <w:pPr>
        <w:pStyle w:val="Compact"/>
        <w:numPr>
          <w:ilvl w:val="0"/>
          <w:numId w:val="1224"/>
        </w:numPr>
      </w:pPr>
      <w:r>
        <w:t xml:space="preserve">Transition to schizophrenia: 10–25% (Schultze-Lutter F. et al. Schizophr Res 2014); higher when there is a family history and additional psychosis risk factors.</w:t>
      </w:r>
    </w:p>
    <w:p>
      <w:pPr>
        <w:pStyle w:val="Compact"/>
        <w:numPr>
          <w:ilvl w:val="0"/>
          <w:numId w:val="1224"/>
        </w:numPr>
      </w:pPr>
      <w:r>
        <w:t xml:space="preserve">Comorbidity: Mood disorders, anxiety, substance use, other personality disorders (paranoid, schizoid, borderline).</w:t>
      </w:r>
    </w:p>
    <w:bookmarkEnd w:id="492"/>
    <w:bookmarkStart w:id="496" w:name="X5d47c25ff3f34acd011f2e788da34dfaa4cf777"/>
    <w:p>
      <w:pPr>
        <w:pStyle w:val="Heading3"/>
      </w:pPr>
      <w:r>
        <w:t xml:space="preserve">4. Aetiology and pathogenesis</w:t>
      </w:r>
    </w:p>
    <w:bookmarkStart w:id="493" w:name="genetic-factors-6"/>
    <w:p>
      <w:pPr>
        <w:pStyle w:val="Heading4"/>
      </w:pPr>
      <w:r>
        <w:t xml:space="preserve">4.1 Genetic factors</w:t>
      </w:r>
    </w:p>
    <w:p>
      <w:pPr>
        <w:pStyle w:val="Compact"/>
        <w:numPr>
          <w:ilvl w:val="0"/>
          <w:numId w:val="1225"/>
        </w:numPr>
      </w:pPr>
      <w:r>
        <w:t xml:space="preserve">Shared genetic burden with schizophrenia — Kety adoptive studies and modern genetic research (Cross-Disorder Group 2013) — risk of schizophrenia is increased in relatives of schizotypal patients.</w:t>
      </w:r>
    </w:p>
    <w:p>
      <w:pPr>
        <w:pStyle w:val="Compact"/>
        <w:numPr>
          <w:ilvl w:val="0"/>
          <w:numId w:val="1225"/>
        </w:numPr>
      </w:pPr>
      <w:r>
        <w:t xml:space="preserve">Polygenic risk architecture similar to schizophrenia, but lesser ‘load’; presence of some protective alleles.</w:t>
      </w:r>
    </w:p>
    <w:bookmarkEnd w:id="493"/>
    <w:bookmarkStart w:id="494" w:name="neurobiology-2"/>
    <w:p>
      <w:pPr>
        <w:pStyle w:val="Heading4"/>
      </w:pPr>
      <w:r>
        <w:t xml:space="preserve">4.2 Neurobiology</w:t>
      </w:r>
    </w:p>
    <w:p>
      <w:pPr>
        <w:pStyle w:val="Compact"/>
        <w:numPr>
          <w:ilvl w:val="0"/>
          <w:numId w:val="1226"/>
        </w:numPr>
      </w:pPr>
      <w:r>
        <w:t xml:space="preserve">Observed milder variants of structural changes in schizophrenia — volume reduction of temporal cortex, but preservation of frontal cortex (Hazlett E.A. et al. Schizophr Bull 2011 review).</w:t>
      </w:r>
    </w:p>
    <w:p>
      <w:pPr>
        <w:pStyle w:val="Compact"/>
        <w:numPr>
          <w:ilvl w:val="0"/>
          <w:numId w:val="1226"/>
        </w:numPr>
      </w:pPr>
      <w:r>
        <w:t xml:space="preserve">Dopaminergic dysregulation — lower than in schizophrenia; psychotic decompensation less likely.</w:t>
      </w:r>
    </w:p>
    <w:p>
      <w:pPr>
        <w:pStyle w:val="Compact"/>
        <w:numPr>
          <w:ilvl w:val="0"/>
          <w:numId w:val="1226"/>
        </w:numPr>
      </w:pPr>
      <w:r>
        <w:t xml:space="preserve">Cognitive deficits — as in schizophrenia, but milder.</w:t>
      </w:r>
    </w:p>
    <w:bookmarkEnd w:id="494"/>
    <w:bookmarkStart w:id="495" w:name="environmental-factors"/>
    <w:p>
      <w:pPr>
        <w:pStyle w:val="Heading4"/>
      </w:pPr>
      <w:r>
        <w:t xml:space="preserve">4.3 Environmental factors</w:t>
      </w:r>
    </w:p>
    <w:p>
      <w:pPr>
        <w:pStyle w:val="Compact"/>
        <w:numPr>
          <w:ilvl w:val="0"/>
          <w:numId w:val="1227"/>
        </w:numPr>
      </w:pPr>
      <w:r>
        <w:t xml:space="preserve">Childhood trauma, social deprivation — risk factors.</w:t>
      </w:r>
    </w:p>
    <w:p>
      <w:pPr>
        <w:pStyle w:val="Compact"/>
        <w:numPr>
          <w:ilvl w:val="0"/>
          <w:numId w:val="1227"/>
        </w:numPr>
      </w:pPr>
      <w:r>
        <w:t xml:space="preserve">Cannabis use in adolescence increases the risk of psychotic decompensation.</w:t>
      </w:r>
    </w:p>
    <w:bookmarkEnd w:id="495"/>
    <w:bookmarkEnd w:id="496"/>
    <w:bookmarkStart w:id="500" w:name="Xffd0db0515661248feaf62e756eea7b0ae35ced"/>
    <w:p>
      <w:pPr>
        <w:pStyle w:val="Heading3"/>
      </w:pPr>
      <w:r>
        <w:t xml:space="preserve">5. Clinical features</w:t>
      </w:r>
    </w:p>
    <w:bookmarkStart w:id="497" w:name="cognitive-perceptual-symptoms"/>
    <w:p>
      <w:pPr>
        <w:pStyle w:val="Heading4"/>
      </w:pPr>
      <w:r>
        <w:t xml:space="preserve">5.1 Cognitive-perceptual symptoms</w:t>
      </w:r>
    </w:p>
    <w:p>
      <w:pPr>
        <w:pStyle w:val="Compact"/>
        <w:numPr>
          <w:ilvl w:val="0"/>
          <w:numId w:val="1228"/>
        </w:numPr>
      </w:pPr>
      <w:r>
        <w:t xml:space="preserve">Ideas of reference — not at full delusional level; the patient may at times recognise these thoughts as unreal.</w:t>
      </w:r>
    </w:p>
    <w:p>
      <w:pPr>
        <w:pStyle w:val="Compact"/>
        <w:numPr>
          <w:ilvl w:val="0"/>
          <w:numId w:val="1228"/>
        </w:numPr>
      </w:pPr>
      <w:r>
        <w:t xml:space="preserve">Odd beliefs or magical thinking – telepathy, ‘sixth sense,’ superstitions inappropriate to age and culture.</w:t>
      </w:r>
    </w:p>
    <w:p>
      <w:pPr>
        <w:pStyle w:val="Compact"/>
        <w:numPr>
          <w:ilvl w:val="0"/>
          <w:numId w:val="1228"/>
        </w:numPr>
      </w:pPr>
      <w:r>
        <w:t xml:space="preserve">Unusual perceptual experiences – impersonal, transient illusions; full hallucination absent.</w:t>
      </w:r>
    </w:p>
    <w:p>
      <w:pPr>
        <w:pStyle w:val="Compact"/>
        <w:numPr>
          <w:ilvl w:val="0"/>
          <w:numId w:val="1228"/>
        </w:numPr>
      </w:pPr>
      <w:r>
        <w:t xml:space="preserve">Odd thinking and speech – vague, metaphorical, indirect, stereotyped.</w:t>
      </w:r>
    </w:p>
    <w:bookmarkEnd w:id="497"/>
    <w:bookmarkStart w:id="498" w:name="interpersonal-symptoms"/>
    <w:p>
      <w:pPr>
        <w:pStyle w:val="Heading4"/>
      </w:pPr>
      <w:r>
        <w:t xml:space="preserve">5.2 Interpersonal symptoms</w:t>
      </w:r>
    </w:p>
    <w:p>
      <w:pPr>
        <w:pStyle w:val="Compact"/>
        <w:numPr>
          <w:ilvl w:val="0"/>
          <w:numId w:val="1229"/>
        </w:numPr>
      </w:pPr>
      <w:r>
        <w:t xml:space="preserve">Discomfort in close relationships; social isolation.</w:t>
      </w:r>
    </w:p>
    <w:p>
      <w:pPr>
        <w:pStyle w:val="Compact"/>
        <w:numPr>
          <w:ilvl w:val="0"/>
          <w:numId w:val="1229"/>
        </w:numPr>
      </w:pPr>
      <w:r>
        <w:t xml:space="preserve">Paranoid idea or suspiciousness.</w:t>
      </w:r>
    </w:p>
    <w:p>
      <w:pPr>
        <w:pStyle w:val="Compact"/>
        <w:numPr>
          <w:ilvl w:val="0"/>
          <w:numId w:val="1229"/>
        </w:numPr>
      </w:pPr>
      <w:r>
        <w:t xml:space="preserve">Inappropriate or restricted affect.</w:t>
      </w:r>
    </w:p>
    <w:p>
      <w:pPr>
        <w:pStyle w:val="Compact"/>
        <w:numPr>
          <w:ilvl w:val="0"/>
          <w:numId w:val="1229"/>
        </w:numPr>
      </w:pPr>
      <w:r>
        <w:t xml:space="preserve">Odd, eccentric, or peculiar behavior and appearance.</w:t>
      </w:r>
    </w:p>
    <w:p>
      <w:pPr>
        <w:pStyle w:val="Compact"/>
        <w:numPr>
          <w:ilvl w:val="0"/>
          <w:numId w:val="1229"/>
        </w:numPr>
      </w:pPr>
      <w:r>
        <w:t xml:space="preserve">Scarcity of close friends other than first-degree relatives.</w:t>
      </w:r>
    </w:p>
    <w:bookmarkEnd w:id="498"/>
    <w:bookmarkStart w:id="499" w:name="course"/>
    <w:p>
      <w:pPr>
        <w:pStyle w:val="Heading4"/>
      </w:pPr>
      <w:r>
        <w:t xml:space="preserve">5.3 Course</w:t>
      </w:r>
    </w:p>
    <w:p>
      <w:pPr>
        <w:pStyle w:val="FirstParagraph"/>
      </w:pPr>
      <w:r>
        <w:t xml:space="preserve">Typically begins in adolescence and runs a continuous course; some patients may have brief psychotic decompensation episodes (in the context of stress, cannabis) — at which point the diagnosis may be reassessed as ‘schizophrenia’ or ‘acute and transient psychotic disorder’.</w:t>
      </w:r>
    </w:p>
    <w:bookmarkEnd w:id="499"/>
    <w:bookmarkEnd w:id="500"/>
    <w:bookmarkStart w:id="505" w:name="X98eb533653e2f1e4e380f6d4407709d076602a4"/>
    <w:p>
      <w:pPr>
        <w:pStyle w:val="Heading3"/>
      </w:pPr>
      <w:r>
        <w:t xml:space="preserve">6. Diagnosis</w:t>
      </w:r>
    </w:p>
    <w:bookmarkStart w:id="501" w:name="Xb919bd52a5c43151c113af078f7e9fd72a1ca90"/>
    <w:p>
      <w:pPr>
        <w:pStyle w:val="Heading4"/>
      </w:pPr>
      <w:r>
        <w:t xml:space="preserve">6.1 Unified diagnostic criteria (DSM-5-TR · ICD-11 consensus points)</w:t>
      </w:r>
    </w:p>
    <w:p>
      <w:pPr>
        <w:pStyle w:val="FirstParagraph"/>
      </w:pPr>
      <w:r>
        <w:t xml:space="preserve">A. Social and interpersonal deficits and cognitive-perceptual disturbances characterized by persistent pattern, onset in adulthood, with at least five of the following symptoms:</w:t>
      </w:r>
    </w:p>
    <w:p>
      <w:pPr>
        <w:pStyle w:val="Compact"/>
        <w:numPr>
          <w:ilvl w:val="0"/>
          <w:numId w:val="1230"/>
        </w:numPr>
      </w:pPr>
      <w:r>
        <w:t xml:space="preserve">Relationship thoughts (excluding referential delusions);</w:t>
      </w:r>
    </w:p>
    <w:p>
      <w:pPr>
        <w:pStyle w:val="Compact"/>
        <w:numPr>
          <w:ilvl w:val="0"/>
          <w:numId w:val="1230"/>
        </w:numPr>
      </w:pPr>
      <w:r>
        <w:t xml:space="preserve">Beliefs or magical thinking inconsistent with age and culture;</w:t>
      </w:r>
    </w:p>
    <w:p>
      <w:pPr>
        <w:pStyle w:val="Compact"/>
        <w:numPr>
          <w:ilvl w:val="0"/>
          <w:numId w:val="1230"/>
        </w:numPr>
      </w:pPr>
      <w:r>
        <w:t xml:space="preserve">Unusual perceptual experiences (including illusions);</w:t>
      </w:r>
    </w:p>
    <w:p>
      <w:pPr>
        <w:pStyle w:val="Compact"/>
        <w:numPr>
          <w:ilvl w:val="0"/>
          <w:numId w:val="1230"/>
        </w:numPr>
      </w:pPr>
      <w:r>
        <w:t xml:space="preserve">Odd thinking and speech (vague, indirect, metaphorical, stereotyped);</w:t>
      </w:r>
    </w:p>
    <w:p>
      <w:pPr>
        <w:pStyle w:val="Compact"/>
        <w:numPr>
          <w:ilvl w:val="0"/>
          <w:numId w:val="1230"/>
        </w:numPr>
      </w:pPr>
      <w:r>
        <w:t xml:space="preserve">Suspiciousness and paranoid ideas;</w:t>
      </w:r>
    </w:p>
    <w:p>
      <w:pPr>
        <w:pStyle w:val="Compact"/>
        <w:numPr>
          <w:ilvl w:val="0"/>
          <w:numId w:val="1230"/>
        </w:numPr>
      </w:pPr>
      <w:r>
        <w:t xml:space="preserve">Inappropriate or restricted affect;</w:t>
      </w:r>
    </w:p>
    <w:p>
      <w:pPr>
        <w:pStyle w:val="Compact"/>
        <w:numPr>
          <w:ilvl w:val="0"/>
          <w:numId w:val="1230"/>
        </w:numPr>
      </w:pPr>
      <w:r>
        <w:t xml:space="preserve">Odd, eccentric, or peculiar behavior or appearance.</w:t>
      </w:r>
    </w:p>
    <w:p>
      <w:pPr>
        <w:pStyle w:val="Compact"/>
        <w:numPr>
          <w:ilvl w:val="0"/>
          <w:numId w:val="1230"/>
        </w:numPr>
      </w:pPr>
      <w:r>
        <w:t xml:space="preserve">Scarcity of close friends or confidants other than first-degree relatives;</w:t>
      </w:r>
    </w:p>
    <w:p>
      <w:pPr>
        <w:pStyle w:val="Compact"/>
        <w:numPr>
          <w:ilvl w:val="0"/>
          <w:numId w:val="1230"/>
        </w:numPr>
      </w:pPr>
      <w:r>
        <w:t xml:space="preserve">Extreme social anxiety not decreasing with familiarity (based on paranoid fear, not self-esteem).</w:t>
      </w:r>
    </w:p>
    <w:p>
      <w:pPr>
        <w:pStyle w:val="FirstParagraph"/>
      </w:pPr>
      <w:r>
        <w:t xml:space="preserve">B. Does not occur during the course of persistent schizophrenia, affective disorder with psychotic features, or autism spectrum disorder.</w:t>
      </w:r>
    </w:p>
    <w:bookmarkEnd w:id="501"/>
    <w:bookmarkStart w:id="502" w:name="differences-between-sources-15"/>
    <w:p>
      <w:pPr>
        <w:pStyle w:val="Heading4"/>
      </w:pPr>
      <w:r>
        <w:t xml:space="preserve">6.2 Differences between sources</w:t>
      </w:r>
    </w:p>
    <w:p>
      <w:pPr>
        <w:pStyle w:val="Compact"/>
        <w:numPr>
          <w:ilvl w:val="0"/>
          <w:numId w:val="1231"/>
        </w:numPr>
      </w:pPr>
      <w:r>
        <w:t xml:space="preserve">ICD-11 (6A22): “Schizotypal Disorder” — in the chapter on psychotic disorders; as a persistent disorder, but not meeting criteria for schizophrenia.</w:t>
      </w:r>
    </w:p>
    <w:p>
      <w:pPr>
        <w:pStyle w:val="Compact"/>
        <w:numPr>
          <w:ilvl w:val="0"/>
          <w:numId w:val="1231"/>
        </w:numPr>
      </w:pPr>
      <w:r>
        <w:t xml:space="preserve">DSM-5-TR (F21): dual coding — Cluster A Personality Disorder and schizophrenia spectrum listing. Adult age requirement; in childhood and adolescence may be recorded as “premorbid features.”</w:t>
      </w:r>
    </w:p>
    <w:p>
      <w:pPr>
        <w:pStyle w:val="Compact"/>
        <w:numPr>
          <w:ilvl w:val="0"/>
          <w:numId w:val="1231"/>
        </w:numPr>
      </w:pPr>
      <w:r>
        <w:t xml:space="preserve">NICE: no specific clinical guidelines for schizotypal disorder; principles from CG78 (BPD) and CG178 (Psychosis) apply.</w:t>
      </w:r>
    </w:p>
    <w:bookmarkEnd w:id="502"/>
    <w:bookmarkStart w:id="503" w:name="diagnostic-algorithm-10"/>
    <w:p>
      <w:pPr>
        <w:pStyle w:val="Heading4"/>
      </w:pPr>
      <w:r>
        <w:t xml:space="preserve">6.3 Diagnostic algorithm</w:t>
      </w:r>
    </w:p>
    <w:p>
      <w:pPr>
        <w:pStyle w:val="Compact"/>
        <w:numPr>
          <w:ilvl w:val="0"/>
          <w:numId w:val="1232"/>
        </w:numPr>
      </w:pPr>
      <w:r>
        <w:t xml:space="preserve">Clinical interview + relative/friend information — enduring personality traits vs episodic psychosis.</w:t>
      </w:r>
    </w:p>
    <w:p>
      <w:pPr>
        <w:pStyle w:val="Compact"/>
        <w:numPr>
          <w:ilvl w:val="0"/>
          <w:numId w:val="1232"/>
        </w:numPr>
      </w:pPr>
      <w:r>
        <w:t xml:space="preserve">Structured interview — SCID-5-PD (Personality Disorders), SIDP-IV.</w:t>
      </w:r>
    </w:p>
    <w:p>
      <w:pPr>
        <w:pStyle w:val="Compact"/>
        <w:numPr>
          <w:ilvl w:val="0"/>
          <w:numId w:val="1232"/>
        </w:numPr>
      </w:pPr>
      <w:r>
        <w:t xml:space="preserve">Schizotypy scales — SPQ (Schizotypal Personality Questionnaire, Raine A.).</w:t>
      </w:r>
    </w:p>
    <w:p>
      <w:pPr>
        <w:pStyle w:val="Compact"/>
        <w:numPr>
          <w:ilvl w:val="0"/>
          <w:numId w:val="1232"/>
        </w:numPr>
      </w:pPr>
      <w:r>
        <w:t xml:space="preserve">Separate assessment of psychotic symptoms — subclinical level of positive symptoms on PANSS.</w:t>
      </w:r>
    </w:p>
    <w:p>
      <w:pPr>
        <w:pStyle w:val="Compact"/>
        <w:numPr>
          <w:ilvl w:val="0"/>
          <w:numId w:val="1232"/>
        </w:numPr>
      </w:pPr>
      <w:r>
        <w:t xml:space="preserve">Comorbidity screening (depression, anxiety, substance use, other personality disorders).</w:t>
      </w:r>
    </w:p>
    <w:p>
      <w:pPr>
        <w:pStyle w:val="Compact"/>
        <w:numPr>
          <w:ilvl w:val="0"/>
          <w:numId w:val="1232"/>
        </w:numPr>
      </w:pPr>
      <w:r>
        <w:t xml:space="preserve">Medical and neurological examination, toxicological screening.</w:t>
      </w:r>
    </w:p>
    <w:p>
      <w:pPr>
        <w:pStyle w:val="Compact"/>
        <w:numPr>
          <w:ilvl w:val="0"/>
          <w:numId w:val="1232"/>
        </w:numPr>
      </w:pPr>
      <w:r>
        <w:t xml:space="preserve">Assessment of transition risk to schizophrenia (ultra-high risk criteria — CAARMS, SIPS).</w:t>
      </w:r>
    </w:p>
    <w:bookmarkEnd w:id="503"/>
    <w:bookmarkStart w:id="504" w:name="differential-diagnosis-1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Full psychotic episode ≥ 1 month; functional impairment significant.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Concrete systematized delusion, general function relatively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Paranoid personality disorder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Suspiciousness dominant; perceptual bizarre experiences are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Schizoid 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isolation, but no cognitive-perceptual peculiarities.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Early onset, social-communicative deficit, restricted-repetitive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Emotional lability, identity disturbance, impulsivity.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psychotic manifestations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Associated with substance use or withdrawal.</w:t>
            </w:r>
          </w:p>
        </w:tc>
      </w:tr>
    </w:tbl>
    <w:bookmarkEnd w:id="504"/>
    <w:bookmarkEnd w:id="505"/>
    <w:bookmarkStart w:id="509" w:name="X3463aed17ff824944646671e35b0e22a100404f"/>
    <w:p>
      <w:pPr>
        <w:pStyle w:val="Heading3"/>
      </w:pPr>
      <w:r>
        <w:t xml:space="preserve">7. Examination and assessment</w:t>
      </w:r>
    </w:p>
    <w:bookmarkStart w:id="506" w:name="clinical-scales-3"/>
    <w:p>
      <w:pPr>
        <w:pStyle w:val="Heading4"/>
      </w:pPr>
      <w:r>
        <w:t xml:space="preserve">7.1 Clinical scales</w:t>
      </w:r>
    </w:p>
    <w:p>
      <w:pPr>
        <w:pStyle w:val="Compact"/>
        <w:numPr>
          <w:ilvl w:val="0"/>
          <w:numId w:val="1233"/>
        </w:numPr>
      </w:pPr>
      <w:r>
        <w:t xml:space="preserve">SPQ (Schizotypal Personality Questionnaire, Raine A.) — 74 items, self-report; 9 subscales (based on DSM criteria).</w:t>
      </w:r>
    </w:p>
    <w:p>
      <w:pPr>
        <w:pStyle w:val="Compact"/>
        <w:numPr>
          <w:ilvl w:val="0"/>
          <w:numId w:val="1233"/>
        </w:numPr>
      </w:pPr>
      <w:r>
        <w:t xml:space="preserve">SCID-5-PD — structured personality disorder interview.</w:t>
      </w:r>
    </w:p>
    <w:p>
      <w:pPr>
        <w:pStyle w:val="Compact"/>
        <w:numPr>
          <w:ilvl w:val="0"/>
          <w:numId w:val="1233"/>
        </w:numPr>
      </w:pPr>
      <w:r>
        <w:t xml:space="preserve">CAARMS (Comprehensive Assessment of At Risk Mental States) — risk assessment for transition to schizophrenia.</w:t>
      </w:r>
    </w:p>
    <w:p>
      <w:pPr>
        <w:pStyle w:val="Compact"/>
        <w:numPr>
          <w:ilvl w:val="0"/>
          <w:numId w:val="1233"/>
        </w:numPr>
      </w:pPr>
      <w:r>
        <w:t xml:space="preserve">SIPS (Structured Interview for Prodromal Syndromes).</w:t>
      </w:r>
    </w:p>
    <w:p>
      <w:pPr>
        <w:pStyle w:val="Compact"/>
        <w:numPr>
          <w:ilvl w:val="0"/>
          <w:numId w:val="1233"/>
        </w:numPr>
      </w:pPr>
      <w:r>
        <w:t xml:space="preserve">PANSS, BPRS — subclinical level of psychotic symptoms.</w:t>
      </w:r>
    </w:p>
    <w:bookmarkEnd w:id="506"/>
    <w:bookmarkStart w:id="507" w:name="laboratory-investigations-9"/>
    <w:p>
      <w:pPr>
        <w:pStyle w:val="Heading4"/>
      </w:pPr>
      <w:r>
        <w:t xml:space="preserve">7.2 Laboratory investigations</w:t>
      </w:r>
    </w:p>
    <w:p>
      <w:pPr>
        <w:pStyle w:val="FirstParagraph"/>
      </w:pPr>
      <w:r>
        <w:t xml:space="preserve">No specific routine indication. Standard psychiatric initial indicators (complete blood count, thyroid, liver, kidney, glucose); toxicological screening.</w:t>
      </w:r>
    </w:p>
    <w:bookmarkEnd w:id="507"/>
    <w:bookmarkStart w:id="508" w:name="instrumental-investigations-10"/>
    <w:p>
      <w:pPr>
        <w:pStyle w:val="Heading4"/>
      </w:pPr>
      <w:r>
        <w:t xml:space="preserve">7.3 Instrumental investigations</w:t>
      </w:r>
    </w:p>
    <w:p>
      <w:pPr>
        <w:pStyle w:val="FirstParagraph"/>
      </w:pPr>
      <w:r>
        <w:t xml:space="preserve">Not routinely required; neuroimaging in clinical suspicion.</w:t>
      </w:r>
    </w:p>
    <w:bookmarkEnd w:id="508"/>
    <w:bookmarkEnd w:id="509"/>
    <w:bookmarkStart w:id="515" w:name="Xf52b5f1530897e8f0bda77339d1e85771e3c2cf"/>
    <w:p>
      <w:pPr>
        <w:pStyle w:val="Heading3"/>
      </w:pPr>
      <w:r>
        <w:t xml:space="preserve">8. Treatment</w:t>
      </w:r>
    </w:p>
    <w:bookmarkStart w:id="510" w:name="general-principles-1"/>
    <w:p>
      <w:pPr>
        <w:pStyle w:val="Heading4"/>
      </w:pPr>
      <w:r>
        <w:t xml:space="preserve">8.1 General principles</w:t>
      </w:r>
    </w:p>
    <w:p>
      <w:pPr>
        <w:pStyle w:val="Compact"/>
        <w:numPr>
          <w:ilvl w:val="0"/>
          <w:numId w:val="1234"/>
        </w:numPr>
      </w:pPr>
      <w:r>
        <w:t xml:space="preserve">Psychotherapy first line — supportive psychotherapy, CBT (especially for paranoid thinking and social anxiety), social skills training.</w:t>
      </w:r>
    </w:p>
    <w:p>
      <w:pPr>
        <w:pStyle w:val="Compact"/>
        <w:numPr>
          <w:ilvl w:val="0"/>
          <w:numId w:val="1234"/>
        </w:numPr>
      </w:pPr>
      <w:r>
        <w:t xml:space="preserve">Pharmacotherapy is symptomatic, does not cure the “core” disorder:</w:t>
      </w:r>
    </w:p>
    <w:p>
      <w:pPr>
        <w:pStyle w:val="Compact"/>
        <w:numPr>
          <w:ilvl w:val="1"/>
          <w:numId w:val="1235"/>
        </w:numPr>
      </w:pPr>
      <w:r>
        <w:t xml:space="preserve">Low-dose antipsychotic (risperidone 0.5–2 mg, olanzapine 2.5–10 mg, aripiprazole 2–10 mg) — for psychotic-like symptoms; intermittent, not continuous.</w:t>
      </w:r>
    </w:p>
    <w:p>
      <w:pPr>
        <w:pStyle w:val="Compact"/>
        <w:numPr>
          <w:ilvl w:val="1"/>
          <w:numId w:val="1235"/>
        </w:numPr>
      </w:pPr>
      <w:r>
        <w:t xml:space="preserve">SSRI — for social anxiety and comorbid depression.</w:t>
      </w:r>
    </w:p>
    <w:p>
      <w:pPr>
        <w:pStyle w:val="Compact"/>
        <w:numPr>
          <w:ilvl w:val="1"/>
          <w:numId w:val="1235"/>
        </w:numPr>
      </w:pPr>
      <w:r>
        <w:t xml:space="preserve">Benzodiazepine short-term — acute anxiety.</w:t>
      </w:r>
    </w:p>
    <w:p>
      <w:pPr>
        <w:pStyle w:val="Compact"/>
        <w:numPr>
          <w:ilvl w:val="0"/>
          <w:numId w:val="1234"/>
        </w:numPr>
      </w:pPr>
      <w:r>
        <w:t xml:space="preserve">Early Intervention Services (EIP) — preventive intervention in patients at risk of transition to schizophrenia (UHR — Ultra High Risk criteria).</w:t>
      </w:r>
    </w:p>
    <w:p>
      <w:pPr>
        <w:pStyle w:val="Compact"/>
        <w:numPr>
          <w:ilvl w:val="0"/>
          <w:numId w:val="1234"/>
        </w:numPr>
      </w:pPr>
      <w:r>
        <w:t xml:space="preserve">Psychosocial support — maintenance of functional level, employment, social connections.</w:t>
      </w:r>
    </w:p>
    <w:p>
      <w:pPr>
        <w:pStyle w:val="Compact"/>
        <w:numPr>
          <w:ilvl w:val="0"/>
          <w:numId w:val="1234"/>
        </w:numPr>
      </w:pPr>
      <w:r>
        <w:t xml:space="preserve">Cannabis cessation — crucial for reducing risk of psychotic decompensation.</w:t>
      </w:r>
    </w:p>
    <w:p>
      <w:pPr>
        <w:pStyle w:val="Compact"/>
        <w:numPr>
          <w:ilvl w:val="0"/>
          <w:numId w:val="1234"/>
        </w:numPr>
      </w:pPr>
      <w:r>
        <w:t xml:space="preserve">Stress management — stress can be a trigger for decompensation.</w:t>
      </w:r>
    </w:p>
    <w:p>
      <w:pPr>
        <w:pStyle w:val="Compact"/>
        <w:numPr>
          <w:ilvl w:val="0"/>
          <w:numId w:val="1234"/>
        </w:numPr>
      </w:pPr>
      <w:r>
        <w:t xml:space="preserve">Family psychoeducation — information on transition markers to schizophrenia; patient's social support system.</w:t>
      </w:r>
    </w:p>
    <w:bookmarkEnd w:id="510"/>
    <w:bookmarkStart w:id="511" w:name="psychotherapy-approaches"/>
    <w:p>
      <w:pPr>
        <w:pStyle w:val="Heading4"/>
      </w:pPr>
      <w:r>
        <w:t xml:space="preserve">8.2 Psychotherapy Approaches</w:t>
      </w:r>
    </w:p>
    <w:p>
      <w:pPr>
        <w:pStyle w:val="Compact"/>
        <w:numPr>
          <w:ilvl w:val="0"/>
          <w:numId w:val="1236"/>
        </w:numPr>
      </w:pPr>
      <w:r>
        <w:t xml:space="preserve">CBT — for paranoid thinking, social anxiety, cognitive impairments; reality testing and alternative explanations.</w:t>
      </w:r>
    </w:p>
    <w:p>
      <w:pPr>
        <w:pStyle w:val="Compact"/>
        <w:numPr>
          <w:ilvl w:val="0"/>
          <w:numId w:val="1236"/>
        </w:numPr>
      </w:pPr>
      <w:r>
        <w:t xml:space="preserve">Social skills training — reduction of social isolation and bizarre behaviors.</w:t>
      </w:r>
    </w:p>
    <w:p>
      <w:pPr>
        <w:pStyle w:val="Compact"/>
        <w:numPr>
          <w:ilvl w:val="0"/>
          <w:numId w:val="1236"/>
        </w:numPr>
      </w:pPr>
      <w:r>
        <w:t xml:space="preserve">Mentalization-based and supportive approaches — enhancement of interpersonal functional level.</w:t>
      </w:r>
    </w:p>
    <w:p>
      <w:pPr>
        <w:pStyle w:val="Compact"/>
        <w:numPr>
          <w:ilvl w:val="0"/>
          <w:numId w:val="1236"/>
        </w:numPr>
      </w:pPr>
      <w:r>
        <w:t xml:space="preserve">Schema Therapy — for personality-based enduring models.</w:t>
      </w:r>
    </w:p>
    <w:bookmarkEnd w:id="511"/>
    <w:bookmarkStart w:id="512" w:name="pharmacotherapy-specific-use"/>
    <w:p>
      <w:pPr>
        <w:pStyle w:val="Heading4"/>
      </w:pPr>
      <w:r>
        <w:t xml:space="preserve">8.3 Pharmacotherapy — Specific Use</w:t>
      </w:r>
    </w:p>
    <w:p>
      <w:pPr>
        <w:pStyle w:val="Compact"/>
        <w:numPr>
          <w:ilvl w:val="0"/>
          <w:numId w:val="1237"/>
        </w:numPr>
      </w:pPr>
      <w:r>
        <w:t xml:space="preserve">Subclinical psychotic symptoms (referential ideas, odd experiences) when exacerbated — low-dose atypical antipsychotic intermittently.</w:t>
      </w:r>
    </w:p>
    <w:p>
      <w:pPr>
        <w:pStyle w:val="Compact"/>
        <w:numPr>
          <w:ilvl w:val="0"/>
          <w:numId w:val="1237"/>
        </w:numPr>
      </w:pPr>
      <w:r>
        <w:t xml:space="preserve">Comorbid depression — SSRI (sertraline, escitalopram).</w:t>
      </w:r>
    </w:p>
    <w:p>
      <w:pPr>
        <w:pStyle w:val="Compact"/>
        <w:numPr>
          <w:ilvl w:val="0"/>
          <w:numId w:val="1237"/>
        </w:numPr>
      </w:pPr>
      <w:r>
        <w:t xml:space="preserve">Social anxiety — SSRI, short-term benzodiazepine (for specific situations).</w:t>
      </w:r>
    </w:p>
    <w:p>
      <w:pPr>
        <w:pStyle w:val="Compact"/>
        <w:numPr>
          <w:ilvl w:val="0"/>
          <w:numId w:val="1237"/>
        </w:numPr>
      </w:pPr>
      <w:r>
        <w:t xml:space="preserve">Stress-induced decompensation — hospitalisation or short-term intensive intervention.</w:t>
      </w:r>
    </w:p>
    <w:bookmarkEnd w:id="512"/>
    <w:bookmarkStart w:id="513" w:name="source-specific-clarifications-5"/>
    <w:p>
      <w:pPr>
        <w:pStyle w:val="Heading4"/>
      </w:pPr>
      <w:r>
        <w:t xml:space="preserve">8.4 Source-Specific Clarifications</w:t>
      </w:r>
    </w:p>
    <w:p>
      <w:pPr>
        <w:pStyle w:val="Compact"/>
        <w:numPr>
          <w:ilvl w:val="0"/>
          <w:numId w:val="1238"/>
        </w:numPr>
      </w:pPr>
      <w:r>
        <w:t xml:space="preserve">Evidence base is limited — Extensive RCTs on specific treatment for schizotypal disorder are scarce; main approach extrapolated from interventions for schizophrenia and personality disorders.</w:t>
      </w:r>
    </w:p>
    <w:p>
      <w:pPr>
        <w:pStyle w:val="Compact"/>
        <w:numPr>
          <w:ilvl w:val="0"/>
          <w:numId w:val="1238"/>
        </w:numPr>
      </w:pPr>
      <w:r>
        <w:t xml:space="preserve">Studies by Koenigsberg H.W. et al. — Low-dose antipsychotic research in schizotypal disorder (moderate effect).</w:t>
      </w:r>
    </w:p>
    <w:p>
      <w:pPr>
        <w:pStyle w:val="Compact"/>
        <w:numPr>
          <w:ilvl w:val="0"/>
          <w:numId w:val="1238"/>
        </w:numPr>
      </w:pPr>
      <w:r>
        <w:t xml:space="preserve">NICE — No separate indication; CG178 and CG78 principles.</w:t>
      </w:r>
    </w:p>
    <w:bookmarkEnd w:id="513"/>
    <w:bookmarkStart w:id="514" w:name="treatment-methods-10"/>
    <w:p>
      <w:pPr>
        <w:pStyle w:val="Heading4"/>
      </w:pPr>
      <w:r>
        <w:t xml:space="preserve">8.5 Treatment methods</w:t>
      </w:r>
    </w:p>
    <w:p>
      <w:pPr>
        <w:pStyle w:val="Compact"/>
        <w:numPr>
          <w:ilvl w:val="0"/>
          <w:numId w:val="1239"/>
        </w:numPr>
      </w:pPr>
      <w:r>
        <w:t xml:space="preserve">Schizotypal Personality Questionnaire (SPQ — Schizotypal Personality Questionnaire) — Raine (Raine A.) — 74-item self-assessment scale; 9 subscales corresponding to DSM criteria for schizotypal personality disorder. Widely used in clinical and population studies.</w:t>
      </w:r>
    </w:p>
    <w:p>
      <w:pPr>
        <w:pStyle w:val="Compact"/>
        <w:numPr>
          <w:ilvl w:val="0"/>
          <w:numId w:val="1239"/>
        </w:numPr>
      </w:pPr>
      <w:r>
        <w:t xml:space="preserve">Comprehensive Assessment of At-Risk Mental States (CAARMS) — Transition risk assessment to schizophrenia — subclinical level of positive symptoms, cognitive changes, behavioral impairments, functional level. Yung A.R. et al. Aust N Z J Psychiatry 2005.</w:t>
      </w:r>
    </w:p>
    <w:p>
      <w:pPr>
        <w:pStyle w:val="Compact"/>
        <w:numPr>
          <w:ilvl w:val="0"/>
          <w:numId w:val="1239"/>
        </w:numPr>
      </w:pPr>
      <w:r>
        <w:t xml:space="preserve">Structured Interview for Prodromal Syndromes (SIPS) — Miller (Miller T.J.), McGlashan (McGlashan T.H.) — Similar to CAARMS; widely used in the USA.</w:t>
      </w:r>
    </w:p>
    <w:p>
      <w:pPr>
        <w:pStyle w:val="Compact"/>
        <w:numPr>
          <w:ilvl w:val="0"/>
          <w:numId w:val="1239"/>
        </w:numPr>
      </w:pPr>
      <w:r>
        <w:t xml:space="preserve">Early Intervention Services (EIP) — for UHR patients — multidisciplinary intervention; antipsychotics usually not recommended prophylactically (side effect burden), psychosocial intervention superior.</w:t>
      </w:r>
    </w:p>
    <w:p>
      <w:pPr>
        <w:pStyle w:val="Compact"/>
        <w:numPr>
          <w:ilvl w:val="0"/>
          <w:numId w:val="1239"/>
        </w:numPr>
      </w:pPr>
      <w:r>
        <w:t xml:space="preserve">Personality disorders adapted CBT — for schizotypal personality — working on cognitive impairments, social fears, paranoid thinking.</w:t>
      </w:r>
    </w:p>
    <w:p>
      <w:pPr>
        <w:pStyle w:val="Compact"/>
        <w:numPr>
          <w:ilvl w:val="0"/>
          <w:numId w:val="1239"/>
        </w:numPr>
      </w:pPr>
      <w:r>
        <w:t xml:space="preserve">Social Skills Training — structured group or individual sessions — development of social interaction skills.</w:t>
      </w:r>
    </w:p>
    <w:bookmarkEnd w:id="514"/>
    <w:bookmarkEnd w:id="515"/>
    <w:bookmarkStart w:id="519" w:name="X5691005a7955039c316a78daf2c5181726d0d30"/>
    <w:p>
      <w:pPr>
        <w:pStyle w:val="Heading3"/>
      </w:pPr>
      <w:r>
        <w:t xml:space="preserve">9. Prognosis</w:t>
      </w:r>
    </w:p>
    <w:bookmarkStart w:id="516" w:name="good-prognostic-factors-10"/>
    <w:p>
      <w:pPr>
        <w:pStyle w:val="Heading4"/>
      </w:pPr>
      <w:r>
        <w:t xml:space="preserve">Good prognostic factors</w:t>
      </w:r>
    </w:p>
    <w:p>
      <w:pPr>
        <w:pStyle w:val="Compact"/>
        <w:numPr>
          <w:ilvl w:val="0"/>
          <w:numId w:val="1240"/>
        </w:numPr>
      </w:pPr>
      <w:r>
        <w:t xml:space="preserve">Mild symptom intensity.</w:t>
      </w:r>
    </w:p>
    <w:p>
      <w:pPr>
        <w:pStyle w:val="Compact"/>
        <w:numPr>
          <w:ilvl w:val="0"/>
          <w:numId w:val="1240"/>
        </w:numPr>
      </w:pPr>
      <w:r>
        <w:t xml:space="preserve">Management of comorbidity (depression, anxiety, substance).</w:t>
      </w:r>
    </w:p>
    <w:p>
      <w:pPr>
        <w:pStyle w:val="Compact"/>
        <w:numPr>
          <w:ilvl w:val="0"/>
          <w:numId w:val="1240"/>
        </w:numPr>
      </w:pPr>
      <w:r>
        <w:t xml:space="preserve">Social support and sustained relationships.</w:t>
      </w:r>
    </w:p>
    <w:p>
      <w:pPr>
        <w:pStyle w:val="Compact"/>
        <w:numPr>
          <w:ilvl w:val="0"/>
          <w:numId w:val="1240"/>
        </w:numPr>
      </w:pPr>
      <w:r>
        <w:t xml:space="preserve">Psychotherapy participation.</w:t>
      </w:r>
    </w:p>
    <w:p>
      <w:pPr>
        <w:pStyle w:val="Compact"/>
        <w:numPr>
          <w:ilvl w:val="0"/>
          <w:numId w:val="1240"/>
        </w:numPr>
      </w:pPr>
      <w:r>
        <w:t xml:space="preserve">Cannabis cessation.</w:t>
      </w:r>
    </w:p>
    <w:bookmarkEnd w:id="516"/>
    <w:bookmarkStart w:id="517" w:name="poor-prognostic-factors-10"/>
    <w:p>
      <w:pPr>
        <w:pStyle w:val="Heading4"/>
      </w:pPr>
      <w:r>
        <w:t xml:space="preserve">Poor prognostic factors</w:t>
      </w:r>
    </w:p>
    <w:p>
      <w:pPr>
        <w:pStyle w:val="Compact"/>
        <w:numPr>
          <w:ilvl w:val="0"/>
          <w:numId w:val="1241"/>
        </w:numPr>
      </w:pPr>
      <w:r>
        <w:t xml:space="preserve">Schizophrenia in family history.</w:t>
      </w:r>
    </w:p>
    <w:p>
      <w:pPr>
        <w:pStyle w:val="Compact"/>
        <w:numPr>
          <w:ilvl w:val="0"/>
          <w:numId w:val="1241"/>
        </w:numPr>
      </w:pPr>
      <w:r>
        <w:t xml:space="preserve">Cannabis or other psychoactive substance use.</w:t>
      </w:r>
    </w:p>
    <w:p>
      <w:pPr>
        <w:pStyle w:val="Compact"/>
        <w:numPr>
          <w:ilvl w:val="0"/>
          <w:numId w:val="1241"/>
        </w:numPr>
      </w:pPr>
      <w:r>
        <w:t xml:space="preserve">Severe cognitive deficits.</w:t>
      </w:r>
    </w:p>
    <w:p>
      <w:pPr>
        <w:pStyle w:val="Compact"/>
        <w:numPr>
          <w:ilvl w:val="0"/>
          <w:numId w:val="1241"/>
        </w:numPr>
      </w:pPr>
      <w:r>
        <w:t xml:space="preserve">Social isolation and functional impairment.</w:t>
      </w:r>
    </w:p>
    <w:p>
      <w:pPr>
        <w:pStyle w:val="Compact"/>
        <w:numPr>
          <w:ilvl w:val="0"/>
          <w:numId w:val="1241"/>
        </w:numPr>
      </w:pPr>
      <w:r>
        <w:t xml:space="preserve">Meeting UHR criteria.</w:t>
      </w:r>
    </w:p>
    <w:bookmarkEnd w:id="517"/>
    <w:bookmarkStart w:id="518" w:name="follow-up-targets-10"/>
    <w:p>
      <w:pPr>
        <w:pStyle w:val="Heading4"/>
      </w:pPr>
      <w:r>
        <w:t xml:space="preserve">Follow-up targets</w:t>
      </w:r>
    </w:p>
    <w:p>
      <w:pPr>
        <w:pStyle w:val="Compact"/>
        <w:numPr>
          <w:ilvl w:val="0"/>
          <w:numId w:val="1242"/>
        </w:numPr>
      </w:pPr>
      <w:r>
        <w:t xml:space="preserve">Periodic assessment of transition markers to schizophrenia (CAARMS / SIPS).</w:t>
      </w:r>
    </w:p>
    <w:p>
      <w:pPr>
        <w:pStyle w:val="Compact"/>
        <w:numPr>
          <w:ilvl w:val="0"/>
          <w:numId w:val="1242"/>
        </w:numPr>
      </w:pPr>
      <w:r>
        <w:t xml:space="preserve">Comorbidity screening (depression, anxiety, substance).</w:t>
      </w:r>
    </w:p>
    <w:p>
      <w:pPr>
        <w:pStyle w:val="Compact"/>
        <w:numPr>
          <w:ilvl w:val="0"/>
          <w:numId w:val="1242"/>
        </w:numPr>
      </w:pPr>
      <w:r>
        <w:t xml:space="preserve">Functional level — employment, social relationships.</w:t>
      </w:r>
    </w:p>
    <w:p>
      <w:pPr>
        <w:pStyle w:val="Compact"/>
        <w:numPr>
          <w:ilvl w:val="0"/>
          <w:numId w:val="1242"/>
        </w:numPr>
      </w:pPr>
      <w:r>
        <w:t xml:space="preserve">Management of stress and psychotic decompensation triggers.</w:t>
      </w:r>
    </w:p>
    <w:p>
      <w:pPr>
        <w:pStyle w:val="Compact"/>
        <w:numPr>
          <w:ilvl w:val="0"/>
          <w:numId w:val="1242"/>
        </w:numPr>
      </w:pPr>
      <w:r>
        <w:t xml:space="preserve">Monitoring side effects in patients taking antipsychotics.</w:t>
      </w:r>
    </w:p>
    <w:bookmarkEnd w:id="518"/>
    <w:bookmarkEnd w:id="519"/>
    <w:bookmarkStart w:id="533" w:name="X3f136c6ef21f9c67de0e1826a4c08c7c9038a5d"/>
    <w:p>
      <w:pPr>
        <w:pStyle w:val="Heading3"/>
      </w:pPr>
      <w:r>
        <w:t xml:space="preserve">10. Myths and misconceptions</w:t>
      </w:r>
    </w:p>
    <w:bookmarkStart w:id="523" w:name="etiology-and-conceptual-myths-1"/>
    <w:p>
      <w:pPr>
        <w:pStyle w:val="Heading4"/>
      </w:pPr>
      <w:r>
        <w:t xml:space="preserve">10.1 Etiology and conceptual myths</w:t>
      </w:r>
    </w:p>
    <w:bookmarkStart w:id="520" w:name="Xc9320784a908d352ce3242d1e8fbb4835716a35"/>
    <w:p>
      <w:pPr>
        <w:pStyle w:val="Heading5"/>
      </w:pPr>
      <w:r>
        <w:t xml:space="preserve">Myth 1: “Schizotypal personality is just an ‘eccentric’ or ‘creative’ person, requiring no clinical diagnosis”</w:t>
      </w:r>
    </w:p>
    <w:p>
      <w:pPr>
        <w:pStyle w:val="FirstParagraph"/>
      </w:pPr>
      <w:r>
        <w:t xml:space="preserve">Why it is widespread: distribution of schizotypal traits (odd beliefs, eccentricity) as a continuous spectrum in the population — many in the general population carry mild forms of ‘schizotypy’ traits.</w:t>
      </w:r>
    </w:p>
    <w:p>
      <w:pPr>
        <w:pStyle w:val="BodyText"/>
      </w:pPr>
      <w:r>
        <w:t xml:space="preserve">Clinical and biological rationale: a clinical diagnosis requires functional impairment — social isolation, occupational impairment, distress. Simple creativity or eccentricity alone not diagnostic basis. But when criteria are met, schizotypal disorder is a real clinical condition benefiting from intervention.</w:t>
      </w:r>
    </w:p>
    <w:p>
      <w:pPr>
        <w:pStyle w:val="BodyText"/>
      </w:pPr>
      <w:r>
        <w:t xml:space="preserve">Real clinical step: diagnosis should be based on criteria (5/9 symptoms + functional impairment).</w:t>
      </w:r>
    </w:p>
    <w:bookmarkEnd w:id="520"/>
    <w:bookmarkStart w:id="521" w:name="X26be61929655796df924bd634b59cd75cf0f662"/>
    <w:p>
      <w:pPr>
        <w:pStyle w:val="Heading5"/>
      </w:pPr>
      <w:r>
        <w:t xml:space="preserve">Myth 2: “Schizotypal disorder inevitably converts to schizophrenia”</w:t>
      </w:r>
    </w:p>
    <w:p>
      <w:pPr>
        <w:pStyle w:val="FirstParagraph"/>
      </w:pPr>
      <w:r>
        <w:t xml:space="preserve">Evidence: Schultze-Lutter F. et al. Schizophr Res 2014 — transition from schizotypal disorder to schizophrenia ~10–25%; majority remain stable or show remission. Family history, cannabis use, severity of cognitive deficit increase transition risk.</w:t>
      </w:r>
    </w:p>
    <w:p>
      <w:pPr>
        <w:pStyle w:val="BodyText"/>
      </w:pPr>
      <w:r>
        <w:t xml:space="preserve">Real clinical step: Provide family with realistic prognosis; UHR criteria are monitored; prophylactic antipsychotic usually not recommended.</w:t>
      </w:r>
    </w:p>
    <w:bookmarkEnd w:id="521"/>
    <w:bookmarkStart w:id="522" w:name="X82d561d8a5c7323e37f839a2dfa4d4b066f359f"/>
    <w:p>
      <w:pPr>
        <w:pStyle w:val="Heading5"/>
      </w:pPr>
      <w:r>
        <w:t xml:space="preserve">Myth 3: “Schizotypal disorder arises from childhood trauma or poor upbringing”</w:t>
      </w:r>
    </w:p>
    <w:p>
      <w:pPr>
        <w:pStyle w:val="FirstParagraph"/>
      </w:pPr>
      <w:r>
        <w:t xml:space="preserve">Evidence: Genetic component is significant — Kety Danish adoptive studies; Cross-Disorder Group 2013. Childhood trauma is indicated as a risk factor, but not the main etiology; biological and psychosocial interaction.</w:t>
      </w:r>
    </w:p>
    <w:bookmarkEnd w:id="522"/>
    <w:bookmarkEnd w:id="523"/>
    <w:bookmarkStart w:id="527" w:name="misguided-treatment-approaches-1"/>
    <w:p>
      <w:pPr>
        <w:pStyle w:val="Heading4"/>
      </w:pPr>
      <w:r>
        <w:t xml:space="preserve">10.2 Misguided treatment approaches</w:t>
      </w:r>
    </w:p>
    <w:bookmarkStart w:id="524" w:name="Xc8fd4a1012255cdc9ca005a8d63a665dd2be1fb"/>
    <w:p>
      <w:pPr>
        <w:pStyle w:val="Heading5"/>
      </w:pPr>
      <w:r>
        <w:t xml:space="preserve">Myth 4: “Schizotypal patients must definitely take continuous antipsychotics”</w:t>
      </w:r>
    </w:p>
    <w:p>
      <w:pPr>
        <w:pStyle w:val="FirstParagraph"/>
      </w:pPr>
      <w:r>
        <w:t xml:space="preserve">Evidence: continuous antipsychotic not recommended for schizotypal disorder (limited evidence base + side effect burden). Low-dose antipsychotic intermittent can be used as symptom-specific intervention; for continuous assignment — individual assessment.</w:t>
      </w:r>
    </w:p>
    <w:bookmarkEnd w:id="524"/>
    <w:bookmarkStart w:id="525" w:name="Xee3c561686d175a83e84240cd83bde41366d49a"/>
    <w:p>
      <w:pPr>
        <w:pStyle w:val="Heading5"/>
      </w:pPr>
      <w:r>
        <w:t xml:space="preserve">Myth 5: “Validating the schizotypal patient's ‘magical thinking’ is treatment”</w:t>
      </w:r>
    </w:p>
    <w:p>
      <w:pPr>
        <w:pStyle w:val="FirstParagraph"/>
      </w:pPr>
      <w:r>
        <w:t xml:space="preserve">Clinical logic: explicitly confirming delusion-like beliefs reinforces them; conversely, explicitly denying them also disrupts the therapeutic alliance. Reality testing and alternative explanations: an evidence-based approach in CBT — the patient and therapist explore factual evidence for the belief or alternative explanations.</w:t>
      </w:r>
    </w:p>
    <w:bookmarkEnd w:id="525"/>
    <w:bookmarkStart w:id="526" w:name="X581b690a3b55bbb59e811221499f44f3445c01b"/>
    <w:p>
      <w:pPr>
        <w:pStyle w:val="Heading5"/>
      </w:pPr>
      <w:r>
        <w:t xml:space="preserve">Myth 6: “Social isolation is a healthy strategy; the schizotypal patient should be left alone”</w:t>
      </w:r>
    </w:p>
    <w:p>
      <w:pPr>
        <w:pStyle w:val="FirstParagraph"/>
      </w:pPr>
      <w:r>
        <w:t xml:space="preserve">Evidence: Social isolation decreases long-term functional level and increases risk of mood disorders. Gradual strengthening of social connections is recommended with social skills training and supportive therapy.</w:t>
      </w:r>
    </w:p>
    <w:bookmarkEnd w:id="526"/>
    <w:bookmarkEnd w:id="527"/>
    <w:bookmarkStart w:id="532" w:name="X4ac03f2ab2e7e1e28f47116bb24cdf39e7c5bb6"/>
    <w:p>
      <w:pPr>
        <w:pStyle w:val="Heading4"/>
      </w:pPr>
      <w:r>
        <w:t xml:space="preserve">10.3 Ineffective methods or those delaying primary intervention</w:t>
      </w:r>
    </w:p>
    <w:bookmarkStart w:id="528" w:name="X803e41156225b3364ba0e208baba4529fd0aa85"/>
    <w:p>
      <w:pPr>
        <w:pStyle w:val="Heading5"/>
      </w:pPr>
      <w:r>
        <w:t xml:space="preserve">Myth 7: Alternative clinics based on magical thinking and “sixth sense” cure schizotypal disorder</w:t>
      </w:r>
    </w:p>
    <w:p>
      <w:pPr>
        <w:pStyle w:val="FirstParagraph"/>
      </w:pPr>
      <w:r>
        <w:t xml:space="preserve">Evidence: “Esoteric interventions” (crystal therapy, chakra work, astrology consultations) — may support bizarre beliefs of schizotypal patients and intensify disorder symptoms. No evidence of effect; delays primary psychotherapeutic or pharmacotherapeutic intervention.</w:t>
      </w:r>
    </w:p>
    <w:bookmarkEnd w:id="528"/>
    <w:bookmarkStart w:id="529" w:name="X655668749d8b9a7b8f2e1997654922e00c1988e"/>
    <w:p>
      <w:pPr>
        <w:pStyle w:val="Heading5"/>
      </w:pPr>
      <w:r>
        <w:t xml:space="preserve">Myth 8: Cannabis “preserves creativity and unusual experiences” — safe for schizotypal patients</w:t>
      </w:r>
    </w:p>
    <w:p>
      <w:pPr>
        <w:pStyle w:val="FirstParagraph"/>
      </w:pPr>
      <w:r>
        <w:t xml:space="preserve">Evidence: Cannabis increases psychosis risk by 2–3 times (Marconi 2016); conversion risk to schizophrenia is higher in schizotypal patients. Abstinence from cannabis is a critical clinical recommendation.</w:t>
      </w:r>
    </w:p>
    <w:bookmarkEnd w:id="529"/>
    <w:bookmarkStart w:id="530" w:name="X55c0477ea0b99a7efbffb7ee2c0f59eed972f6e"/>
    <w:p>
      <w:pPr>
        <w:pStyle w:val="Heading5"/>
      </w:pPr>
      <w:r>
        <w:t xml:space="preserve">Myth 9: “Homeopathy, acupuncture, esoteric interventions cure schizotypal disorder”</w:t>
      </w:r>
    </w:p>
    <w:p>
      <w:pPr>
        <w:pStyle w:val="FirstParagraph"/>
      </w:pPr>
      <w:r>
        <w:t xml:space="preserve">Evidence: systematic reviews — the effect of these interventions for schizotypal disorder has not been proven.</w:t>
      </w:r>
    </w:p>
    <w:bookmarkEnd w:id="530"/>
    <w:bookmarkStart w:id="531" w:name="X763c8902afef5ab6537a43cbb5c42ac4dd35362"/>
    <w:p>
      <w:pPr>
        <w:pStyle w:val="Heading5"/>
      </w:pPr>
      <w:r>
        <w:t xml:space="preserve">Myth 10: “Schizotypal patient does not respond to psychotherapy, so simple observation is sufficient”</w:t>
      </w:r>
    </w:p>
    <w:p>
      <w:pPr>
        <w:pStyle w:val="FirstParagraph"/>
      </w:pPr>
      <w:r>
        <w:t xml:space="preserve">Evidence: CBT, social skills training, and supportive psychotherapy can help these patients; a ‘watchful waiting’ approach increases functional impairment.</w:t>
      </w:r>
    </w:p>
    <w:bookmarkEnd w:id="531"/>
    <w:bookmarkEnd w:id="532"/>
    <w:bookmarkEnd w:id="533"/>
    <w:bookmarkStart w:id="2993" w:name="X1848cc26037bdf54fac0c9180e9eed9babb6aaa"/>
    <w:p>
      <w:pPr>
        <w:pStyle w:val="Heading3"/>
      </w:pPr>
      <w:r>
        <w:t xml:space="preserve">11. Sources</w:t>
      </w:r>
    </w:p>
    <w:p>
      <w:pPr>
        <w:pStyle w:val="Compact"/>
        <w:numPr>
          <w:ilvl w:val="0"/>
          <w:numId w:val="1243"/>
        </w:numPr>
      </w:pPr>
      <w:r>
        <w:t xml:space="preserve">WHO. ICD-11 for Mortality and Morbidity Statistics. 6A22 Schizotypal disorder. 2024.</w:t>
      </w:r>
    </w:p>
    <w:p>
      <w:pPr>
        <w:pStyle w:val="Compact"/>
        <w:numPr>
          <w:ilvl w:val="0"/>
          <w:numId w:val="1243"/>
        </w:numPr>
      </w:pPr>
      <w:r>
        <w:t xml:space="preserve">American Psychiatric Association. DSM-5-TR. Washington DC: APA Publishing; 2022.</w:t>
      </w:r>
    </w:p>
    <w:p>
      <w:pPr>
        <w:pStyle w:val="Compact"/>
        <w:numPr>
          <w:ilvl w:val="0"/>
          <w:numId w:val="1243"/>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43"/>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43"/>
        </w:numPr>
      </w:pPr>
      <w:r>
        <w:t xml:space="preserve">Hazlett E.A., Goldstein K.E., Kolaitis J.C. A review of structural MRI and diffusion tensor imaging in schizotypal personality disorder. Curr Psychiatry Rep 2012;14(1):70–78.</w:t>
      </w:r>
    </w:p>
    <w:p>
      <w:pPr>
        <w:pStyle w:val="Compact"/>
        <w:numPr>
          <w:ilvl w:val="0"/>
          <w:numId w:val="1243"/>
        </w:numPr>
      </w:pPr>
      <w:r>
        <w:t xml:space="preserve">Raine A. The SPQ: a scale for the assessment of schizotypal personality based on DSM-III-R criteria. Schizophr Bull 1991;17(4):555–564.</w:t>
      </w:r>
    </w:p>
    <w:p>
      <w:pPr>
        <w:pStyle w:val="Compact"/>
        <w:numPr>
          <w:ilvl w:val="0"/>
          <w:numId w:val="1243"/>
        </w:numPr>
      </w:pPr>
      <w:r>
        <w:t xml:space="preserve">Yung A.R., Yuen H.P., McGorry P.D. et al. Mapping the onset of psychosis: the Comprehensive Assessment of At-Risk Mental States. Aust N Z J Psychiatry 2005;39(11–12):964–971.</w:t>
      </w:r>
    </w:p>
    <w:p>
      <w:pPr>
        <w:pStyle w:val="Compact"/>
        <w:numPr>
          <w:ilvl w:val="0"/>
          <w:numId w:val="1243"/>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43"/>
        </w:numPr>
      </w:pPr>
      <w:r>
        <w:t xml:space="preserve">Marconi A., Di Forti M., Lewis C.M., Murray R.M., Vassos E. Meta-analysis of the association between the level of cannabis use and risk of psychosis. Schizophr Bull 2016;42(5):1262–1269.</w:t>
      </w:r>
    </w:p>
    <w:p>
      <w:pPr>
        <w:pStyle w:val="Compact"/>
        <w:numPr>
          <w:ilvl w:val="0"/>
          <w:numId w:val="1243"/>
        </w:numPr>
      </w:pPr>
      <w:r>
        <w:t xml:space="preserve">NICE Clinical Guideline 178. Psychosis and schizophrenia in adults: prevention and management. 2014, 2019 update.</w:t>
      </w:r>
    </w:p>
    <w:p>
      <w:pPr>
        <w:pStyle w:val="Compact"/>
        <w:numPr>
          <w:ilvl w:val="0"/>
          <w:numId w:val="1243"/>
        </w:numPr>
      </w:pPr>
      <w:r>
        <w:t xml:space="preserve">Kety S.S., Rosenthal D., Wender P.H. et al. The types and prevalence of mental illness in the biological and adoptive families of adopted schizophrenics. J Psychiatr Res 1968;6(Suppl 1):345–362.</w:t>
      </w:r>
    </w:p>
    <w:p>
      <w:pPr>
        <w:pStyle w:val="Compact"/>
        <w:numPr>
          <w:ilvl w:val="0"/>
          <w:numId w:val="1243"/>
        </w:numPr>
      </w:pPr>
      <w:r>
        <w:t xml:space="preserve">Miller T.J., McGlashan T.H., Rosen J.L. et al. Prodromal assessment with the Structured Interview for Prodromal Syndromes and the Scale of Prodromal Symptoms. Schizophr Bull 2003;29(4):703–715.</w:t>
      </w:r>
    </w:p>
    <w:p>
      <w:pPr>
        <w:pStyle w:val="Compact"/>
        <w:numPr>
          <w:ilvl w:val="0"/>
          <w:numId w:val="1243"/>
        </w:numPr>
      </w:pPr>
      <w:r>
        <w:t xml:space="preserve">Koenigsberg H.W., Reynolds D., Goodman M. et al. Risperidone in the treatment of schizotypal personality disorder. J Clin Psychiatry 2003;64(6):628–634.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34" w:name="Xc350d28f7f52370f2570bd18c9eeb25b8914b47"/>
            <w:r>
              <w:t xml:space="preserve">6A23 ACUTE AND TRANSIENT PSYCHOTIC DISORDER</w:t>
            </w:r>
            <w:bookmarkEnd w:id="534"/>
          </w:p>
          <w:p>
            <w:pPr>
              <w:pStyle w:val="Compact"/>
              <w:ind w:firstLine="0" w:left="0"/>
            </w:pPr>
            <w:r>
              <w:rPr>
                <w:lang w:val="en"/>
              </w:rPr>
              <w:t xml:space="preserve">Acute and transient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and transient psychotic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Brief Psychotic Disorder</w:t>
            </w:r>
          </w:p>
        </w:tc>
      </w:tr>
    </w:tbl>
    <w:bookmarkStart w:id="535" w:name="X9f4afc32386a6dc1019819c6fa3ace09b1826d1"/>
    <w:p>
      <w:pPr>
        <w:pStyle w:val="Heading3"/>
      </w:pPr>
      <w:r>
        <w:t xml:space="preserve">1. Definition and nosology</w:t>
      </w:r>
    </w:p>
    <w:p>
      <w:pPr>
        <w:pStyle w:val="FirstParagraph"/>
      </w:pPr>
      <w:r>
        <w:t xml:space="preserve">Acute and transient psychotic disorder (ICD-11:</w:t>
      </w:r>
      <w:r>
        <w:t xml:space="preserve"> </w:t>
      </w:r>
      <w:r>
        <w:t xml:space="preserve">6A23</w:t>
      </w:r>
      <w:r>
        <w:t xml:space="preserve">; DSM-5-TR: F23 Brief Psychotic Disorder) — a disorder characterized by rapid onset (a few days to weeks), psychotic symptoms (delusions, hallucinations, disorganized speech, grossly disorganized behavior), short duration, and full recovery to premorbid functional level.</w:t>
      </w:r>
    </w:p>
    <w:p>
      <w:pPr>
        <w:pStyle w:val="BodyText"/>
      </w:pPr>
      <w:r>
        <w:t xml:space="preserve">Characteristic features:</w:t>
      </w:r>
    </w:p>
    <w:p>
      <w:pPr>
        <w:pStyle w:val="Compact"/>
        <w:numPr>
          <w:ilvl w:val="0"/>
          <w:numId w:val="1244"/>
        </w:numPr>
      </w:pPr>
      <w:r>
        <w:t xml:space="preserve">Rapid onset — Full clinical picture formation within 2 weeks;</w:t>
      </w:r>
    </w:p>
    <w:p>
      <w:pPr>
        <w:pStyle w:val="Compact"/>
        <w:numPr>
          <w:ilvl w:val="0"/>
          <w:numId w:val="1244"/>
        </w:numPr>
      </w:pPr>
      <w:r>
        <w:t xml:space="preserve">Polymorphic (multiform) symptoms — delusions, hallucinations, and emotional fluctuations together.</w:t>
      </w:r>
    </w:p>
    <w:p>
      <w:pPr>
        <w:pStyle w:val="Compact"/>
        <w:numPr>
          <w:ilvl w:val="0"/>
          <w:numId w:val="1244"/>
        </w:numPr>
      </w:pPr>
      <w:r>
        <w:t xml:space="preserve">Short term — in DSM-5-TR &lt; 1 month, in ICD-11 &lt; 3 months;</w:t>
      </w:r>
    </w:p>
    <w:p>
      <w:pPr>
        <w:pStyle w:val="Compact"/>
        <w:numPr>
          <w:ilvl w:val="0"/>
          <w:numId w:val="1244"/>
        </w:numPr>
      </w:pPr>
      <w:r>
        <w:t xml:space="preserve">Full functional recovery — patient fully returns to premorbid level.</w:t>
      </w:r>
    </w:p>
    <w:bookmarkEnd w:id="535"/>
    <w:bookmarkStart w:id="536" w:name="Xa3fdfcf8d4d98729254d84affc22f76aa18f49d"/>
    <w:p>
      <w:pPr>
        <w:pStyle w:val="Heading3"/>
      </w:pPr>
      <w:r>
        <w:t xml:space="preserve">2. History</w:t>
      </w:r>
    </w:p>
    <w:p>
      <w:pPr>
        <w:pStyle w:val="Compact"/>
        <w:numPr>
          <w:ilvl w:val="0"/>
          <w:numId w:val="1245"/>
        </w:numPr>
      </w:pPr>
      <w:r>
        <w:t xml:space="preserve">Magnan V. (1893) — The term “bouffée délirante” describes acute-onset, short-lived polymorphic psychotic episodes in France.</w:t>
      </w:r>
    </w:p>
    <w:p>
      <w:pPr>
        <w:pStyle w:val="Compact"/>
        <w:numPr>
          <w:ilvl w:val="0"/>
          <w:numId w:val="1245"/>
        </w:numPr>
      </w:pPr>
      <w:r>
        <w:t xml:space="preserve">Wernicke K., Kleist K., Leonhard K. (1900–1957) — The concept of “cyclic psychoses” — from the German psychiatric school; rapid onset and favorable prognosis.</w:t>
      </w:r>
    </w:p>
    <w:p>
      <w:pPr>
        <w:pStyle w:val="Compact"/>
        <w:numPr>
          <w:ilvl w:val="0"/>
          <w:numId w:val="1245"/>
        </w:numPr>
      </w:pPr>
      <w:r>
        <w:t xml:space="preserve">Scandinavian school — “psychogenic psychosis” — Strömgren E. (1940) — psychosis in the context of stress or trauma.</w:t>
      </w:r>
    </w:p>
    <w:p>
      <w:pPr>
        <w:pStyle w:val="Compact"/>
        <w:numPr>
          <w:ilvl w:val="0"/>
          <w:numId w:val="1245"/>
        </w:numPr>
      </w:pPr>
      <w:r>
        <w:t xml:space="preserve">DSM-III (1980) — “Brief Reactive Psychosis” — with requirement of stress factor.</w:t>
      </w:r>
    </w:p>
    <w:p>
      <w:pPr>
        <w:pStyle w:val="Compact"/>
        <w:numPr>
          <w:ilvl w:val="0"/>
          <w:numId w:val="1245"/>
        </w:numPr>
      </w:pPr>
      <w:r>
        <w:t xml:space="preserve">DSM-IV (1994) and DSM-5 (2013) — stressor criterion has been removed (remains as a qualifier); term ‘Brief Psychotic Disorder’.</w:t>
      </w:r>
    </w:p>
    <w:p>
      <w:pPr>
        <w:pStyle w:val="Compact"/>
        <w:numPr>
          <w:ilvl w:val="0"/>
          <w:numId w:val="1245"/>
        </w:numPr>
      </w:pPr>
      <w:r>
        <w:t xml:space="preserve">ICD-11 (2019) — term “Acute and Transient Psychotic Disorder” retained; 3-month duration; polymorphic symptomatology emphasized.</w:t>
      </w:r>
    </w:p>
    <w:bookmarkEnd w:id="536"/>
    <w:bookmarkStart w:id="537" w:name="X3f6c5f54ce729ab8cca4404ac8c4496548aad7b"/>
    <w:p>
      <w:pPr>
        <w:pStyle w:val="Heading3"/>
      </w:pPr>
      <w:r>
        <w:t xml:space="preserve">3. Epidemiology</w:t>
      </w:r>
    </w:p>
    <w:p>
      <w:pPr>
        <w:pStyle w:val="Compact"/>
        <w:numPr>
          <w:ilvl w:val="0"/>
          <w:numId w:val="1246"/>
        </w:numPr>
      </w:pPr>
      <w:r>
        <w:t xml:space="preserve">Annual incidence: 3.9–9.6 / 100 000 (Castagnini A., Berrios G.E. Curr Psychiatry Rep 2009 review).</w:t>
      </w:r>
    </w:p>
    <w:p>
      <w:pPr>
        <w:pStyle w:val="Compact"/>
        <w:numPr>
          <w:ilvl w:val="0"/>
          <w:numId w:val="1246"/>
        </w:numPr>
      </w:pPr>
      <w:r>
        <w:t xml:space="preserve">Sex: Relatively frequent in women (1.5–2:1) — especially in postpartum context.</w:t>
      </w:r>
    </w:p>
    <w:p>
      <w:pPr>
        <w:pStyle w:val="Compact"/>
        <w:numPr>
          <w:ilvl w:val="0"/>
          <w:numId w:val="1246"/>
        </w:numPr>
      </w:pPr>
      <w:r>
        <w:t xml:space="preserve">Age of onset: 20–35 years; slightly later than schizophrenia.</w:t>
      </w:r>
    </w:p>
    <w:p>
      <w:pPr>
        <w:pStyle w:val="Compact"/>
        <w:numPr>
          <w:ilvl w:val="0"/>
          <w:numId w:val="1246"/>
        </w:numPr>
      </w:pPr>
      <w:r>
        <w:t xml:space="preserve">Cultural and geographic: frequency higher in low and middle income countries (Susser E. et al. Soc Psychiatry Psychiatr Epidemiol 1998 meta-analysis of 10 country studies).</w:t>
      </w:r>
    </w:p>
    <w:p>
      <w:pPr>
        <w:pStyle w:val="Compact"/>
        <w:numPr>
          <w:ilvl w:val="0"/>
          <w:numId w:val="1246"/>
        </w:numPr>
      </w:pPr>
      <w:r>
        <w:t xml:space="preserve">Postpartum onset — belongs to the category of postpartum psychosis (6E20 / 6A23.x).</w:t>
      </w:r>
    </w:p>
    <w:p>
      <w:pPr>
        <w:pStyle w:val="Compact"/>
        <w:numPr>
          <w:ilvl w:val="0"/>
          <w:numId w:val="1246"/>
        </w:numPr>
      </w:pPr>
      <w:r>
        <w:t xml:space="preserve">Diagnostic persistence and conversion: 30–50% of patients are re-diagnosed with schizophrenia, schizoaffective disorder, or bipolar disorder on long-term follow-up (Castagnini A. et al. Schizophr Res 2013).</w:t>
      </w:r>
    </w:p>
    <w:bookmarkEnd w:id="537"/>
    <w:bookmarkStart w:id="541" w:name="X5516aa20fbd9db0812be3eec309a48880d1b8f0"/>
    <w:p>
      <w:pPr>
        <w:pStyle w:val="Heading3"/>
      </w:pPr>
      <w:r>
        <w:t xml:space="preserve">4. Aetiology and pathogenesis</w:t>
      </w:r>
    </w:p>
    <w:bookmarkStart w:id="538" w:name="genetic-factors-7"/>
    <w:p>
      <w:pPr>
        <w:pStyle w:val="Heading4"/>
      </w:pPr>
      <w:r>
        <w:t xml:space="preserve">4.1 Genetic factors</w:t>
      </w:r>
    </w:p>
    <w:p>
      <w:pPr>
        <w:pStyle w:val="Compact"/>
        <w:numPr>
          <w:ilvl w:val="0"/>
          <w:numId w:val="1247"/>
        </w:numPr>
      </w:pPr>
      <w:r>
        <w:t xml:space="preserve">Schizophrenia and bipolar disorder partially share genetic risk.</w:t>
      </w:r>
    </w:p>
    <w:p>
      <w:pPr>
        <w:pStyle w:val="Compact"/>
        <w:numPr>
          <w:ilvl w:val="0"/>
          <w:numId w:val="1247"/>
        </w:numPr>
      </w:pPr>
      <w:r>
        <w:t xml:space="preserve">Risk increases when psychotic or affective disorder is present in family history.</w:t>
      </w:r>
    </w:p>
    <w:bookmarkEnd w:id="538"/>
    <w:bookmarkStart w:id="539" w:name="triggers-and-stress"/>
    <w:p>
      <w:pPr>
        <w:pStyle w:val="Heading4"/>
      </w:pPr>
      <w:r>
        <w:t xml:space="preserve">4.2 Triggers and stress</w:t>
      </w:r>
    </w:p>
    <w:p>
      <w:pPr>
        <w:pStyle w:val="Compact"/>
        <w:numPr>
          <w:ilvl w:val="0"/>
          <w:numId w:val="1248"/>
        </w:numPr>
      </w:pPr>
      <w:r>
        <w:t xml:space="preserve">Acute psychosocial stress (death, displacement, natural disaster) — identified in a significant proportion of patients; indicated as a stress qualifier in DSM-5-TR.</w:t>
      </w:r>
    </w:p>
    <w:p>
      <w:pPr>
        <w:pStyle w:val="Compact"/>
        <w:numPr>
          <w:ilvl w:val="0"/>
          <w:numId w:val="1248"/>
        </w:numPr>
      </w:pPr>
      <w:r>
        <w:t xml:space="preserve">Postpartum period — hormonal and sleep disturbances.</w:t>
      </w:r>
    </w:p>
    <w:p>
      <w:pPr>
        <w:pStyle w:val="Compact"/>
        <w:numPr>
          <w:ilvl w:val="0"/>
          <w:numId w:val="1248"/>
        </w:numPr>
      </w:pPr>
      <w:r>
        <w:t xml:space="preserve">Substance use — cannabis, amphetamine, hallucinogens — can trigger a psychotic episode, but substance-induced psychosis is coded as a separate category if the substance is specified.</w:t>
      </w:r>
    </w:p>
    <w:p>
      <w:pPr>
        <w:pStyle w:val="Compact"/>
        <w:numPr>
          <w:ilvl w:val="0"/>
          <w:numId w:val="1248"/>
        </w:numPr>
      </w:pPr>
      <w:r>
        <w:t xml:space="preserve">Short-term sleep deprivation, intense emotional tension.</w:t>
      </w:r>
    </w:p>
    <w:bookmarkEnd w:id="539"/>
    <w:bookmarkStart w:id="540" w:name="neurobiological-mechanisms-6"/>
    <w:p>
      <w:pPr>
        <w:pStyle w:val="Heading4"/>
      </w:pPr>
      <w:r>
        <w:t xml:space="preserve">4.3 Neurobiological mechanisms</w:t>
      </w:r>
    </w:p>
    <w:p>
      <w:pPr>
        <w:pStyle w:val="Compact"/>
        <w:numPr>
          <w:ilvl w:val="0"/>
          <w:numId w:val="1249"/>
        </w:numPr>
      </w:pPr>
      <w:r>
        <w:t xml:space="preserve">Temporary hyperactivity of the dopaminergic system — in the context of stress cortisol or hormonal changes.</w:t>
      </w:r>
    </w:p>
    <w:p>
      <w:pPr>
        <w:pStyle w:val="Compact"/>
        <w:numPr>
          <w:ilvl w:val="0"/>
          <w:numId w:val="1249"/>
        </w:numPr>
      </w:pPr>
      <w:r>
        <w:t xml:space="preserve">Central mechanisms similar to schizophrenia, but shorter-term and potentially reversible.</w:t>
      </w:r>
    </w:p>
    <w:bookmarkEnd w:id="540"/>
    <w:bookmarkEnd w:id="541"/>
    <w:bookmarkStart w:id="545" w:name="X7bb8c287ba614646a662303bdd370ab7970cfa3"/>
    <w:p>
      <w:pPr>
        <w:pStyle w:val="Heading3"/>
      </w:pPr>
      <w:r>
        <w:t xml:space="preserve">5. Clinical features</w:t>
      </w:r>
    </w:p>
    <w:bookmarkStart w:id="542" w:name="classic-presentation"/>
    <w:p>
      <w:pPr>
        <w:pStyle w:val="Heading4"/>
      </w:pPr>
      <w:r>
        <w:t xml:space="preserve">5.1 Classic presentation</w:t>
      </w:r>
    </w:p>
    <w:p>
      <w:pPr>
        <w:pStyle w:val="Compact"/>
        <w:numPr>
          <w:ilvl w:val="0"/>
          <w:numId w:val="1250"/>
        </w:numPr>
      </w:pPr>
      <w:r>
        <w:t xml:space="preserve">Rapid onset — from premorbid normal function to full psychotic picture within days-weeks.</w:t>
      </w:r>
    </w:p>
    <w:p>
      <w:pPr>
        <w:pStyle w:val="Compact"/>
        <w:numPr>
          <w:ilvl w:val="0"/>
          <w:numId w:val="1250"/>
        </w:numPr>
      </w:pPr>
      <w:r>
        <w:t xml:space="preserve">Polymorphic (variable) symptoms — delusions (persecution, relationship, religious), hallucinations (auditory, visual, cenesthetic), disorganized speech.</w:t>
      </w:r>
    </w:p>
    <w:p>
      <w:pPr>
        <w:pStyle w:val="Compact"/>
        <w:numPr>
          <w:ilvl w:val="0"/>
          <w:numId w:val="1250"/>
        </w:numPr>
      </w:pPr>
      <w:r>
        <w:t xml:space="preserve">Emotional fluctuation — acute fear, ecstasy, panic, bewilderment.</w:t>
      </w:r>
    </w:p>
    <w:p>
      <w:pPr>
        <w:pStyle w:val="Compact"/>
        <w:numPr>
          <w:ilvl w:val="0"/>
          <w:numId w:val="1250"/>
        </w:numPr>
      </w:pPr>
      <w:r>
        <w:t xml:space="preserve">No alterations in consciousness (except delirium).</w:t>
      </w:r>
    </w:p>
    <w:p>
      <w:pPr>
        <w:pStyle w:val="Compact"/>
        <w:numPr>
          <w:ilvl w:val="0"/>
          <w:numId w:val="1250"/>
        </w:numPr>
      </w:pPr>
      <w:r>
        <w:t xml:space="preserve">Behavior — odd, disorganized; sometimes with catatonic components.</w:t>
      </w:r>
    </w:p>
    <w:bookmarkEnd w:id="542"/>
    <w:bookmarkStart w:id="543" w:name="icd-11-subtypes"/>
    <w:p>
      <w:pPr>
        <w:pStyle w:val="Heading4"/>
      </w:pPr>
      <w:r>
        <w:t xml:space="preserve">5.2 ICD-11 subtypes</w:t>
      </w:r>
    </w:p>
    <w:p>
      <w:pPr>
        <w:pStyle w:val="Compact"/>
        <w:numPr>
          <w:ilvl w:val="0"/>
          <w:numId w:val="1251"/>
        </w:numPr>
      </w:pPr>
      <w:r>
        <w:t xml:space="preserve">Polymorphic psychotic disorder — without schizophrenia symptoms;</w:t>
      </w:r>
    </w:p>
    <w:p>
      <w:pPr>
        <w:pStyle w:val="Compact"/>
        <w:numPr>
          <w:ilvl w:val="0"/>
          <w:numId w:val="1251"/>
        </w:numPr>
      </w:pPr>
      <w:r>
        <w:t xml:space="preserve">Polymorphic psychotic disorder — with schizophrenia symptoms;</w:t>
      </w:r>
    </w:p>
    <w:p>
      <w:pPr>
        <w:pStyle w:val="Compact"/>
        <w:numPr>
          <w:ilvl w:val="0"/>
          <w:numId w:val="1251"/>
        </w:numPr>
      </w:pPr>
      <w:r>
        <w:t xml:space="preserve">Acute psychotic disorder like schizophrenia — Schneider first-rank symptoms dominant.</w:t>
      </w:r>
    </w:p>
    <w:bookmarkEnd w:id="543"/>
    <w:bookmarkStart w:id="544" w:name="course-1"/>
    <w:p>
      <w:pPr>
        <w:pStyle w:val="Heading4"/>
      </w:pPr>
      <w:r>
        <w:t xml:space="preserve">5.3 Course</w:t>
      </w:r>
    </w:p>
    <w:p>
      <w:pPr>
        <w:pStyle w:val="FirstParagraph"/>
      </w:pPr>
      <w:r>
        <w:t xml:space="preserve">Typical course — peak achieved within 2–4 weeks, then gradual or rapid subsidence. Full recovery — within 1 month (DSM-5-TR) or 3 months (ICD-11). Persisting beyond this period leads to diagnosis transition to schizophreniform (DSM-5-TR F20.81, 1–6 months) or schizophrenia.</w:t>
      </w:r>
    </w:p>
    <w:bookmarkEnd w:id="544"/>
    <w:bookmarkEnd w:id="545"/>
    <w:bookmarkStart w:id="550" w:name="X2bd5a06c38aa295c1a2e8a70c5c1dcaa837e633"/>
    <w:p>
      <w:pPr>
        <w:pStyle w:val="Heading3"/>
      </w:pPr>
      <w:r>
        <w:t xml:space="preserve">6. Diagnosis</w:t>
      </w:r>
    </w:p>
    <w:bookmarkStart w:id="546" w:name="X15db0eccc141d426c629866937a058f39e6ee30"/>
    <w:p>
      <w:pPr>
        <w:pStyle w:val="Heading4"/>
      </w:pPr>
      <w:r>
        <w:t xml:space="preserve">6.1 Unified diagnostic criteria (DSM-5-TR · ICD-11 consensus points)</w:t>
      </w:r>
    </w:p>
    <w:p>
      <w:pPr>
        <w:pStyle w:val="FirstParagraph"/>
      </w:pPr>
      <w:r>
        <w:t xml:space="preserve">A. Presence of one or more psychotic symptoms:</w:t>
      </w:r>
    </w:p>
    <w:p>
      <w:pPr>
        <w:pStyle w:val="Compact"/>
        <w:numPr>
          <w:ilvl w:val="0"/>
          <w:numId w:val="1252"/>
        </w:numPr>
      </w:pPr>
      <w:r>
        <w:t xml:space="preserve">Delusions;</w:t>
      </w:r>
    </w:p>
    <w:p>
      <w:pPr>
        <w:pStyle w:val="Compact"/>
        <w:numPr>
          <w:ilvl w:val="0"/>
          <w:numId w:val="1252"/>
        </w:numPr>
      </w:pPr>
      <w:r>
        <w:t xml:space="preserve">Hallucinations;</w:t>
      </w:r>
    </w:p>
    <w:p>
      <w:pPr>
        <w:pStyle w:val="Compact"/>
        <w:numPr>
          <w:ilvl w:val="0"/>
          <w:numId w:val="1252"/>
        </w:numPr>
      </w:pPr>
      <w:r>
        <w:t xml:space="preserve">Disorganized speech;</w:t>
      </w:r>
    </w:p>
    <w:p>
      <w:pPr>
        <w:pStyle w:val="Compact"/>
        <w:numPr>
          <w:ilvl w:val="0"/>
          <w:numId w:val="1252"/>
        </w:numPr>
      </w:pPr>
      <w:r>
        <w:t xml:space="preserve">Grossly disorganized or catatonic behavior.</w:t>
      </w:r>
    </w:p>
    <w:p>
      <w:pPr>
        <w:pStyle w:val="FirstParagraph"/>
      </w:pPr>
      <w:r>
        <w:t xml:space="preserve">(At least one of 1, 2, or 3 must be present.)</w:t>
      </w:r>
    </w:p>
    <w:p>
      <w:pPr>
        <w:pStyle w:val="BodyText"/>
      </w:pPr>
      <w:r>
        <w:t xml:space="preserve">B. Duration of the episode:</w:t>
      </w:r>
    </w:p>
    <w:p>
      <w:pPr>
        <w:pStyle w:val="Compact"/>
        <w:numPr>
          <w:ilvl w:val="0"/>
          <w:numId w:val="1253"/>
        </w:numPr>
      </w:pPr>
      <w:r>
        <w:t xml:space="preserve">DSM-5-TR: ≥ 1 day, &lt; 1 month, then full recovery to premorbid functional level.</w:t>
      </w:r>
    </w:p>
    <w:p>
      <w:pPr>
        <w:pStyle w:val="Compact"/>
        <w:numPr>
          <w:ilvl w:val="0"/>
          <w:numId w:val="1253"/>
        </w:numPr>
      </w:pPr>
      <w:r>
        <w:t xml:space="preserve">ICD-11: full syndrome forms within 2 weeks; &lt; 3 months persists.</w:t>
      </w:r>
    </w:p>
    <w:p>
      <w:pPr>
        <w:pStyle w:val="FirstParagraph"/>
      </w:pPr>
      <w:r>
        <w:t xml:space="preserve">C. Exclusions — not fully explained by affective disorder with psychotic features, schizophrenia, schizoaffective disorder, substance-induced psychosis, organic psychosis.</w:t>
      </w:r>
    </w:p>
    <w:bookmarkEnd w:id="546"/>
    <w:bookmarkStart w:id="547" w:name="differences-between-sources-16"/>
    <w:p>
      <w:pPr>
        <w:pStyle w:val="Heading4"/>
      </w:pPr>
      <w:r>
        <w:t xml:space="preserve">6.2 Differences between sources</w:t>
      </w:r>
    </w:p>
    <w:p>
      <w:pPr>
        <w:pStyle w:val="Compact"/>
        <w:numPr>
          <w:ilvl w:val="0"/>
          <w:numId w:val="1254"/>
        </w:numPr>
      </w:pPr>
      <w:r>
        <w:t xml:space="preserve">DSM-5-TR (F23): qualifiers — “With marked stressor(s)” (with an acute stressor), “Without marked stressor”, “With postpartum onset” (within 4 weeks of birth).</w:t>
      </w:r>
    </w:p>
    <w:p>
      <w:pPr>
        <w:pStyle w:val="Compact"/>
        <w:numPr>
          <w:ilvl w:val="0"/>
          <w:numId w:val="1254"/>
        </w:numPr>
      </w:pPr>
      <w:r>
        <w:t xml:space="preserve">ICD-11 (6A23): Three subtypes – polymorphic (without/with schizophrenia symptoms) and schizophrenia-like. Postpartum onset is assigned to the separate code 6E20.</w:t>
      </w:r>
    </w:p>
    <w:p>
      <w:pPr>
        <w:pStyle w:val="Compact"/>
        <w:numPr>
          <w:ilvl w:val="0"/>
          <w:numId w:val="1254"/>
        </w:numPr>
      </w:pPr>
      <w:r>
        <w:t xml:space="preserve">Stress factor — not a criterion but a qualifier; was compulsory in DSM-IV’s “Brief Reactive Psychosis.”</w:t>
      </w:r>
    </w:p>
    <w:bookmarkEnd w:id="547"/>
    <w:bookmarkStart w:id="548" w:name="diagnostic-algorithm-11"/>
    <w:p>
      <w:pPr>
        <w:pStyle w:val="Heading4"/>
      </w:pPr>
      <w:r>
        <w:t xml:space="preserve">6.3 Diagnostic algorithm</w:t>
      </w:r>
    </w:p>
    <w:p>
      <w:pPr>
        <w:pStyle w:val="Compact"/>
        <w:numPr>
          <w:ilvl w:val="0"/>
          <w:numId w:val="1255"/>
        </w:numPr>
      </w:pPr>
      <w:r>
        <w:t xml:space="preserve">Clinical interview + information from relatives — onset dynamics, premorbid function.</w:t>
      </w:r>
    </w:p>
    <w:p>
      <w:pPr>
        <w:pStyle w:val="Compact"/>
        <w:numPr>
          <w:ilvl w:val="0"/>
          <w:numId w:val="1255"/>
        </w:numPr>
      </w:pPr>
      <w:r>
        <w:t xml:space="preserve">Structured interview (SCID-5, MINI).</w:t>
      </w:r>
    </w:p>
    <w:p>
      <w:pPr>
        <w:pStyle w:val="Compact"/>
        <w:numPr>
          <w:ilvl w:val="0"/>
          <w:numId w:val="1255"/>
        </w:numPr>
      </w:pPr>
      <w:r>
        <w:t xml:space="preserve">Severity scales — PANSS, BPRS.</w:t>
      </w:r>
    </w:p>
    <w:p>
      <w:pPr>
        <w:pStyle w:val="Compact"/>
        <w:numPr>
          <w:ilvl w:val="0"/>
          <w:numId w:val="1255"/>
        </w:numPr>
      </w:pPr>
      <w:r>
        <w:t xml:space="preserve">Toxicology screening (mandatory) — to rule out substance-induced psychosis.</w:t>
      </w:r>
    </w:p>
    <w:p>
      <w:pPr>
        <w:pStyle w:val="Compact"/>
        <w:numPr>
          <w:ilvl w:val="0"/>
          <w:numId w:val="1255"/>
        </w:numPr>
      </w:pPr>
      <w:r>
        <w:t xml:space="preserve">Physical and neurological examination.</w:t>
      </w:r>
    </w:p>
    <w:p>
      <w:pPr>
        <w:pStyle w:val="Compact"/>
        <w:numPr>
          <w:ilvl w:val="0"/>
          <w:numId w:val="1255"/>
        </w:numPr>
      </w:pPr>
      <w:r>
        <w:t xml:space="preserve">Laboratory: complete blood count, liver, kidney, electrolytes, glucose, TSH, B12, syphilis, HIV.</w:t>
      </w:r>
    </w:p>
    <w:p>
      <w:pPr>
        <w:pStyle w:val="Compact"/>
        <w:numPr>
          <w:ilvl w:val="0"/>
          <w:numId w:val="1255"/>
        </w:numPr>
      </w:pPr>
      <w:r>
        <w:t xml:space="preserve">EEG and brain MRI — first episode or atypical clinical presentation.</w:t>
      </w:r>
    </w:p>
    <w:p>
      <w:pPr>
        <w:pStyle w:val="Compact"/>
        <w:numPr>
          <w:ilvl w:val="0"/>
          <w:numId w:val="1255"/>
        </w:numPr>
      </w:pPr>
      <w:r>
        <w:t xml:space="preserve">In postpartum context — thyroid function mandatory.</w:t>
      </w:r>
    </w:p>
    <w:p>
      <w:pPr>
        <w:pStyle w:val="Compact"/>
        <w:numPr>
          <w:ilvl w:val="0"/>
          <w:numId w:val="1255"/>
        </w:numPr>
      </w:pPr>
      <w:r>
        <w:t xml:space="preserve">Assessment of suicide and child harm risk (in postpartum conditions).</w:t>
      </w:r>
    </w:p>
    <w:p>
      <w:pPr>
        <w:pStyle w:val="Compact"/>
        <w:numPr>
          <w:ilvl w:val="0"/>
          <w:numId w:val="1255"/>
        </w:numPr>
      </w:pPr>
      <w:r>
        <w:t xml:space="preserve">Monitoring — may vary based on diagnosis duration (after 1 or 3 months elapsed).</w:t>
      </w:r>
    </w:p>
    <w:bookmarkEnd w:id="548"/>
    <w:bookmarkStart w:id="549" w:name="differential-diagnosis-1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Duration ≥ 1 month (ICD-11) / ≥ 6 months (DSM-5-TR general); residual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Schizoaffective disorder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 affective episode is present during a significant portion of the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Schizophreniform disorder (DSM-5-TR F20.81)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 — 1–6 months; ICD-11 — no separate code.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I with psychotic features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the context of a manic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Postpartum psychosis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Within 4–6 weeks postpartum; high risk of infanticide and maternal suicide — medical emergency.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Clear temporal relationship with substance (cannabis, amphetamine, hallucinogen); toxicology screening.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Secondary psychosis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Associated with organic cause (autoimmune encephalitis, lupus, paraneoplastic encephalitis).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Alteration in consciousness; attentional fluctuation; organic cause.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trauma context; desocial isolation dominant.</w:t>
            </w:r>
          </w:p>
        </w:tc>
      </w:tr>
    </w:tbl>
    <w:bookmarkEnd w:id="549"/>
    <w:bookmarkEnd w:id="550"/>
    <w:bookmarkStart w:id="554" w:name="X42affb50243eca3b74507c7063d6c8326a84fa3"/>
    <w:p>
      <w:pPr>
        <w:pStyle w:val="Heading3"/>
      </w:pPr>
      <w:r>
        <w:t xml:space="preserve">7. Examination and assessment</w:t>
      </w:r>
    </w:p>
    <w:bookmarkStart w:id="551" w:name="clinical-scales-4"/>
    <w:p>
      <w:pPr>
        <w:pStyle w:val="Heading4"/>
      </w:pPr>
      <w:r>
        <w:t xml:space="preserve">7.1 Clinical scales</w:t>
      </w:r>
    </w:p>
    <w:p>
      <w:pPr>
        <w:pStyle w:val="Compact"/>
        <w:numPr>
          <w:ilvl w:val="0"/>
          <w:numId w:val="1256"/>
        </w:numPr>
      </w:pPr>
      <w:r>
        <w:t xml:space="preserve">PANSS, BPRS — psychotic severity.</w:t>
      </w:r>
    </w:p>
    <w:p>
      <w:pPr>
        <w:pStyle w:val="Compact"/>
        <w:numPr>
          <w:ilvl w:val="0"/>
          <w:numId w:val="1256"/>
        </w:numPr>
      </w:pPr>
      <w:r>
        <w:t xml:space="preserve">HAM-D, YMRS — assessment of affective components.</w:t>
      </w:r>
    </w:p>
    <w:p>
      <w:pPr>
        <w:pStyle w:val="Compact"/>
        <w:numPr>
          <w:ilvl w:val="0"/>
          <w:numId w:val="1256"/>
        </w:numPr>
      </w:pPr>
      <w:r>
        <w:t xml:space="preserve">C-SSRS — suicide risk.</w:t>
      </w:r>
    </w:p>
    <w:p>
      <w:pPr>
        <w:pStyle w:val="Compact"/>
        <w:numPr>
          <w:ilvl w:val="0"/>
          <w:numId w:val="1256"/>
        </w:numPr>
      </w:pPr>
      <w:r>
        <w:t xml:space="preserve">GAF/PSP — functional level.</w:t>
      </w:r>
    </w:p>
    <w:bookmarkEnd w:id="551"/>
    <w:bookmarkStart w:id="552" w:name="laboratory-investigations-10"/>
    <w:p>
      <w:pPr>
        <w:pStyle w:val="Heading4"/>
      </w:pPr>
      <w:r>
        <w:t xml:space="preserve">7.2 Laboratory investigations</w:t>
      </w:r>
    </w:p>
    <w:p>
      <w:pPr>
        <w:pStyle w:val="FirstParagraph"/>
      </w:pPr>
      <w:r>
        <w:t xml:space="preserve">According to first episode psychosis protocol (see 6A20 §7.2):</w:t>
      </w:r>
    </w:p>
    <w:p>
      <w:pPr>
        <w:pStyle w:val="Compact"/>
        <w:numPr>
          <w:ilvl w:val="0"/>
          <w:numId w:val="1257"/>
        </w:numPr>
      </w:pPr>
      <w:r>
        <w:t xml:space="preserve">Absolute: complete blood count, liver/kidney, glucose, electrolytes, TSH, B12, folate, toxicology screening, HIV, syphilis, pregnancy test, prolactin.</w:t>
      </w:r>
    </w:p>
    <w:p>
      <w:pPr>
        <w:pStyle w:val="Compact"/>
        <w:numPr>
          <w:ilvl w:val="0"/>
          <w:numId w:val="1257"/>
        </w:numPr>
      </w:pPr>
      <w:r>
        <w:t xml:space="preserve">If organic psychosis is suspected — anti-NMDA-R antibodies (CSF), ANA, lupus panel, paraneoplastic antibody panel, ammonia, ceruloplasmin.</w:t>
      </w:r>
    </w:p>
    <w:p>
      <w:pPr>
        <w:pStyle w:val="Compact"/>
        <w:numPr>
          <w:ilvl w:val="0"/>
          <w:numId w:val="1257"/>
        </w:numPr>
      </w:pPr>
      <w:r>
        <w:t xml:space="preserve">In postpartum context — TSH (postpartum hypothyroidism possible).</w:t>
      </w:r>
    </w:p>
    <w:bookmarkEnd w:id="552"/>
    <w:bookmarkStart w:id="553" w:name="instrumental-investigations-11"/>
    <w:p>
      <w:pPr>
        <w:pStyle w:val="Heading4"/>
      </w:pPr>
      <w:r>
        <w:t xml:space="preserve">7.3 Instrumental investigations</w:t>
      </w:r>
    </w:p>
    <w:p>
      <w:pPr>
        <w:pStyle w:val="Compact"/>
        <w:numPr>
          <w:ilvl w:val="0"/>
          <w:numId w:val="1258"/>
        </w:numPr>
      </w:pPr>
      <w:r>
        <w:t xml:space="preserve">Brain MRI — recommended in first episode (NICE CG178); especially with atypical presentation or neurological signs.</w:t>
      </w:r>
    </w:p>
    <w:p>
      <w:pPr>
        <w:pStyle w:val="Compact"/>
        <w:numPr>
          <w:ilvl w:val="0"/>
          <w:numId w:val="1258"/>
        </w:numPr>
      </w:pPr>
      <w:r>
        <w:t xml:space="preserve">EEG — rule out seizures, atypical clinical presentation.</w:t>
      </w:r>
    </w:p>
    <w:p>
      <w:pPr>
        <w:pStyle w:val="Compact"/>
        <w:numPr>
          <w:ilvl w:val="0"/>
          <w:numId w:val="1258"/>
        </w:numPr>
      </w:pPr>
      <w:r>
        <w:t xml:space="preserve">EKG — before starting antipsychotic.</w:t>
      </w:r>
    </w:p>
    <w:p>
      <w:pPr>
        <w:pStyle w:val="Compact"/>
        <w:numPr>
          <w:ilvl w:val="0"/>
          <w:numId w:val="1258"/>
        </w:numPr>
      </w:pPr>
      <w:r>
        <w:t xml:space="preserve">Lumbar puncture — suspected autoimmune encephalitis (atypical psychosis + motor symptoms + female age).</w:t>
      </w:r>
    </w:p>
    <w:bookmarkEnd w:id="553"/>
    <w:bookmarkEnd w:id="554"/>
    <w:bookmarkStart w:id="558" w:name="Xddb4ba597fa9a80c7b7f38a7edfa481cdc83ec9"/>
    <w:p>
      <w:pPr>
        <w:pStyle w:val="Heading3"/>
      </w:pPr>
      <w:r>
        <w:t xml:space="preserve">8. Treatment</w:t>
      </w:r>
    </w:p>
    <w:bookmarkStart w:id="555" w:name="general-principles-2"/>
    <w:p>
      <w:pPr>
        <w:pStyle w:val="Heading4"/>
      </w:pPr>
      <w:r>
        <w:t xml:space="preserve">8.1 General principles</w:t>
      </w:r>
    </w:p>
    <w:p>
      <w:pPr>
        <w:pStyle w:val="Compact"/>
        <w:numPr>
          <w:ilvl w:val="0"/>
          <w:numId w:val="1259"/>
        </w:numPr>
      </w:pPr>
      <w:r>
        <w:t xml:space="preserve">Urgent assessment and hospitalization if necessary — for safety of patient or others.</w:t>
      </w:r>
    </w:p>
    <w:p>
      <w:pPr>
        <w:pStyle w:val="Compact"/>
        <w:numPr>
          <w:ilvl w:val="0"/>
          <w:numId w:val="1259"/>
        </w:numPr>
      </w:pPr>
      <w:r>
        <w:t xml:space="preserve">First-line: atypical antipsychotic at low dose — risperidone 1–4 mg, olanzapine 5–15 mg, quetiapine 200–600 mg, aripiprazole 5–15 mg.</w:t>
      </w:r>
    </w:p>
    <w:p>
      <w:pPr>
        <w:pStyle w:val="Compact"/>
        <w:numPr>
          <w:ilvl w:val="0"/>
          <w:numId w:val="1259"/>
        </w:numPr>
      </w:pPr>
      <w:r>
        <w:t xml:space="preserve">In acute agitation — oral lorazepam 1–2 mg + oral disintegrating olanzapine 5–10 mg; intramuscular — olanzapine 10 mg im or aripiprazole 9.75 mg im, if necessary haloperidol 5 mg + lorazepam 2 mg im (classic).</w:t>
      </w:r>
    </w:p>
    <w:p>
      <w:pPr>
        <w:pStyle w:val="Compact"/>
        <w:numPr>
          <w:ilvl w:val="0"/>
          <w:numId w:val="1259"/>
        </w:numPr>
      </w:pPr>
      <w:r>
        <w:t xml:space="preserve">Duration — antipsychotic typically 3–6 months (after remission), then gradual reduction and monitoring; there is no standard discontinuation protocol after a first episode — individual assessment required.</w:t>
      </w:r>
    </w:p>
    <w:p>
      <w:pPr>
        <w:pStyle w:val="Compact"/>
        <w:numPr>
          <w:ilvl w:val="0"/>
          <w:numId w:val="1259"/>
        </w:numPr>
      </w:pPr>
      <w:r>
        <w:t xml:space="preserve">In stress-induced context — psychosocial support, CBT-based stress management.</w:t>
      </w:r>
    </w:p>
    <w:p>
      <w:pPr>
        <w:pStyle w:val="Compact"/>
        <w:numPr>
          <w:ilvl w:val="0"/>
          <w:numId w:val="1259"/>
        </w:numPr>
      </w:pPr>
      <w:r>
        <w:t xml:space="preserve">In postpartum onset — as a medical emergency; risk of child homicide and suicide is high; hospitalization, mother-child co-hospitalization conditions are preferred; see chapter 6E20.</w:t>
      </w:r>
    </w:p>
    <w:p>
      <w:pPr>
        <w:pStyle w:val="Compact"/>
        <w:numPr>
          <w:ilvl w:val="0"/>
          <w:numId w:val="1259"/>
        </w:numPr>
      </w:pPr>
      <w:r>
        <w:t xml:space="preserve">ECT — in refractory severe cases, with catatonic features, safest option during pregnancy.</w:t>
      </w:r>
    </w:p>
    <w:p>
      <w:pPr>
        <w:pStyle w:val="Compact"/>
        <w:numPr>
          <w:ilvl w:val="0"/>
          <w:numId w:val="1259"/>
        </w:numPr>
      </w:pPr>
      <w:r>
        <w:t xml:space="preserve">Long-term follow-up — 30–50% of patients transition to long-term psychotic disorder; monthly in the first year, then quarterly.</w:t>
      </w:r>
    </w:p>
    <w:bookmarkEnd w:id="555"/>
    <w:bookmarkStart w:id="556" w:name="treatment-methods-11"/>
    <w:p>
      <w:pPr>
        <w:pStyle w:val="Heading4"/>
      </w:pPr>
      <w:r>
        <w:t xml:space="preserve">8.2 Treatment methods</w:t>
      </w:r>
    </w:p>
    <w:p>
      <w:pPr>
        <w:pStyle w:val="Compact"/>
        <w:numPr>
          <w:ilvl w:val="0"/>
          <w:numId w:val="1260"/>
        </w:numPr>
      </w:pPr>
      <w:r>
        <w:t xml:space="preserve">Early Intervention Services (EIP — Early Intervention in Psychosis) — Multidisciplinary care for first psychotic episode over 3 years — low-dose pharmacotherapy, CBTp, family intervention, employment support. RAISE (Kane J.M. et al. Am J Psychiatry 2016) RCT. Acute and transient patients also included in EIP programs.</w:t>
      </w:r>
    </w:p>
    <w:p>
      <w:pPr>
        <w:pStyle w:val="Compact"/>
        <w:numPr>
          <w:ilvl w:val="0"/>
          <w:numId w:val="1260"/>
        </w:numPr>
      </w:pPr>
      <w:r>
        <w:t xml:space="preserve">Cognitive Behavioral Therapy for psychosis (CBTp — Cognitive Behavioural Therapy for psychosis) — Re-evaluation of psychotic symptoms in “thought–emotion–behavior” formulation. NICE CG178 §1.3.7.1.</w:t>
      </w:r>
    </w:p>
    <w:p>
      <w:pPr>
        <w:pStyle w:val="Compact"/>
        <w:numPr>
          <w:ilvl w:val="0"/>
          <w:numId w:val="1260"/>
        </w:numPr>
      </w:pPr>
      <w:r>
        <w:t xml:space="preserve">Family Psychoeducation — Support for patient after episode, recognition of relapse early markers, family communication training. Pharoah Cochrane 2010.</w:t>
      </w:r>
    </w:p>
    <w:p>
      <w:pPr>
        <w:pStyle w:val="Compact"/>
        <w:numPr>
          <w:ilvl w:val="0"/>
          <w:numId w:val="1260"/>
        </w:numPr>
      </w:pPr>
      <w:r>
        <w:t xml:space="preserve">Electroconvulsive Therapy (ECT) — Effective with catatonic features, severe pharmacotherapy resistance, during pregnancy. NICE TA59. UK ECT Review Group Lancet 2003.</w:t>
      </w:r>
    </w:p>
    <w:p>
      <w:pPr>
        <w:pStyle w:val="Compact"/>
        <w:numPr>
          <w:ilvl w:val="0"/>
          <w:numId w:val="1260"/>
        </w:numPr>
      </w:pPr>
      <w:r>
        <w:t xml:space="preserve">PANSS, BPRS — Standardized assessment of psychotic severity.</w:t>
      </w:r>
    </w:p>
    <w:bookmarkEnd w:id="556"/>
    <w:bookmarkStart w:id="557" w:name="differences-between-sources-17"/>
    <w:p>
      <w:pPr>
        <w:pStyle w:val="Heading4"/>
      </w:pPr>
      <w:r>
        <w:t xml:space="preserve">8.3 Differences between sources</w:t>
      </w:r>
    </w:p>
    <w:p>
      <w:pPr>
        <w:pStyle w:val="Compact"/>
        <w:numPr>
          <w:ilvl w:val="0"/>
          <w:numId w:val="1261"/>
        </w:numPr>
      </w:pPr>
      <w:r>
        <w:t xml:space="preserve">NICE CG178 (Psychosis): first episode psychosis guidelines — low-dose atypical antipsychotic first line; early intervention services (EIP) involvement; psychosocial intervention combined.</w:t>
      </w:r>
    </w:p>
    <w:p>
      <w:pPr>
        <w:pStyle w:val="Compact"/>
        <w:numPr>
          <w:ilvl w:val="0"/>
          <w:numId w:val="1261"/>
        </w:numPr>
      </w:pPr>
      <w:r>
        <w:t xml:space="preserve">APA Practice Guideline 2021 (Schizophrenia): There is no specific algorithm for acute and transient psychotic disorder; principles of first episode psychosis.</w:t>
      </w:r>
    </w:p>
    <w:p>
      <w:pPr>
        <w:pStyle w:val="Compact"/>
        <w:numPr>
          <w:ilvl w:val="0"/>
          <w:numId w:val="1261"/>
        </w:numPr>
      </w:pPr>
      <w:r>
        <w:t xml:space="preserve">NICE CG192 (Antenatal and postnatal mental health): Postpartum psychosis is a medical emergency — hospital admission, atypical antipsychotic + benzodiazepine, ECT in refractory cases.</w:t>
      </w:r>
    </w:p>
    <w:bookmarkEnd w:id="557"/>
    <w:bookmarkEnd w:id="558"/>
    <w:bookmarkStart w:id="562" w:name="Xdce2d4fee43686320c11a61ef0bc097d0f6a5e2"/>
    <w:p>
      <w:pPr>
        <w:pStyle w:val="Heading3"/>
      </w:pPr>
      <w:r>
        <w:t xml:space="preserve">9. Prognosis</w:t>
      </w:r>
    </w:p>
    <w:bookmarkStart w:id="559" w:name="good-prognostic-factors-11"/>
    <w:p>
      <w:pPr>
        <w:pStyle w:val="Heading4"/>
      </w:pPr>
      <w:r>
        <w:t xml:space="preserve">Good prognostic factors</w:t>
      </w:r>
    </w:p>
    <w:p>
      <w:pPr>
        <w:pStyle w:val="Compact"/>
        <w:numPr>
          <w:ilvl w:val="0"/>
          <w:numId w:val="1262"/>
        </w:numPr>
      </w:pPr>
      <w:r>
        <w:t xml:space="preserve">Very rapid onset and short duration.</w:t>
      </w:r>
    </w:p>
    <w:p>
      <w:pPr>
        <w:pStyle w:val="Compact"/>
        <w:numPr>
          <w:ilvl w:val="0"/>
          <w:numId w:val="1262"/>
        </w:numPr>
      </w:pPr>
      <w:r>
        <w:t xml:space="preserve">Clear stress trigger.</w:t>
      </w:r>
    </w:p>
    <w:p>
      <w:pPr>
        <w:pStyle w:val="Compact"/>
        <w:numPr>
          <w:ilvl w:val="0"/>
          <w:numId w:val="1262"/>
        </w:numPr>
      </w:pPr>
      <w:r>
        <w:t xml:space="preserve">Premorbid good functional level.</w:t>
      </w:r>
    </w:p>
    <w:p>
      <w:pPr>
        <w:pStyle w:val="Compact"/>
        <w:numPr>
          <w:ilvl w:val="0"/>
          <w:numId w:val="1262"/>
        </w:numPr>
      </w:pPr>
      <w:r>
        <w:t xml:space="preserve">Presence of an affective component.</w:t>
      </w:r>
    </w:p>
    <w:p>
      <w:pPr>
        <w:pStyle w:val="Compact"/>
        <w:numPr>
          <w:ilvl w:val="0"/>
          <w:numId w:val="1262"/>
        </w:numPr>
      </w:pPr>
      <w:r>
        <w:t xml:space="preserve">Polymorphic symptomatology (without schizophrenia symptoms).</w:t>
      </w:r>
    </w:p>
    <w:p>
      <w:pPr>
        <w:pStyle w:val="Compact"/>
        <w:numPr>
          <w:ilvl w:val="0"/>
          <w:numId w:val="1262"/>
        </w:numPr>
      </w:pPr>
      <w:r>
        <w:t xml:space="preserve">Absence of family psychotic history.</w:t>
      </w:r>
    </w:p>
    <w:p>
      <w:pPr>
        <w:pStyle w:val="Compact"/>
        <w:numPr>
          <w:ilvl w:val="0"/>
          <w:numId w:val="1262"/>
        </w:numPr>
      </w:pPr>
      <w:r>
        <w:t xml:space="preserve">No cannabis or other substance use.</w:t>
      </w:r>
    </w:p>
    <w:bookmarkEnd w:id="559"/>
    <w:bookmarkStart w:id="560" w:name="poor-prognostic-factors-11"/>
    <w:p>
      <w:pPr>
        <w:pStyle w:val="Heading4"/>
      </w:pPr>
      <w:r>
        <w:t xml:space="preserve">Poor prognostic factors</w:t>
      </w:r>
    </w:p>
    <w:p>
      <w:pPr>
        <w:pStyle w:val="Compact"/>
        <w:numPr>
          <w:ilvl w:val="0"/>
          <w:numId w:val="1263"/>
        </w:numPr>
      </w:pPr>
      <w:r>
        <w:t xml:space="preserve">Schizophrenia-like symptoms (Schneider first-rank).</w:t>
      </w:r>
    </w:p>
    <w:p>
      <w:pPr>
        <w:pStyle w:val="Compact"/>
        <w:numPr>
          <w:ilvl w:val="0"/>
          <w:numId w:val="1263"/>
        </w:numPr>
      </w:pPr>
      <w:r>
        <w:t xml:space="preserve">Absence of stress trigger.</w:t>
      </w:r>
    </w:p>
    <w:p>
      <w:pPr>
        <w:pStyle w:val="Compact"/>
        <w:numPr>
          <w:ilvl w:val="0"/>
          <w:numId w:val="1263"/>
        </w:numPr>
      </w:pPr>
      <w:r>
        <w:t xml:space="preserve">Gradual onset.</w:t>
      </w:r>
    </w:p>
    <w:p>
      <w:pPr>
        <w:pStyle w:val="Compact"/>
        <w:numPr>
          <w:ilvl w:val="0"/>
          <w:numId w:val="1263"/>
        </w:numPr>
      </w:pPr>
      <w:r>
        <w:t xml:space="preserve">Premorbid functional impairment.</w:t>
      </w:r>
    </w:p>
    <w:p>
      <w:pPr>
        <w:pStyle w:val="Compact"/>
        <w:numPr>
          <w:ilvl w:val="0"/>
          <w:numId w:val="1263"/>
        </w:numPr>
      </w:pPr>
      <w:r>
        <w:t xml:space="preserve">Schizophrenia in family history.</w:t>
      </w:r>
    </w:p>
    <w:p>
      <w:pPr>
        <w:pStyle w:val="Compact"/>
        <w:numPr>
          <w:ilvl w:val="0"/>
          <w:numId w:val="1263"/>
        </w:numPr>
      </w:pPr>
      <w:r>
        <w:t xml:space="preserve">Substance use.</w:t>
      </w:r>
    </w:p>
    <w:bookmarkEnd w:id="560"/>
    <w:bookmarkStart w:id="561" w:name="follow-up-targets-11"/>
    <w:p>
      <w:pPr>
        <w:pStyle w:val="Heading4"/>
      </w:pPr>
      <w:r>
        <w:t xml:space="preserve">Follow-up targets</w:t>
      </w:r>
    </w:p>
    <w:p>
      <w:pPr>
        <w:pStyle w:val="Compact"/>
        <w:numPr>
          <w:ilvl w:val="0"/>
          <w:numId w:val="1264"/>
        </w:numPr>
      </w:pPr>
      <w:r>
        <w:t xml:space="preserve">Long-term follow-up is critical — 30–50% transition to schizophrenia, schizoaffective, or bipolar; monthly in the first year, then quarterly formal monitoring.</w:t>
      </w:r>
    </w:p>
    <w:p>
      <w:pPr>
        <w:pStyle w:val="Compact"/>
        <w:numPr>
          <w:ilvl w:val="0"/>
          <w:numId w:val="1264"/>
        </w:numPr>
      </w:pPr>
      <w:r>
        <w:t xml:space="preserve">Recognition of relapse markers (sleep disturbance, social withdrawal, unusual experiences).</w:t>
      </w:r>
    </w:p>
    <w:p>
      <w:pPr>
        <w:pStyle w:val="Compact"/>
        <w:numPr>
          <w:ilvl w:val="0"/>
          <w:numId w:val="1264"/>
        </w:numPr>
      </w:pPr>
      <w:r>
        <w:t xml:space="preserve">Gradual reduction and discontinuation of antipsychotic dose — individual decision (relapse risk vs side effects).</w:t>
      </w:r>
    </w:p>
    <w:p>
      <w:pPr>
        <w:pStyle w:val="Compact"/>
        <w:numPr>
          <w:ilvl w:val="0"/>
          <w:numId w:val="1264"/>
        </w:numPr>
      </w:pPr>
      <w:r>
        <w:t xml:space="preserve">Comorbid substance use and trauma intervention.</w:t>
      </w:r>
    </w:p>
    <w:p>
      <w:pPr>
        <w:pStyle w:val="Compact"/>
        <w:numPr>
          <w:ilvl w:val="0"/>
          <w:numId w:val="1264"/>
        </w:numPr>
      </w:pPr>
      <w:r>
        <w:t xml:space="preserve">In postpartum cases — high recurrence risk in subsequent pregnancies, prophylactic treatment plan.</w:t>
      </w:r>
    </w:p>
    <w:bookmarkEnd w:id="561"/>
    <w:bookmarkEnd w:id="562"/>
    <w:bookmarkStart w:id="576" w:name="Xf7b32cea6ae0a776e8d7ce010abaabc6c28d65a"/>
    <w:p>
      <w:pPr>
        <w:pStyle w:val="Heading3"/>
      </w:pPr>
      <w:r>
        <w:t xml:space="preserve">10. Myths and misconceptions</w:t>
      </w:r>
    </w:p>
    <w:bookmarkStart w:id="566" w:name="etiology-and-conceptual-myths-2"/>
    <w:p>
      <w:pPr>
        <w:pStyle w:val="Heading4"/>
      </w:pPr>
      <w:r>
        <w:t xml:space="preserve">10.1 Etiology and conceptual myths</w:t>
      </w:r>
    </w:p>
    <w:bookmarkStart w:id="563" w:name="Xd19b367a41f0629a02de90ce6a6813f8dd55817"/>
    <w:p>
      <w:pPr>
        <w:pStyle w:val="Heading5"/>
      </w:pPr>
      <w:r>
        <w:t xml:space="preserve">Myth 1: “Acute and transient psychosis is ‘just a psychological breakdown’, depends on individual strength”</w:t>
      </w:r>
    </w:p>
    <w:p>
      <w:pPr>
        <w:pStyle w:val="FirstParagraph"/>
      </w:pPr>
      <w:r>
        <w:t xml:space="preserve">Why it is widespread: Time correlation with stress and short-term course appears to support “psychological” explanation.</w:t>
      </w:r>
    </w:p>
    <w:p>
      <w:pPr>
        <w:pStyle w:val="BodyText"/>
      </w:pPr>
      <w:r>
        <w:t xml:space="preserve">Clinical and biological rationale: Stress is a trigger factor, but not an explanation alone — not all stressed individuals experience psychosis. Genetic and neurobiological vulnerability exists. Castagnini 2013 evidence — 30–50% of patients transition to schizophrenia, schizoaffective or bipolar disorder; this indicates neurobiological vulnerability.</w:t>
      </w:r>
    </w:p>
    <w:p>
      <w:pPr>
        <w:pStyle w:val="BodyText"/>
      </w:pPr>
      <w:r>
        <w:t xml:space="preserve">Real clinical step: Stress management and psychotherapeutic support are important, but antipsychotic treatment should not be delayed.</w:t>
      </w:r>
    </w:p>
    <w:bookmarkEnd w:id="563"/>
    <w:bookmarkStart w:id="564" w:name="X2554d2a1dcc8350fc1214cff79d19eb03bbe679"/>
    <w:p>
      <w:pPr>
        <w:pStyle w:val="Heading5"/>
      </w:pPr>
      <w:r>
        <w:t xml:space="preserve">Myth 2: “Acute psychosis is as dangerous as postpartum psychosis / no, it always resolves on its own”</w:t>
      </w:r>
    </w:p>
    <w:p>
      <w:pPr>
        <w:pStyle w:val="FirstParagraph"/>
      </w:pPr>
      <w:r>
        <w:t xml:space="preserve">Clinical logic: every acute psychotic episode warrants urgent medical evaluation. Postpartum onset risk especially high (infant homicide ~4%, maternal suicide). Non-postpartum acute transient episodes also carry suicide and violence risk — patient’s delusional content and behavioral control should be assessed.</w:t>
      </w:r>
    </w:p>
    <w:bookmarkEnd w:id="564"/>
    <w:bookmarkStart w:id="565" w:name="X26d804646b7a565a3fc32272db65a5674c520c9"/>
    <w:p>
      <w:pPr>
        <w:pStyle w:val="Heading5"/>
      </w:pPr>
      <w:r>
        <w:t xml:space="preserve">Myth 3: “Presence of a stressor is a condition for diagnosis”</w:t>
      </w:r>
    </w:p>
    <w:p>
      <w:pPr>
        <w:pStyle w:val="FirstParagraph"/>
      </w:pPr>
      <w:r>
        <w:t xml:space="preserve">Evidence: In DSM-IV ‘Brief Reactive Psychosis’, a stressor was a criterion, but in DSM-5-TR and ICD-11 not a criterion but a qualifier — acute psychotic episodes without a stressor are also diagnostically possible.</w:t>
      </w:r>
    </w:p>
    <w:bookmarkEnd w:id="565"/>
    <w:bookmarkEnd w:id="566"/>
    <w:bookmarkStart w:id="570" w:name="misguided-treatment-approaches-2"/>
    <w:p>
      <w:pPr>
        <w:pStyle w:val="Heading4"/>
      </w:pPr>
      <w:r>
        <w:t xml:space="preserve">10.2 Misguided treatment approaches</w:t>
      </w:r>
    </w:p>
    <w:bookmarkStart w:id="567" w:name="Xe9859bc9568bd2ff4bc503d397e72a481c5bda3"/>
    <w:p>
      <w:pPr>
        <w:pStyle w:val="Heading5"/>
      </w:pPr>
      <w:r>
        <w:t xml:space="preserve">Myth 4: “Acute psychosis resolves on its own, treatment can be delayed”</w:t>
      </w:r>
    </w:p>
    <w:p>
      <w:pPr>
        <w:pStyle w:val="FirstParagraph"/>
      </w:pPr>
      <w:r>
        <w:t xml:space="preserve">Clinical logic and evidence: Marshall M. et al. Arch Gen Psychiatry 2005 — as the duration of untreated psychosis (DUP) lengthens, long-term prognosis worsens. Even in a transient episode, early antipsychotic intervention is crucial for shortening symptoms and reducing complications.</w:t>
      </w:r>
    </w:p>
    <w:bookmarkEnd w:id="567"/>
    <w:bookmarkStart w:id="568" w:name="X0166963f27fccfea37b2807e18bb0e113ba2b27"/>
    <w:p>
      <w:pPr>
        <w:pStyle w:val="Heading5"/>
      </w:pPr>
      <w:r>
        <w:t xml:space="preserve">Myth 5: “An acute psychotic patient can be left alone — they can control themselves”</w:t>
      </w:r>
    </w:p>
    <w:p>
      <w:pPr>
        <w:pStyle w:val="FirstParagraph"/>
      </w:pPr>
      <w:r>
        <w:t xml:space="preserve">Evidence: In acute psychotic episodes, the patient's reality testing is impaired, and self-care, food and fluid intake, and personal safety cannot be maintained. Hospital admission or 24/7 supervision is usually required.</w:t>
      </w:r>
    </w:p>
    <w:bookmarkEnd w:id="568"/>
    <w:bookmarkStart w:id="569" w:name="X108f4f9b084730ebbf3d9b9a3ddf15811c5ce82"/>
    <w:p>
      <w:pPr>
        <w:pStyle w:val="Heading5"/>
      </w:pPr>
      <w:r>
        <w:t xml:space="preserve">Myth 6: “In acute transient psychosis, exorcism or religious ritual can replace antipsychotics”</w:t>
      </w:r>
    </w:p>
    <w:p>
      <w:pPr>
        <w:pStyle w:val="FirstParagraph"/>
      </w:pPr>
      <w:r>
        <w:t xml:space="preserve">Evidence: similar to schizophrenia — prognosis worsens as DUP lengthens; religious-cultural support can be parallel but does not replace antipsychotic treatment.</w:t>
      </w:r>
    </w:p>
    <w:bookmarkEnd w:id="569"/>
    <w:bookmarkEnd w:id="570"/>
    <w:bookmarkStart w:id="575" w:name="ineffective-or-harmful-approaches-1"/>
    <w:p>
      <w:pPr>
        <w:pStyle w:val="Heading4"/>
      </w:pPr>
      <w:r>
        <w:t xml:space="preserve">10.3 Ineffective or harmful approaches</w:t>
      </w:r>
    </w:p>
    <w:bookmarkStart w:id="571" w:name="X5131be0ed5fd696032be51a1b108d7e30605b06"/>
    <w:p>
      <w:pPr>
        <w:pStyle w:val="Heading5"/>
      </w:pPr>
      <w:r>
        <w:t xml:space="preserve">Myth 7: Acute psychosis is a “spiritual emergency” or “transition to higher consciousness”; treatment is harmful</w:t>
      </w:r>
    </w:p>
    <w:p>
      <w:pPr>
        <w:pStyle w:val="FirstParagraph"/>
      </w:pPr>
      <w:r>
        <w:t xml:space="preserve">Why it is widespread: Stan Grof and the ‘transpersonal psychology’ movement reinterpret psychotic experiences as ‘spiritual awakening’.</w:t>
      </w:r>
    </w:p>
    <w:p>
      <w:pPr>
        <w:pStyle w:val="BodyText"/>
      </w:pPr>
      <w:r>
        <w:t xml:space="preserve">Clinical logic and evidence: This approach is not accepted in modern clinical practice and evidence-based psychiatry. Psychotic symptoms cause real distress to the patient and pose risk; refusal of treatment leads to poor clinical outcome (DUP extension).</w:t>
      </w:r>
    </w:p>
    <w:bookmarkEnd w:id="571"/>
    <w:bookmarkStart w:id="572" w:name="X40515f72e510e6a51ea3af79ce272eb41fada0a"/>
    <w:p>
      <w:pPr>
        <w:pStyle w:val="Heading5"/>
      </w:pPr>
      <w:r>
        <w:t xml:space="preserve">Myth 8: “Cannabis can calm an acute psychotic episode”</w:t>
      </w:r>
    </w:p>
    <w:p>
      <w:pPr>
        <w:pStyle w:val="FirstParagraph"/>
      </w:pPr>
      <w:r>
        <w:t xml:space="preserve">Evidence: Cannabis is a psychosis trigger or contraindicated — its calming effect is illusory, indirectly exacerbates symptoms; contraindicated in clinical practice.</w:t>
      </w:r>
    </w:p>
    <w:bookmarkEnd w:id="572"/>
    <w:bookmarkStart w:id="573" w:name="X4c643b51dad7271b9905b3cf292e6b804aa599c"/>
    <w:p>
      <w:pPr>
        <w:pStyle w:val="Heading5"/>
      </w:pPr>
      <w:r>
        <w:t xml:space="preserve">Myth 9: “Vitamins, omega-3, valerian, St John's Wort are effective in acute psychosis”</w:t>
      </w:r>
    </w:p>
    <w:p>
      <w:pPr>
        <w:pStyle w:val="FirstParagraph"/>
      </w:pPr>
      <w:r>
        <w:t xml:space="preserve">Evidence: These complementary interventions have not demonstrated efficacy in acute psychotic episode; St John's Wort reduces antipsychotic levels via cytochrome P450 induction (interaction).</w:t>
      </w:r>
    </w:p>
    <w:bookmarkEnd w:id="573"/>
    <w:bookmarkStart w:id="574" w:name="X62751358d24df68940d7f57a42a310592b42916"/>
    <w:p>
      <w:pPr>
        <w:pStyle w:val="Heading5"/>
      </w:pPr>
      <w:r>
        <w:t xml:space="preserve">Myth 10: “Hypnotherapy or psychoanalytic deep therapy can be used in acute psychosis”</w:t>
      </w:r>
    </w:p>
    <w:p>
      <w:pPr>
        <w:pStyle w:val="FirstParagraph"/>
      </w:pPr>
      <w:r>
        <w:t xml:space="preserve">Evidence: In acute psychotic episodes, deep psychoanalytic intervention may disorganize the patient; at this stage, supportive therapy, structure, and safety are important, deep intervention is not.</w:t>
      </w:r>
    </w:p>
    <w:bookmarkEnd w:id="574"/>
    <w:bookmarkEnd w:id="575"/>
    <w:bookmarkEnd w:id="576"/>
    <w:bookmarkStart w:id="2992" w:name="X663f24559468701f2158bf0c560e045d628376d"/>
    <w:p>
      <w:pPr>
        <w:pStyle w:val="Heading3"/>
      </w:pPr>
      <w:r>
        <w:t xml:space="preserve">11. Sources</w:t>
      </w:r>
    </w:p>
    <w:p>
      <w:pPr>
        <w:pStyle w:val="Compact"/>
        <w:numPr>
          <w:ilvl w:val="0"/>
          <w:numId w:val="1265"/>
        </w:numPr>
      </w:pPr>
      <w:r>
        <w:t xml:space="preserve">WHO. ICD-11 for Mortality and Morbidity Statistics. 6A23 Acute and transient psychotic disorder. 2024.</w:t>
      </w:r>
    </w:p>
    <w:p>
      <w:pPr>
        <w:pStyle w:val="Compact"/>
        <w:numPr>
          <w:ilvl w:val="0"/>
          <w:numId w:val="1265"/>
        </w:numPr>
      </w:pPr>
      <w:r>
        <w:t xml:space="preserve">American Psychiatric Association. DSM-5-TR. Washington DC: APA Publishing; 2022.</w:t>
      </w:r>
    </w:p>
    <w:p>
      <w:pPr>
        <w:pStyle w:val="Compact"/>
        <w:numPr>
          <w:ilvl w:val="0"/>
          <w:numId w:val="1265"/>
        </w:numPr>
      </w:pPr>
      <w:r>
        <w:t xml:space="preserve">NICE Clinical Guideline 178. Psychosis and schizophrenia in adults: prevention and management. 2014, 2019 update.</w:t>
      </w:r>
    </w:p>
    <w:p>
      <w:pPr>
        <w:pStyle w:val="Compact"/>
        <w:numPr>
          <w:ilvl w:val="0"/>
          <w:numId w:val="1265"/>
        </w:numPr>
      </w:pPr>
      <w:r>
        <w:t xml:space="preserve">NICE Clinical Guideline 192. Antenatal and postnatal mental health: clinical management and service guidance. 2014, 2018 update.</w:t>
      </w:r>
    </w:p>
    <w:p>
      <w:pPr>
        <w:pStyle w:val="Compact"/>
        <w:numPr>
          <w:ilvl w:val="0"/>
          <w:numId w:val="1265"/>
        </w:numPr>
      </w:pPr>
      <w:r>
        <w:t xml:space="preserve">American Psychiatric Association. Practice Guideline for the Treatment of Patients with Schizophrenia, 3rd ed. 2021.</w:t>
      </w:r>
    </w:p>
    <w:p>
      <w:pPr>
        <w:pStyle w:val="Compact"/>
        <w:numPr>
          <w:ilvl w:val="0"/>
          <w:numId w:val="1265"/>
        </w:numPr>
      </w:pPr>
      <w:r>
        <w:t xml:space="preserve">Castagnini A., Berrios G.E. Acute and transient psychotic disorders (ICD-10 F23): a review from a European perspective. Curr Psychiatry Rep 2009;11(4):237–247.</w:t>
      </w:r>
    </w:p>
    <w:p>
      <w:pPr>
        <w:pStyle w:val="Compact"/>
        <w:numPr>
          <w:ilvl w:val="0"/>
          <w:numId w:val="1265"/>
        </w:numPr>
      </w:pPr>
      <w:r>
        <w:t xml:space="preserve">Castagnini A., Bertelsen A., Berrios G.E. Diagnosis of acute and transient psychotic disorders 12 years after admission: a follow-up study. Schizophr Res 2013;143(1):198–203.</w:t>
      </w:r>
    </w:p>
    <w:p>
      <w:pPr>
        <w:pStyle w:val="Compact"/>
        <w:numPr>
          <w:ilvl w:val="0"/>
          <w:numId w:val="1265"/>
        </w:numPr>
      </w:pPr>
      <w:r>
        <w:t xml:space="preserve">Susser E., Wanderling J. Epidemiology of nonaffective acute remitting psychosis vs schizophrenia. Soc Psychiatry Psychiatr Epidemiol 1998;33(10):485–490.</w:t>
      </w:r>
    </w:p>
    <w:p>
      <w:pPr>
        <w:pStyle w:val="Compact"/>
        <w:numPr>
          <w:ilvl w:val="0"/>
          <w:numId w:val="1265"/>
        </w:numPr>
      </w:pPr>
      <w:r>
        <w:t xml:space="preserve">Marshall M., Lewis S., Lockwood A. et al. Association between duration of untreated psychosis and outcome. Arch Gen Psychiatry 2005;62(9):975–983.</w:t>
      </w:r>
    </w:p>
    <w:p>
      <w:pPr>
        <w:pStyle w:val="Compact"/>
        <w:numPr>
          <w:ilvl w:val="0"/>
          <w:numId w:val="1265"/>
        </w:numPr>
      </w:pPr>
      <w:r>
        <w:t xml:space="preserve">Kane J.M., Robinson D.G., Schooler N.R. et al. Comprehensive versus usual community care for first-episode psychosis (RAISE). Am J Psychiatry 2016;173(4):362–372.</w:t>
      </w:r>
    </w:p>
    <w:p>
      <w:pPr>
        <w:pStyle w:val="Compact"/>
        <w:numPr>
          <w:ilvl w:val="0"/>
          <w:numId w:val="1265"/>
        </w:numPr>
      </w:pPr>
      <w:r>
        <w:t xml:space="preserve">NICE Technology Appraisal 59. Guidance on the use of electroconvulsive therapy. 2003 (reviewed).</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577" w:name="m156a24-delusional-disorder"/>
            <w:r>
              <w:t xml:space="preserve">6A24 DELUSIONAL DISORDER</w:t>
            </w:r>
            <w:bookmarkEnd w:id="577"/>
          </w:p>
          <w:p>
            <w:pPr>
              <w:pStyle w:val="Compact"/>
              <w:ind w:firstLine="0" w:left="0"/>
            </w:pPr>
            <w:r>
              <w:rPr>
                <w:lang w:val="en"/>
              </w:rPr>
              <w:t xml:space="preserve">Delusional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delusional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w:t>
            </w:r>
          </w:p>
        </w:tc>
      </w:tr>
    </w:tbl>
    <w:bookmarkStart w:id="578" w:name="X60cc492789e3a52ef21a16985c4f766f6ee392f"/>
    <w:p>
      <w:pPr>
        <w:pStyle w:val="Heading3"/>
      </w:pPr>
      <w:r>
        <w:t xml:space="preserve">1. Definition and nosology</w:t>
      </w:r>
    </w:p>
    <w:p>
      <w:pPr>
        <w:pStyle w:val="FirstParagraph"/>
      </w:pPr>
      <w:r>
        <w:t xml:space="preserve">Delusional disorder (ICD-11:</w:t>
      </w:r>
      <w:r>
        <w:t xml:space="preserve"> </w:t>
      </w:r>
      <w:r>
        <w:t xml:space="preserve">6A24</w:t>
      </w:r>
      <w:r>
        <w:t xml:space="preserve">; DSM-5-TR: F22) — a psychotic disorder in which one or several delusions predominate for at least one month, without meeting the full criteria for schizophrenia. The patient's general behavior and functional level remain relatively intact except for the delusional state.</w:t>
      </w:r>
    </w:p>
    <w:bookmarkEnd w:id="578"/>
    <w:bookmarkStart w:id="579" w:name="X7e9e8782a0d85047e30411c9cf762d66bcb39bd"/>
    <w:p>
      <w:pPr>
        <w:pStyle w:val="Heading3"/>
      </w:pPr>
      <w:r>
        <w:t xml:space="preserve">2. History</w:t>
      </w:r>
    </w:p>
    <w:p>
      <w:pPr>
        <w:pStyle w:val="Compact"/>
        <w:numPr>
          <w:ilvl w:val="0"/>
          <w:numId w:val="1266"/>
        </w:numPr>
      </w:pPr>
      <w:r>
        <w:t xml:space="preserve">Kraepelin (1899) — “paranoia” — systematized delusion without hallucinations.</w:t>
      </w:r>
    </w:p>
    <w:p>
      <w:pPr>
        <w:pStyle w:val="Compact"/>
        <w:numPr>
          <w:ilvl w:val="0"/>
          <w:numId w:val="1266"/>
        </w:numPr>
      </w:pPr>
      <w:r>
        <w:t xml:space="preserve">Esquirol J.E. (1810s) — the term “monomania”; Kahlbaum K. (1863) and Krafft-Ebing R. — the clinical description of paranoia.</w:t>
      </w:r>
    </w:p>
    <w:p>
      <w:pPr>
        <w:pStyle w:val="Compact"/>
        <w:numPr>
          <w:ilvl w:val="0"/>
          <w:numId w:val="1266"/>
        </w:numPr>
      </w:pPr>
      <w:r>
        <w:t xml:space="preserve">DSM-III-R (1987) — “Delusional Disorder” established as an official diagnosis; continuation of Kraepelin's paranoia concept.</w:t>
      </w:r>
    </w:p>
    <w:p>
      <w:pPr>
        <w:pStyle w:val="Compact"/>
        <w:numPr>
          <w:ilvl w:val="0"/>
          <w:numId w:val="1266"/>
        </w:numPr>
      </w:pPr>
      <w:r>
        <w:t xml:space="preserve">ICD-11 (2019): Bizarre delusions also permitted (in ICD-10 only non-bizarre); induced delusion (folie à deux) integrated as separate subtype.</w:t>
      </w:r>
    </w:p>
    <w:bookmarkEnd w:id="579"/>
    <w:bookmarkStart w:id="580" w:name="Xa91f63f76d1b60fb06f9b247c29cb2030830a0c"/>
    <w:p>
      <w:pPr>
        <w:pStyle w:val="Heading3"/>
      </w:pPr>
      <w:r>
        <w:t xml:space="preserve">3. Epidemiology</w:t>
      </w:r>
    </w:p>
    <w:p>
      <w:pPr>
        <w:pStyle w:val="Compact"/>
        <w:numPr>
          <w:ilvl w:val="0"/>
          <w:numId w:val="1267"/>
        </w:numPr>
      </w:pPr>
      <w:r>
        <w:t xml:space="preserve">Lifetime prevalence: ~0.2% (Perälä 2007).</w:t>
      </w:r>
    </w:p>
    <w:p>
      <w:pPr>
        <w:pStyle w:val="Compact"/>
        <w:numPr>
          <w:ilvl w:val="0"/>
          <w:numId w:val="1267"/>
        </w:numPr>
      </w:pPr>
      <w:r>
        <w:t xml:space="preserve">Onset: middle age (35–55 years), significantly later than schizophrenia.</w:t>
      </w:r>
    </w:p>
    <w:p>
      <w:pPr>
        <w:pStyle w:val="Compact"/>
        <w:numPr>
          <w:ilvl w:val="0"/>
          <w:numId w:val="1267"/>
        </w:numPr>
      </w:pPr>
      <w:r>
        <w:t xml:space="preserve">Sex: approximately equal; differences in some subtypes (erotomania in women).</w:t>
      </w:r>
    </w:p>
    <w:p>
      <w:pPr>
        <w:pStyle w:val="Compact"/>
        <w:numPr>
          <w:ilvl w:val="0"/>
          <w:numId w:val="1267"/>
        </w:numPr>
      </w:pPr>
      <w:r>
        <w:t xml:space="preserve">Comorbidity: depression, anxiety, social isolation; high suicide risk.</w:t>
      </w:r>
    </w:p>
    <w:bookmarkEnd w:id="580"/>
    <w:bookmarkStart w:id="581" w:name="Xa38802b64069b2307a7c74670d32eefffed782d"/>
    <w:p>
      <w:pPr>
        <w:pStyle w:val="Heading3"/>
      </w:pPr>
      <w:r>
        <w:t xml:space="preserve">4. Aetiology and pathogenesis</w:t>
      </w:r>
    </w:p>
    <w:p>
      <w:pPr>
        <w:pStyle w:val="Compact"/>
        <w:numPr>
          <w:ilvl w:val="0"/>
          <w:numId w:val="1268"/>
        </w:numPr>
      </w:pPr>
      <w:r>
        <w:t xml:space="preserve">Genetic load is less than in schizophrenia; however, family history shows increased density of paranoid personality and psychotic disorder.</w:t>
      </w:r>
    </w:p>
    <w:p>
      <w:pPr>
        <w:pStyle w:val="Compact"/>
        <w:numPr>
          <w:ilvl w:val="0"/>
          <w:numId w:val="1268"/>
        </w:numPr>
      </w:pPr>
      <w:r>
        <w:t xml:space="preserve">Sensory deprivation (hearing impairment) — increases risk of paranoid delusions in the elderly.</w:t>
      </w:r>
    </w:p>
    <w:p>
      <w:pPr>
        <w:pStyle w:val="Compact"/>
        <w:numPr>
          <w:ilvl w:val="0"/>
          <w:numId w:val="1268"/>
        </w:numPr>
      </w:pPr>
      <w:r>
        <w:t xml:space="preserve">Social isolation, migration, language barriers — risk factors.</w:t>
      </w:r>
    </w:p>
    <w:p>
      <w:pPr>
        <w:pStyle w:val="Compact"/>
        <w:numPr>
          <w:ilvl w:val="0"/>
          <w:numId w:val="1268"/>
        </w:numPr>
      </w:pPr>
      <w:r>
        <w:t xml:space="preserve">Neurobiological — dopaminergic dysregulation, but more localized than in schizophrenia; increased striatal dopamine synthesis in some studies (Howes O.D. reviews).</w:t>
      </w:r>
    </w:p>
    <w:bookmarkEnd w:id="581"/>
    <w:bookmarkStart w:id="584" w:name="Xf03386f850666dd2df17c6558c07f7b658e8859"/>
    <w:p>
      <w:pPr>
        <w:pStyle w:val="Heading3"/>
      </w:pPr>
      <w:r>
        <w:t xml:space="preserve">5. Clinical features</w:t>
      </w:r>
    </w:p>
    <w:bookmarkStart w:id="582" w:name="subtypes-by-delusional-content"/>
    <w:p>
      <w:pPr>
        <w:pStyle w:val="Heading4"/>
      </w:pPr>
      <w:r>
        <w:t xml:space="preserve">Subtypes (by delusional content)</w:t>
      </w:r>
    </w:p>
    <w:p>
      <w:pPr>
        <w:pStyle w:val="Compact"/>
        <w:numPr>
          <w:ilvl w:val="0"/>
          <w:numId w:val="1269"/>
        </w:numPr>
      </w:pPr>
      <w:r>
        <w:t xml:space="preserve">Persecutory: Most frequent — being followed by others, harm planned.</w:t>
      </w:r>
    </w:p>
    <w:p>
      <w:pPr>
        <w:pStyle w:val="Compact"/>
        <w:numPr>
          <w:ilvl w:val="0"/>
          <w:numId w:val="1269"/>
        </w:numPr>
      </w:pPr>
      <w:r>
        <w:t xml:space="preserve">Jealousy (Othello syndrome): delusion about partner's betrayal; high criminal risk.</w:t>
      </w:r>
    </w:p>
    <w:p>
      <w:pPr>
        <w:pStyle w:val="Compact"/>
        <w:numPr>
          <w:ilvl w:val="0"/>
          <w:numId w:val="1269"/>
        </w:numPr>
      </w:pPr>
      <w:r>
        <w:t xml:space="preserve">Erotomanic (Clérambault syndrome): belief that another person (usually of higher status) loves the patient.</w:t>
      </w:r>
    </w:p>
    <w:p>
      <w:pPr>
        <w:pStyle w:val="Compact"/>
        <w:numPr>
          <w:ilvl w:val="0"/>
          <w:numId w:val="1269"/>
        </w:numPr>
      </w:pPr>
      <w:r>
        <w:t xml:space="preserve">Grandiosity: special ability, talent, discovery, religious mission.</w:t>
      </w:r>
    </w:p>
    <w:p>
      <w:pPr>
        <w:pStyle w:val="Compact"/>
        <w:numPr>
          <w:ilvl w:val="0"/>
          <w:numId w:val="1269"/>
        </w:numPr>
      </w:pPr>
      <w:r>
        <w:t xml:space="preserve">Somatic: Belief of parasites in the body (Ekbom syndrome), emitting odor, deformity.</w:t>
      </w:r>
    </w:p>
    <w:p>
      <w:pPr>
        <w:pStyle w:val="Compact"/>
        <w:numPr>
          <w:ilvl w:val="0"/>
          <w:numId w:val="1269"/>
        </w:numPr>
      </w:pPr>
      <w:r>
        <w:t xml:space="preserve">Mixed and nonspecific.</w:t>
      </w:r>
    </w:p>
    <w:bookmarkEnd w:id="582"/>
    <w:bookmarkStart w:id="583" w:name="functional-maintenance"/>
    <w:p>
      <w:pPr>
        <w:pStyle w:val="Heading4"/>
      </w:pPr>
      <w:r>
        <w:t xml:space="preserve">Functional maintenance</w:t>
      </w:r>
    </w:p>
    <w:p>
      <w:pPr>
        <w:pStyle w:val="FirstParagraph"/>
      </w:pPr>
      <w:r>
        <w:t xml:space="preserve">Outside the delusion, the patient's general behavior, affect, cognitive functions are relatively preserved; work and relationships can continue as long as they do not touch on delusion content.</w:t>
      </w:r>
    </w:p>
    <w:bookmarkEnd w:id="583"/>
    <w:bookmarkEnd w:id="584"/>
    <w:bookmarkStart w:id="589" w:name="X39c0d6e67992f7706871df9909d785f55b9da64"/>
    <w:p>
      <w:pPr>
        <w:pStyle w:val="Heading3"/>
      </w:pPr>
      <w:r>
        <w:t xml:space="preserve">6. Diagnosis</w:t>
      </w:r>
    </w:p>
    <w:bookmarkStart w:id="585" w:name="X6e0f526839290a11d0d867b1287327021872495"/>
    <w:p>
      <w:pPr>
        <w:pStyle w:val="Heading4"/>
      </w:pPr>
      <w:r>
        <w:t xml:space="preserve">6.1 Unified diagnostic criteria (DSM-5-TR · ICD-11)</w:t>
      </w:r>
    </w:p>
    <w:p>
      <w:pPr>
        <w:pStyle w:val="FirstParagraph"/>
      </w:pPr>
      <w:r>
        <w:t xml:space="preserve">A. One or more delusions persisting: ICD-11 — at least 3 months (usually much longer), DSM-5-TR — at least 1 month.</w:t>
      </w:r>
    </w:p>
    <w:p>
      <w:pPr>
        <w:pStyle w:val="BodyText"/>
      </w:pPr>
      <w:r>
        <w:t xml:space="preserve">B. Criterion A for schizophrenia is not met (delusion is the sole or dominant symptom; hallucinations, if present, are minimal and related to the delusional content).</w:t>
      </w:r>
    </w:p>
    <w:p>
      <w:pPr>
        <w:pStyle w:val="BodyText"/>
      </w:pPr>
      <w:r>
        <w:t xml:space="preserve">C. Functional preservation without direct effect of delusion; behavior not bizarre.</w:t>
      </w:r>
    </w:p>
    <w:p>
      <w:pPr>
        <w:pStyle w:val="BodyText"/>
      </w:pPr>
      <w:r>
        <w:t xml:space="preserve">D. If an affective episode is present, it occurs during a small portion of the delusional period.</w:t>
      </w:r>
    </w:p>
    <w:p>
      <w:pPr>
        <w:pStyle w:val="BodyText"/>
      </w:pPr>
      <w:r>
        <w:t xml:space="preserve">E. Exclusion of substance or organic cause.</w:t>
      </w:r>
    </w:p>
    <w:bookmarkEnd w:id="585"/>
    <w:bookmarkStart w:id="586" w:name="differences-between-sources-18"/>
    <w:p>
      <w:pPr>
        <w:pStyle w:val="Heading4"/>
      </w:pPr>
      <w:r>
        <w:t xml:space="preserve">6.2 Differences between sources</w:t>
      </w:r>
    </w:p>
    <w:p>
      <w:pPr>
        <w:pStyle w:val="Compact"/>
        <w:numPr>
          <w:ilvl w:val="0"/>
          <w:numId w:val="1270"/>
        </w:numPr>
      </w:pPr>
      <w:r>
        <w:t xml:space="preserve">ICD-11: Permission for bizarre delusions (also removed prohibition in DSM-5-TR); induced delusion (folie à deux) integrated into 6A24.</w:t>
      </w:r>
    </w:p>
    <w:p>
      <w:pPr>
        <w:pStyle w:val="Compact"/>
        <w:numPr>
          <w:ilvl w:val="0"/>
          <w:numId w:val="1270"/>
        </w:numPr>
      </w:pPr>
      <w:r>
        <w:t xml:space="preserve">DSM-5-TR: Subtype qualifiers (erotomanic, grandiose, jealous, persecutory, somatic, mixed, unspecified); ‘bizarre type’ additional qualifier.</w:t>
      </w:r>
    </w:p>
    <w:bookmarkEnd w:id="586"/>
    <w:bookmarkStart w:id="587" w:name="diagnostic-algorithm-12"/>
    <w:p>
      <w:pPr>
        <w:pStyle w:val="Heading4"/>
      </w:pPr>
      <w:r>
        <w:t xml:space="preserve">6.3 Diagnostic algorithm</w:t>
      </w:r>
    </w:p>
    <w:p>
      <w:pPr>
        <w:pStyle w:val="Compact"/>
        <w:numPr>
          <w:ilvl w:val="0"/>
          <w:numId w:val="1271"/>
        </w:numPr>
      </w:pPr>
      <w:r>
        <w:t xml:space="preserve">Clinical interview (general and especially delusional content).</w:t>
      </w:r>
    </w:p>
    <w:p>
      <w:pPr>
        <w:pStyle w:val="Compact"/>
        <w:numPr>
          <w:ilvl w:val="0"/>
          <w:numId w:val="1271"/>
        </w:numPr>
      </w:pPr>
      <w:r>
        <w:t xml:space="preserve">Relative/friend interview – premorbid function, onset of delusions.</w:t>
      </w:r>
    </w:p>
    <w:p>
      <w:pPr>
        <w:pStyle w:val="Compact"/>
        <w:numPr>
          <w:ilvl w:val="0"/>
          <w:numId w:val="1271"/>
        </w:numPr>
      </w:pPr>
      <w:r>
        <w:t xml:space="preserve">SCID-5 / MINI; PANSS / BPRS Positive Symptom Subscale.</w:t>
      </w:r>
    </w:p>
    <w:p>
      <w:pPr>
        <w:pStyle w:val="Compact"/>
        <w:numPr>
          <w:ilvl w:val="0"/>
          <w:numId w:val="1271"/>
        </w:numPr>
      </w:pPr>
      <w:r>
        <w:t xml:space="preserve">Medical and neurological examination.</w:t>
      </w:r>
    </w:p>
    <w:p>
      <w:pPr>
        <w:pStyle w:val="Compact"/>
        <w:numPr>
          <w:ilvl w:val="0"/>
          <w:numId w:val="1271"/>
        </w:numPr>
      </w:pPr>
      <w:r>
        <w:t xml:space="preserve">Toxicology screening; sensor (hearing, vision) test — mandatory in elderly.</w:t>
      </w:r>
    </w:p>
    <w:p>
      <w:pPr>
        <w:pStyle w:val="Compact"/>
        <w:numPr>
          <w:ilvl w:val="0"/>
          <w:numId w:val="1271"/>
        </w:numPr>
      </w:pPr>
      <w:r>
        <w:t xml:space="preserve">Brain MRI (at first episode).</w:t>
      </w:r>
    </w:p>
    <w:p>
      <w:pPr>
        <w:pStyle w:val="Compact"/>
        <w:numPr>
          <w:ilvl w:val="0"/>
          <w:numId w:val="1271"/>
        </w:numPr>
      </w:pPr>
      <w:r>
        <w:t xml:space="preserve">Comorbid depression and suicide risk assessment.</w:t>
      </w:r>
    </w:p>
    <w:bookmarkEnd w:id="587"/>
    <w:bookmarkStart w:id="588" w:name="differential-diagnosis-1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Hallucinations, disorganized speech, negative symptoms dominant; significant impairment in functioning.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Schizoaffective disorder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 affective episode is present during a significant portion of the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Body dysmorphic disorder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Appearance-based; degree of insight is variable, but may be at the level of delusion.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 with poor insight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obsession primary; distinguished from delusion.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Paranoid 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suspiciousness as a personality trait; no full delusions.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Secondary delusion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Organic cause — dementia, brain tumor, lupus, encephalitis.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(especially amphetamine, cocaine)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the context of substance use or withdrawal; remission after elimination.</w:t>
            </w:r>
          </w:p>
        </w:tc>
      </w:tr>
    </w:tbl>
    <w:bookmarkEnd w:id="588"/>
    <w:bookmarkEnd w:id="589"/>
    <w:bookmarkStart w:id="590" w:name="X288984a03181c146418ab02e09829285a041e3e"/>
    <w:p>
      <w:pPr>
        <w:pStyle w:val="Heading3"/>
      </w:pPr>
      <w:r>
        <w:t xml:space="preserve">7. Examination and assessment</w:t>
      </w:r>
    </w:p>
    <w:p>
      <w:pPr>
        <w:pStyle w:val="Compact"/>
        <w:numPr>
          <w:ilvl w:val="0"/>
          <w:numId w:val="1272"/>
        </w:numPr>
      </w:pPr>
      <w:r>
        <w:t xml:space="preserve">PANSS / BPRS positive symptom subscale; structured documentation of concrete delusion content.</w:t>
      </w:r>
    </w:p>
    <w:p>
      <w:pPr>
        <w:pStyle w:val="Compact"/>
        <w:numPr>
          <w:ilvl w:val="0"/>
          <w:numId w:val="1272"/>
        </w:numPr>
      </w:pPr>
      <w:r>
        <w:t xml:space="preserve">Hearing and vision test (mandatory in the elderly).</w:t>
      </w:r>
    </w:p>
    <w:p>
      <w:pPr>
        <w:pStyle w:val="Compact"/>
        <w:numPr>
          <w:ilvl w:val="0"/>
          <w:numId w:val="1272"/>
        </w:numPr>
      </w:pPr>
      <w:r>
        <w:t xml:space="preserve">Laboratory: complete blood count, thyroid, B12, liver, glucose, toxicology screening, syphilis, HIV, ANA (lupus), ceruloplasmin (Wilson).</w:t>
      </w:r>
    </w:p>
    <w:p>
      <w:pPr>
        <w:pStyle w:val="Compact"/>
        <w:numPr>
          <w:ilvl w:val="0"/>
          <w:numId w:val="1272"/>
        </w:numPr>
      </w:pPr>
      <w:r>
        <w:t xml:space="preserve">Brain MRI — first episode, atypical clinical picture, elderly patient.</w:t>
      </w:r>
    </w:p>
    <w:p>
      <w:pPr>
        <w:pStyle w:val="Compact"/>
        <w:numPr>
          <w:ilvl w:val="0"/>
          <w:numId w:val="1272"/>
        </w:numPr>
      </w:pPr>
      <w:r>
        <w:t xml:space="preserve">Assessment of suicide and violence risk (C-SSRS, especially in jealousy delusions).</w:t>
      </w:r>
    </w:p>
    <w:bookmarkEnd w:id="590"/>
    <w:bookmarkStart w:id="593" w:name="X01acd96830127b2c4b768a15387948b23360966"/>
    <w:p>
      <w:pPr>
        <w:pStyle w:val="Heading3"/>
      </w:pPr>
      <w:r>
        <w:t xml:space="preserve">8. Treatment</w:t>
      </w:r>
    </w:p>
    <w:p>
      <w:pPr>
        <w:pStyle w:val="Compact"/>
        <w:numPr>
          <w:ilvl w:val="0"/>
          <w:numId w:val="1273"/>
        </w:numPr>
      </w:pPr>
      <w:r>
        <w:t xml:space="preserve">Atypical antipsychotic at low dose (risperidone 1–3 mg, olanzapine 5–10 mg, aripiprazole 5–15 mg) — first-line. Evidence base is less than for schizophrenia; patient adherence is problematic (due to delusional content).</w:t>
      </w:r>
    </w:p>
    <w:p>
      <w:pPr>
        <w:pStyle w:val="Compact"/>
        <w:numPr>
          <w:ilvl w:val="0"/>
          <w:numId w:val="1273"/>
        </w:numPr>
      </w:pPr>
      <w:r>
        <w:t xml:space="preserve">Pimozide was historically considered superior in erotomania and somatic delusions (Munro A. studies), but in modern practice it is used less often than the atypicals (QTc, EPS).</w:t>
      </w:r>
    </w:p>
    <w:p>
      <w:pPr>
        <w:pStyle w:val="Compact"/>
        <w:numPr>
          <w:ilvl w:val="0"/>
          <w:numId w:val="1273"/>
        </w:numPr>
      </w:pPr>
      <w:r>
        <w:t xml:space="preserve">Psychotherapy — supportive therapy, building therapeutic alliance; CBT (non-confrontational work with delusional content, exploring alternative explanations).</w:t>
      </w:r>
    </w:p>
    <w:p>
      <w:pPr>
        <w:pStyle w:val="Compact"/>
        <w:numPr>
          <w:ilvl w:val="0"/>
          <w:numId w:val="1273"/>
        </w:numPr>
      </w:pPr>
      <w:r>
        <w:t xml:space="preserve">Comorbid depression — SSRI.</w:t>
      </w:r>
    </w:p>
    <w:p>
      <w:pPr>
        <w:pStyle w:val="Compact"/>
        <w:numPr>
          <w:ilvl w:val="0"/>
          <w:numId w:val="1273"/>
        </w:numPr>
      </w:pPr>
      <w:r>
        <w:t xml:space="preserve">Violence or suicide risk (especially delusions of jealousy) — hospitalisation and involuntary treatment within the legal framework.</w:t>
      </w:r>
    </w:p>
    <w:p>
      <w:pPr>
        <w:pStyle w:val="Compact"/>
        <w:numPr>
          <w:ilvl w:val="0"/>
          <w:numId w:val="1273"/>
        </w:numPr>
      </w:pPr>
      <w:r>
        <w:t xml:space="preserve">Sensory disorder — hearing devices or vision correction – sometimes have profound effect in elderly paranoid delusions.</w:t>
      </w:r>
    </w:p>
    <w:p>
      <w:pPr>
        <w:pStyle w:val="Compact"/>
        <w:numPr>
          <w:ilvl w:val="0"/>
          <w:numId w:val="1273"/>
        </w:numPr>
      </w:pPr>
      <w:r>
        <w:t xml:space="preserve">Social support — reduction of isolation; family psychoeducation.</w:t>
      </w:r>
    </w:p>
    <w:bookmarkStart w:id="591" w:name="treatment-methods-12"/>
    <w:p>
      <w:pPr>
        <w:pStyle w:val="Heading4"/>
      </w:pPr>
      <w:r>
        <w:t xml:space="preserve">8.1 Treatment methods</w:t>
      </w:r>
    </w:p>
    <w:p>
      <w:pPr>
        <w:pStyle w:val="Compact"/>
        <w:numPr>
          <w:ilvl w:val="0"/>
          <w:numId w:val="1274"/>
        </w:numPr>
      </w:pPr>
      <w:r>
        <w:t xml:space="preserve">Non-confrontational CBT — Explore alternative explanations and evidence with the patient without openly denying the delusion content. Birchwood M., Trower P. studies — effective in schizophrenia and delusional disorder.</w:t>
      </w:r>
    </w:p>
    <w:p>
      <w:pPr>
        <w:pStyle w:val="Compact"/>
        <w:numPr>
          <w:ilvl w:val="0"/>
          <w:numId w:val="1274"/>
        </w:numPr>
      </w:pPr>
      <w:r>
        <w:t xml:space="preserve">Supportive therapy and therapeutic alliance — Establish long-term trusting relationship with the patient; strengthening of adherence.</w:t>
      </w:r>
    </w:p>
    <w:p>
      <w:pPr>
        <w:pStyle w:val="Compact"/>
        <w:numPr>
          <w:ilvl w:val="0"/>
          <w:numId w:val="1274"/>
        </w:numPr>
      </w:pPr>
      <w:r>
        <w:t xml:space="preserve">PANSS positive symptom subscale — Standardized assessment of delusion severity and interference degree.</w:t>
      </w:r>
    </w:p>
    <w:p>
      <w:pPr>
        <w:pStyle w:val="Compact"/>
        <w:numPr>
          <w:ilvl w:val="0"/>
          <w:numId w:val="1274"/>
        </w:numPr>
      </w:pPr>
      <w:r>
        <w:t xml:space="preserve">Columbia-Suicide Severity Rating Scale (C-SSRS) — Suicide risk — particularly in jealousy and persecutory delusions, violence risk additionally assessed.</w:t>
      </w:r>
    </w:p>
    <w:bookmarkEnd w:id="591"/>
    <w:bookmarkStart w:id="592" w:name="differences-between-sources-19"/>
    <w:p>
      <w:pPr>
        <w:pStyle w:val="Heading4"/>
      </w:pPr>
      <w:r>
        <w:t xml:space="preserve">8.2 Differences between sources</w:t>
      </w:r>
    </w:p>
    <w:p>
      <w:pPr>
        <w:pStyle w:val="Compact"/>
        <w:numPr>
          <w:ilvl w:val="0"/>
          <w:numId w:val="1275"/>
        </w:numPr>
      </w:pPr>
      <w:r>
        <w:t xml:space="preserve">NICE CG178 — no separate algorithm for delusional disorder; general psychosis principles.</w:t>
      </w:r>
    </w:p>
    <w:p>
      <w:pPr>
        <w:pStyle w:val="Compact"/>
        <w:numPr>
          <w:ilvl w:val="0"/>
          <w:numId w:val="1275"/>
        </w:numPr>
      </w:pPr>
      <w:r>
        <w:t xml:space="preserve">APA 2021 — antipsychotic first-line; insight and adherence difficulty emphasized.</w:t>
      </w:r>
    </w:p>
    <w:p>
      <w:pPr>
        <w:pStyle w:val="Compact"/>
        <w:numPr>
          <w:ilvl w:val="0"/>
          <w:numId w:val="1275"/>
        </w:numPr>
      </w:pPr>
      <w:r>
        <w:t xml:space="preserve">Munro A. reviews (Cambridge Univ Press 1999) — subtype-specific clinical guidance.</w:t>
      </w:r>
    </w:p>
    <w:bookmarkEnd w:id="592"/>
    <w:bookmarkEnd w:id="593"/>
    <w:bookmarkStart w:id="594" w:name="Xa30d79b142ebdee2109caab2d2058d07003536d"/>
    <w:p>
      <w:pPr>
        <w:pStyle w:val="Heading3"/>
      </w:pPr>
      <w:r>
        <w:t xml:space="preserve">9. Prognosis</w:t>
      </w:r>
    </w:p>
    <w:p>
      <w:pPr>
        <w:pStyle w:val="Compact"/>
        <w:numPr>
          <w:ilvl w:val="0"/>
          <w:numId w:val="1276"/>
        </w:numPr>
      </w:pPr>
      <w:r>
        <w:t xml:space="preserve">Prognosis is better than schizophrenia — functional preservation, late onset.</w:t>
      </w:r>
    </w:p>
    <w:p>
      <w:pPr>
        <w:pStyle w:val="Compact"/>
        <w:numPr>
          <w:ilvl w:val="0"/>
          <w:numId w:val="1276"/>
        </w:numPr>
      </w:pPr>
      <w:r>
        <w:t xml:space="preserve">Adherence is the main limitation.</w:t>
      </w:r>
    </w:p>
    <w:p>
      <w:pPr>
        <w:pStyle w:val="Compact"/>
        <w:numPr>
          <w:ilvl w:val="0"/>
          <w:numId w:val="1276"/>
        </w:numPr>
      </w:pPr>
      <w:r>
        <w:t xml:space="preserve">Jealousy and somatic delusions relatively more difficult to treat.</w:t>
      </w:r>
    </w:p>
    <w:p>
      <w:pPr>
        <w:pStyle w:val="Compact"/>
        <w:numPr>
          <w:ilvl w:val="0"/>
          <w:numId w:val="1276"/>
        </w:numPr>
      </w:pPr>
      <w:r>
        <w:t xml:space="preserve">In older adults, improvement with sensory correction is possible.</w:t>
      </w:r>
    </w:p>
    <w:p>
      <w:pPr>
        <w:pStyle w:val="Compact"/>
        <w:numPr>
          <w:ilvl w:val="0"/>
          <w:numId w:val="1276"/>
        </w:numPr>
      </w:pPr>
      <w:r>
        <w:t xml:space="preserve">Monitoring — antipsychotic side effects, delusion severity, violence and suicide risk.</w:t>
      </w:r>
    </w:p>
    <w:bookmarkEnd w:id="594"/>
    <w:bookmarkStart w:id="602" w:name="X99f7431726a0accaaad1aba6e75fdbdbd95e158"/>
    <w:p>
      <w:pPr>
        <w:pStyle w:val="Heading3"/>
      </w:pPr>
      <w:r>
        <w:t xml:space="preserve">10. Myths and misconceptions</w:t>
      </w:r>
    </w:p>
    <w:bookmarkStart w:id="595" w:name="Xed983e75cff60116e5fee2e6c504d1e2254d524"/>
    <w:p>
      <w:pPr>
        <w:pStyle w:val="Heading5"/>
      </w:pPr>
      <w:r>
        <w:t xml:space="preserve">Myth 1: “The patient must be convinced of the falseness of their delusion”</w:t>
      </w:r>
    </w:p>
    <w:p>
      <w:pPr>
        <w:pStyle w:val="FirstParagraph"/>
      </w:pPr>
      <w:r>
        <w:t xml:space="preserve">Clinical logic: open confrontation disrupts therapeutic alliance and may reinforce delusions; the patient arrives at an explanation of his own: the doctor is against me too.</w:t>
      </w:r>
    </w:p>
    <w:p>
      <w:pPr>
        <w:pStyle w:val="BodyText"/>
      </w:pPr>
      <w:r>
        <w:t xml:space="preserve">Evidence: Birchwood and Trower CBT approaches — a non-confrontational approach allowing the patient to explore alternative explanations themselves is effective.</w:t>
      </w:r>
    </w:p>
    <w:bookmarkEnd w:id="595"/>
    <w:bookmarkStart w:id="596" w:name="X180e43787687a5cfd36984cab5e4cd6230c2562"/>
    <w:p>
      <w:pPr>
        <w:pStyle w:val="Heading5"/>
      </w:pPr>
      <w:r>
        <w:t xml:space="preserve">Myth 2: “Delusional disorder can only be treated with psychotherapy, antipsychotics are unnecessary”</w:t>
      </w:r>
    </w:p>
    <w:p>
      <w:pPr>
        <w:pStyle w:val="FirstParagraph"/>
      </w:pPr>
      <w:r>
        <w:t xml:space="preserve">Evidence: An antipsychotic is the first-line pharmacotherapy; psychotherapy alone is insufficient. APA 2021, NICE CG178.</w:t>
      </w:r>
    </w:p>
    <w:bookmarkEnd w:id="596"/>
    <w:bookmarkStart w:id="597" w:name="Xf5c9b787fa864af08d429be1228f6ce45ff7997"/>
    <w:p>
      <w:pPr>
        <w:pStyle w:val="Heading5"/>
      </w:pPr>
      <w:r>
        <w:t xml:space="preserve">Myth 3: “Erotomania is only a female disorder, absent in males”</w:t>
      </w:r>
    </w:p>
    <w:p>
      <w:pPr>
        <w:pStyle w:val="FirstParagraph"/>
      </w:pPr>
      <w:r>
        <w:t xml:space="preserve">Evidence: Erotomania occurs in both sexes; higher risk of violence reported in male patients (Menzies R.P. et al. Br J Psychiatry 1995).</w:t>
      </w:r>
    </w:p>
    <w:bookmarkEnd w:id="597"/>
    <w:bookmarkStart w:id="598" w:name="X6b2264ff7cfb1a5126b6f7a4f8307a3ec59ac2b"/>
    <w:p>
      <w:pPr>
        <w:pStyle w:val="Heading5"/>
      </w:pPr>
      <w:r>
        <w:t xml:space="preserve">Myth 4: “Delusional jealousy is a sign of ‘great love’, not a medical condition”</w:t>
      </w:r>
    </w:p>
    <w:p>
      <w:pPr>
        <w:pStyle w:val="FirstParagraph"/>
      </w:pPr>
      <w:r>
        <w:t xml:space="preserve">Evidence: Othello syndrome is a clinical psychotic condition, high risk of violence and homicide against partner; requires active medical intervention.</w:t>
      </w:r>
    </w:p>
    <w:bookmarkEnd w:id="598"/>
    <w:bookmarkStart w:id="599" w:name="Xa88b0a9887c74fb0890c217a3ecc6709c8cc4e2"/>
    <w:p>
      <w:pPr>
        <w:pStyle w:val="Heading5"/>
      </w:pPr>
      <w:r>
        <w:t xml:space="preserve">Myth 5: “Paranoid delusions in the elderly are ‘normal aging’”</w:t>
      </w:r>
    </w:p>
    <w:p>
      <w:pPr>
        <w:pStyle w:val="FirstParagraph"/>
      </w:pPr>
      <w:r>
        <w:t xml:space="preserve">Evidence: In older adults, paranoid delusions are often a marker for sensory deprivation (auditory impairment) or early dementia; it can be treatable. Hearing aids or vision correction sometimes yield significant improvement.</w:t>
      </w:r>
    </w:p>
    <w:bookmarkEnd w:id="599"/>
    <w:bookmarkStart w:id="600" w:name="X469e52ee4d81b2dfe484a7c424c73a64afcc12a"/>
    <w:p>
      <w:pPr>
        <w:pStyle w:val="Heading5"/>
      </w:pPr>
      <w:r>
        <w:t xml:space="preserve">Myth 6: “Exorcism or religious intervention cures delusions”</w:t>
      </w:r>
    </w:p>
    <w:p>
      <w:pPr>
        <w:pStyle w:val="FirstParagraph"/>
      </w:pPr>
      <w:r>
        <w:t xml:space="preserve">Evidence: Psychotic symptoms are neurobiological; antipsychotic treatment delayed.</w:t>
      </w:r>
    </w:p>
    <w:bookmarkEnd w:id="600"/>
    <w:bookmarkStart w:id="601" w:name="X6834319ed464e574e36fe393cb6983e79c0e387"/>
    <w:p>
      <w:pPr>
        <w:pStyle w:val="Heading5"/>
      </w:pPr>
      <w:r>
        <w:t xml:space="preserve">Myth 7: “The delusional patient must be isolated — social contact is harmful”</w:t>
      </w:r>
    </w:p>
    <w:p>
      <w:pPr>
        <w:pStyle w:val="FirstParagraph"/>
      </w:pPr>
      <w:r>
        <w:t xml:space="preserve">Evidence: Social isolation, conversely, strengthens psychosis; social support and psychotherapy are recommended.</w:t>
      </w:r>
    </w:p>
    <w:bookmarkEnd w:id="601"/>
    <w:bookmarkEnd w:id="602"/>
    <w:bookmarkStart w:id="2991" w:name="X4c82c7bafd9608f9b6237bf300333a1d7f5f764"/>
    <w:p>
      <w:pPr>
        <w:pStyle w:val="Heading3"/>
      </w:pPr>
      <w:r>
        <w:t xml:space="preserve">11. Sources</w:t>
      </w:r>
    </w:p>
    <w:p>
      <w:pPr>
        <w:pStyle w:val="Compact"/>
        <w:numPr>
          <w:ilvl w:val="0"/>
          <w:numId w:val="1277"/>
        </w:numPr>
      </w:pPr>
      <w:r>
        <w:t xml:space="preserve">WHO. ICD-11. 6A24 Delusional disorder. 2024.</w:t>
      </w:r>
    </w:p>
    <w:p>
      <w:pPr>
        <w:pStyle w:val="Compact"/>
        <w:numPr>
          <w:ilvl w:val="0"/>
          <w:numId w:val="1277"/>
        </w:numPr>
      </w:pPr>
      <w:r>
        <w:t xml:space="preserve">APA. DSM-5-TR. 2022.</w:t>
      </w:r>
    </w:p>
    <w:p>
      <w:pPr>
        <w:pStyle w:val="Compact"/>
        <w:numPr>
          <w:ilvl w:val="0"/>
          <w:numId w:val="1277"/>
        </w:numPr>
      </w:pPr>
      <w:r>
        <w:t xml:space="preserve">NICE CG178. Psychosis and schizophrenia in adults. 2014/2019.</w:t>
      </w:r>
    </w:p>
    <w:p>
      <w:pPr>
        <w:pStyle w:val="Compact"/>
        <w:numPr>
          <w:ilvl w:val="0"/>
          <w:numId w:val="1277"/>
        </w:numPr>
      </w:pPr>
      <w:r>
        <w:t xml:space="preserve">APA. Practice Guideline for Schizophrenia, 3rd ed. 2021.</w:t>
      </w:r>
    </w:p>
    <w:p>
      <w:pPr>
        <w:pStyle w:val="Compact"/>
        <w:numPr>
          <w:ilvl w:val="0"/>
          <w:numId w:val="1277"/>
        </w:numPr>
      </w:pPr>
      <w:r>
        <w:t xml:space="preserve">Munro A. Delusional Disorder: Paranoia and Related Illnesses. Cambridge University Press; 1999.</w:t>
      </w:r>
    </w:p>
    <w:p>
      <w:pPr>
        <w:pStyle w:val="Compact"/>
        <w:numPr>
          <w:ilvl w:val="0"/>
          <w:numId w:val="1277"/>
        </w:numPr>
      </w:pPr>
      <w:r>
        <w:t xml:space="preserve">Perälä J. et al. Arch Gen Psychiatry 2007;64(1):19–28.</w:t>
      </w:r>
    </w:p>
    <w:p>
      <w:pPr>
        <w:pStyle w:val="Compact"/>
        <w:numPr>
          <w:ilvl w:val="0"/>
          <w:numId w:val="1277"/>
        </w:numPr>
      </w:pPr>
      <w:r>
        <w:t xml:space="preserve">Menzies R.P., Fedoroff J.P., Green C.M., Isaacson K. Prediction of dangerous behaviour in male erotomania. Br J Psychiatry 1995;166(4):529–536.</w:t>
      </w:r>
    </w:p>
    <w:p>
      <w:pPr>
        <w:pStyle w:val="Compact"/>
        <w:numPr>
          <w:ilvl w:val="0"/>
          <w:numId w:val="1277"/>
        </w:numPr>
      </w:pPr>
      <w:r>
        <w:t xml:space="preserve">Howes O.D., Kapur S. Schizophr Bull 2009;35(3):549–562.</w:t>
      </w:r>
    </w:p>
    <w:p>
      <w:pPr>
        <w:pStyle w:val="Compact"/>
        <w:numPr>
          <w:ilvl w:val="0"/>
          <w:numId w:val="1277"/>
        </w:numPr>
      </w:pPr>
      <w:r>
        <w:t xml:space="preserve">Trower P., Birchwood M., Meaden A. et al. Cognitive therapy for command hallucinations: randomised controlled trial. Br J Psychiatry 2004;184:312–320.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03" w:name="X423a000004d988326313fd6ac0718671c506dba"/>
            <w:r>
              <w:t xml:space="preserve">6A25 SYMPTOMATIC MANIFESTATIONS OF PRIMARY PSYCHOTIC DISORDERS</w:t>
            </w:r>
            <w:bookmarkEnd w:id="603"/>
          </w:p>
          <w:p>
            <w:pPr>
              <w:pStyle w:val="Compact"/>
              <w:ind w:firstLine="0" w:left="0"/>
            </w:pPr>
            <w:r>
              <w:rPr>
                <w:lang w:val="en"/>
              </w:rPr>
              <w:t xml:space="preserve">Symptomatic manifestations of primary psychotic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ICD-10 equivalent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Unspecified Schizophrenia Spectrum and Other Psychotic Disorder</w:t>
            </w:r>
          </w:p>
        </w:tc>
      </w:tr>
    </w:tbl>
    <w:bookmarkStart w:id="604" w:name="X39c88e157536eeb8641af9b09cafd0cffc1574c"/>
    <w:p>
      <w:pPr>
        <w:pStyle w:val="Heading3"/>
      </w:pPr>
      <w:r>
        <w:t xml:space="preserve">1. Definition and nosology</w:t>
      </w:r>
    </w:p>
    <w:p>
      <w:pPr>
        <w:pStyle w:val="FirstParagraph"/>
      </w:pPr>
      <w:r>
        <w:t xml:space="preserve">6A25</w:t>
      </w:r>
      <w:r>
        <w:t xml:space="preserve"> </w:t>
      </w:r>
      <w:r>
        <w:t xml:space="preserve">In ICD-11, the group of primary psychotic disorders (6A20–6A24) has a dimensional sub-structure. It is not a separate clinical nosological unit — the diagnosis is placed as an additional qualifier onto the primary disorder (e.g., 6A20 Schizophrenia). Six symptom domains — Each is assessed separately for severity level (none / mild / moderate / severe).</w:t>
      </w:r>
    </w:p>
    <w:p>
      <w:pPr>
        <w:pStyle w:val="BodyText"/>
      </w:pPr>
      <w:r>
        <w:t xml:space="preserve">The basis of the concept — to describe the heterogeneous clinical presentation of psychotic disorders using a more valid and dimensional measure instead of classic subtypes (paranoid, hebephrenic, catatonic).</w:t>
      </w:r>
    </w:p>
    <w:bookmarkEnd w:id="604"/>
    <w:bookmarkStart w:id="605" w:name="X235510574f161bdf4fe92f1af9b36230a953cc0"/>
    <w:p>
      <w:pPr>
        <w:pStyle w:val="Heading3"/>
      </w:pPr>
      <w:r>
        <w:t xml:space="preserve">2. History</w:t>
      </w:r>
    </w:p>
    <w:p>
      <w:pPr>
        <w:pStyle w:val="Compact"/>
        <w:numPr>
          <w:ilvl w:val="0"/>
          <w:numId w:val="1278"/>
        </w:numPr>
      </w:pPr>
      <w:r>
        <w:t xml:space="preserve">Bleuler's “4A” symptoms (1911) and Schneider's “first-rank symptoms” (1959) — categorical approach.</w:t>
      </w:r>
    </w:p>
    <w:p>
      <w:pPr>
        <w:pStyle w:val="Compact"/>
        <w:numPr>
          <w:ilvl w:val="0"/>
          <w:numId w:val="1278"/>
        </w:numPr>
      </w:pPr>
      <w:r>
        <w:t xml:space="preserve">Crow T.J. (1980) — Concept of Type I (positive symptom dominant) and Type II (negative dominant) — the basis of the dimensional approach.</w:t>
      </w:r>
    </w:p>
    <w:p>
      <w:pPr>
        <w:pStyle w:val="Compact"/>
        <w:numPr>
          <w:ilvl w:val="0"/>
          <w:numId w:val="1278"/>
        </w:numPr>
      </w:pPr>
      <w:r>
        <w:t xml:space="preserve">Liddle P.F. (1987) — three-dimensional factor — reality distortion, disorganization, psychomotor poverty.</w:t>
      </w:r>
    </w:p>
    <w:p>
      <w:pPr>
        <w:pStyle w:val="Compact"/>
        <w:numPr>
          <w:ilvl w:val="0"/>
          <w:numId w:val="1278"/>
        </w:numPr>
      </w:pPr>
      <w:r>
        <w:t xml:space="preserve">DSM-5 (2013) — Section III research category proposes dimensional assessment.</w:t>
      </w:r>
    </w:p>
    <w:p>
      <w:pPr>
        <w:pStyle w:val="Compact"/>
        <w:numPr>
          <w:ilvl w:val="0"/>
          <w:numId w:val="1278"/>
        </w:numPr>
      </w:pPr>
      <w:r>
        <w:t xml:space="preserve">ICD-11 (2019) —</w:t>
      </w:r>
      <w:r>
        <w:t xml:space="preserve"> </w:t>
      </w:r>
      <w:r>
        <w:t xml:space="preserve">6A25</w:t>
      </w:r>
      <w:r>
        <w:t xml:space="preserve"> </w:t>
      </w:r>
      <w:r>
        <w:t xml:space="preserve">integrated as an official dimensional qualifier.</w:t>
      </w:r>
    </w:p>
    <w:bookmarkEnd w:id="605"/>
    <w:bookmarkStart w:id="612" w:name="X1bea8caa0af8460e92521405458718b8c27865b"/>
    <w:p>
      <w:pPr>
        <w:pStyle w:val="Heading3"/>
      </w:pPr>
      <w:r>
        <w:t xml:space="preserve">3. Six symptom domains</w:t>
      </w:r>
    </w:p>
    <w:bookmarkStart w:id="606" w:name="positive-symptoms"/>
    <w:p>
      <w:pPr>
        <w:pStyle w:val="Heading4"/>
      </w:pPr>
      <w:r>
        <w:t xml:space="preserve">3.1 Positive symptoms</w:t>
      </w:r>
    </w:p>
    <w:p>
      <w:pPr>
        <w:pStyle w:val="FirstParagraph"/>
      </w:pPr>
      <w:r>
        <w:t xml:space="preserve">Delusion, hallucination — “excessive/added” symptoms in perception and thought processes. Severity: from absence to severe level (according to degree of impact on patient's daily activities).</w:t>
      </w:r>
    </w:p>
    <w:bookmarkEnd w:id="606"/>
    <w:bookmarkStart w:id="607" w:name="negative-symptoms"/>
    <w:p>
      <w:pPr>
        <w:pStyle w:val="Heading4"/>
      </w:pPr>
      <w:r>
        <w:t xml:space="preserve">3.2 Negative symptoms</w:t>
      </w:r>
    </w:p>
    <w:p>
      <w:pPr>
        <w:pStyle w:val="FirstParagraph"/>
      </w:pPr>
      <w:r>
        <w:t xml:space="preserve">Affective flattening, avolition (loss of motivation), alogia (poverty of speech), anhedonia, social withdrawal. A major factor in functional impairment; responds poorly to pharmacotherapy.</w:t>
      </w:r>
    </w:p>
    <w:bookmarkEnd w:id="607"/>
    <w:bookmarkStart w:id="608" w:name="depressive-symptoms"/>
    <w:p>
      <w:pPr>
        <w:pStyle w:val="Heading4"/>
      </w:pPr>
      <w:r>
        <w:t xml:space="preserve">3.3 Depressive symptoms</w:t>
      </w:r>
    </w:p>
    <w:p>
      <w:pPr>
        <w:pStyle w:val="FirstParagraph"/>
      </w:pPr>
      <w:r>
        <w:t xml:space="preserve">Low mood, hopelessness, suicidal ideation, psychomotor retardation, anhedonia (emotional component dominant, as opposed to negative symptom).</w:t>
      </w:r>
    </w:p>
    <w:bookmarkEnd w:id="608"/>
    <w:bookmarkStart w:id="609" w:name="manic-symptoms"/>
    <w:p>
      <w:pPr>
        <w:pStyle w:val="Heading4"/>
      </w:pPr>
      <w:r>
        <w:t xml:space="preserve">3.4 Manic symptoms</w:t>
      </w:r>
    </w:p>
    <w:p>
      <w:pPr>
        <w:pStyle w:val="FirstParagraph"/>
      </w:pPr>
      <w:r>
        <w:t xml:space="preserve">Elevated or irritable mood, rapid thinking, grandiose ideas, decreased sleep need, rapid speech, psychomotor agitation.</w:t>
      </w:r>
    </w:p>
    <w:bookmarkEnd w:id="609"/>
    <w:bookmarkStart w:id="610" w:name="psychomotor-symptoms"/>
    <w:p>
      <w:pPr>
        <w:pStyle w:val="Heading4"/>
      </w:pPr>
      <w:r>
        <w:t xml:space="preserve">3.5 Psychomotor symptoms</w:t>
      </w:r>
    </w:p>
    <w:p>
      <w:pPr>
        <w:pStyle w:val="FirstParagraph"/>
      </w:pPr>
      <w:r>
        <w:t xml:space="preserve">Catatonic components (mutism, negativism, waxy flexibility, posturing), agitation, retardation, stereotypy.</w:t>
      </w:r>
    </w:p>
    <w:bookmarkEnd w:id="610"/>
    <w:bookmarkStart w:id="611" w:name="cognitive-symptoms"/>
    <w:p>
      <w:pPr>
        <w:pStyle w:val="Heading4"/>
      </w:pPr>
      <w:r>
        <w:t xml:space="preserve">3.6 Cognitive symptoms</w:t>
      </w:r>
    </w:p>
    <w:p>
      <w:pPr>
        <w:pStyle w:val="FirstParagraph"/>
      </w:pPr>
      <w:r>
        <w:t xml:space="preserve">Working memory, attention, executive function, processing speed, social cognition. Present in 75–85% of patients; strong impact on long-term functional level.</w:t>
      </w:r>
    </w:p>
    <w:bookmarkEnd w:id="611"/>
    <w:bookmarkEnd w:id="612"/>
    <w:bookmarkStart w:id="615" w:name="Xd3065a188cbdfed16e33d701dd6c7f5d3d075a7"/>
    <w:p>
      <w:pPr>
        <w:pStyle w:val="Heading3"/>
      </w:pPr>
      <w:r>
        <w:t xml:space="preserve">4. Clinical use</w:t>
      </w:r>
    </w:p>
    <w:bookmarkStart w:id="613" w:name="assessment-tools"/>
    <w:p>
      <w:pPr>
        <w:pStyle w:val="Heading4"/>
      </w:pPr>
      <w:r>
        <w:t xml:space="preserve">4.1 Assessment tools</w:t>
      </w:r>
    </w:p>
    <w:p>
      <w:pPr>
        <w:pStyle w:val="Compact"/>
        <w:numPr>
          <w:ilvl w:val="0"/>
          <w:numId w:val="1279"/>
        </w:numPr>
      </w:pPr>
      <w:r>
        <w:t xml:space="preserve">PANSS (positive, negative, general psychopathology subscales).</w:t>
      </w:r>
    </w:p>
    <w:p>
      <w:pPr>
        <w:pStyle w:val="Compact"/>
        <w:numPr>
          <w:ilvl w:val="0"/>
          <w:numId w:val="1279"/>
        </w:numPr>
      </w:pPr>
      <w:r>
        <w:t xml:space="preserve">SANS / SAPS — negative and positive symptoms separately.</w:t>
      </w:r>
    </w:p>
    <w:p>
      <w:pPr>
        <w:pStyle w:val="Compact"/>
        <w:numPr>
          <w:ilvl w:val="0"/>
          <w:numId w:val="1279"/>
        </w:numPr>
      </w:pPr>
      <w:r>
        <w:t xml:space="preserve">HAM-D, MADRS — depressive component.</w:t>
      </w:r>
    </w:p>
    <w:p>
      <w:pPr>
        <w:pStyle w:val="Compact"/>
        <w:numPr>
          <w:ilvl w:val="0"/>
          <w:numId w:val="1279"/>
        </w:numPr>
      </w:pPr>
      <w:r>
        <w:t xml:space="preserve">YMRS — manic component.</w:t>
      </w:r>
    </w:p>
    <w:p>
      <w:pPr>
        <w:pStyle w:val="Compact"/>
        <w:numPr>
          <w:ilvl w:val="0"/>
          <w:numId w:val="1279"/>
        </w:numPr>
      </w:pPr>
      <w:r>
        <w:t xml:space="preserve">Bush-Francis Catatonia Rating Scale — psychomotor component.</w:t>
      </w:r>
    </w:p>
    <w:p>
      <w:pPr>
        <w:pStyle w:val="Compact"/>
        <w:numPr>
          <w:ilvl w:val="0"/>
          <w:numId w:val="1279"/>
        </w:numPr>
      </w:pPr>
      <w:r>
        <w:t xml:space="preserve">MATRICS Consensus Cognitive Battery (MCCB) — cognitive component.</w:t>
      </w:r>
    </w:p>
    <w:bookmarkEnd w:id="613"/>
    <w:bookmarkStart w:id="614" w:name="treatment-implications"/>
    <w:p>
      <w:pPr>
        <w:pStyle w:val="Heading4"/>
      </w:pPr>
      <w:r>
        <w:t xml:space="preserve">4.2 Treatment implications</w:t>
      </w:r>
    </w:p>
    <w:p>
      <w:pPr>
        <w:pStyle w:val="Compact"/>
        <w:numPr>
          <w:ilvl w:val="0"/>
          <w:numId w:val="1280"/>
        </w:numPr>
      </w:pPr>
      <w:r>
        <w:t xml:space="preserve">Positive symptoms predominate — standard antipsychotic (D2 antagonist).</w:t>
      </w:r>
    </w:p>
    <w:p>
      <w:pPr>
        <w:pStyle w:val="Compact"/>
        <w:numPr>
          <w:ilvl w:val="0"/>
          <w:numId w:val="1280"/>
        </w:numPr>
      </w:pPr>
      <w:r>
        <w:t xml:space="preserve">Negative symptoms predominate — atypical antipsychotic superior (clozapine, cariprazine); amisulpride low dose; psychosocial rehabilitation.</w:t>
      </w:r>
    </w:p>
    <w:p>
      <w:pPr>
        <w:pStyle w:val="Compact"/>
        <w:numPr>
          <w:ilvl w:val="0"/>
          <w:numId w:val="1280"/>
        </w:numPr>
      </w:pPr>
      <w:r>
        <w:t xml:space="preserve">Depressive component — adjunctive SSRI (sertraline) or antidepressant; suicide risk monitoring.</w:t>
      </w:r>
    </w:p>
    <w:p>
      <w:pPr>
        <w:pStyle w:val="Compact"/>
        <w:numPr>
          <w:ilvl w:val="0"/>
          <w:numId w:val="1280"/>
        </w:numPr>
      </w:pPr>
      <w:r>
        <w:t xml:space="preserve">Manic component — mood stabilizer (lithium, valproate) adjunct; reevaluation as schizoaffective disorder.</w:t>
      </w:r>
    </w:p>
    <w:p>
      <w:pPr>
        <w:pStyle w:val="Compact"/>
        <w:numPr>
          <w:ilvl w:val="0"/>
          <w:numId w:val="1280"/>
        </w:numPr>
      </w:pPr>
      <w:r>
        <w:t xml:space="preserve">Catatonic component — lorazepam test or ECT.</w:t>
      </w:r>
    </w:p>
    <w:p>
      <w:pPr>
        <w:pStyle w:val="Compact"/>
        <w:numPr>
          <w:ilvl w:val="0"/>
          <w:numId w:val="1280"/>
        </w:numPr>
      </w:pPr>
      <w:r>
        <w:t xml:space="preserve">Cognitive component — cognitive remediation (Wykes 2011 meta-analysis); enhances effect on functional level when applied together with supported employment.</w:t>
      </w:r>
    </w:p>
    <w:bookmarkEnd w:id="614"/>
    <w:bookmarkEnd w:id="615"/>
    <w:bookmarkStart w:id="616" w:name="X4c0e6acd0bf027e845a713acb8657e74ceee954"/>
    <w:p>
      <w:pPr>
        <w:pStyle w:val="Heading3"/>
      </w:pPr>
      <w:r>
        <w:t xml:space="preserve">5. Differences between sources</w:t>
      </w:r>
    </w:p>
    <w:p>
      <w:pPr>
        <w:pStyle w:val="Compact"/>
        <w:numPr>
          <w:ilvl w:val="0"/>
          <w:numId w:val="1281"/>
        </w:numPr>
      </w:pPr>
      <w:r>
        <w:t xml:space="preserve">ICD-11 (6A25): periodic reassessment recommended as severity per domain changes during illness course.</w:t>
      </w:r>
    </w:p>
    <w:p>
      <w:pPr>
        <w:pStyle w:val="Compact"/>
        <w:numPr>
          <w:ilvl w:val="0"/>
          <w:numId w:val="1281"/>
        </w:numPr>
      </w:pPr>
      <w:r>
        <w:t xml:space="preserve">DSM-5-TR: Section III research category ‘Clinician-Rated Dimensions of Psychosis Symptom Severity’ — parallel to ICD-11 6A25; not an official diagnostic qualifier, but can be used in practice.</w:t>
      </w:r>
    </w:p>
    <w:p>
      <w:pPr>
        <w:pStyle w:val="Compact"/>
        <w:numPr>
          <w:ilvl w:val="0"/>
          <w:numId w:val="1281"/>
        </w:numPr>
      </w:pPr>
      <w:r>
        <w:t xml:space="preserve">NICE CG178: dimensional assessment recommended as clinical approach — basis for individualized treatment.</w:t>
      </w:r>
    </w:p>
    <w:bookmarkEnd w:id="616"/>
    <w:bookmarkStart w:id="620" w:name="Xa4735a5982ac34a85c308aa7fc4b54dbcc4911e"/>
    <w:p>
      <w:pPr>
        <w:pStyle w:val="Heading3"/>
      </w:pPr>
      <w:r>
        <w:t xml:space="preserve">6. Myths and misconceptions</w:t>
      </w:r>
    </w:p>
    <w:bookmarkStart w:id="617" w:name="X62e013ddbb4905a38f15e461d8029de71cdad91"/>
    <w:p>
      <w:pPr>
        <w:pStyle w:val="Heading5"/>
      </w:pPr>
      <w:r>
        <w:t xml:space="preserve">Myth 1: “6A25 is a separate disorder, can be diagnosed as such”</w:t>
      </w:r>
    </w:p>
    <w:p>
      <w:pPr>
        <w:pStyle w:val="FirstParagraph"/>
      </w:pPr>
      <w:r>
        <w:t xml:space="preserve">Reality: 6A25 is not a separate clinical entity — it is a qualifier of the primary disorder (6A20–6A24).</w:t>
      </w:r>
    </w:p>
    <w:bookmarkEnd w:id="617"/>
    <w:bookmarkStart w:id="618" w:name="Xc2a96505df3d12000de5064e71a7dd41d5f905a"/>
    <w:p>
      <w:pPr>
        <w:pStyle w:val="Heading5"/>
      </w:pPr>
      <w:r>
        <w:t xml:space="preserve">Myth 2: “Dimensional approach replaces categorical diagnosis”</w:t>
      </w:r>
    </w:p>
    <w:p>
      <w:pPr>
        <w:pStyle w:val="FirstParagraph"/>
      </w:pPr>
      <w:r>
        <w:t xml:space="preserve">Reality: both complementary — categorical diagnosis provides nosological unit, dimensional qualifier describes specific clinical presentation.</w:t>
      </w:r>
    </w:p>
    <w:bookmarkEnd w:id="618"/>
    <w:bookmarkStart w:id="619" w:name="X244b991b6f766e4360ec1fb33ab403384600acb"/>
    <w:p>
      <w:pPr>
        <w:pStyle w:val="Heading5"/>
      </w:pPr>
      <w:r>
        <w:t xml:space="preserve">Myth 3: “Negative symptoms are side effects of antipsychotics, not ‘real’”</w:t>
      </w:r>
    </w:p>
    <w:p>
      <w:pPr>
        <w:pStyle w:val="FirstParagraph"/>
      </w:pPr>
      <w:r>
        <w:t xml:space="preserve">Reality: Primary negative symptoms are a core feature of schizophrenia — observed even before antipsychotics. Secondary negative symptoms (sedation, EPS, depression, positive symptom effect) are distinct and manageable.</w:t>
      </w:r>
    </w:p>
    <w:bookmarkEnd w:id="619"/>
    <w:bookmarkEnd w:id="620"/>
    <w:bookmarkStart w:id="621" w:name="X7e9577b1dfe24e8ee6ac532d59d9de9b78f93a5"/>
    <w:p>
      <w:pPr>
        <w:pStyle w:val="Heading3"/>
      </w:pPr>
      <w:r>
        <w:t xml:space="preserve">7. Sources</w:t>
      </w:r>
    </w:p>
    <w:p>
      <w:pPr>
        <w:pStyle w:val="Compact"/>
        <w:numPr>
          <w:ilvl w:val="0"/>
          <w:numId w:val="1282"/>
        </w:numPr>
      </w:pPr>
      <w:r>
        <w:t xml:space="preserve">WHO. ICD-11. 6A25 Symptomatic manifestations of primary psychotic disorders. 2024.</w:t>
      </w:r>
    </w:p>
    <w:p>
      <w:pPr>
        <w:pStyle w:val="Compact"/>
        <w:numPr>
          <w:ilvl w:val="0"/>
          <w:numId w:val="1282"/>
        </w:numPr>
      </w:pPr>
      <w:r>
        <w:t xml:space="preserve">APA. DSM-5-TR. 2022.</w:t>
      </w:r>
    </w:p>
    <w:p>
      <w:pPr>
        <w:pStyle w:val="Compact"/>
        <w:numPr>
          <w:ilvl w:val="0"/>
          <w:numId w:val="1282"/>
        </w:numPr>
      </w:pPr>
      <w:r>
        <w:t xml:space="preserve">NICE CG178. 2014/2019.</w:t>
      </w:r>
    </w:p>
    <w:p>
      <w:pPr>
        <w:pStyle w:val="Compact"/>
        <w:numPr>
          <w:ilvl w:val="0"/>
          <w:numId w:val="1282"/>
        </w:numPr>
      </w:pPr>
      <w:r>
        <w:t xml:space="preserve">Crow T.J. Molecular pathology of schizophrenia: more than one disease process? Br Med J 1980;280(6207):66–68.</w:t>
      </w:r>
    </w:p>
    <w:p>
      <w:pPr>
        <w:pStyle w:val="Compact"/>
        <w:numPr>
          <w:ilvl w:val="0"/>
          <w:numId w:val="1282"/>
        </w:numPr>
      </w:pPr>
      <w:r>
        <w:t xml:space="preserve">Liddle P.F. The symptoms of chronic schizophrenia. A re-examination of the positive-negative dichotomy. Br J Psychiatry 1987;151:145–151.</w:t>
      </w:r>
    </w:p>
    <w:p>
      <w:pPr>
        <w:pStyle w:val="Compact"/>
        <w:numPr>
          <w:ilvl w:val="0"/>
          <w:numId w:val="1282"/>
        </w:numPr>
      </w:pPr>
      <w:r>
        <w:t xml:space="preserve">Kay S.R., Fiszbein A., Opler L.A. PANSS. Schizophr Bull 1987;13(2):261–276.</w:t>
      </w:r>
    </w:p>
    <w:p>
      <w:pPr>
        <w:pStyle w:val="Compact"/>
        <w:numPr>
          <w:ilvl w:val="0"/>
          <w:numId w:val="1282"/>
        </w:numPr>
      </w:pPr>
      <w:r>
        <w:t xml:space="preserve">Wykes T. et al. Am J Psychiatry 2011;168(5):472–485.</w:t>
      </w:r>
    </w:p>
    <w:bookmarkEnd w:id="621"/>
    <w:bookmarkStart w:id="622" w:name="m176a40-catatonia"/>
    <w:p>
      <w:pPr>
        <w:pageBreakBefore/>
        <w:pStyle w:val="Heading1"/>
      </w:pPr>
      <w:r>
        <w:t xml:space="preserve">6A40 CATATONIA</w:t>
      </w:r>
    </w:p>
    <w:p>
      <w:pPr>
        <w:pStyle w:val="FirstParagraph"/>
      </w:pPr>
      <w:r>
        <w:t xml:space="preserve">Catatonia</w:t>
      </w:r>
    </w:p>
    <w:bookmarkEnd w:id="622"/>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23" w:name="X636a4c80d9c2e14523694b0ad588d7d77269678"/>
            <w:r>
              <w:t xml:space="preserve">6A40 CATATONIA ASSOCIATED WITH ANOTHER MENTAL DISORDER</w:t>
            </w:r>
            <w:bookmarkEnd w:id="623"/>
          </w:p>
          <w:p>
            <w:pPr>
              <w:pStyle w:val="Compact"/>
              <w:ind w:firstLine="0" w:left="0"/>
            </w:pPr>
            <w:r>
              <w:rPr>
                <w:lang w:val="en"/>
              </w:rPr>
              <w:t xml:space="preserve">Catatonia associated with another mental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Organic catatonic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Catatonia Associated With Another Mental Disorder (Catatonia Specifier)</w:t>
            </w:r>
          </w:p>
        </w:tc>
      </w:tr>
    </w:tbl>
    <w:bookmarkStart w:id="624" w:name="Xdf32e692074228952222522d601ef4fcfc1b76b"/>
    <w:p>
      <w:pPr>
        <w:pStyle w:val="Heading3"/>
      </w:pPr>
      <w:r>
        <w:t xml:space="preserve">1. Definition and nosology</w:t>
      </w:r>
    </w:p>
    <w:p>
      <w:pPr>
        <w:pStyle w:val="FirstParagraph"/>
      </w:pPr>
      <w:r>
        <w:t xml:space="preserve">Catatonia associated with another mental disorder (ICD-11:</w:t>
      </w:r>
      <w:r>
        <w:t xml:space="preserve"> </w:t>
      </w:r>
      <w:r>
        <w:t xml:space="preserve">6A40</w:t>
      </w:r>
      <w:r>
        <w:t xml:space="preserve">;</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F06.1 Catatonia) — syndrome of complex disturbance in psychomotor, behavioral and autonomic functions. Not an independent disorder — clinical syndrome on background of another psychiatric or medical condition.</w:t>
      </w:r>
    </w:p>
    <w:p>
      <w:pPr>
        <w:pStyle w:val="BodyText"/>
      </w:pPr>
      <w:r>
        <w:t xml:space="preserve">DSM-5-TR — catatonia is no longer a subtype of schizophrenia (that status was abolished); can be coded in the context of affective disorders, neurodevelopmental disorders, organic conditions, and substance-induced states.</w:t>
      </w:r>
    </w:p>
    <w:bookmarkEnd w:id="624"/>
    <w:bookmarkStart w:id="625" w:name="Xa870471f3726c49420e4704727cec75bd2cbf39"/>
    <w:p>
      <w:pPr>
        <w:pStyle w:val="Heading3"/>
      </w:pPr>
      <w:r>
        <w:t xml:space="preserve">2. History</w:t>
      </w:r>
    </w:p>
    <w:p>
      <w:pPr>
        <w:pStyle w:val="Compact"/>
        <w:numPr>
          <w:ilvl w:val="0"/>
          <w:numId w:val="1283"/>
        </w:numPr>
      </w:pPr>
      <w:r>
        <w:t xml:space="preserve">Kahlbaum K. (1874) — “Die Katatonie oder das Spannungsirresein” — catatonia as a separate syndrome.</w:t>
      </w:r>
    </w:p>
    <w:p>
      <w:pPr>
        <w:pStyle w:val="Compact"/>
        <w:numPr>
          <w:ilvl w:val="0"/>
          <w:numId w:val="1283"/>
        </w:numPr>
      </w:pPr>
      <w:r>
        <w:t xml:space="preserve">Kraepelin (1899) — catatonia integrated as ‘dementia praecox’ subtype.</w:t>
      </w:r>
    </w:p>
    <w:p>
      <w:pPr>
        <w:pStyle w:val="Compact"/>
        <w:numPr>
          <w:ilvl w:val="0"/>
          <w:numId w:val="1283"/>
        </w:numPr>
      </w:pPr>
      <w:r>
        <w:t xml:space="preserve">Bleuler (1911) — retained within schizophrenia category.</w:t>
      </w:r>
    </w:p>
    <w:p>
      <w:pPr>
        <w:pStyle w:val="Compact"/>
        <w:numPr>
          <w:ilvl w:val="0"/>
          <w:numId w:val="1283"/>
        </w:numPr>
      </w:pPr>
      <w:r>
        <w:t xml:space="preserve">1970s–1980s — Taylor, Fink — catatonia's widespread presence in affective disorders and reconfirmation as a general syndrome.</w:t>
      </w:r>
    </w:p>
    <w:p>
      <w:pPr>
        <w:pStyle w:val="Compact"/>
        <w:numPr>
          <w:ilvl w:val="0"/>
          <w:numId w:val="1283"/>
        </w:numPr>
      </w:pPr>
      <w:r>
        <w:t xml:space="preserve">DSM-5 (2013) and ICD-11 (2019) — catatonia formalized as transnosological syndrome; schizophrenia subtype status abolished.</w:t>
      </w:r>
    </w:p>
    <w:bookmarkEnd w:id="625"/>
    <w:bookmarkStart w:id="626" w:name="Xc1244bbef7958ff2ea203955629ac1fe63541a5"/>
    <w:p>
      <w:pPr>
        <w:pStyle w:val="Heading3"/>
      </w:pPr>
      <w:r>
        <w:t xml:space="preserve">3. Epidemiology</w:t>
      </w:r>
    </w:p>
    <w:p>
      <w:pPr>
        <w:pStyle w:val="Compact"/>
        <w:numPr>
          <w:ilvl w:val="0"/>
          <w:numId w:val="1284"/>
        </w:numPr>
      </w:pPr>
      <w:r>
        <w:t xml:space="preserve">7–15% of patients admitted to psychiatric hospital have catatonic symptoms (Fink M., Taylor M.A. Catatonia 2003).</w:t>
      </w:r>
    </w:p>
    <w:p>
      <w:pPr>
        <w:pStyle w:val="Compact"/>
        <w:numPr>
          <w:ilvl w:val="0"/>
          <w:numId w:val="1284"/>
        </w:numPr>
      </w:pPr>
      <w:r>
        <w:t xml:space="preserve">Catatonia is most prevalent in affective disorders (especially bipolar manic and depressive episodes).</w:t>
      </w:r>
    </w:p>
    <w:p>
      <w:pPr>
        <w:pStyle w:val="Compact"/>
        <w:numPr>
          <w:ilvl w:val="0"/>
          <w:numId w:val="1284"/>
        </w:numPr>
      </w:pPr>
      <w:r>
        <w:t xml:space="preserve">In schizophrenia, 10–20% of patients exhibit catatonic features during the course.</w:t>
      </w:r>
    </w:p>
    <w:p>
      <w:pPr>
        <w:pStyle w:val="Compact"/>
        <w:numPr>
          <w:ilvl w:val="0"/>
          <w:numId w:val="1284"/>
        </w:numPr>
      </w:pPr>
      <w:r>
        <w:t xml:space="preserve">Organic catatonia — autoimmune encephalitis (especially anti-NMDA-R, anti-LGI1), electrolyte disturbances, uremic and hepatic encephalopathy, sepsis, neurosyphilis, neuromuscular disease context.</w:t>
      </w:r>
    </w:p>
    <w:p>
      <w:pPr>
        <w:pStyle w:val="Compact"/>
        <w:numPr>
          <w:ilvl w:val="0"/>
          <w:numId w:val="1284"/>
        </w:numPr>
      </w:pPr>
      <w:r>
        <w:t xml:space="preserve">Persistent clinical overlap with Neuroleptic Malignant Syndrome (NMS) — some researchers consider them the same spectrum.</w:t>
      </w:r>
    </w:p>
    <w:bookmarkEnd w:id="626"/>
    <w:bookmarkStart w:id="627" w:name="X7fc020a43b0b6d095c75abf2e4633a06d579f4b"/>
    <w:p>
      <w:pPr>
        <w:pStyle w:val="Heading3"/>
      </w:pPr>
      <w:r>
        <w:t xml:space="preserve">4. Aetiology and pathogenesis</w:t>
      </w:r>
    </w:p>
    <w:p>
      <w:pPr>
        <w:pStyle w:val="Compact"/>
        <w:numPr>
          <w:ilvl w:val="0"/>
          <w:numId w:val="1285"/>
        </w:numPr>
      </w:pPr>
      <w:r>
        <w:t xml:space="preserve">GABA-ergic system hypofunction — the rapid clinical effect of lorazepam (within hours) supports this; GABA-A receptor dysfunction is the central mechanism.</w:t>
      </w:r>
    </w:p>
    <w:p>
      <w:pPr>
        <w:pStyle w:val="Compact"/>
        <w:numPr>
          <w:ilvl w:val="0"/>
          <w:numId w:val="1285"/>
        </w:numPr>
      </w:pPr>
      <w:r>
        <w:t xml:space="preserve">Dopamine dysregulation — neuroleptic-induced catatonia and within the spectrum of NMS; antipsychotic discontinuation causes cholinergic and adrenergic rebound.</w:t>
      </w:r>
    </w:p>
    <w:p>
      <w:pPr>
        <w:pStyle w:val="Compact"/>
        <w:numPr>
          <w:ilvl w:val="0"/>
          <w:numId w:val="1285"/>
        </w:numPr>
      </w:pPr>
      <w:r>
        <w:t xml:space="preserve">Glutamate NMDA dysregulation — autoimmune anti-NMDA-R encephalitis presents a classic catatonic presentation.</w:t>
      </w:r>
    </w:p>
    <w:p>
      <w:pPr>
        <w:pStyle w:val="Compact"/>
        <w:numPr>
          <w:ilvl w:val="0"/>
          <w:numId w:val="1285"/>
        </w:numPr>
      </w:pPr>
      <w:r>
        <w:t xml:space="preserve">Genetic — predisposition associated with affective disorders.</w:t>
      </w:r>
    </w:p>
    <w:bookmarkEnd w:id="627"/>
    <w:bookmarkStart w:id="630" w:name="X2efc0d7b68c63308b3b25eee1ac1acd350b95d3"/>
    <w:p>
      <w:pPr>
        <w:pStyle w:val="Heading3"/>
      </w:pPr>
      <w:r>
        <w:t xml:space="preserve">5. Clinical features</w:t>
      </w:r>
    </w:p>
    <w:bookmarkStart w:id="628" w:name="Xd4d29d5dfe1d08277396fb66705f17e84bdb898"/>
    <w:p>
      <w:pPr>
        <w:pStyle w:val="Heading4"/>
      </w:pPr>
      <w:r>
        <w:t xml:space="preserve">DSM-5-TR criteria — at least 3 of 12 symptoms:</w:t>
      </w:r>
    </w:p>
    <w:p>
      <w:pPr>
        <w:pStyle w:val="Compact"/>
        <w:numPr>
          <w:ilvl w:val="0"/>
          <w:numId w:val="1286"/>
        </w:numPr>
      </w:pPr>
      <w:r>
        <w:t xml:space="preserve">Stupor — psychomotor activity absence, unresponsiveness to surroundings.</w:t>
      </w:r>
    </w:p>
    <w:p>
      <w:pPr>
        <w:pStyle w:val="Compact"/>
        <w:numPr>
          <w:ilvl w:val="0"/>
          <w:numId w:val="1286"/>
        </w:numPr>
      </w:pPr>
      <w:r>
        <w:t xml:space="preserve">Catalepsy — maintaining posture against passive induction.</w:t>
      </w:r>
    </w:p>
    <w:p>
      <w:pPr>
        <w:pStyle w:val="Compact"/>
        <w:numPr>
          <w:ilvl w:val="0"/>
          <w:numId w:val="1286"/>
        </w:numPr>
      </w:pPr>
      <w:r>
        <w:t xml:space="preserve">Waxy flexibility — posture induced by the examiner is maintained as though moulded in wax.</w:t>
      </w:r>
    </w:p>
    <w:p>
      <w:pPr>
        <w:pStyle w:val="Compact"/>
        <w:numPr>
          <w:ilvl w:val="0"/>
          <w:numId w:val="1286"/>
        </w:numPr>
      </w:pPr>
      <w:r>
        <w:t xml:space="preserve">Mutism — absence of speech or significant reduction.</w:t>
      </w:r>
    </w:p>
    <w:p>
      <w:pPr>
        <w:pStyle w:val="Compact"/>
        <w:numPr>
          <w:ilvl w:val="0"/>
          <w:numId w:val="1286"/>
        </w:numPr>
      </w:pPr>
      <w:r>
        <w:t xml:space="preserve">Negativism — opposition to instructions or external stimuli.</w:t>
      </w:r>
    </w:p>
    <w:p>
      <w:pPr>
        <w:pStyle w:val="Compact"/>
        <w:numPr>
          <w:ilvl w:val="0"/>
          <w:numId w:val="1286"/>
        </w:numPr>
      </w:pPr>
      <w:r>
        <w:t xml:space="preserve">Posturing — involuntary spontaneous posture maintenance (against gravity).</w:t>
      </w:r>
    </w:p>
    <w:p>
      <w:pPr>
        <w:pStyle w:val="Compact"/>
        <w:numPr>
          <w:ilvl w:val="0"/>
          <w:numId w:val="1286"/>
        </w:numPr>
      </w:pPr>
      <w:r>
        <w:t xml:space="preserve">Mannerism — strange caricature of ordinary behaviors.</w:t>
      </w:r>
    </w:p>
    <w:p>
      <w:pPr>
        <w:pStyle w:val="Compact"/>
        <w:numPr>
          <w:ilvl w:val="0"/>
          <w:numId w:val="1286"/>
        </w:numPr>
      </w:pPr>
      <w:r>
        <w:t xml:space="preserve">Stereotypy — purposeless repetitive movements.</w:t>
      </w:r>
    </w:p>
    <w:p>
      <w:pPr>
        <w:pStyle w:val="Compact"/>
        <w:numPr>
          <w:ilvl w:val="0"/>
          <w:numId w:val="1286"/>
        </w:numPr>
      </w:pPr>
      <w:r>
        <w:t xml:space="preserve">Agitation — independent of external stimuli.</w:t>
      </w:r>
    </w:p>
    <w:p>
      <w:pPr>
        <w:pStyle w:val="Compact"/>
        <w:numPr>
          <w:ilvl w:val="0"/>
          <w:numId w:val="1286"/>
        </w:numPr>
      </w:pPr>
      <w:r>
        <w:t xml:space="preserve">Grimacing — facial muscle expressions.</w:t>
      </w:r>
    </w:p>
    <w:p>
      <w:pPr>
        <w:pStyle w:val="Compact"/>
        <w:numPr>
          <w:ilvl w:val="0"/>
          <w:numId w:val="1286"/>
        </w:numPr>
      </w:pPr>
      <w:r>
        <w:t xml:space="preserve">Echolalia — repetition of others' speech.</w:t>
      </w:r>
    </w:p>
    <w:p>
      <w:pPr>
        <w:pStyle w:val="Compact"/>
        <w:numPr>
          <w:ilvl w:val="0"/>
          <w:numId w:val="1286"/>
        </w:numPr>
      </w:pPr>
      <w:r>
        <w:t xml:space="preserve">Echopraxia — repetition of others' actions.</w:t>
      </w:r>
    </w:p>
    <w:bookmarkEnd w:id="628"/>
    <w:bookmarkStart w:id="629" w:name="severity-forms"/>
    <w:p>
      <w:pPr>
        <w:pStyle w:val="Heading4"/>
      </w:pPr>
      <w:r>
        <w:t xml:space="preserve">Severity forms</w:t>
      </w:r>
    </w:p>
    <w:p>
      <w:pPr>
        <w:pStyle w:val="Compact"/>
        <w:numPr>
          <w:ilvl w:val="0"/>
          <w:numId w:val="1287"/>
        </w:numPr>
      </w:pPr>
      <w:r>
        <w:t xml:space="preserve">Retarded (stuporous) catatonia — motor reduction, mutism dominant; majority of cases.</w:t>
      </w:r>
    </w:p>
    <w:p>
      <w:pPr>
        <w:pStyle w:val="Compact"/>
        <w:numPr>
          <w:ilvl w:val="0"/>
          <w:numId w:val="1287"/>
        </w:numPr>
      </w:pPr>
      <w:r>
        <w:t xml:space="preserve">Excited (manic) catatonia — high agitation, autonomic disturbance, hyperthermia.</w:t>
      </w:r>
    </w:p>
    <w:p>
      <w:pPr>
        <w:pStyle w:val="Compact"/>
        <w:numPr>
          <w:ilvl w:val="0"/>
          <w:numId w:val="1287"/>
        </w:numPr>
      </w:pPr>
      <w:r>
        <w:t xml:space="preserve">Malignant catatonia — hyperthermia with excited form, autonomic instability, high CPK, mortality risk – coincides with NMS; emergency medical condition.</w:t>
      </w:r>
    </w:p>
    <w:bookmarkEnd w:id="629"/>
    <w:bookmarkEnd w:id="630"/>
    <w:bookmarkStart w:id="635" w:name="X263a289363995e0b1e30060a4eae2744b64c1c3"/>
    <w:p>
      <w:pPr>
        <w:pStyle w:val="Heading3"/>
      </w:pPr>
      <w:r>
        <w:t xml:space="preserve">6. Diagnosis</w:t>
      </w:r>
    </w:p>
    <w:bookmarkStart w:id="631" w:name="unified-diagnostic-criteria"/>
    <w:p>
      <w:pPr>
        <w:pStyle w:val="Heading4"/>
      </w:pPr>
      <w:r>
        <w:t xml:space="preserve">6.1 Unified diagnostic criteria</w:t>
      </w:r>
    </w:p>
    <w:p>
      <w:pPr>
        <w:pStyle w:val="FirstParagraph"/>
      </w:pPr>
      <w:r>
        <w:t xml:space="preserve">DSM-5-TR — ≥3 of 12 features; ICD-11 — same clinical features across different categories.</w:t>
      </w:r>
    </w:p>
    <w:bookmarkEnd w:id="631"/>
    <w:bookmarkStart w:id="632" w:name="diagnostic-tests"/>
    <w:p>
      <w:pPr>
        <w:pStyle w:val="Heading4"/>
      </w:pPr>
      <w:r>
        <w:t xml:space="preserve">6.2 Diagnostic tests</w:t>
      </w:r>
    </w:p>
    <w:p>
      <w:pPr>
        <w:pStyle w:val="Compact"/>
        <w:numPr>
          <w:ilvl w:val="0"/>
          <w:numId w:val="1288"/>
        </w:numPr>
      </w:pPr>
      <w:r>
        <w:t xml:space="preserve">Lorazepam challenge test: 1–2 mg IV/IM lorazepam → significant reduction of catatonic signs within 10–30 minutes confirms the diagnosis (Bush G. et al. Acta Psychiatr Scand 1996).</w:t>
      </w:r>
    </w:p>
    <w:p>
      <w:pPr>
        <w:pStyle w:val="Compact"/>
        <w:numPr>
          <w:ilvl w:val="0"/>
          <w:numId w:val="1288"/>
        </w:numPr>
      </w:pPr>
      <w:r>
        <w:t xml:space="preserve">Bush-Francis Catatonia Rating Scale (BFCRS) — 23-item standardized scale; first 14 items screening (≥ 2 signs — positive).</w:t>
      </w:r>
    </w:p>
    <w:bookmarkEnd w:id="632"/>
    <w:bookmarkStart w:id="633" w:name="etiological-investigation-mandatory"/>
    <w:p>
      <w:pPr>
        <w:pStyle w:val="Heading4"/>
      </w:pPr>
      <w:r>
        <w:t xml:space="preserve">6.3 Etiological investigation (mandatory)</w:t>
      </w:r>
    </w:p>
    <w:p>
      <w:pPr>
        <w:pStyle w:val="Compact"/>
        <w:numPr>
          <w:ilvl w:val="0"/>
          <w:numId w:val="1289"/>
        </w:numPr>
      </w:pPr>
      <w:r>
        <w:t xml:space="preserve">Complete blood count, liver/renal, electrolytes (Na, K, Ca, Mg, P), glucose, ammonia, CPK, troponin, thyroid, B12.</w:t>
      </w:r>
    </w:p>
    <w:p>
      <w:pPr>
        <w:pStyle w:val="Compact"/>
        <w:numPr>
          <w:ilvl w:val="0"/>
          <w:numId w:val="1289"/>
        </w:numPr>
      </w:pPr>
      <w:r>
        <w:t xml:space="preserve">Toxicology screening.</w:t>
      </w:r>
    </w:p>
    <w:p>
      <w:pPr>
        <w:pStyle w:val="Compact"/>
        <w:numPr>
          <w:ilvl w:val="0"/>
          <w:numId w:val="1289"/>
        </w:numPr>
      </w:pPr>
      <w:r>
        <w:t xml:space="preserve">Syphilis, HIV.</w:t>
      </w:r>
    </w:p>
    <w:p>
      <w:pPr>
        <w:pStyle w:val="Compact"/>
        <w:numPr>
          <w:ilvl w:val="0"/>
          <w:numId w:val="1289"/>
        </w:numPr>
      </w:pPr>
      <w:r>
        <w:t xml:space="preserve">Brain MRI.</w:t>
      </w:r>
    </w:p>
    <w:p>
      <w:pPr>
        <w:pStyle w:val="Compact"/>
        <w:numPr>
          <w:ilvl w:val="0"/>
          <w:numId w:val="1289"/>
        </w:numPr>
      </w:pPr>
      <w:r>
        <w:t xml:space="preserve">EEG — rule out non-convulsive status epilepticus.</w:t>
      </w:r>
    </w:p>
    <w:p>
      <w:pPr>
        <w:pStyle w:val="Compact"/>
        <w:numPr>
          <w:ilvl w:val="0"/>
          <w:numId w:val="1289"/>
        </w:numPr>
      </w:pPr>
      <w:r>
        <w:t xml:space="preserve">Lumbar puncture — suspected encephalitis / autoimmune encephalitis (anti-NMDA-R, anti-LGI1 antibodies).</w:t>
      </w:r>
    </w:p>
    <w:p>
      <w:pPr>
        <w:pStyle w:val="Compact"/>
        <w:numPr>
          <w:ilvl w:val="0"/>
          <w:numId w:val="1289"/>
        </w:numPr>
      </w:pPr>
      <w:r>
        <w:t xml:space="preserve">ANA, lupus panel.</w:t>
      </w:r>
    </w:p>
    <w:bookmarkEnd w:id="633"/>
    <w:bookmarkStart w:id="634" w:name="differential-diagnosis-1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Neuroleptic Malignant Syndrome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antipsychotic use; hyperthermia, rigidity, very high CPK; clinical overlap — some consider the same spectrum.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Serotonin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Serotonergic medication; hyperreflexia, myoclonus, hyperthermia.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 — epileptic activity.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Akinetic mutism (frontal lobe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Brain MRI — frontal or bilateral thalamic pathology.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Locomotor disorders (Parkinson, dystonia)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neurological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Autoimmune encephalitis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Anti-NMDA-R, anti-LGI1; CSF findings, MRI, EEG atypical.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Hypo/hyperthyroid crisis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T4.</w:t>
            </w:r>
          </w:p>
        </w:tc>
      </w:tr>
    </w:tbl>
    <w:bookmarkEnd w:id="634"/>
    <w:bookmarkEnd w:id="635"/>
    <w:bookmarkStart w:id="636" w:name="X416201eb32fac85cac67f1dcfd1525b47b6def1"/>
    <w:p>
      <w:pPr>
        <w:pStyle w:val="Heading3"/>
      </w:pPr>
      <w:r>
        <w:t xml:space="preserve">7. Examination and assessment</w:t>
      </w:r>
    </w:p>
    <w:p>
      <w:pPr>
        <w:pStyle w:val="Compact"/>
        <w:numPr>
          <w:ilvl w:val="0"/>
          <w:numId w:val="1290"/>
        </w:numPr>
      </w:pPr>
      <w:r>
        <w:t xml:space="preserve">BFCRS — baseline ratings and monitoring.</w:t>
      </w:r>
    </w:p>
    <w:p>
      <w:pPr>
        <w:pStyle w:val="Compact"/>
        <w:numPr>
          <w:ilvl w:val="0"/>
          <w:numId w:val="1290"/>
        </w:numPr>
      </w:pPr>
      <w:r>
        <w:t xml:space="preserve">The above laboratory and instrumental examinations — an etiological search.</w:t>
      </w:r>
    </w:p>
    <w:p>
      <w:pPr>
        <w:pStyle w:val="Compact"/>
        <w:numPr>
          <w:ilvl w:val="0"/>
          <w:numId w:val="1290"/>
        </w:numPr>
      </w:pPr>
      <w:r>
        <w:t xml:space="preserve">Autonomic function (blood pressure, pulse, temperature, urine output) — especially in malignant form.</w:t>
      </w:r>
    </w:p>
    <w:p>
      <w:pPr>
        <w:pStyle w:val="Compact"/>
        <w:numPr>
          <w:ilvl w:val="0"/>
          <w:numId w:val="1290"/>
        </w:numPr>
      </w:pPr>
      <w:r>
        <w:t xml:space="preserve">Comorbid mood disorder and psychotic symptom assessment (later, when patient can speak).</w:t>
      </w:r>
    </w:p>
    <w:bookmarkEnd w:id="636"/>
    <w:bookmarkStart w:id="640" w:name="Xfa97b92a5beb62eff16003103747c8e0b820c8a"/>
    <w:p>
      <w:pPr>
        <w:pStyle w:val="Heading3"/>
      </w:pPr>
      <w:r>
        <w:t xml:space="preserve">8. Treatment</w:t>
      </w:r>
    </w:p>
    <w:bookmarkStart w:id="637" w:name="Xf058c163eb11683b45d7e6d8aca10239dddfd7b"/>
    <w:p>
      <w:pPr>
        <w:pStyle w:val="Heading4"/>
      </w:pPr>
      <w:r>
        <w:t xml:space="preserve">8.1 General principles (BAP 2023 · Fink-Taylor protocol)</w:t>
      </w:r>
    </w:p>
    <w:p>
      <w:pPr>
        <w:pStyle w:val="Compact"/>
        <w:numPr>
          <w:ilvl w:val="0"/>
          <w:numId w:val="1291"/>
        </w:numPr>
      </w:pPr>
      <w:r>
        <w:t xml:space="preserve">STOP antipsychotics — particularly typical and high D2 antagonists (haloperidol, risperidone high dose) — can enhance catatonia, transform into malignant form.</w:t>
      </w:r>
    </w:p>
    <w:p>
      <w:pPr>
        <w:pStyle w:val="Compact"/>
        <w:numPr>
          <w:ilvl w:val="0"/>
          <w:numId w:val="1291"/>
        </w:numPr>
      </w:pPr>
      <w:r>
        <w:t xml:space="preserve">Lorazepam first-line — 1–2 mg IM/IV, titration based on initial response; typical effective dose 6–24 mg/day; some patients require 30+ mg. ~70–80% patients respond (Sienaert P. et al. Front Psychiatry 2014 review).</w:t>
      </w:r>
    </w:p>
    <w:p>
      <w:pPr>
        <w:pStyle w:val="Compact"/>
        <w:numPr>
          <w:ilvl w:val="0"/>
          <w:numId w:val="1291"/>
        </w:numPr>
      </w:pPr>
      <w:r>
        <w:t xml:space="preserve">ECT — refractory cases (lorazepam non-response within 48–72 hours), malignant catatonia — first-line, life-saving measure. NICE TA59 — strong recommendation in catatonia.</w:t>
      </w:r>
    </w:p>
    <w:p>
      <w:pPr>
        <w:pStyle w:val="Compact"/>
        <w:numPr>
          <w:ilvl w:val="0"/>
          <w:numId w:val="1291"/>
        </w:numPr>
      </w:pPr>
      <w:r>
        <w:t xml:space="preserve">Etiological treatment — parallel: if against a background of affective disorder, mood stabilizer (lithium); in schizophrenia context — atypical antipsychotic (clozapine or quetiapine less risky) cautiously with lorazepam.</w:t>
      </w:r>
    </w:p>
    <w:p>
      <w:pPr>
        <w:pStyle w:val="Compact"/>
        <w:numPr>
          <w:ilvl w:val="0"/>
          <w:numId w:val="1291"/>
        </w:numPr>
      </w:pPr>
      <w:r>
        <w:t xml:space="preserve">In autoimmune catatonia — immunotherapy (IV steroid, IVIG, plasmapheresis, second-line rituximab).</w:t>
      </w:r>
    </w:p>
    <w:p>
      <w:pPr>
        <w:pStyle w:val="Compact"/>
        <w:numPr>
          <w:ilvl w:val="0"/>
          <w:numId w:val="1291"/>
        </w:numPr>
      </w:pPr>
      <w:r>
        <w:t xml:space="preserve">Supportive treatment — hydration, nutrition (NG tube necessary), DVT prophylaxis, skin care, aspiration pneumonia prophylaxis.</w:t>
      </w:r>
    </w:p>
    <w:p>
      <w:pPr>
        <w:pStyle w:val="Compact"/>
        <w:numPr>
          <w:ilvl w:val="0"/>
          <w:numId w:val="1291"/>
        </w:numPr>
      </w:pPr>
      <w:r>
        <w:t xml:space="preserve">In malignant catatonia — ICU; aggressive hydration, dantrolene, bromocriptine, ECT.</w:t>
      </w:r>
    </w:p>
    <w:bookmarkEnd w:id="637"/>
    <w:bookmarkStart w:id="638" w:name="treatment-methods-13"/>
    <w:p>
      <w:pPr>
        <w:pStyle w:val="Heading4"/>
      </w:pPr>
      <w:r>
        <w:t xml:space="preserve">8.2 Treatment methods</w:t>
      </w:r>
    </w:p>
    <w:p>
      <w:pPr>
        <w:pStyle w:val="Compact"/>
        <w:numPr>
          <w:ilvl w:val="0"/>
          <w:numId w:val="1292"/>
        </w:numPr>
      </w:pPr>
      <w:r>
        <w:t xml:space="preserve">Bush-Francis Catatonia Rating Scale (BFCRS) — 23-item scale; first 14 items screening (≥ 2 positive); 23 items severity. Bush G. et al. Acta Psychiatr Scand 1996.</w:t>
      </w:r>
    </w:p>
    <w:p>
      <w:pPr>
        <w:pStyle w:val="Compact"/>
        <w:numPr>
          <w:ilvl w:val="0"/>
          <w:numId w:val="1292"/>
        </w:numPr>
      </w:pPr>
      <w:r>
        <w:t xml:space="preserve">Lorazepam challenge test — reduction of catatonic signs within 10–30 min after 1–2 mg IM/IV lorazepam administration confirms diagnosis and guides therapy plan. Bush G. et al. 1996.</w:t>
      </w:r>
    </w:p>
    <w:p>
      <w:pPr>
        <w:pStyle w:val="Compact"/>
        <w:numPr>
          <w:ilvl w:val="0"/>
          <w:numId w:val="1292"/>
        </w:numPr>
      </w:pPr>
      <w:r>
        <w:t xml:space="preserve">Electroconvulsive Therapy (ECT) — Gold standard in catatonia; UK ECT Review Group Lancet 2003 evidence base; NICE TA59. Typically 6–12 sessions, bilateral target.</w:t>
      </w:r>
    </w:p>
    <w:p>
      <w:pPr>
        <w:pStyle w:val="Compact"/>
        <w:numPr>
          <w:ilvl w:val="0"/>
          <w:numId w:val="1292"/>
        </w:numPr>
      </w:pPr>
      <w:r>
        <w:t xml:space="preserve">Immunotherapy (in autoimmune catatonia) — IV methylprednisolone 1 g/day × 5 days → IVIG and/or plasmapheresis; in refractory cases rituximab, cyclophosphamide. Graus F. et al. Lancet Neurol 2016 autoimmune encephalitis protocol.</w:t>
      </w:r>
    </w:p>
    <w:bookmarkEnd w:id="638"/>
    <w:bookmarkStart w:id="639" w:name="differences-between-sources-20"/>
    <w:p>
      <w:pPr>
        <w:pStyle w:val="Heading4"/>
      </w:pPr>
      <w:r>
        <w:t xml:space="preserve">8.3 Differences between sources</w:t>
      </w:r>
    </w:p>
    <w:p>
      <w:pPr>
        <w:pStyle w:val="Compact"/>
        <w:numPr>
          <w:ilvl w:val="0"/>
          <w:numId w:val="1293"/>
        </w:numPr>
      </w:pPr>
      <w:r>
        <w:t xml:space="preserve">BAP 2023 (British Association for Psychopharmacology) Catatonia Consensus Guidelines — lorazepam is first-line; ECT is for refractory or malignant cases; avoid or use antipsychotics with extreme caution.</w:t>
      </w:r>
    </w:p>
    <w:p>
      <w:pPr>
        <w:pStyle w:val="Compact"/>
        <w:numPr>
          <w:ilvl w:val="0"/>
          <w:numId w:val="1293"/>
        </w:numPr>
      </w:pPr>
      <w:r>
        <w:t xml:space="preserve">Fink M., Taylor M.A. Catatonia: A Clinician's Guide (2003) — classic protocol; lorazepam test and high-dose lorazepam therapy.</w:t>
      </w:r>
    </w:p>
    <w:p>
      <w:pPr>
        <w:pStyle w:val="Compact"/>
        <w:numPr>
          <w:ilvl w:val="0"/>
          <w:numId w:val="1293"/>
        </w:numPr>
      </w:pPr>
      <w:r>
        <w:t xml:space="preserve">NICE TA59 — ECT open recommendation in catatonia.</w:t>
      </w:r>
    </w:p>
    <w:bookmarkEnd w:id="639"/>
    <w:bookmarkEnd w:id="640"/>
    <w:bookmarkStart w:id="641" w:name="X84ce844ef63813a138e95e6379a29b3ed37265f"/>
    <w:p>
      <w:pPr>
        <w:pStyle w:val="Heading3"/>
      </w:pPr>
      <w:r>
        <w:t xml:space="preserve">9. Prognosis</w:t>
      </w:r>
    </w:p>
    <w:p>
      <w:pPr>
        <w:pStyle w:val="Compact"/>
        <w:numPr>
          <w:ilvl w:val="0"/>
          <w:numId w:val="1294"/>
        </w:numPr>
      </w:pPr>
      <w:r>
        <w:t xml:space="preserve">Lorazepam and/or ECT response — most patients achieve full recovery within days to weeks.</w:t>
      </w:r>
    </w:p>
    <w:p>
      <w:pPr>
        <w:pStyle w:val="Compact"/>
        <w:numPr>
          <w:ilvl w:val="0"/>
          <w:numId w:val="1294"/>
        </w:numPr>
      </w:pPr>
      <w:r>
        <w:t xml:space="preserve">High relapse if etiological disorder is untreated.</w:t>
      </w:r>
    </w:p>
    <w:p>
      <w:pPr>
        <w:pStyle w:val="Compact"/>
        <w:numPr>
          <w:ilvl w:val="0"/>
          <w:numId w:val="1294"/>
        </w:numPr>
      </w:pPr>
      <w:r>
        <w:t xml:space="preserve">Complications — aspiration pneumonia from prolonged stupor, DVT, dehydration, skin ulcers.</w:t>
      </w:r>
    </w:p>
    <w:p>
      <w:pPr>
        <w:pStyle w:val="Compact"/>
        <w:numPr>
          <w:ilvl w:val="0"/>
          <w:numId w:val="1294"/>
        </w:numPr>
      </w:pPr>
      <w:r>
        <w:t xml:space="preserve">Malignant catatonia — untreated mortality historically ~50%+ (up to 75–100% in some series); with modern treatment (benzodiazepines/ECT) drops to ~10–20%.</w:t>
      </w:r>
    </w:p>
    <w:p>
      <w:pPr>
        <w:pStyle w:val="Compact"/>
        <w:numPr>
          <w:ilvl w:val="0"/>
          <w:numId w:val="1294"/>
        </w:numPr>
      </w:pPr>
      <w:r>
        <w:t xml:space="preserve">Monitoring — in etiological disorder context; recognition of relapse markers.</w:t>
      </w:r>
    </w:p>
    <w:bookmarkEnd w:id="641"/>
    <w:bookmarkStart w:id="649" w:name="X5e01b721a784789b2e529d174b274a67a827c30"/>
    <w:p>
      <w:pPr>
        <w:pStyle w:val="Heading3"/>
      </w:pPr>
      <w:r>
        <w:t xml:space="preserve">10. Myths and misconceptions</w:t>
      </w:r>
    </w:p>
    <w:bookmarkStart w:id="642" w:name="Xbbd7e5eb8dc46ca3565522931aaad94e84a1b10"/>
    <w:p>
      <w:pPr>
        <w:pStyle w:val="Heading5"/>
      </w:pPr>
      <w:r>
        <w:t xml:space="preserve">Myth 1: “Catatonia is a subtype of schizophrenia”</w:t>
      </w:r>
    </w:p>
    <w:p>
      <w:pPr>
        <w:pStyle w:val="FirstParagraph"/>
      </w:pPr>
      <w:r>
        <w:t xml:space="preserve">Evidence: DSM-5 (2013) and ICD-11 (2019) — catatonia as a transnosological syndrome; schizophrenia subtype status abolished. More frequent in the context of affective disorders (Fink &amp; Taylor 2003).</w:t>
      </w:r>
    </w:p>
    <w:bookmarkEnd w:id="642"/>
    <w:bookmarkStart w:id="643" w:name="X6fce6a76e890c3fcdbf17d80a2f7d0468df2577"/>
    <w:p>
      <w:pPr>
        <w:pStyle w:val="Heading5"/>
      </w:pPr>
      <w:r>
        <w:t xml:space="preserve">Myth 2: “Catatonic patient should be treated with antipsychotics”</w:t>
      </w:r>
    </w:p>
    <w:p>
      <w:pPr>
        <w:pStyle w:val="FirstParagraph"/>
      </w:pPr>
      <w:r>
        <w:t xml:space="preserve">Evidence: An antipsychotic may worsen catatonia and precipitate the malignant form. First-line — lorazepam, then ECT. Antipsychotic if needed for the etiological disorder, cautiously with lorazepam; atypical preferred (clozapine or quetiapine).</w:t>
      </w:r>
    </w:p>
    <w:bookmarkEnd w:id="643"/>
    <w:bookmarkStart w:id="644" w:name="Xf1cbf77efd3fae415055906f1c4a21cf5192b7f"/>
    <w:p>
      <w:pPr>
        <w:pStyle w:val="Heading5"/>
      </w:pPr>
      <w:r>
        <w:t xml:space="preserve">Myth 3: “A catatonic patient has lost consciousness or is in a coma”</w:t>
      </w:r>
    </w:p>
    <w:p>
      <w:pPr>
        <w:pStyle w:val="FirstParagraph"/>
      </w:pPr>
      <w:r>
        <w:t xml:space="preserve">Evidence: Most catatonic patients are fully aware of surroundings — mutism and psychomotor impairment are not loss of consciousness. Patient remembers everything after episode. Staff conversations near patient should be cautious.</w:t>
      </w:r>
    </w:p>
    <w:bookmarkEnd w:id="644"/>
    <w:bookmarkStart w:id="645" w:name="X88f686ce9aec32f4a0137cdf1edcf3fb1d21330"/>
    <w:p>
      <w:pPr>
        <w:pStyle w:val="Heading5"/>
      </w:pPr>
      <w:r>
        <w:t xml:space="preserve">Myth 4: “Catatonia is a rare or historical condition, absent in modern psychiatry”</w:t>
      </w:r>
    </w:p>
    <w:p>
      <w:pPr>
        <w:pStyle w:val="FirstParagraph"/>
      </w:pPr>
      <w:r>
        <w:t xml:space="preserve">Evidence: 7–15% of patients admitted to psychiatric hospitals have catatonic symptoms (Fink &amp; Taylor 2003); the syndrome is recognised far less often than it occurs.</w:t>
      </w:r>
    </w:p>
    <w:bookmarkEnd w:id="645"/>
    <w:bookmarkStart w:id="646" w:name="X1e5e4d4bc4ad7319e3659d29aca054e6925534c"/>
    <w:p>
      <w:pPr>
        <w:pStyle w:val="Heading5"/>
      </w:pPr>
      <w:r>
        <w:t xml:space="preserve">Myth 5: “Lorazepam only sedates, does not provide ‘true’ treatment”</w:t>
      </w:r>
    </w:p>
    <w:p>
      <w:pPr>
        <w:pStyle w:val="FirstParagraph"/>
      </w:pPr>
      <w:r>
        <w:t xml:space="preserve">Evidence: Lorazepam targets the core mechanism of catatonic syndrome (GABAergic hypofunction); ~70–80% of patients experience dramatic and rapid clinical recovery.</w:t>
      </w:r>
    </w:p>
    <w:bookmarkEnd w:id="646"/>
    <w:bookmarkStart w:id="647" w:name="Xe558bf2559f1503f752bf413c714819e1da6142"/>
    <w:p>
      <w:pPr>
        <w:pStyle w:val="Heading5"/>
      </w:pPr>
      <w:r>
        <w:t xml:space="preserve">Myth 6: “ECT is dangerous and outdated in catatonia”</w:t>
      </w:r>
    </w:p>
    <w:p>
      <w:pPr>
        <w:pStyle w:val="FirstParagraph"/>
      </w:pPr>
      <w:r>
        <w:t xml:space="preserve">Evidence: ECT is the gold standard for catatonia, NICE TA59 clear recommendation; life-saving in malignant catatonia.</w:t>
      </w:r>
    </w:p>
    <w:bookmarkEnd w:id="647"/>
    <w:bookmarkStart w:id="648" w:name="Xf3ac067285ea7b8b0332005e7310401eccc667b"/>
    <w:p>
      <w:pPr>
        <w:pStyle w:val="Heading5"/>
      </w:pPr>
      <w:r>
        <w:t xml:space="preserve">Myth 7: “The patient must be forced to talk — breaking the psychological barrier”</w:t>
      </w:r>
    </w:p>
    <w:p>
      <w:pPr>
        <w:pStyle w:val="FirstParagraph"/>
      </w:pPr>
      <w:r>
        <w:t xml:space="preserve">Evidence: Mutism is biologically rooted, not psychological “resistance”; demanding it increases the patient's distress and is not therapeutic.</w:t>
      </w:r>
    </w:p>
    <w:bookmarkEnd w:id="648"/>
    <w:bookmarkEnd w:id="649"/>
    <w:bookmarkStart w:id="650" w:name="X2101d92b5e89307b9e9d14252acc5262d89de1d"/>
    <w:p>
      <w:pPr>
        <w:pStyle w:val="Heading3"/>
      </w:pPr>
      <w:r>
        <w:t xml:space="preserve">11. Sources</w:t>
      </w:r>
    </w:p>
    <w:p>
      <w:pPr>
        <w:pStyle w:val="Compact"/>
        <w:numPr>
          <w:ilvl w:val="0"/>
          <w:numId w:val="1295"/>
        </w:numPr>
      </w:pPr>
      <w:r>
        <w:t xml:space="preserve">WHO. ICD-11. 6A40 Catatonia. 2024.</w:t>
      </w:r>
    </w:p>
    <w:p>
      <w:pPr>
        <w:pStyle w:val="Compact"/>
        <w:numPr>
          <w:ilvl w:val="0"/>
          <w:numId w:val="1295"/>
        </w:numPr>
      </w:pPr>
      <w:r>
        <w:t xml:space="preserve">APA. DSM-5-TR. 2022.</w:t>
      </w:r>
    </w:p>
    <w:p>
      <w:pPr>
        <w:pStyle w:val="Compact"/>
        <w:numPr>
          <w:ilvl w:val="0"/>
          <w:numId w:val="1295"/>
        </w:numPr>
      </w:pPr>
      <w:r>
        <w:t xml:space="preserve">Rogers J.P., Pollak T.A., Begum N. et al. Catatonia: demographic, clinical and laboratory associations. Psychol Med 2023 (BAP Guidelines).</w:t>
      </w:r>
    </w:p>
    <w:p>
      <w:pPr>
        <w:pStyle w:val="Compact"/>
        <w:numPr>
          <w:ilvl w:val="0"/>
          <w:numId w:val="1295"/>
        </w:numPr>
      </w:pPr>
      <w:r>
        <w:t xml:space="preserve">Fink M., Taylor M.A. Catatonia: A Clinician's Guide to Diagnosis and Treatment. Cambridge Univ Press; 2003.</w:t>
      </w:r>
    </w:p>
    <w:p>
      <w:pPr>
        <w:pStyle w:val="Compact"/>
        <w:numPr>
          <w:ilvl w:val="0"/>
          <w:numId w:val="1295"/>
        </w:numPr>
      </w:pPr>
      <w:r>
        <w:t xml:space="preserve">Bush G., Fink M., Petrides G. et al. Catatonia. I. Rating scale and standardized examination. Acta Psychiatr Scand 1996;93(2):129–136.</w:t>
      </w:r>
    </w:p>
    <w:p>
      <w:pPr>
        <w:pStyle w:val="Compact"/>
        <w:numPr>
          <w:ilvl w:val="0"/>
          <w:numId w:val="1295"/>
        </w:numPr>
      </w:pPr>
      <w:r>
        <w:t xml:space="preserve">Sienaert P., Dhossche D.M., Vancampfort D. et al. A clinical review of the treatment of catatonia. Front Psychiatry 2014;5:181.</w:t>
      </w:r>
    </w:p>
    <w:p>
      <w:pPr>
        <w:pStyle w:val="Compact"/>
        <w:numPr>
          <w:ilvl w:val="0"/>
          <w:numId w:val="1295"/>
        </w:numPr>
      </w:pPr>
      <w:r>
        <w:t xml:space="preserve">Graus F. et al. A clinical approach to diagnosis of autoimmune encephalitis. Lancet Neurol 2016;15(4):391–404.</w:t>
      </w:r>
    </w:p>
    <w:p>
      <w:pPr>
        <w:pStyle w:val="Compact"/>
        <w:numPr>
          <w:ilvl w:val="0"/>
          <w:numId w:val="1295"/>
        </w:numPr>
      </w:pPr>
      <w:r>
        <w:t xml:space="preserve">NICE TA59. Guidance on the use of electroconvulsive therapy. 2003 (reviewed).</w:t>
      </w:r>
    </w:p>
    <w:p>
      <w:pPr>
        <w:pStyle w:val="Compact"/>
        <w:numPr>
          <w:ilvl w:val="0"/>
          <w:numId w:val="1295"/>
        </w:numPr>
      </w:pPr>
      <w:r>
        <w:t xml:space="preserve">UK ECT Review Group. Lancet 2003;361(9360):799–808.</w:t>
      </w:r>
    </w:p>
    <w:bookmarkEnd w:id="650"/>
    <w:bookmarkStart w:id="651" w:name="m196a606a7z-mood-disorders"/>
    <w:p>
      <w:pPr>
        <w:pageBreakBefore/>
        <w:pStyle w:val="Heading1"/>
      </w:pPr>
      <w:r>
        <w:t xml:space="preserve">6A60–6A7Z MOOD DISORDERS</w:t>
      </w:r>
    </w:p>
    <w:p>
      <w:pPr>
        <w:pStyle w:val="FirstParagraph"/>
      </w:pPr>
      <w:r>
        <w:t xml:space="preserve">Mood disorders</w:t>
      </w:r>
    </w:p>
    <w:bookmarkEnd w:id="65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52" w:name="m206a60-bipolar-type-i-disorder"/>
            <w:r>
              <w:t xml:space="preserve">6A60 BIPOLAR TYPE I DISORDER</w:t>
            </w:r>
            <w:bookmarkEnd w:id="652"/>
          </w:p>
          <w:p>
            <w:pPr>
              <w:pStyle w:val="Compact"/>
              <w:ind w:firstLine="0" w:left="0"/>
            </w:pPr>
            <w:r>
              <w:rPr>
                <w:lang w:val="en"/>
              </w:rPr>
              <w:t xml:space="preserve">Bipolar type 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affective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I Disorder, Current or Most Recent Episode Manic</w:t>
            </w:r>
          </w:p>
        </w:tc>
      </w:tr>
    </w:tbl>
    <w:bookmarkStart w:id="653" w:name="X743be46b4313a7b9c94a638fcc58bbc6ae935c4"/>
    <w:p>
      <w:pPr>
        <w:pStyle w:val="Heading3"/>
      </w:pPr>
      <w:r>
        <w:t xml:space="preserve">1. Definition and nosology</w:t>
      </w:r>
    </w:p>
    <w:p>
      <w:pPr>
        <w:pStyle w:val="FirstParagraph"/>
      </w:pPr>
      <w:r>
        <w:t xml:space="preserve">Bipolar disorder Type I (ICD-11:</w:t>
      </w:r>
      <w:r>
        <w:t xml:space="preserve"> </w:t>
      </w:r>
      <w:r>
        <w:t xml:space="preserve">6A60</w:t>
      </w:r>
      <w:r>
        <w:t xml:space="preserve">; DSM-5-TR: F31.1x) — a recurrent disorder characterized by at least one manic episode, often alternating with depressive and/or hypomanic episodes. The presence of a manic episode is sufficient for diagnosis — a depressive episode is not required.</w:t>
      </w:r>
    </w:p>
    <w:bookmarkEnd w:id="653"/>
    <w:bookmarkStart w:id="654" w:name="X4893c2cce8c1634b7b4e890f8ae5755b755332c"/>
    <w:p>
      <w:pPr>
        <w:pStyle w:val="Heading3"/>
      </w:pPr>
      <w:r>
        <w:t xml:space="preserve">2. History</w:t>
      </w:r>
    </w:p>
    <w:p>
      <w:pPr>
        <w:pStyle w:val="Compact"/>
        <w:numPr>
          <w:ilvl w:val="0"/>
          <w:numId w:val="1296"/>
        </w:numPr>
      </w:pPr>
      <w:r>
        <w:t xml:space="preserve">Falret J.P. (1854) — Circular insanity; Baillarger J. (1854) — “folie à double forme”.</w:t>
      </w:r>
    </w:p>
    <w:p>
      <w:pPr>
        <w:pStyle w:val="Compact"/>
        <w:numPr>
          <w:ilvl w:val="0"/>
          <w:numId w:val="1296"/>
        </w:numPr>
      </w:pPr>
      <w:r>
        <w:t xml:space="preserve">Kraepelin E. (1899) — Manic-depressive insanity — distinct from schizophrenia (dementia praecox).</w:t>
      </w:r>
    </w:p>
    <w:p>
      <w:pPr>
        <w:pStyle w:val="Compact"/>
        <w:numPr>
          <w:ilvl w:val="0"/>
          <w:numId w:val="1296"/>
        </w:numPr>
      </w:pPr>
      <w:r>
        <w:t xml:space="preserve">Leonhard K. (1957) — first distinction between unipolar and bipolar disorders.</w:t>
      </w:r>
    </w:p>
    <w:p>
      <w:pPr>
        <w:pStyle w:val="Compact"/>
        <w:numPr>
          <w:ilvl w:val="0"/>
          <w:numId w:val="1296"/>
        </w:numPr>
      </w:pPr>
      <w:r>
        <w:t xml:space="preserve">DSM-III (1980) — term “Bipolar Disorder”.</w:t>
      </w:r>
    </w:p>
    <w:p>
      <w:pPr>
        <w:pStyle w:val="Compact"/>
        <w:numPr>
          <w:ilvl w:val="0"/>
          <w:numId w:val="1296"/>
        </w:numPr>
      </w:pPr>
      <w:r>
        <w:t xml:space="preserve">DSM-IV / DSM-5 (2013) / ICD-11 (2019) — Distinction between Type I (full manic episode) and Type II (hypomanic + major depressive).</w:t>
      </w:r>
    </w:p>
    <w:bookmarkEnd w:id="654"/>
    <w:bookmarkStart w:id="655" w:name="X74a3f5e38c97e976ebc7ae921b7a2bc7a36abb3"/>
    <w:p>
      <w:pPr>
        <w:pStyle w:val="Heading3"/>
      </w:pPr>
      <w:r>
        <w:t xml:space="preserve">3. Epidemiology</w:t>
      </w:r>
    </w:p>
    <w:p>
      <w:pPr>
        <w:pStyle w:val="Compact"/>
        <w:numPr>
          <w:ilvl w:val="0"/>
          <w:numId w:val="1297"/>
        </w:numPr>
      </w:pPr>
      <w:r>
        <w:t xml:space="preserve">Lifetime prevalence Type I: ~0.6–1% (Merikangas K.R. et al. Arch Gen Psychiatry 2011, WMH).</w:t>
      </w:r>
    </w:p>
    <w:p>
      <w:pPr>
        <w:pStyle w:val="Compact"/>
        <w:numPr>
          <w:ilvl w:val="0"/>
          <w:numId w:val="1297"/>
        </w:numPr>
      </w:pPr>
      <w:r>
        <w:t xml:space="preserve">Sex: approximately equal.</w:t>
      </w:r>
    </w:p>
    <w:p>
      <w:pPr>
        <w:pStyle w:val="Compact"/>
        <w:numPr>
          <w:ilvl w:val="0"/>
          <w:numId w:val="1297"/>
        </w:numPr>
      </w:pPr>
      <w:r>
        <w:t xml:space="preserve">Onset: mean 20–25 years; earlier with a family history.</w:t>
      </w:r>
    </w:p>
    <w:p>
      <w:pPr>
        <w:pStyle w:val="Compact"/>
        <w:numPr>
          <w:ilvl w:val="0"/>
          <w:numId w:val="1297"/>
        </w:numPr>
      </w:pPr>
      <w:r>
        <w:t xml:space="preserve">Suicide risk: lifetime 6–7%; highest in youth and in the first years.</w:t>
      </w:r>
    </w:p>
    <w:p>
      <w:pPr>
        <w:pStyle w:val="Compact"/>
        <w:numPr>
          <w:ilvl w:val="0"/>
          <w:numId w:val="1297"/>
        </w:numPr>
      </w:pPr>
      <w:r>
        <w:t xml:space="preserve">Comorbidity: anxiety disorders 60%, substance use 40%, ADHD, personality disorders.</w:t>
      </w:r>
    </w:p>
    <w:p>
      <w:pPr>
        <w:pStyle w:val="Compact"/>
        <w:numPr>
          <w:ilvl w:val="0"/>
          <w:numId w:val="1297"/>
        </w:numPr>
      </w:pPr>
      <w:r>
        <w:t xml:space="preserve">Mortality is 2 times higher compared to the population — cardiovascular, suicide.</w:t>
      </w:r>
    </w:p>
    <w:bookmarkEnd w:id="655"/>
    <w:bookmarkStart w:id="656" w:name="X772ff73920c4800579ebff6d16192da74ebd4f3"/>
    <w:p>
      <w:pPr>
        <w:pStyle w:val="Heading3"/>
      </w:pPr>
      <w:r>
        <w:t xml:space="preserve">4. Aetiology and pathogenesis</w:t>
      </w:r>
    </w:p>
    <w:p>
      <w:pPr>
        <w:pStyle w:val="Compact"/>
        <w:numPr>
          <w:ilvl w:val="0"/>
          <w:numId w:val="1298"/>
        </w:numPr>
      </w:pPr>
      <w:r>
        <w:t xml:space="preserve">Heritability 60–85% (Smoller J.W., Finn C.T. Am J Med Genet C Semin Med Genet 2003 twin meta-analysis).</w:t>
      </w:r>
    </w:p>
    <w:p>
      <w:pPr>
        <w:pStyle w:val="Compact"/>
        <w:numPr>
          <w:ilvl w:val="0"/>
          <w:numId w:val="1298"/>
        </w:numPr>
      </w:pPr>
      <w:r>
        <w:t xml:space="preserve">GWAS — 60+ risk loci (Mullins N. et al. Nat Genet 2021).</w:t>
      </w:r>
    </w:p>
    <w:p>
      <w:pPr>
        <w:pStyle w:val="Compact"/>
        <w:numPr>
          <w:ilvl w:val="0"/>
          <w:numId w:val="1298"/>
        </w:numPr>
      </w:pPr>
      <w:r>
        <w:t xml:space="preserve">Schizophrenia with extensive genetic overlap (Cross-Disorder Group 2013).</w:t>
      </w:r>
    </w:p>
    <w:p>
      <w:pPr>
        <w:pStyle w:val="Compact"/>
        <w:numPr>
          <w:ilvl w:val="0"/>
          <w:numId w:val="1298"/>
        </w:numPr>
      </w:pPr>
      <w:r>
        <w:t xml:space="preserve">Neurobiological — monoaminergic (dopamine, serotonin, norepinephrine) dysregulation; circadian rhythm disruption; second messenger (PI/cAMP) system impairment; mitochondrial dysfunction.</w:t>
      </w:r>
    </w:p>
    <w:p>
      <w:pPr>
        <w:pStyle w:val="Compact"/>
        <w:numPr>
          <w:ilvl w:val="0"/>
          <w:numId w:val="1298"/>
        </w:numPr>
      </w:pPr>
      <w:r>
        <w:t xml:space="preserve">Risk factors — childhood trauma, stress, sleep disturbance, cannabis, antidepressant induction (in bipolar predisposition).</w:t>
      </w:r>
    </w:p>
    <w:bookmarkEnd w:id="656"/>
    <w:bookmarkStart w:id="661" w:name="X58616dfaf1175eccea2a0e7f076f307f23e8cf3"/>
    <w:p>
      <w:pPr>
        <w:pStyle w:val="Heading3"/>
      </w:pPr>
      <w:r>
        <w:t xml:space="preserve">5. Clinical features</w:t>
      </w:r>
    </w:p>
    <w:bookmarkStart w:id="657" w:name="manic-episode"/>
    <w:p>
      <w:pPr>
        <w:pStyle w:val="Heading4"/>
      </w:pPr>
      <w:r>
        <w:t xml:space="preserve">5.1 Manic episode</w:t>
      </w:r>
    </w:p>
    <w:p>
      <w:pPr>
        <w:pStyle w:val="Compact"/>
        <w:numPr>
          <w:ilvl w:val="0"/>
          <w:numId w:val="1299"/>
        </w:numPr>
      </w:pPr>
      <w:r>
        <w:t xml:space="preserve">Abnormally elevated or irritable mood + increased energy ≥ 7 days (or any duration requiring hospitalization).</w:t>
      </w:r>
    </w:p>
    <w:p>
      <w:pPr>
        <w:pStyle w:val="Compact"/>
        <w:numPr>
          <w:ilvl w:val="0"/>
          <w:numId w:val="1299"/>
        </w:numPr>
      </w:pPr>
      <w:r>
        <w:t xml:space="preserve">≥ 3 symptoms from the following (≥ 4 in irritable mood): inflated self-esteem, decreased need for sleep, pressured speech, flight of ideas, distractibility, increase in goal-directed activity, risky behaviors.</w:t>
      </w:r>
    </w:p>
    <w:p>
      <w:pPr>
        <w:pStyle w:val="Compact"/>
        <w:numPr>
          <w:ilvl w:val="0"/>
          <w:numId w:val="1299"/>
        </w:numPr>
      </w:pPr>
      <w:r>
        <w:t xml:space="preserve">Functional impairment or requirement for hospitalization or psychotic features.</w:t>
      </w:r>
    </w:p>
    <w:bookmarkEnd w:id="657"/>
    <w:bookmarkStart w:id="658" w:name="X06cd6b867740add842a83015f009d914bc16781"/>
    <w:p>
      <w:pPr>
        <w:pStyle w:val="Heading4"/>
      </w:pPr>
      <w:r>
        <w:t xml:space="preserve">5.2 Major depressive episode (in bipolar context)</w:t>
      </w:r>
    </w:p>
    <w:p>
      <w:pPr>
        <w:pStyle w:val="Compact"/>
        <w:numPr>
          <w:ilvl w:val="0"/>
          <w:numId w:val="1300"/>
        </w:numPr>
      </w:pPr>
      <w:r>
        <w:t xml:space="preserve">Low mood or anhedonia + ≥ 5 symptoms × 2 weeks (DSM-5-TR).</w:t>
      </w:r>
    </w:p>
    <w:p>
      <w:pPr>
        <w:pStyle w:val="Compact"/>
        <w:numPr>
          <w:ilvl w:val="0"/>
          <w:numId w:val="1300"/>
        </w:numPr>
      </w:pPr>
      <w:r>
        <w:t xml:space="preserve">Bipolar depressive episode with atypical features (hypersomnia, hyperphagia, leaden paralysis) is more common — similar to Type II.</w:t>
      </w:r>
    </w:p>
    <w:bookmarkEnd w:id="658"/>
    <w:bookmarkStart w:id="659" w:name="mixed-features"/>
    <w:p>
      <w:pPr>
        <w:pStyle w:val="Heading4"/>
      </w:pPr>
      <w:r>
        <w:t xml:space="preserve">5.3 Mixed features</w:t>
      </w:r>
    </w:p>
    <w:p>
      <w:pPr>
        <w:pStyle w:val="FirstParagraph"/>
      </w:pPr>
      <w:r>
        <w:t xml:space="preserve">DSM-5-TR — subtype abolished — as a specifier: ≥3 depressive symptoms during a manic episode or ≥3 manic symptoms during a depressive episode.</w:t>
      </w:r>
    </w:p>
    <w:bookmarkEnd w:id="659"/>
    <w:bookmarkStart w:id="660" w:name="rapid-cycling"/>
    <w:p>
      <w:pPr>
        <w:pStyle w:val="Heading4"/>
      </w:pPr>
      <w:r>
        <w:t xml:space="preserve">5.4 Rapid cycling</w:t>
      </w:r>
    </w:p>
    <w:p>
      <w:pPr>
        <w:pStyle w:val="FirstParagraph"/>
      </w:pPr>
      <w:r>
        <w:t xml:space="preserve">≥4 episodes within 12 months; poor prognostic marker.</w:t>
      </w:r>
    </w:p>
    <w:bookmarkEnd w:id="660"/>
    <w:bookmarkEnd w:id="661"/>
    <w:bookmarkStart w:id="666" w:name="X00fa90759caab736daffcebca20c9fae294b819"/>
    <w:p>
      <w:pPr>
        <w:pStyle w:val="Heading3"/>
      </w:pPr>
      <w:r>
        <w:t xml:space="preserve">6. Diagnosis</w:t>
      </w:r>
    </w:p>
    <w:bookmarkStart w:id="662" w:name="X5aea8399bf55af4b104e91c13c6bd1d446a931e"/>
    <w:p>
      <w:pPr>
        <w:pStyle w:val="Heading4"/>
      </w:pPr>
      <w:r>
        <w:t xml:space="preserve">6.1 Unified diagnostic criteria (DSM-5-TR · ICD-11 consensus points)</w:t>
      </w:r>
    </w:p>
    <w:p>
      <w:pPr>
        <w:pStyle w:val="FirstParagraph"/>
      </w:pPr>
      <w:r>
        <w:t xml:space="preserve">A. At least one manic episode (the above criteria).</w:t>
      </w:r>
    </w:p>
    <w:p>
      <w:pPr>
        <w:pStyle w:val="BodyText"/>
      </w:pPr>
      <w:r>
        <w:t xml:space="preserve">B. Manic and depressive episodes are not better explained by schizoaffective disorder, schizophrenia, or another psychotic disorder.</w:t>
      </w:r>
    </w:p>
    <w:p>
      <w:pPr>
        <w:pStyle w:val="BodyText"/>
      </w:pPr>
      <w:r>
        <w:t xml:space="preserve">Depressive and hypomanic episodes are not required for Type I diagnosis, but are typically present</w:t>
      </w:r>
    </w:p>
    <w:bookmarkEnd w:id="662"/>
    <w:bookmarkStart w:id="663" w:name="differences-between-sources-21"/>
    <w:p>
      <w:pPr>
        <w:pStyle w:val="Heading4"/>
      </w:pPr>
      <w:r>
        <w:t xml:space="preserve">6.2 Differences between sources</w:t>
      </w:r>
    </w:p>
    <w:p>
      <w:pPr>
        <w:pStyle w:val="Compact"/>
        <w:numPr>
          <w:ilvl w:val="0"/>
          <w:numId w:val="1301"/>
        </w:numPr>
      </w:pPr>
      <w:r>
        <w:t xml:space="preserve">DSM-5-TR: Mixed features specifier (DSM-IV mixed episode abolished); increased energy added as a criterion for manic episode (DSM-IV only mood).</w:t>
      </w:r>
    </w:p>
    <w:p>
      <w:pPr>
        <w:pStyle w:val="Compact"/>
        <w:numPr>
          <w:ilvl w:val="0"/>
          <w:numId w:val="1301"/>
        </w:numPr>
      </w:pPr>
      <w:r>
        <w:t xml:space="preserve">ICD-11 (6A60): Number of manic episodes and current episode type subqualifiers; rapid cycling as a qualifier.</w:t>
      </w:r>
    </w:p>
    <w:p>
      <w:pPr>
        <w:pStyle w:val="Compact"/>
        <w:numPr>
          <w:ilvl w:val="0"/>
          <w:numId w:val="1301"/>
        </w:numPr>
      </w:pPr>
      <w:r>
        <w:t xml:space="preserve">NICE CG185: diagnosis supported by structured interview and family information; antidepressant-triggered hypomanic/manic episode leads to bipolar diagnosis (in DSM-5-TR with criterion B qualifier).</w:t>
      </w:r>
    </w:p>
    <w:bookmarkEnd w:id="663"/>
    <w:bookmarkStart w:id="664" w:name="diagnostic-algorithm-13"/>
    <w:p>
      <w:pPr>
        <w:pStyle w:val="Heading4"/>
      </w:pPr>
      <w:r>
        <w:t xml:space="preserve">6.3 Diagnostic algorithm</w:t>
      </w:r>
    </w:p>
    <w:p>
      <w:pPr>
        <w:pStyle w:val="Compact"/>
        <w:numPr>
          <w:ilvl w:val="0"/>
          <w:numId w:val="1302"/>
        </w:numPr>
      </w:pPr>
      <w:r>
        <w:t xml:space="preserve">Clinical interview + relative/friend information — manic and hypomanic episodes are more easily recognized by family members.</w:t>
      </w:r>
    </w:p>
    <w:p>
      <w:pPr>
        <w:pStyle w:val="Compact"/>
        <w:numPr>
          <w:ilvl w:val="0"/>
          <w:numId w:val="1302"/>
        </w:numPr>
      </w:pPr>
      <w:r>
        <w:t xml:space="preserve">Structured interview (SCID-5, MINI).</w:t>
      </w:r>
    </w:p>
    <w:p>
      <w:pPr>
        <w:pStyle w:val="Compact"/>
        <w:numPr>
          <w:ilvl w:val="0"/>
          <w:numId w:val="1302"/>
        </w:numPr>
      </w:pPr>
      <w:r>
        <w:t xml:space="preserve">YMRS (Young Mania Rating Scale), HAM-D / MADRS.</w:t>
      </w:r>
    </w:p>
    <w:p>
      <w:pPr>
        <w:pStyle w:val="Compact"/>
        <w:numPr>
          <w:ilvl w:val="0"/>
          <w:numId w:val="1302"/>
        </w:numPr>
      </w:pPr>
      <w:r>
        <w:t xml:space="preserve">MDQ (Mood Disorder Questionnaire) or HCL-32 — bipolar screening (self-report).</w:t>
      </w:r>
    </w:p>
    <w:p>
      <w:pPr>
        <w:pStyle w:val="Compact"/>
        <w:numPr>
          <w:ilvl w:val="0"/>
          <w:numId w:val="1302"/>
        </w:numPr>
      </w:pPr>
      <w:r>
        <w:t xml:space="preserve">Medical examination + laboratory (thyroid, liver, kidney, glucose, toxicological); specific tests before lithium initiation.</w:t>
      </w:r>
    </w:p>
    <w:p>
      <w:pPr>
        <w:pStyle w:val="Compact"/>
        <w:numPr>
          <w:ilvl w:val="0"/>
          <w:numId w:val="1302"/>
        </w:numPr>
      </w:pPr>
      <w:r>
        <w:t xml:space="preserve">Brain MRI — first episode psychosis or atypical context.</w:t>
      </w:r>
    </w:p>
    <w:p>
      <w:pPr>
        <w:pStyle w:val="Compact"/>
        <w:numPr>
          <w:ilvl w:val="0"/>
          <w:numId w:val="1302"/>
        </w:numPr>
      </w:pPr>
      <w:r>
        <w:t xml:space="preserve">Comorbidity and suicide risk (C-SSRS).</w:t>
      </w:r>
    </w:p>
    <w:bookmarkEnd w:id="664"/>
    <w:bookmarkStart w:id="665" w:name="differential-diagnosis-1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Type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manic episode ever; hypomanic + major depressive.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Cyclothymic disorder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years (1 year in adolescents) subthreshold mood fluctuations.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Disorder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manic or hypomanic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Schizoaffective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Psychosis persists during periods outside the affective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Emotional lability hours-days; identity disturbance.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behavioral patterns, not episodic.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Decreased TSH; tremor, weight loss, tachycardia.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(stimulant, cocaine)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 history and temporal relationship.</w:t>
            </w:r>
          </w:p>
        </w:tc>
      </w:tr>
    </w:tbl>
    <w:bookmarkEnd w:id="665"/>
    <w:bookmarkEnd w:id="666"/>
    <w:bookmarkStart w:id="667" w:name="Xd62297610aaf00ecb257547ff240da84d28d936"/>
    <w:p>
      <w:pPr>
        <w:pStyle w:val="Heading3"/>
      </w:pPr>
      <w:r>
        <w:t xml:space="preserve">7. Examination and assessment</w:t>
      </w:r>
    </w:p>
    <w:p>
      <w:pPr>
        <w:pStyle w:val="Compact"/>
        <w:numPr>
          <w:ilvl w:val="0"/>
          <w:numId w:val="1303"/>
        </w:numPr>
      </w:pPr>
      <w:r>
        <w:t xml:space="preserve">YMRS, HAM-D / MADRS, MDQ, HCL-32, C-SSRS.</w:t>
      </w:r>
    </w:p>
    <w:p>
      <w:pPr>
        <w:pStyle w:val="Compact"/>
        <w:numPr>
          <w:ilvl w:val="0"/>
          <w:numId w:val="1303"/>
        </w:numPr>
      </w:pPr>
      <w:r>
        <w:t xml:space="preserve">Pre-lithium: complete blood count, creatinine, TSH, calcium, EKG, pregnancy test.</w:t>
      </w:r>
    </w:p>
    <w:p>
      <w:pPr>
        <w:pStyle w:val="Compact"/>
        <w:numPr>
          <w:ilvl w:val="0"/>
          <w:numId w:val="1303"/>
        </w:numPr>
      </w:pPr>
      <w:r>
        <w:t xml:space="preserve">Pre-valproate: complete blood count, liver function, pregnancy test (for women of childbearing potential — valproate is strictly not recommended).</w:t>
      </w:r>
    </w:p>
    <w:p>
      <w:pPr>
        <w:pStyle w:val="Compact"/>
        <w:numPr>
          <w:ilvl w:val="0"/>
          <w:numId w:val="1303"/>
        </w:numPr>
      </w:pPr>
      <w:r>
        <w:t xml:space="preserve">Before carbamazepine: complete blood count, liver, sodium.</w:t>
      </w:r>
    </w:p>
    <w:p>
      <w:pPr>
        <w:pStyle w:val="Compact"/>
        <w:numPr>
          <w:ilvl w:val="0"/>
          <w:numId w:val="1303"/>
        </w:numPr>
      </w:pPr>
      <w:r>
        <w:t xml:space="preserve">Brain MRI — first psychotic episode.</w:t>
      </w:r>
    </w:p>
    <w:bookmarkEnd w:id="667"/>
    <w:bookmarkStart w:id="672" w:name="X8dd241bb469b29032573d06f5e1ef574323b1b6"/>
    <w:p>
      <w:pPr>
        <w:pStyle w:val="Heading3"/>
      </w:pPr>
      <w:r>
        <w:t xml:space="preserve">8. Treatment</w:t>
      </w:r>
    </w:p>
    <w:bookmarkStart w:id="668" w:name="Xff923c1dfc6c749e0c097f48bb41e2942adb3e6"/>
    <w:p>
      <w:pPr>
        <w:pStyle w:val="Heading4"/>
      </w:pPr>
      <w:r>
        <w:t xml:space="preserve">8.1 General principles (NICE CG185 · CANMAT/ISBD 2018 · APA · WFSBP consensus)</w:t>
      </w:r>
    </w:p>
    <w:p>
      <w:pPr>
        <w:pStyle w:val="Compact"/>
        <w:numPr>
          <w:ilvl w:val="0"/>
          <w:numId w:val="1304"/>
        </w:numPr>
      </w:pPr>
      <w:r>
        <w:t xml:space="preserve">Acute manic episode: Antipsychotic (olanzapine, risperidone, quetiapine, aripiprazole, asenapine) ± mood stabilizer (lithium, valproate). Lorazepam adjunct in acute agitation.</w:t>
      </w:r>
    </w:p>
    <w:p>
      <w:pPr>
        <w:pStyle w:val="Compact"/>
        <w:numPr>
          <w:ilvl w:val="0"/>
          <w:numId w:val="1304"/>
        </w:numPr>
      </w:pPr>
      <w:r>
        <w:t xml:space="preserve">Acute bipolar depressive episode: quetiapine or lurasidone (FDA approval), olanzapine/fluoxetine combination (Symbyax); lithium or lamotrigine adjunctive therapy. Antidepressant monotherapy is contraindicated — manic switch and rapid cycling risk.</w:t>
      </w:r>
    </w:p>
    <w:p>
      <w:pPr>
        <w:pStyle w:val="Compact"/>
        <w:numPr>
          <w:ilvl w:val="0"/>
          <w:numId w:val="1304"/>
        </w:numPr>
      </w:pPr>
      <w:r>
        <w:t xml:space="preserve">Maintenance: Lithium first-line — suicide reduction effect (Cipriani A. BMJ 2013); valproate, quetiapine, lamotrigine (especially with dominant depressive component), olanzapine alternatives.</w:t>
      </w:r>
    </w:p>
    <w:p>
      <w:pPr>
        <w:pStyle w:val="Compact"/>
        <w:numPr>
          <w:ilvl w:val="0"/>
          <w:numId w:val="1304"/>
        </w:numPr>
      </w:pPr>
      <w:r>
        <w:t xml:space="preserve">Refractory: clozapine; ECT.</w:t>
      </w:r>
    </w:p>
    <w:p>
      <w:pPr>
        <w:pStyle w:val="Compact"/>
        <w:numPr>
          <w:ilvl w:val="0"/>
          <w:numId w:val="1304"/>
        </w:numPr>
      </w:pPr>
      <w:r>
        <w:t xml:space="preserve">Rapid cycling — stop antidepressant; combination of lithium and valproate.</w:t>
      </w:r>
    </w:p>
    <w:p>
      <w:pPr>
        <w:pStyle w:val="Compact"/>
        <w:numPr>
          <w:ilvl w:val="0"/>
          <w:numId w:val="1304"/>
        </w:numPr>
      </w:pPr>
      <w:r>
        <w:t xml:space="preserve">Psychosocial intervention: Psychoeducation, CBT for bipolar, IPSRT (Interpersonal and Social Rhythm Therapy — Frank E.), family-focused therapy (Miklowitz D.).</w:t>
      </w:r>
    </w:p>
    <w:p>
      <w:pPr>
        <w:pStyle w:val="Compact"/>
        <w:numPr>
          <w:ilvl w:val="0"/>
          <w:numId w:val="1304"/>
        </w:numPr>
      </w:pPr>
      <w:r>
        <w:t xml:space="preserve">Adherence and side effect monitoring — lithium: TSH, creatinine, calcium every 6 months; valproate: hepatic and hematologic.</w:t>
      </w:r>
    </w:p>
    <w:p>
      <w:pPr>
        <w:pStyle w:val="Compact"/>
        <w:numPr>
          <w:ilvl w:val="0"/>
          <w:numId w:val="1304"/>
        </w:numPr>
      </w:pPr>
      <w:r>
        <w:t xml:space="preserve">Women of childbearing age: valproate absolute contraindication (neural tube defects 1–2%, major congenital malformations overall ~10%, autism and IQ deficit); lamotrigine and quetiapine relatively safe.</w:t>
      </w:r>
    </w:p>
    <w:bookmarkEnd w:id="668"/>
    <w:bookmarkStart w:id="669" w:name="pharmacotherapy-table"/>
    <w:p>
      <w:pPr>
        <w:pStyle w:val="Heading4"/>
      </w:pPr>
      <w:r>
        <w:t xml:space="preserve">8.2 Pharmacotherapy (Table)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Class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Indication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Lithium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Therapeutic serum level 0.6–1.0 mEq/L; in severe cases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depressive, maintenance; reduces suicide risk.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Anticonvulsant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Valproate (1000–2000 mg), carbamazepine (400–1200 mg), lamotrigine (200 mg titration)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(valproate, carbamazepine), depressive maintenance (lamotrigine).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Atypical antipsychotic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Olanzapine, risperidone, quetiapine, aripiprazole, asenapine, lurasidone, cariprazine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mixed, maintenance; quetiapine and lurasidone — FDA-approved for bipolar depression.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Antidepressant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Only with mood stabilizer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Caution in bipolar depressive episode; monotherapy contraindicated.</w:t>
            </w:r>
          </w:p>
        </w:tc>
      </w:tr>
    </w:tbl>
    <w:bookmarkEnd w:id="669"/>
    <w:bookmarkStart w:id="670" w:name="source-specific-clarifications-6"/>
    <w:p>
      <w:pPr>
        <w:pStyle w:val="Heading4"/>
      </w:pPr>
      <w:r>
        <w:t xml:space="preserve">8.3 Source-Specific Clarifications</w:t>
      </w:r>
    </w:p>
    <w:p>
      <w:pPr>
        <w:pStyle w:val="Compact"/>
        <w:numPr>
          <w:ilvl w:val="0"/>
          <w:numId w:val="1305"/>
        </w:numPr>
      </w:pPr>
      <w:r>
        <w:t xml:space="preserve">CANMAT/ISBD 2018 (Yatham L.N. et al. Bipolar Disord 2018): First-line for manic — lithium, valproate, quetiapine, aripiprazole, asenapine, paliperidone, risperidone; for bipolar depressive — quetiapine, lurasidone (monotherapy or adjunct with lithium/valproate).</w:t>
      </w:r>
    </w:p>
    <w:p>
      <w:pPr>
        <w:pStyle w:val="Compact"/>
        <w:numPr>
          <w:ilvl w:val="0"/>
          <w:numId w:val="1305"/>
        </w:numPr>
      </w:pPr>
      <w:r>
        <w:t xml:space="preserve">NICE CG185: Lithium is first-line maintenance; an antidepressant only together with a mood stabilizer.</w:t>
      </w:r>
    </w:p>
    <w:p>
      <w:pPr>
        <w:pStyle w:val="Compact"/>
        <w:numPr>
          <w:ilvl w:val="0"/>
          <w:numId w:val="1305"/>
        </w:numPr>
      </w:pPr>
      <w:r>
        <w:t xml:space="preserve">Cipriani A. et al. BMJ 2013 meta-analysis: Lithium significantly reduces suicide rates (superior to other mood stabilizers).</w:t>
      </w:r>
    </w:p>
    <w:p>
      <w:pPr>
        <w:pStyle w:val="Compact"/>
        <w:numPr>
          <w:ilvl w:val="0"/>
          <w:numId w:val="1305"/>
        </w:numPr>
      </w:pPr>
      <w:r>
        <w:t xml:space="preserve">EMA and FDA warnings: valproate in women of childbearing age — neural tube defects, autism, IQ decrease.</w:t>
      </w:r>
    </w:p>
    <w:bookmarkEnd w:id="670"/>
    <w:bookmarkStart w:id="671" w:name="treatment-methods-14"/>
    <w:p>
      <w:pPr>
        <w:pStyle w:val="Heading4"/>
      </w:pPr>
      <w:r>
        <w:t xml:space="preserve">8.4 Treatment methods</w:t>
      </w:r>
    </w:p>
    <w:p>
      <w:pPr>
        <w:pStyle w:val="Compact"/>
        <w:numPr>
          <w:ilvl w:val="0"/>
          <w:numId w:val="1306"/>
        </w:numPr>
      </w:pPr>
      <w:r>
        <w:t xml:space="preserve">Lithium — Gold standard in bipolar disorder; reduces suicide; initial parameters creatinine, TSH, calcium, EKG; therapeutic level 0.6–1.0 mEq/L; toxicity &gt; 1.5 mEq/L. Cipriani BMJ 2013.</w:t>
      </w:r>
    </w:p>
    <w:p>
      <w:pPr>
        <w:pStyle w:val="Compact"/>
        <w:numPr>
          <w:ilvl w:val="0"/>
          <w:numId w:val="1306"/>
        </w:numPr>
      </w:pPr>
      <w:r>
        <w:t xml:space="preserve">CBT adapted for bipolar disorder — Psychoeducation, early marker recognition, behavioral activation, compliance support. Lam D.H. et al. Arch Gen Psychiatry 2003 RCT.</w:t>
      </w:r>
    </w:p>
    <w:p>
      <w:pPr>
        <w:pStyle w:val="Compact"/>
        <w:numPr>
          <w:ilvl w:val="0"/>
          <w:numId w:val="1306"/>
        </w:numPr>
      </w:pPr>
      <w:r>
        <w:t xml:space="preserve">Interpersonal and Social Rhythm Therapy (IPSRT — Interpersonal and Social Rhythm Therapy) — Frank (Frank E.) — Circadian rhythm and interpersonal stress management in bipolar disorder. Frank E. et al. Arch Gen Psychiatry 2005 RCT — reduction of relapse in maintenance phase.</w:t>
      </w:r>
    </w:p>
    <w:p>
      <w:pPr>
        <w:pStyle w:val="Compact"/>
        <w:numPr>
          <w:ilvl w:val="0"/>
          <w:numId w:val="1306"/>
        </w:numPr>
      </w:pPr>
      <w:r>
        <w:t xml:space="preserve">Family-Focused Therapy (FFT) — Miklowitz D. — Patient + family jointly; psychoeducation, communication, problem-solving. Miklowitz D.J. et al. Arch Gen Psychiatry 2003;60(9):904–912.</w:t>
      </w:r>
    </w:p>
    <w:p>
      <w:pPr>
        <w:pStyle w:val="Compact"/>
        <w:numPr>
          <w:ilvl w:val="0"/>
          <w:numId w:val="1306"/>
        </w:numPr>
      </w:pPr>
      <w:r>
        <w:t xml:space="preserve">Young Mania Rating Scale (YMRS) — 11 items, manic episode severity: initial indicators and monitoring.</w:t>
      </w:r>
    </w:p>
    <w:p>
      <w:pPr>
        <w:pStyle w:val="Compact"/>
        <w:numPr>
          <w:ilvl w:val="0"/>
          <w:numId w:val="1306"/>
        </w:numPr>
      </w:pPr>
      <w:r>
        <w:t xml:space="preserve">Mood Disorder Questionnaire (MDQ — Mood Disorder Questionnaire) — Hirschfeld (Hirschfeld R.M.) — 13-item self-assessment for bipolar screening.</w:t>
      </w:r>
    </w:p>
    <w:p>
      <w:pPr>
        <w:pStyle w:val="Compact"/>
        <w:numPr>
          <w:ilvl w:val="0"/>
          <w:numId w:val="1306"/>
        </w:numPr>
      </w:pPr>
      <w:r>
        <w:t xml:space="preserve">ECT — In refractory manic or depressive episode, with mixed features, suicidal risk, a safe alternative in pregnancy. NICE TA59.</w:t>
      </w:r>
    </w:p>
    <w:bookmarkEnd w:id="671"/>
    <w:bookmarkEnd w:id="672"/>
    <w:bookmarkStart w:id="673" w:name="X05b22769dfa661059ad4166d1d08cd74aac9e98"/>
    <w:p>
      <w:pPr>
        <w:pStyle w:val="Heading3"/>
      </w:pPr>
      <w:r>
        <w:t xml:space="preserve">9. Prognosis</w:t>
      </w:r>
    </w:p>
    <w:p>
      <w:pPr>
        <w:pStyle w:val="Compact"/>
        <w:numPr>
          <w:ilvl w:val="0"/>
          <w:numId w:val="1307"/>
        </w:numPr>
      </w:pPr>
      <w:r>
        <w:t xml:space="preserve">Episodic course; relapse 80–90% (untreated); significant reduction with maintenance pharmacotherapy.</w:t>
      </w:r>
    </w:p>
    <w:p>
      <w:pPr>
        <w:pStyle w:val="Compact"/>
        <w:numPr>
          <w:ilvl w:val="0"/>
          <w:numId w:val="1307"/>
        </w:numPr>
      </w:pPr>
      <w:r>
        <w:t xml:space="preserve">Suicide risk high (6–7% lifetime); particularly in the first years.</w:t>
      </w:r>
    </w:p>
    <w:p>
      <w:pPr>
        <w:pStyle w:val="Compact"/>
        <w:numPr>
          <w:ilvl w:val="0"/>
          <w:numId w:val="1307"/>
        </w:numPr>
      </w:pPr>
      <w:r>
        <w:t xml:space="preserve">Increased cardiovascular mortality (metabolic syndrome).</w:t>
      </w:r>
    </w:p>
    <w:p>
      <w:pPr>
        <w:pStyle w:val="Compact"/>
        <w:numPr>
          <w:ilvl w:val="0"/>
          <w:numId w:val="1307"/>
        </w:numPr>
      </w:pPr>
      <w:r>
        <w:t xml:space="preserve">Functional recovery moderate — the majority of patients experience significant social and occupational impairment.</w:t>
      </w:r>
    </w:p>
    <w:p>
      <w:pPr>
        <w:pStyle w:val="Compact"/>
        <w:numPr>
          <w:ilvl w:val="0"/>
          <w:numId w:val="1307"/>
        </w:numPr>
      </w:pPr>
      <w:r>
        <w:t xml:space="preserve">Monitoring — mood scales, suicide risk, metabolic indicators, lithium level, compliance.</w:t>
      </w:r>
    </w:p>
    <w:bookmarkEnd w:id="673"/>
    <w:bookmarkStart w:id="684" w:name="Xf40e26eb102089d04b6315521297f731d658cc2"/>
    <w:p>
      <w:pPr>
        <w:pStyle w:val="Heading3"/>
      </w:pPr>
      <w:r>
        <w:t xml:space="preserve">10. Myths and misconceptions</w:t>
      </w:r>
    </w:p>
    <w:bookmarkStart w:id="674" w:name="X06ceb39dea721b825644fa3157e4ca36d128f43"/>
    <w:p>
      <w:pPr>
        <w:pStyle w:val="Heading5"/>
      </w:pPr>
      <w:r>
        <w:t xml:space="preserve">Myth 1: “Bipolar disorder is simple mood swings — everyone has them”</w:t>
      </w:r>
    </w:p>
    <w:p>
      <w:pPr>
        <w:pStyle w:val="FirstParagraph"/>
      </w:pPr>
      <w:r>
        <w:t xml:space="preserve">Clinical logic: Bipolar manic episode requires both duration (≥7 days) and functional impairment; it is a distinct clinical condition from daily mood fluctuations. Manic episode may require psychotic features and hospitalization. Evidence: Merikangas Arch Gen Psychiatry 2011.</w:t>
      </w:r>
    </w:p>
    <w:bookmarkEnd w:id="674"/>
    <w:bookmarkStart w:id="675" w:name="X749c6ac612882c7fbfaf802d36553614db1e744"/>
    <w:p>
      <w:pPr>
        <w:pStyle w:val="Heading5"/>
      </w:pPr>
      <w:r>
        <w:t xml:space="preserve">Myth 2: “Bad parenting causes bipolar disorder”</w:t>
      </w:r>
    </w:p>
    <w:p>
      <w:pPr>
        <w:pStyle w:val="FirstParagraph"/>
      </w:pPr>
      <w:r>
        <w:t xml:space="preserve">Evidence: heritability 60–85%; parental experience not etiology. Smoller &amp; Finn 2003.</w:t>
      </w:r>
    </w:p>
    <w:bookmarkEnd w:id="675"/>
    <w:bookmarkStart w:id="676" w:name="X787611112f2d0fc020fda0a60526ca3f74161b4"/>
    <w:p>
      <w:pPr>
        <w:pStyle w:val="Heading5"/>
      </w:pPr>
      <w:r>
        <w:t xml:space="preserve">Myth 3: “Bipolar patient is creative or a ‘marker of genius’”</w:t>
      </w:r>
    </w:p>
    <w:p>
      <w:pPr>
        <w:pStyle w:val="FirstParagraph"/>
      </w:pPr>
      <w:r>
        <w:t xml:space="preserve">Evidence: Some studies show moderate increase in bipolar prevalence in creative professions (Andreasen N.C. reviews), but most patients experience functional impairment; ‘duality’ explanation leads to romanticization and treatment refusal.</w:t>
      </w:r>
    </w:p>
    <w:bookmarkEnd w:id="676"/>
    <w:bookmarkStart w:id="677" w:name="X3ad6164f77ac4f3e48ac8029c293e08986377f9"/>
    <w:p>
      <w:pPr>
        <w:pStyle w:val="Heading5"/>
      </w:pPr>
      <w:r>
        <w:t xml:space="preserve">Myth 4: “Antidepressants always help a bipolar patient”</w:t>
      </w:r>
    </w:p>
    <w:p>
      <w:pPr>
        <w:pStyle w:val="FirstParagraph"/>
      </w:pPr>
      <w:r>
        <w:t xml:space="preserve">Evidence: NICE CG185, CANMAT — antidepressant monotherapy in bipolar disorder is contraindicated; risk of manic switch and rapid cycling.</w:t>
      </w:r>
    </w:p>
    <w:bookmarkEnd w:id="677"/>
    <w:bookmarkStart w:id="678" w:name="Xf8488d9b818586f945f1c9623ef7e6d7888f1ca"/>
    <w:p>
      <w:pPr>
        <w:pStyle w:val="Heading5"/>
      </w:pPr>
      <w:r>
        <w:t xml:space="preserve">Myth 5: “Lithium is ‘outdated’ or dangerous — atypical antipsychotic should be first-line”</w:t>
      </w:r>
    </w:p>
    <w:p>
      <w:pPr>
        <w:pStyle w:val="FirstParagraph"/>
      </w:pPr>
      <w:r>
        <w:t xml:space="preserve">Evidence: Cipriani BMJ 2013 — lithium reduces suicide significantly more than other mood stabilizers; NICE CG185 and CANMAT 2018 — first-line in maintenance.</w:t>
      </w:r>
    </w:p>
    <w:bookmarkEnd w:id="678"/>
    <w:bookmarkStart w:id="679" w:name="X1508b06d0595748bd59e8931142e8a479cc0966"/>
    <w:p>
      <w:pPr>
        <w:pStyle w:val="Heading5"/>
      </w:pPr>
      <w:r>
        <w:t xml:space="preserve">Myth 6: “The patient can ‘volitionally’ control their mood”</w:t>
      </w:r>
    </w:p>
    <w:p>
      <w:pPr>
        <w:pStyle w:val="FirstParagraph"/>
      </w:pPr>
      <w:r>
        <w:t xml:space="preserve">Evidence: bipolar episode is neurobiological impairment; not voluntarily controllable; requires pharmacotherapy or ECT.</w:t>
      </w:r>
    </w:p>
    <w:bookmarkEnd w:id="679"/>
    <w:bookmarkStart w:id="680" w:name="X02090d391a2c28d67eff83b55899ad0245c4ff4"/>
    <w:p>
      <w:pPr>
        <w:pStyle w:val="Heading5"/>
      </w:pPr>
      <w:r>
        <w:t xml:space="preserve">Myth 7: “Disinterested observation is sufficient — it will resolve on its own”</w:t>
      </w:r>
    </w:p>
    <w:p>
      <w:pPr>
        <w:pStyle w:val="FirstParagraph"/>
      </w:pPr>
      <w:r>
        <w:t xml:space="preserve">Evidence: Untreated episodes — long-term functional impairment, cardiovascular mortality, suicide (6–7% lifetime).</w:t>
      </w:r>
    </w:p>
    <w:bookmarkEnd w:id="680"/>
    <w:bookmarkStart w:id="681" w:name="X45a30272451d6cf31685a6923c45be0a6d46531"/>
    <w:p>
      <w:pPr>
        <w:pStyle w:val="Heading5"/>
      </w:pPr>
      <w:r>
        <w:t xml:space="preserve">Myth 8: “Herbal preparations (St John's Wort, valerian) or omega-3 replace mood stabilizers”</w:t>
      </w:r>
    </w:p>
    <w:p>
      <w:pPr>
        <w:pStyle w:val="FirstParagraph"/>
      </w:pPr>
      <w:r>
        <w:t xml:space="preserve">Evidence: St. John's Wort reduces the levels of mood stabilizers through cytochrome P450 induction and may trigger a manic switch; omega-3 has a mild adjunct effect, it is not the primary treatment.</w:t>
      </w:r>
    </w:p>
    <w:bookmarkEnd w:id="681"/>
    <w:bookmarkStart w:id="682" w:name="myth-9-cannabis-is-a-mood-stabilizer"/>
    <w:p>
      <w:pPr>
        <w:pStyle w:val="Heading5"/>
      </w:pPr>
      <w:r>
        <w:t xml:space="preserve">Myth 9: “Cannabis is a mood stabilizer”</w:t>
      </w:r>
    </w:p>
    <w:p>
      <w:pPr>
        <w:pStyle w:val="FirstParagraph"/>
      </w:pPr>
      <w:r>
        <w:t xml:space="preserve">Evidence: Cannabis worsens bipolar course, increases psychosis risk, reduces compliance.</w:t>
      </w:r>
    </w:p>
    <w:bookmarkEnd w:id="682"/>
    <w:bookmarkStart w:id="683" w:name="Xd41aea37f9cd315c82a6a321af762f8ab7e8785"/>
    <w:p>
      <w:pPr>
        <w:pStyle w:val="Heading5"/>
      </w:pPr>
      <w:r>
        <w:t xml:space="preserve">Myth 10: “Mood stabilizer must be completely discontinued during pregnancy”</w:t>
      </w:r>
    </w:p>
    <w:p>
      <w:pPr>
        <w:pStyle w:val="FirstParagraph"/>
      </w:pPr>
      <w:r>
        <w:t xml:space="preserve">Evidence: full discontinuation doubles the risk of recurrence, increases the proportion of weeks ill fivefold, and shortens time to recurrence more than fourfold (Viguera A.C. et al. Am J Psychiatry 2007). Valproate is contraindicated, but lamotrigine and quetiapine are relatively safe; individual balance should be assessed (NICE CG192).</w:t>
      </w:r>
    </w:p>
    <w:bookmarkEnd w:id="683"/>
    <w:bookmarkEnd w:id="684"/>
    <w:bookmarkStart w:id="2990" w:name="X1b4901892956db2f5130a7f7f99929d6931df60"/>
    <w:p>
      <w:pPr>
        <w:pStyle w:val="Heading3"/>
      </w:pPr>
      <w:r>
        <w:t xml:space="preserve">11. Sources</w:t>
      </w:r>
    </w:p>
    <w:p>
      <w:pPr>
        <w:pStyle w:val="Compact"/>
        <w:numPr>
          <w:ilvl w:val="0"/>
          <w:numId w:val="1308"/>
        </w:numPr>
      </w:pPr>
      <w:r>
        <w:t xml:space="preserve">WHO. ICD-11. 6A60 Bipolar type I disorder. 2024.</w:t>
      </w:r>
    </w:p>
    <w:p>
      <w:pPr>
        <w:pStyle w:val="Compact"/>
        <w:numPr>
          <w:ilvl w:val="0"/>
          <w:numId w:val="1308"/>
        </w:numPr>
      </w:pPr>
      <w:r>
        <w:t xml:space="preserve">APA. DSM-5-TR. 2022.</w:t>
      </w:r>
    </w:p>
    <w:p>
      <w:pPr>
        <w:pStyle w:val="Compact"/>
        <w:numPr>
          <w:ilvl w:val="0"/>
          <w:numId w:val="1308"/>
        </w:numPr>
      </w:pPr>
      <w:r>
        <w:t xml:space="preserve">NICE CG185. Bipolar disorder: assessment and management. 2014/2020.</w:t>
      </w:r>
    </w:p>
    <w:p>
      <w:pPr>
        <w:pStyle w:val="Compact"/>
        <w:numPr>
          <w:ilvl w:val="0"/>
          <w:numId w:val="1308"/>
        </w:numPr>
      </w:pPr>
      <w:r>
        <w:t xml:space="preserve">Yatham L.N., Kennedy S.H., Parikh S.V. et al. CANMAT and ISBD 2018 guidelines for the management of patients with bipolar disorder. Bipolar Disord 2018;20(2):97–170.</w:t>
      </w:r>
    </w:p>
    <w:p>
      <w:pPr>
        <w:pStyle w:val="Compact"/>
        <w:numPr>
          <w:ilvl w:val="0"/>
          <w:numId w:val="1308"/>
        </w:numPr>
      </w:pPr>
      <w:r>
        <w:t xml:space="preserve">Cipriani A., Hawton K., Stockton S., Geddes J.R. Lithium in the prevention of suicide in mood disorders: updated systematic review and meta-analysis. BMJ 2013;346:f3646.</w:t>
      </w:r>
    </w:p>
    <w:p>
      <w:pPr>
        <w:pStyle w:val="Compact"/>
        <w:numPr>
          <w:ilvl w:val="0"/>
          <w:numId w:val="1308"/>
        </w:numPr>
      </w:pPr>
      <w:r>
        <w:t xml:space="preserve">Merikangas K.R., Jin R., He J.P. et al. Prevalence and correlates of bipolar spectrum disorder in the world mental health survey initiative. Arch Gen Psychiatry 2011;68(3):241–251.</w:t>
      </w:r>
    </w:p>
    <w:p>
      <w:pPr>
        <w:pStyle w:val="Compact"/>
        <w:numPr>
          <w:ilvl w:val="0"/>
          <w:numId w:val="1308"/>
        </w:numPr>
      </w:pPr>
      <w:r>
        <w:t xml:space="preserve">Smoller J.W., Finn C.T. Family, twin, and adoption studies of bipolar disorder. Am J Med Genet C Semin Med Genet 2003;123C(1):48–58.</w:t>
      </w:r>
    </w:p>
    <w:p>
      <w:pPr>
        <w:pStyle w:val="Compact"/>
        <w:numPr>
          <w:ilvl w:val="0"/>
          <w:numId w:val="1308"/>
        </w:numPr>
      </w:pPr>
      <w:r>
        <w:t xml:space="preserve">Mullins N. et al. Genome-wide association study of more than 40,000 bipolar disorder cases. Nat Genet 2021;53(6):817–829.</w:t>
      </w:r>
    </w:p>
    <w:p>
      <w:pPr>
        <w:pStyle w:val="Compact"/>
        <w:numPr>
          <w:ilvl w:val="0"/>
          <w:numId w:val="1308"/>
        </w:numPr>
      </w:pPr>
      <w:r>
        <w:t xml:space="preserve">Frank E., Kupfer D.J., Thase M.E. et al. Two-year outcomes for interpersonal and social rhythm therapy in individuals with bipolar I disorder. Arch Gen Psychiatry 2005;62(9):996–1004.</w:t>
      </w:r>
    </w:p>
    <w:p>
      <w:pPr>
        <w:pStyle w:val="Compact"/>
        <w:numPr>
          <w:ilvl w:val="0"/>
          <w:numId w:val="1308"/>
        </w:numPr>
      </w:pPr>
      <w:r>
        <w:t xml:space="preserve">Miklowitz D.J., George E.L., Richards J.A. et al. A randomized study of family-focused psychoeducation in bipolar disorder. Arch Gen Psychiatry 2003;60(9):904–912.</w:t>
      </w:r>
    </w:p>
    <w:p>
      <w:pPr>
        <w:pStyle w:val="Compact"/>
        <w:numPr>
          <w:ilvl w:val="0"/>
          <w:numId w:val="1308"/>
        </w:numPr>
      </w:pPr>
      <w:r>
        <w:t xml:space="preserve">Viguera A.C., Whitfield T., Baldessarini R.J. et al. Risk of recurrence in women with bipolar disorder during pregnancy: prospective study of mood stabilizer discontinuation. Am J Psychiatry 2007;164(12):1817–1824.</w:t>
      </w:r>
    </w:p>
    <w:p>
      <w:pPr>
        <w:pStyle w:val="Compact"/>
        <w:numPr>
          <w:ilvl w:val="0"/>
          <w:numId w:val="1308"/>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08"/>
        </w:numPr>
      </w:pPr>
      <w:r>
        <w:t xml:space="preserve">Andreasen N.C. Creativity and mental illness: prevalence rates in writers and their first-degree relatives. Am J Psychiatry 1987;144(10):1288–1292.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685" w:name="m216a61-bipolar-type-ii-disorder"/>
            <w:r>
              <w:t xml:space="preserve">6A61 BIPOLAR TYPE II DISORDER</w:t>
            </w:r>
            <w:bookmarkEnd w:id="685"/>
          </w:p>
          <w:p>
            <w:pPr>
              <w:pStyle w:val="Compact"/>
              <w:ind w:firstLine="0" w:left="0"/>
            </w:pPr>
            <w:r>
              <w:rPr>
                <w:lang w:val="en"/>
              </w:rPr>
              <w:t xml:space="preserve">Bipolar type II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affective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II Disorder</w:t>
            </w:r>
          </w:p>
        </w:tc>
      </w:tr>
    </w:tbl>
    <w:bookmarkStart w:id="686" w:name="Xc08ce58f137e30a771b1442f8ef84f0f982d22d"/>
    <w:p>
      <w:pPr>
        <w:pStyle w:val="Heading3"/>
      </w:pPr>
      <w:r>
        <w:t xml:space="preserve">1. Definition and nosology</w:t>
      </w:r>
    </w:p>
    <w:p>
      <w:pPr>
        <w:pStyle w:val="FirstParagraph"/>
      </w:pPr>
      <w:r>
        <w:t xml:space="preserve">Bipolar disorder Type II (ICD-11:</w:t>
      </w:r>
      <w:r>
        <w:t xml:space="preserve"> </w:t>
      </w:r>
      <w:r>
        <w:t xml:space="preserve">6A61</w:t>
      </w:r>
      <w:r>
        <w:t xml:space="preserve">; DSM-5-TR: F31.81) — a form of bipolar disorder characterized by at least one hypomanic episode and at least one major depressive episode, but never a full manic episode. It is not a ‘milder’ form than Type I — patients spend more lifetime time in depression; functional impairment and suicide risk are comparable to Type I.</w:t>
      </w:r>
    </w:p>
    <w:bookmarkEnd w:id="686"/>
    <w:bookmarkStart w:id="687" w:name="X259ee4470e5b3c663c37b406f523c2557425757"/>
    <w:p>
      <w:pPr>
        <w:pStyle w:val="Heading3"/>
      </w:pPr>
      <w:r>
        <w:t xml:space="preserve">2. History</w:t>
      </w:r>
    </w:p>
    <w:p>
      <w:pPr>
        <w:pStyle w:val="Compact"/>
        <w:numPr>
          <w:ilvl w:val="0"/>
          <w:numId w:val="1309"/>
        </w:numPr>
      </w:pPr>
      <w:r>
        <w:t xml:space="preserve">Dunner D.L., Gershon E.S., Goodwin F.K. (1976) — proposal to differentiate bipolar disorder subtypes.</w:t>
      </w:r>
    </w:p>
    <w:p>
      <w:pPr>
        <w:pStyle w:val="Compact"/>
        <w:numPr>
          <w:ilvl w:val="0"/>
          <w:numId w:val="1309"/>
        </w:numPr>
      </w:pPr>
      <w:r>
        <w:t xml:space="preserve">DSM-IV (1994) — Bipolar Type II as a separate diagnostic category formalized.</w:t>
      </w:r>
    </w:p>
    <w:p>
      <w:pPr>
        <w:pStyle w:val="Compact"/>
        <w:numPr>
          <w:ilvl w:val="0"/>
          <w:numId w:val="1309"/>
        </w:numPr>
      </w:pPr>
      <w:r>
        <w:t xml:space="preserve">DSM-5 (2013) and ICD-11 (2019) — Type II retained, with emphasis against the erroneous concept of it as a ‘mild form’.</w:t>
      </w:r>
    </w:p>
    <w:bookmarkEnd w:id="687"/>
    <w:bookmarkStart w:id="688" w:name="X284ab3acd778eeb78437af6fb72957cb7ba9cf8"/>
    <w:p>
      <w:pPr>
        <w:pStyle w:val="Heading3"/>
      </w:pPr>
      <w:r>
        <w:t xml:space="preserve">3. Epidemiology</w:t>
      </w:r>
    </w:p>
    <w:p>
      <w:pPr>
        <w:pStyle w:val="Compact"/>
        <w:numPr>
          <w:ilvl w:val="0"/>
          <w:numId w:val="1310"/>
        </w:numPr>
      </w:pPr>
      <w:r>
        <w:t xml:space="preserve">Lifetime prevalence: ~0.4–1.1% (Merikangas K.R. Arch Gen Psychiatry 2011 WMH).</w:t>
      </w:r>
    </w:p>
    <w:p>
      <w:pPr>
        <w:pStyle w:val="Compact"/>
        <w:numPr>
          <w:ilvl w:val="0"/>
          <w:numId w:val="1310"/>
        </w:numPr>
      </w:pPr>
      <w:r>
        <w:t xml:space="preserve">Sex: relatively higher in females (~1.5:1 — different from Type I).</w:t>
      </w:r>
    </w:p>
    <w:p>
      <w:pPr>
        <w:pStyle w:val="Compact"/>
        <w:numPr>
          <w:ilvl w:val="0"/>
          <w:numId w:val="1310"/>
        </w:numPr>
      </w:pPr>
      <w:r>
        <w:t xml:space="preserve">Onset: mean 20–25 years; multiple depressive episodes usually precede a hypomanic episode.</w:t>
      </w:r>
    </w:p>
    <w:p>
      <w:pPr>
        <w:pStyle w:val="Compact"/>
        <w:numPr>
          <w:ilvl w:val="0"/>
          <w:numId w:val="1310"/>
        </w:numPr>
      </w:pPr>
      <w:r>
        <w:t xml:space="preserve">Suicide risk comparable to Type I (lifetime ~5–7%); more often due to depressive episodes.</w:t>
      </w:r>
    </w:p>
    <w:p>
      <w:pPr>
        <w:pStyle w:val="Compact"/>
        <w:numPr>
          <w:ilvl w:val="0"/>
          <w:numId w:val="1310"/>
        </w:numPr>
      </w:pPr>
      <w:r>
        <w:t xml:space="preserve">Comorbidity: anxiety 60%+, substance use 30–40%, borderline personality disorder.</w:t>
      </w:r>
    </w:p>
    <w:bookmarkEnd w:id="688"/>
    <w:bookmarkStart w:id="689" w:name="Xdf291410f5771c013fc39f8c1e13df53627f0e9"/>
    <w:p>
      <w:pPr>
        <w:pStyle w:val="Heading3"/>
      </w:pPr>
      <w:r>
        <w:t xml:space="preserve">4. Aetiology and pathogenesis</w:t>
      </w:r>
    </w:p>
    <w:p>
      <w:pPr>
        <w:pStyle w:val="Compact"/>
        <w:numPr>
          <w:ilvl w:val="0"/>
          <w:numId w:val="1311"/>
        </w:numPr>
      </w:pPr>
      <w:r>
        <w:t xml:space="preserve">Genetic basis overlaps with Type I — heritability 60–80%; GWAS loci parallel.</w:t>
      </w:r>
    </w:p>
    <w:p>
      <w:pPr>
        <w:pStyle w:val="Compact"/>
        <w:numPr>
          <w:ilvl w:val="0"/>
          <w:numId w:val="1311"/>
        </w:numPr>
      </w:pPr>
      <w:r>
        <w:t xml:space="preserve">Genetic independence of the clinical phenotype from bipolar Type I is debated — some studies assess both types as the same spectrum.</w:t>
      </w:r>
    </w:p>
    <w:p>
      <w:pPr>
        <w:pStyle w:val="Compact"/>
        <w:numPr>
          <w:ilvl w:val="0"/>
          <w:numId w:val="1311"/>
        </w:numPr>
      </w:pPr>
      <w:r>
        <w:t xml:space="preserve">Circadian rhythm disturbance and family history.</w:t>
      </w:r>
    </w:p>
    <w:bookmarkEnd w:id="689"/>
    <w:bookmarkStart w:id="692" w:name="X70e4f0f3e3bc465df515956d5921127b55c1e64"/>
    <w:p>
      <w:pPr>
        <w:pStyle w:val="Heading3"/>
      </w:pPr>
      <w:r>
        <w:t xml:space="preserve">5. Clinical features</w:t>
      </w:r>
    </w:p>
    <w:bookmarkStart w:id="690" w:name="hypomanic-episode"/>
    <w:p>
      <w:pPr>
        <w:pStyle w:val="Heading4"/>
      </w:pPr>
      <w:r>
        <w:t xml:space="preserve">5.1 Hypomanic episode</w:t>
      </w:r>
    </w:p>
    <w:p>
      <w:pPr>
        <w:pStyle w:val="Compact"/>
        <w:numPr>
          <w:ilvl w:val="0"/>
          <w:numId w:val="1312"/>
        </w:numPr>
      </w:pPr>
      <w:r>
        <w:t xml:space="preserve">Abnormally elevated or irritable mood + increased energy ≥ 4 days (≥ 7 in Type I).</w:t>
      </w:r>
    </w:p>
    <w:p>
      <w:pPr>
        <w:pStyle w:val="Compact"/>
        <w:numPr>
          <w:ilvl w:val="0"/>
          <w:numId w:val="1312"/>
        </w:numPr>
      </w:pPr>
      <w:r>
        <w:t xml:space="preserve">Same sub-symptoms as manic episode (decreased need for sleep, distractibility, increase in goal-directed activity, etc.); ≥ 3 symptoms (≥ 4 if irritable mood).</w:t>
      </w:r>
    </w:p>
    <w:p>
      <w:pPr>
        <w:pStyle w:val="Compact"/>
        <w:numPr>
          <w:ilvl w:val="0"/>
          <w:numId w:val="1312"/>
        </w:numPr>
      </w:pPr>
      <w:r>
        <w:t xml:space="preserve">Functional impairment should not be significant (i.e., hypomanic definition); no psychotic features; no hospitalization required. If these criteria are observed — diagnosis changes to Type I.</w:t>
      </w:r>
    </w:p>
    <w:bookmarkEnd w:id="690"/>
    <w:bookmarkStart w:id="691" w:name="major-depressive-episode"/>
    <w:p>
      <w:pPr>
        <w:pStyle w:val="Heading4"/>
      </w:pPr>
      <w:r>
        <w:t xml:space="preserve">5.2 Major depressive episode</w:t>
      </w:r>
    </w:p>
    <w:p>
      <w:pPr>
        <w:pStyle w:val="Compact"/>
        <w:numPr>
          <w:ilvl w:val="0"/>
          <w:numId w:val="1313"/>
        </w:numPr>
      </w:pPr>
      <w:r>
        <w:t xml:space="preserve">≥ 5 symptoms for 2 weeks (including low mood and/or anhedonia).</w:t>
      </w:r>
    </w:p>
    <w:p>
      <w:pPr>
        <w:pStyle w:val="Compact"/>
        <w:numPr>
          <w:ilvl w:val="0"/>
          <w:numId w:val="1313"/>
        </w:numPr>
      </w:pPr>
      <w:r>
        <w:t xml:space="preserve">Bipolar Type II depressive episodes often with atypical features — hypersomnia, hyperphagia, leaden paralysis, rejection sensitivity.</w:t>
      </w:r>
    </w:p>
    <w:p>
      <w:pPr>
        <w:pStyle w:val="Compact"/>
        <w:numPr>
          <w:ilvl w:val="0"/>
          <w:numId w:val="1313"/>
        </w:numPr>
      </w:pPr>
      <w:r>
        <w:t xml:space="preserve">Patients are symptomatic during 53.9% of follow-up weeks; depressive symptoms occupy 50.3% of weeks (hypomanic 1.3%, cycling/mixed 2.3%) — Judd L.L. et al. Arch Gen Psychiatry 2003, n=86, mean 13.4 years of follow-up; most symptoms are at subsyndromal level.</w:t>
      </w:r>
    </w:p>
    <w:bookmarkEnd w:id="691"/>
    <w:bookmarkEnd w:id="692"/>
    <w:bookmarkStart w:id="697" w:name="Xe281e676dbb4bc0019f32a15d6bdcb4dcb59aa2"/>
    <w:p>
      <w:pPr>
        <w:pStyle w:val="Heading3"/>
      </w:pPr>
      <w:r>
        <w:t xml:space="preserve">6. Diagnosis</w:t>
      </w:r>
    </w:p>
    <w:bookmarkStart w:id="693" w:name="unified-diagnostic-criteria-1"/>
    <w:p>
      <w:pPr>
        <w:pStyle w:val="Heading4"/>
      </w:pPr>
      <w:r>
        <w:t xml:space="preserve">6.1 Unified diagnostic criteria</w:t>
      </w:r>
    </w:p>
    <w:p>
      <w:pPr>
        <w:pStyle w:val="FirstParagraph"/>
      </w:pPr>
      <w:r>
        <w:t xml:space="preserve">A. At least one hypomanic episode.</w:t>
      </w:r>
    </w:p>
    <w:p>
      <w:pPr>
        <w:pStyle w:val="BodyText"/>
      </w:pPr>
      <w:r>
        <w:t xml:space="preserve">B. At least one major depressive episode.</w:t>
      </w:r>
    </w:p>
    <w:p>
      <w:pPr>
        <w:pStyle w:val="BodyText"/>
      </w:pPr>
      <w:r>
        <w:t xml:space="preserve">C. Never had a manic episode.</w:t>
      </w:r>
    </w:p>
    <w:p>
      <w:pPr>
        <w:pStyle w:val="BodyText"/>
      </w:pPr>
      <w:r>
        <w:t xml:space="preserve">D. Hypomanic and depressive episodes are not better explained by schizoaffective disorder, schizophrenia, or another psychotic disorder.</w:t>
      </w:r>
    </w:p>
    <w:p>
      <w:pPr>
        <w:pStyle w:val="BodyText"/>
      </w:pPr>
      <w:r>
        <w:t xml:space="preserve">E. Symptoms cause significant distress or functional impairment (primarily from depressive episode).</w:t>
      </w:r>
    </w:p>
    <w:bookmarkEnd w:id="693"/>
    <w:bookmarkStart w:id="694" w:name="differences-between-sources-22"/>
    <w:p>
      <w:pPr>
        <w:pStyle w:val="Heading4"/>
      </w:pPr>
      <w:r>
        <w:t xml:space="preserve">6.2 Differences between sources</w:t>
      </w:r>
    </w:p>
    <w:p>
      <w:pPr>
        <w:pStyle w:val="Compact"/>
        <w:numPr>
          <w:ilvl w:val="0"/>
          <w:numId w:val="1314"/>
        </w:numPr>
      </w:pPr>
      <w:r>
        <w:t xml:space="preserve">DSM-5-TR / ICD-11: functional impairment in hypomanic episode should not be significant; antidepressant-induced hypomanic episode leads to bipolar Type II diagnosis (especially in persistent or recurrent cases).</w:t>
      </w:r>
    </w:p>
    <w:p>
      <w:pPr>
        <w:pStyle w:val="Compact"/>
        <w:numPr>
          <w:ilvl w:val="0"/>
          <w:numId w:val="1314"/>
        </w:numPr>
      </w:pPr>
      <w:r>
        <w:t xml:space="preserve">Underdiagnosis problem: Hirschfeld R.M. reviews — ~25–50% of patients presenting with a depressive episode are actually Bipolar Type II, but hypomanic episodes are perceived by the family as “good periods.”</w:t>
      </w:r>
    </w:p>
    <w:bookmarkEnd w:id="694"/>
    <w:bookmarkStart w:id="695" w:name="diagnostic-algorithm-14"/>
    <w:p>
      <w:pPr>
        <w:pStyle w:val="Heading4"/>
      </w:pPr>
      <w:r>
        <w:t xml:space="preserve">6.3 Diagnostic algorithm</w:t>
      </w:r>
    </w:p>
    <w:p>
      <w:pPr>
        <w:pStyle w:val="Compact"/>
        <w:numPr>
          <w:ilvl w:val="0"/>
          <w:numId w:val="1315"/>
        </w:numPr>
      </w:pPr>
      <w:r>
        <w:t xml:space="preserve">Structured inquiry for hypomanic episodes in every depressive patient (SCID-5 mood module, MDQ, HCL-32).</w:t>
      </w:r>
    </w:p>
    <w:p>
      <w:pPr>
        <w:pStyle w:val="Compact"/>
        <w:numPr>
          <w:ilvl w:val="0"/>
          <w:numId w:val="1315"/>
        </w:numPr>
      </w:pPr>
      <w:r>
        <w:t xml:space="preserve">Information from family members — observation of hypomanic episodes is important.</w:t>
      </w:r>
    </w:p>
    <w:p>
      <w:pPr>
        <w:pStyle w:val="Compact"/>
        <w:numPr>
          <w:ilvl w:val="0"/>
          <w:numId w:val="1315"/>
        </w:numPr>
      </w:pPr>
      <w:r>
        <w:t xml:space="preserve">Clinical interview + YMRS, HAM-D / MADRS.</w:t>
      </w:r>
    </w:p>
    <w:p>
      <w:pPr>
        <w:pStyle w:val="Compact"/>
        <w:numPr>
          <w:ilvl w:val="0"/>
          <w:numId w:val="1315"/>
        </w:numPr>
      </w:pPr>
      <w:r>
        <w:t xml:space="preserve">Laboratory: thyroid, liver, kidney, toxicology, pregnancy test.</w:t>
      </w:r>
    </w:p>
    <w:p>
      <w:pPr>
        <w:pStyle w:val="Compact"/>
        <w:numPr>
          <w:ilvl w:val="0"/>
          <w:numId w:val="1315"/>
        </w:numPr>
      </w:pPr>
      <w:r>
        <w:t xml:space="preserve">Comorbidity and suicide risk assessment.</w:t>
      </w:r>
    </w:p>
    <w:bookmarkEnd w:id="695"/>
    <w:bookmarkStart w:id="696" w:name="differential-diagnosis-1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Type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 manic episode (functional impairment or hospitalization requirement).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Disorder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hypomanic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Cyclothymic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full major depressive or hypomanic episodes.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Emotional lability hours; identity disturbance; chronic suicidal ideation.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not episodic.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 measurement.</w:t>
            </w:r>
          </w:p>
        </w:tc>
      </w:tr>
    </w:tbl>
    <w:bookmarkEnd w:id="696"/>
    <w:bookmarkEnd w:id="697"/>
    <w:bookmarkStart w:id="698" w:name="X3114cd7a164ef273779edf6e342252a9f1dca42"/>
    <w:p>
      <w:pPr>
        <w:pStyle w:val="Heading3"/>
      </w:pPr>
      <w:r>
        <w:t xml:space="preserve">7. Examination and assessment</w:t>
      </w:r>
    </w:p>
    <w:p>
      <w:pPr>
        <w:pStyle w:val="Compact"/>
        <w:numPr>
          <w:ilvl w:val="0"/>
          <w:numId w:val="1316"/>
        </w:numPr>
      </w:pPr>
      <w:r>
        <w:t xml:space="preserve">SCID-5 mood module — the gold standard.</w:t>
      </w:r>
    </w:p>
    <w:p>
      <w:pPr>
        <w:pStyle w:val="Compact"/>
        <w:numPr>
          <w:ilvl w:val="0"/>
          <w:numId w:val="1316"/>
        </w:numPr>
      </w:pPr>
      <w:r>
        <w:t xml:space="preserve">MDQ (Mood Disorder Questionnaire) and HCL-32 (Hypomania Checklist) — screening.</w:t>
      </w:r>
    </w:p>
    <w:p>
      <w:pPr>
        <w:pStyle w:val="Compact"/>
        <w:numPr>
          <w:ilvl w:val="0"/>
          <w:numId w:val="1316"/>
        </w:numPr>
      </w:pPr>
      <w:r>
        <w:t xml:space="preserve">YMRS, HAM-D / MADRS, C-SSRS.</w:t>
      </w:r>
    </w:p>
    <w:p>
      <w:pPr>
        <w:pStyle w:val="Compact"/>
        <w:numPr>
          <w:ilvl w:val="0"/>
          <w:numId w:val="1316"/>
        </w:numPr>
      </w:pPr>
      <w:r>
        <w:t xml:space="preserve">Pre-lithium: creatinine, TSH, calcium, EKG.</w:t>
      </w:r>
    </w:p>
    <w:bookmarkEnd w:id="698"/>
    <w:bookmarkStart w:id="702" w:name="X9caac9a08d61445901b015d8f7965651924e240"/>
    <w:p>
      <w:pPr>
        <w:pStyle w:val="Heading3"/>
      </w:pPr>
      <w:r>
        <w:t xml:space="preserve">8. Treatment</w:t>
      </w:r>
    </w:p>
    <w:bookmarkStart w:id="699" w:name="Xdc9306df4ebaccb9cc61da195875ab306e9a09d"/>
    <w:p>
      <w:pPr>
        <w:pStyle w:val="Heading4"/>
      </w:pPr>
      <w:r>
        <w:t xml:space="preserve">8.1 General principles (NICE CG185 · CANMAT/ISBD 2018)</w:t>
      </w:r>
    </w:p>
    <w:p>
      <w:pPr>
        <w:pStyle w:val="Compact"/>
        <w:numPr>
          <w:ilvl w:val="0"/>
          <w:numId w:val="1317"/>
        </w:numPr>
      </w:pPr>
      <w:r>
        <w:t xml:space="preserve">Bipolar Type II depressive episode (most common presentation):</w:t>
      </w:r>
    </w:p>
    <w:p>
      <w:pPr>
        <w:pStyle w:val="Compact"/>
        <w:numPr>
          <w:ilvl w:val="1"/>
          <w:numId w:val="1318"/>
        </w:numPr>
      </w:pPr>
      <w:r>
        <w:t xml:space="preserve">First-line — quetiapine (FDA approved) or quetiapine + lithium combination. Lurasidone's FDA indication covers bipolar I depression only, not type II; CANMAT/ISBD 2018 likewise names quetiapine alone as first-line for the type II depressive episode.</w:t>
      </w:r>
    </w:p>
    <w:p>
      <w:pPr>
        <w:pStyle w:val="Compact"/>
        <w:numPr>
          <w:ilvl w:val="1"/>
          <w:numId w:val="1318"/>
        </w:numPr>
      </w:pPr>
      <w:r>
        <w:t xml:space="preserve">Lamotrigine — first-line in maintenance and depressive prophylaxis (particularly effective in Type II).</w:t>
      </w:r>
    </w:p>
    <w:p>
      <w:pPr>
        <w:pStyle w:val="Compact"/>
        <w:numPr>
          <w:ilvl w:val="1"/>
          <w:numId w:val="1318"/>
        </w:numPr>
      </w:pPr>
      <w:r>
        <w:t xml:space="preserve">Lithium — maintenance and suicide reduction.</w:t>
      </w:r>
    </w:p>
    <w:p>
      <w:pPr>
        <w:pStyle w:val="Compact"/>
        <w:numPr>
          <w:ilvl w:val="0"/>
          <w:numId w:val="1317"/>
        </w:numPr>
      </w:pPr>
      <w:r>
        <w:t xml:space="preserve">Hypomanic episode: Stop antidepressant; mood stabilizer (lithium, valproate) or atypical antipsychotic.</w:t>
      </w:r>
    </w:p>
    <w:p>
      <w:pPr>
        <w:pStyle w:val="Compact"/>
        <w:numPr>
          <w:ilvl w:val="0"/>
          <w:numId w:val="1317"/>
        </w:numPr>
      </w:pPr>
      <w:r>
        <w:t xml:space="preserve">Antidepressant use: formerly considered relatively safe in bipolar Type II, but recent guidelines (CANMAT 2018) recommend only with a mood stabilizer (to reduce risk of manic switch and rapid cycling).</w:t>
      </w:r>
    </w:p>
    <w:p>
      <w:pPr>
        <w:pStyle w:val="Compact"/>
        <w:numPr>
          <w:ilvl w:val="0"/>
          <w:numId w:val="1317"/>
        </w:numPr>
      </w:pPr>
      <w:r>
        <w:t xml:space="preserve">Maintenance: Lamotrigine (when the depressive component is dominant) or quetiapine; lithium for suicide reduction effect.</w:t>
      </w:r>
    </w:p>
    <w:p>
      <w:pPr>
        <w:pStyle w:val="Compact"/>
        <w:numPr>
          <w:ilvl w:val="0"/>
          <w:numId w:val="1317"/>
        </w:numPr>
      </w:pPr>
      <w:r>
        <w:t xml:space="preserve">Psychosocial: CBT, IPSRT, family-focused therapy, psychoeducation.</w:t>
      </w:r>
    </w:p>
    <w:p>
      <w:pPr>
        <w:pStyle w:val="Compact"/>
        <w:numPr>
          <w:ilvl w:val="0"/>
          <w:numId w:val="1317"/>
        </w:numPr>
      </w:pPr>
      <w:r>
        <w:t xml:space="preserve">Refractory: clozapine, ECT.</w:t>
      </w:r>
    </w:p>
    <w:p>
      <w:pPr>
        <w:pStyle w:val="Compact"/>
        <w:numPr>
          <w:ilvl w:val="0"/>
          <w:numId w:val="1317"/>
        </w:numPr>
      </w:pPr>
      <w:r>
        <w:t xml:space="preserve">Pregnancy: valproate absolute contraindication; lamotrigine and quetiapine relatively safe.</w:t>
      </w:r>
    </w:p>
    <w:bookmarkEnd w:id="699"/>
    <w:bookmarkStart w:id="700" w:name="treatment-methods-15"/>
    <w:p>
      <w:pPr>
        <w:pStyle w:val="Heading4"/>
      </w:pPr>
      <w:r>
        <w:t xml:space="preserve">8.2 Treatment methods</w:t>
      </w:r>
    </w:p>
    <w:p>
      <w:pPr>
        <w:pStyle w:val="Compact"/>
        <w:numPr>
          <w:ilvl w:val="0"/>
          <w:numId w:val="1319"/>
        </w:numPr>
      </w:pPr>
      <w:r>
        <w:t xml:space="preserve">Lamotrigine — Bipolar Type II effective in maintenance and prevention of depressive episodes; titration slow (risk of Stevens-Johnson syndrome) — starting dose 25 mg, increase over 2 weeks; target 200 mg/day. Calabrese J.R. et al. J Clin Psychiatry 2003.</w:t>
      </w:r>
    </w:p>
    <w:p>
      <w:pPr>
        <w:pStyle w:val="Compact"/>
        <w:numPr>
          <w:ilvl w:val="0"/>
          <w:numId w:val="1319"/>
        </w:numPr>
      </w:pPr>
      <w:r>
        <w:t xml:space="preserve">Quetiapine — FDA approval for bipolar depressive episode; 300–600 mg/day; metabolic side effect monitoring.</w:t>
      </w:r>
    </w:p>
    <w:p>
      <w:pPr>
        <w:pStyle w:val="Compact"/>
        <w:numPr>
          <w:ilvl w:val="0"/>
          <w:numId w:val="1319"/>
        </w:numPr>
      </w:pPr>
      <w:r>
        <w:t xml:space="preserve">Interpersonal and Social Rhythm Therapy (IPSRT) — Frank (Frank E.); and CBT for bipolar disorder — Circadian rhythm, compliance, relapse prevention.</w:t>
      </w:r>
    </w:p>
    <w:p>
      <w:pPr>
        <w:pStyle w:val="Compact"/>
        <w:numPr>
          <w:ilvl w:val="0"/>
          <w:numId w:val="1319"/>
        </w:numPr>
      </w:pPr>
      <w:r>
        <w:t xml:space="preserve">Hypomania Checklist (HCL-32) — Angst J — 32-item self-assessment hypomanic episode screening.</w:t>
      </w:r>
    </w:p>
    <w:p>
      <w:pPr>
        <w:pStyle w:val="Compact"/>
        <w:numPr>
          <w:ilvl w:val="0"/>
          <w:numId w:val="1319"/>
        </w:numPr>
      </w:pPr>
      <w:r>
        <w:t xml:space="preserve">Mood Disorder Questionnaire (MDQ — Mood Disorder Questionnaire) — 13 questions; bipolar screening.</w:t>
      </w:r>
    </w:p>
    <w:bookmarkEnd w:id="700"/>
    <w:bookmarkStart w:id="701" w:name="differences-between-sources-23"/>
    <w:p>
      <w:pPr>
        <w:pStyle w:val="Heading4"/>
      </w:pPr>
      <w:r>
        <w:t xml:space="preserve">8.3 Differences between sources</w:t>
      </w:r>
    </w:p>
    <w:p>
      <w:pPr>
        <w:pStyle w:val="Compact"/>
        <w:numPr>
          <w:ilvl w:val="0"/>
          <w:numId w:val="1320"/>
        </w:numPr>
      </w:pPr>
      <w:r>
        <w:t xml:space="preserve">CANMAT/ISBD 2018: Type II depressive episode first-line — quetiapine; lamotrigine in maintenance.</w:t>
      </w:r>
    </w:p>
    <w:p>
      <w:pPr>
        <w:pStyle w:val="Compact"/>
        <w:numPr>
          <w:ilvl w:val="0"/>
          <w:numId w:val="1320"/>
        </w:numPr>
      </w:pPr>
      <w:r>
        <w:t xml:space="preserve">NICE CG185: Type I and II same main approach, but lamotrigine's specific role emphasized in Type II.</w:t>
      </w:r>
    </w:p>
    <w:p>
      <w:pPr>
        <w:pStyle w:val="Compact"/>
        <w:numPr>
          <w:ilvl w:val="0"/>
          <w:numId w:val="1320"/>
        </w:numPr>
      </w:pPr>
      <w:r>
        <w:t xml:space="preserve">Calabrese J.R. RCTs — lamotrigine efficacy in maintenance treatment of bipolar disorder type II.</w:t>
      </w:r>
    </w:p>
    <w:bookmarkEnd w:id="701"/>
    <w:bookmarkEnd w:id="702"/>
    <w:bookmarkStart w:id="703" w:name="X34352dbf1a8542269eb760fc478557904eac256"/>
    <w:p>
      <w:pPr>
        <w:pStyle w:val="Heading3"/>
      </w:pPr>
      <w:r>
        <w:t xml:space="preserve">9. Prognosis</w:t>
      </w:r>
    </w:p>
    <w:p>
      <w:pPr>
        <w:pStyle w:val="Compact"/>
        <w:numPr>
          <w:ilvl w:val="0"/>
          <w:numId w:val="1321"/>
        </w:numPr>
      </w:pPr>
      <w:r>
        <w:t xml:space="preserve">Episodic course; relapse significantly reduced with maintenance pharmacotherapy.</w:t>
      </w:r>
    </w:p>
    <w:p>
      <w:pPr>
        <w:pStyle w:val="Compact"/>
        <w:numPr>
          <w:ilvl w:val="0"/>
          <w:numId w:val="1321"/>
        </w:numPr>
      </w:pPr>
      <w:r>
        <w:t xml:space="preserve">Type II is not ‘milder’ than Type I — high functional impairment and depressive burden.</w:t>
      </w:r>
    </w:p>
    <w:p>
      <w:pPr>
        <w:pStyle w:val="Compact"/>
        <w:numPr>
          <w:ilvl w:val="0"/>
          <w:numId w:val="1321"/>
        </w:numPr>
      </w:pPr>
      <w:r>
        <w:t xml:space="preserve">Suicide risk high.</w:t>
      </w:r>
    </w:p>
    <w:p>
      <w:pPr>
        <w:pStyle w:val="Compact"/>
        <w:numPr>
          <w:ilvl w:val="0"/>
          <w:numId w:val="1321"/>
        </w:numPr>
      </w:pPr>
      <w:r>
        <w:t xml:space="preserve">Quetiapine and lamotrigine in maintenance as main.</w:t>
      </w:r>
    </w:p>
    <w:p>
      <w:pPr>
        <w:pStyle w:val="Compact"/>
        <w:numPr>
          <w:ilvl w:val="0"/>
          <w:numId w:val="1321"/>
        </w:numPr>
      </w:pPr>
      <w:r>
        <w:t xml:space="preserve">Monitoring — depressive symptoms, hypomanic triggers, metabolic indicators.</w:t>
      </w:r>
    </w:p>
    <w:bookmarkEnd w:id="703"/>
    <w:bookmarkStart w:id="711" w:name="X0903ec9d84a0d368cae22688c9e1606f8a4c887"/>
    <w:p>
      <w:pPr>
        <w:pStyle w:val="Heading3"/>
      </w:pPr>
      <w:r>
        <w:t xml:space="preserve">10. Myths and misconceptions</w:t>
      </w:r>
    </w:p>
    <w:bookmarkStart w:id="704" w:name="Xc516534e086a32def489b21f011af1140b52f78"/>
    <w:p>
      <w:pPr>
        <w:pStyle w:val="Heading5"/>
      </w:pPr>
      <w:r>
        <w:t xml:space="preserve">Myth 1: “Type II bipolar is a ‘mild form’ requiring little treatment”</w:t>
      </w:r>
    </w:p>
    <w:p>
      <w:pPr>
        <w:pStyle w:val="FirstParagraph"/>
      </w:pPr>
      <w:r>
        <w:t xml:space="preserve">Evidence: Judd L.L. Arch Gen Psychiatry 2003 — Type II patients spend 50.3% of follow-up weeks with depressive symptoms (53.9% symptomatic overall); functional impairment and suicide risk comparable to Type I.</w:t>
      </w:r>
    </w:p>
    <w:bookmarkEnd w:id="704"/>
    <w:bookmarkStart w:id="705" w:name="X3dbb162ec2f5297b590f973a2a963a5a9c2104d"/>
    <w:p>
      <w:pPr>
        <w:pStyle w:val="Heading5"/>
      </w:pPr>
      <w:r>
        <w:t xml:space="preserve">Myth 2: “Hypomanic episode is a ‘good period’, no treatment needed”</w:t>
      </w:r>
    </w:p>
    <w:p>
      <w:pPr>
        <w:pStyle w:val="FirstParagraph"/>
      </w:pPr>
      <w:r>
        <w:t xml:space="preserve">Evidence: hypomanic episode can involve risky behavior, impaired relationships, later productivity decline, and trigger depressive episode; isolated episodes indicate need for maintenance pharmacotherapy.</w:t>
      </w:r>
    </w:p>
    <w:bookmarkEnd w:id="705"/>
    <w:bookmarkStart w:id="706" w:name="X08cd3ba511b1b4c8203c5748d8933e82a1c02aa"/>
    <w:p>
      <w:pPr>
        <w:pStyle w:val="Heading5"/>
      </w:pPr>
      <w:r>
        <w:t xml:space="preserve">Myth 3: “Antidepressant alone can be used in Type II patient”</w:t>
      </w:r>
    </w:p>
    <w:p>
      <w:pPr>
        <w:pStyle w:val="FirstParagraph"/>
      </w:pPr>
      <w:r>
        <w:t xml:space="preserve">Evidence: CANMAT 2018 — antidepressant only with mood stabilizer; risk of manic switch and rapid cycling.</w:t>
      </w:r>
    </w:p>
    <w:bookmarkEnd w:id="706"/>
    <w:bookmarkStart w:id="707" w:name="X837b73392b9c238b9c753aaa3b9ebd41338b4c5"/>
    <w:p>
      <w:pPr>
        <w:pStyle w:val="Heading5"/>
      </w:pPr>
      <w:r>
        <w:t xml:space="preserve">Myth 4: “Bipolar Type II is only a form of borderline personality disorder”</w:t>
      </w:r>
    </w:p>
    <w:p>
      <w:pPr>
        <w:pStyle w:val="FirstParagraph"/>
      </w:pPr>
      <w:r>
        <w:t xml:space="preserve">Evidence: There is significant overlap and comorbidity, but these are distinct disorders; bipolar Type II episodic, BPD continuous pattern.</w:t>
      </w:r>
    </w:p>
    <w:bookmarkEnd w:id="707"/>
    <w:bookmarkStart w:id="708" w:name="myth-5-lamotrigine-cures-a-manic-episode"/>
    <w:p>
      <w:pPr>
        <w:pStyle w:val="Heading5"/>
      </w:pPr>
      <w:r>
        <w:t xml:space="preserve">Myth 5: “Lamotrigine cures a manic episode”</w:t>
      </w:r>
    </w:p>
    <w:p>
      <w:pPr>
        <w:pStyle w:val="FirstParagraph"/>
      </w:pPr>
      <w:r>
        <w:t xml:space="preserve">Evidence: Lamotrigine is effective in the depressive component and maintenance; ineffective for manic episodes — antipsychotic or valproate is required.</w:t>
      </w:r>
    </w:p>
    <w:bookmarkEnd w:id="708"/>
    <w:bookmarkStart w:id="709" w:name="Xa34ff604488260f3610d08879a1e6376d987fef"/>
    <w:p>
      <w:pPr>
        <w:pStyle w:val="Heading5"/>
      </w:pPr>
      <w:r>
        <w:t xml:space="preserve">Myth 6: “St John's Wort is safe in bipolar because it is a natural antidepressant”</w:t>
      </w:r>
    </w:p>
    <w:p>
      <w:pPr>
        <w:pStyle w:val="FirstParagraph"/>
      </w:pPr>
      <w:r>
        <w:t xml:space="preserve">Evidence: St. John's Wort can induce mania and decrease the levels of mood stabilizers (CYP induction); contraindicated in bipolar disorder.</w:t>
      </w:r>
    </w:p>
    <w:bookmarkEnd w:id="709"/>
    <w:bookmarkStart w:id="710" w:name="myth-7-ect-is-not-needed-in-type-ii"/>
    <w:p>
      <w:pPr>
        <w:pStyle w:val="Heading5"/>
      </w:pPr>
      <w:r>
        <w:t xml:space="preserve">Myth 7: “ECT is not needed in Type II”</w:t>
      </w:r>
    </w:p>
    <w:p>
      <w:pPr>
        <w:pStyle w:val="FirstParagraph"/>
      </w:pPr>
      <w:r>
        <w:t xml:space="preserve">Evidence: ECT indicated for refractory depressive episode or high suicidality risk; also effective in Type II patient.</w:t>
      </w:r>
    </w:p>
    <w:bookmarkEnd w:id="710"/>
    <w:bookmarkEnd w:id="711"/>
    <w:bookmarkStart w:id="2989" w:name="Xa1f86d921a64778a1b2953e8723ae09166dbb61"/>
    <w:p>
      <w:pPr>
        <w:pStyle w:val="Heading3"/>
      </w:pPr>
      <w:r>
        <w:t xml:space="preserve">11. Sources</w:t>
      </w:r>
    </w:p>
    <w:p>
      <w:pPr>
        <w:pStyle w:val="Compact"/>
        <w:numPr>
          <w:ilvl w:val="0"/>
          <w:numId w:val="1322"/>
        </w:numPr>
      </w:pPr>
      <w:r>
        <w:t xml:space="preserve">WHO. ICD-11. 6A61 Bipolar type II disorder. 2024.</w:t>
      </w:r>
    </w:p>
    <w:p>
      <w:pPr>
        <w:pStyle w:val="Compact"/>
        <w:numPr>
          <w:ilvl w:val="0"/>
          <w:numId w:val="1322"/>
        </w:numPr>
      </w:pPr>
      <w:r>
        <w:t xml:space="preserve">APA. DSM-5-TR. 2022.</w:t>
      </w:r>
    </w:p>
    <w:p>
      <w:pPr>
        <w:pStyle w:val="Compact"/>
        <w:numPr>
          <w:ilvl w:val="0"/>
          <w:numId w:val="1322"/>
        </w:numPr>
      </w:pPr>
      <w:r>
        <w:t xml:space="preserve">NICE CG185. 2014/2020.</w:t>
      </w:r>
    </w:p>
    <w:p>
      <w:pPr>
        <w:pStyle w:val="Compact"/>
        <w:numPr>
          <w:ilvl w:val="0"/>
          <w:numId w:val="1322"/>
        </w:numPr>
      </w:pPr>
      <w:r>
        <w:t xml:space="preserve">Yatham L.N. et al. CANMAT and ISBD 2018 guidelines. Bipolar Disord 2018;20(2):97–170.</w:t>
      </w:r>
    </w:p>
    <w:p>
      <w:pPr>
        <w:pStyle w:val="Compact"/>
        <w:numPr>
          <w:ilvl w:val="0"/>
          <w:numId w:val="1322"/>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22"/>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22"/>
        </w:numPr>
      </w:pPr>
      <w:r>
        <w:t xml:space="preserve">Cipriani A. et al. BMJ 2013;346:f3646.</w:t>
      </w:r>
    </w:p>
    <w:p>
      <w:pPr>
        <w:pStyle w:val="Compact"/>
        <w:numPr>
          <w:ilvl w:val="0"/>
          <w:numId w:val="1322"/>
        </w:numPr>
      </w:pPr>
      <w:r>
        <w:t xml:space="preserve">Merikangas K.R. et al. Arch Gen Psychiatry 2011;68(3):241–251.</w:t>
      </w:r>
    </w:p>
    <w:p>
      <w:pPr>
        <w:pStyle w:val="Compact"/>
        <w:numPr>
          <w:ilvl w:val="0"/>
          <w:numId w:val="1322"/>
        </w:numPr>
      </w:pPr>
      <w:r>
        <w:t xml:space="preserve">Angst J. et al. The HCL-32: towards a self-assessment tool for hypomanic symptoms. J Affect Disord 2005;88(2):217–233.</w:t>
      </w:r>
    </w:p>
    <w:p>
      <w:pPr>
        <w:pStyle w:val="Compact"/>
        <w:numPr>
          <w:ilvl w:val="0"/>
          <w:numId w:val="1322"/>
        </w:numPr>
      </w:pPr>
      <w:r>
        <w:t xml:space="preserve">Hirschfeld R.M., Williams J.B., Spitzer R.L. et al. Development and validation of a screening instrument for bipolar spectrum disorder: the Mood Disorder Questionnaire. Am J Psychiatry 2000;157(11):1873–1875.</w:t>
      </w:r>
    </w:p>
    <w:p>
      <w:pPr>
        <w:pStyle w:val="Compact"/>
        <w:numPr>
          <w:ilvl w:val="0"/>
          <w:numId w:val="1322"/>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12" w:name="m226a62-cyclothymic-disorder"/>
            <w:r>
              <w:t xml:space="preserve">6A62 CYCLOTHYMIC DISORDER</w:t>
            </w:r>
            <w:bookmarkEnd w:id="712"/>
          </w:p>
          <w:p>
            <w:pPr>
              <w:pStyle w:val="Compact"/>
              <w:ind w:firstLine="0" w:left="0"/>
            </w:pPr>
            <w:r>
              <w:rPr>
                <w:lang w:val="en"/>
              </w:rPr>
              <w:t xml:space="preserve">Cyclothymic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Cyclothymia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Cyclothymic Disorder</w:t>
            </w:r>
          </w:p>
        </w:tc>
      </w:tr>
    </w:tbl>
    <w:bookmarkStart w:id="713" w:name="Xff96a1b837781ebe297d807533e0f3704aa5c54"/>
    <w:p>
      <w:pPr>
        <w:pStyle w:val="Heading3"/>
      </w:pPr>
      <w:r>
        <w:t xml:space="preserve">1. Definition and nosology</w:t>
      </w:r>
    </w:p>
    <w:p>
      <w:pPr>
        <w:pStyle w:val="FirstParagraph"/>
      </w:pPr>
      <w:r>
        <w:t xml:space="preserve">Cyclothymic disorder (ICD-11:</w:t>
      </w:r>
      <w:r>
        <w:t xml:space="preserve"> </w:t>
      </w:r>
      <w:r>
        <w:t xml:space="preserve">6A62</w:t>
      </w:r>
      <w:r>
        <w:t xml:space="preserve">; DSM-5-TR: F34.0 Cyclothymic Disorder) — over a period of at least 2 years (1 year in children/adolescents) subthreshold chronic affective disorder characterized by persistent fluctuation between hypomanic and depressive symptoms. Does not meet criteria for full major depressive, manic, or hypomanic episodes.</w:t>
      </w:r>
    </w:p>
    <w:bookmarkEnd w:id="713"/>
    <w:bookmarkStart w:id="714" w:name="Xe4ecd54a2ee467fa94580c9593f5359ca6b2ca5"/>
    <w:p>
      <w:pPr>
        <w:pStyle w:val="Heading3"/>
      </w:pPr>
      <w:r>
        <w:t xml:space="preserve">2. History</w:t>
      </w:r>
    </w:p>
    <w:p>
      <w:pPr>
        <w:pStyle w:val="Compact"/>
        <w:numPr>
          <w:ilvl w:val="0"/>
          <w:numId w:val="1323"/>
        </w:numPr>
      </w:pPr>
      <w:r>
        <w:t xml:space="preserve">Kahlbaum K. (1882) — “cyclothymia” term.</w:t>
      </w:r>
    </w:p>
    <w:p>
      <w:pPr>
        <w:pStyle w:val="Compact"/>
        <w:numPr>
          <w:ilvl w:val="0"/>
          <w:numId w:val="1323"/>
        </w:numPr>
      </w:pPr>
      <w:r>
        <w:t xml:space="preserve">Kraepelin (1899) — a mild form of manic-depressive disorder.</w:t>
      </w:r>
    </w:p>
    <w:p>
      <w:pPr>
        <w:pStyle w:val="Compact"/>
        <w:numPr>
          <w:ilvl w:val="0"/>
          <w:numId w:val="1323"/>
        </w:numPr>
      </w:pPr>
      <w:r>
        <w:t xml:space="preserve">Akiskal H.S. (1977) — reconceptualization of cyclothymic temperament as a subthreshold stage of the bipolar spectrum.</w:t>
      </w:r>
    </w:p>
    <w:p>
      <w:pPr>
        <w:pStyle w:val="Compact"/>
        <w:numPr>
          <w:ilvl w:val="0"/>
          <w:numId w:val="1323"/>
        </w:numPr>
      </w:pPr>
      <w:r>
        <w:t xml:space="preserve">DSM-III (1980), DSM-5 (2013), ICD-11 (2019) — within the category of affective disorders.</w:t>
      </w:r>
    </w:p>
    <w:bookmarkEnd w:id="714"/>
    <w:bookmarkStart w:id="715" w:name="X087a6a5e2bd3a6f3f6f8814c6fb05dd8313cc44"/>
    <w:p>
      <w:pPr>
        <w:pStyle w:val="Heading3"/>
      </w:pPr>
      <w:r>
        <w:t xml:space="preserve">3. Epidemiology</w:t>
      </w:r>
    </w:p>
    <w:p>
      <w:pPr>
        <w:pStyle w:val="Compact"/>
        <w:numPr>
          <w:ilvl w:val="0"/>
          <w:numId w:val="1324"/>
        </w:numPr>
      </w:pPr>
      <w:r>
        <w:t xml:space="preserve">Lifetime prevalence: 0.4–1% (DSM-5-TR; broad range, precise epidemiological data limited).</w:t>
      </w:r>
    </w:p>
    <w:p>
      <w:pPr>
        <w:pStyle w:val="Compact"/>
        <w:numPr>
          <w:ilvl w:val="0"/>
          <w:numId w:val="1324"/>
        </w:numPr>
      </w:pPr>
      <w:r>
        <w:t xml:space="preserve">Sex: approximately equal.</w:t>
      </w:r>
    </w:p>
    <w:p>
      <w:pPr>
        <w:pStyle w:val="Compact"/>
        <w:numPr>
          <w:ilvl w:val="0"/>
          <w:numId w:val="1324"/>
        </w:numPr>
      </w:pPr>
      <w:r>
        <w:t xml:space="preserve">Onset: adolescence and early adulthood.</w:t>
      </w:r>
    </w:p>
    <w:p>
      <w:pPr>
        <w:pStyle w:val="Compact"/>
        <w:numPr>
          <w:ilvl w:val="0"/>
          <w:numId w:val="1324"/>
        </w:numPr>
      </w:pPr>
      <w:r>
        <w:t xml:space="preserve">Type I or II conversion to bipolar: ~15–50% (Akiskal H.S. reviews).</w:t>
      </w:r>
    </w:p>
    <w:p>
      <w:pPr>
        <w:pStyle w:val="Compact"/>
        <w:numPr>
          <w:ilvl w:val="0"/>
          <w:numId w:val="1324"/>
        </w:numPr>
      </w:pPr>
      <w:r>
        <w:t xml:space="preserve">Comorbidity: anxiety, substance use, ADHD, borderline personality disorder.</w:t>
      </w:r>
    </w:p>
    <w:bookmarkEnd w:id="715"/>
    <w:bookmarkStart w:id="716" w:name="X4b3f4a7264758cca3900d4075c70c8eb405b3c7"/>
    <w:p>
      <w:pPr>
        <w:pStyle w:val="Heading3"/>
      </w:pPr>
      <w:r>
        <w:t xml:space="preserve">4. Aetiology and pathogenesis</w:t>
      </w:r>
    </w:p>
    <w:p>
      <w:pPr>
        <w:pStyle w:val="Compact"/>
        <w:numPr>
          <w:ilvl w:val="0"/>
          <w:numId w:val="1325"/>
        </w:numPr>
      </w:pPr>
      <w:r>
        <w:t xml:space="preserve">Shared genetic load with the bipolar spectrum (Akiskal).</w:t>
      </w:r>
    </w:p>
    <w:p>
      <w:pPr>
        <w:pStyle w:val="Compact"/>
        <w:numPr>
          <w:ilvl w:val="0"/>
          <w:numId w:val="1325"/>
        </w:numPr>
      </w:pPr>
      <w:r>
        <w:t xml:space="preserve">Increased density of bipolar and major depressive disorder in family history.</w:t>
      </w:r>
    </w:p>
    <w:p>
      <w:pPr>
        <w:pStyle w:val="Compact"/>
        <w:numPr>
          <w:ilvl w:val="0"/>
          <w:numId w:val="1325"/>
        </w:numPr>
      </w:pPr>
      <w:r>
        <w:t xml:space="preserve">Neurobiological — monoaminergic and circadian dysregulation similar to bipolar disorder, but less pronounced.</w:t>
      </w:r>
    </w:p>
    <w:bookmarkEnd w:id="716"/>
    <w:bookmarkStart w:id="717" w:name="Xbac43c245e18932332b293ecfdfb94408d345fe"/>
    <w:p>
      <w:pPr>
        <w:pStyle w:val="Heading3"/>
      </w:pPr>
      <w:r>
        <w:t xml:space="preserve">5. Clinical features</w:t>
      </w:r>
    </w:p>
    <w:p>
      <w:pPr>
        <w:pStyle w:val="Compact"/>
        <w:numPr>
          <w:ilvl w:val="0"/>
          <w:numId w:val="1326"/>
        </w:numPr>
      </w:pPr>
      <w:r>
        <w:t xml:space="preserve">Multiple subthreshold hypomanic episodes — brief, low-intensity elevations in energy and mood.</w:t>
      </w:r>
    </w:p>
    <w:p>
      <w:pPr>
        <w:pStyle w:val="Compact"/>
        <w:numPr>
          <w:ilvl w:val="0"/>
          <w:numId w:val="1326"/>
        </w:numPr>
      </w:pPr>
      <w:r>
        <w:t xml:space="preserve">Multiple subthreshold depressive episodes — low-intensity depressive symptoms.</w:t>
      </w:r>
    </w:p>
    <w:p>
      <w:pPr>
        <w:pStyle w:val="Compact"/>
        <w:numPr>
          <w:ilvl w:val="0"/>
          <w:numId w:val="1326"/>
        </w:numPr>
      </w:pPr>
      <w:r>
        <w:t xml:space="preserve">“Stable period” less than 2 months.</w:t>
      </w:r>
    </w:p>
    <w:p>
      <w:pPr>
        <w:pStyle w:val="Compact"/>
        <w:numPr>
          <w:ilvl w:val="0"/>
          <w:numId w:val="1326"/>
        </w:numPr>
      </w:pPr>
      <w:r>
        <w:t xml:space="preserve">Mood changes over days or weeks; patient may explain themselves as ‘this is just my nature.’</w:t>
      </w:r>
    </w:p>
    <w:p>
      <w:pPr>
        <w:pStyle w:val="Compact"/>
        <w:numPr>
          <w:ilvl w:val="0"/>
          <w:numId w:val="1326"/>
        </w:numPr>
      </w:pPr>
      <w:r>
        <w:t xml:space="preserve">Interpersonal and occupational impairment is present, but not disruptive.</w:t>
      </w:r>
    </w:p>
    <w:bookmarkEnd w:id="717"/>
    <w:bookmarkStart w:id="721" w:name="X8cf1e834e535d5de2cac50325d8bd36fa4b23eb"/>
    <w:p>
      <w:pPr>
        <w:pStyle w:val="Heading3"/>
      </w:pPr>
      <w:r>
        <w:t xml:space="preserve">6. Diagnosis</w:t>
      </w:r>
    </w:p>
    <w:bookmarkStart w:id="718" w:name="Xa32d59d925c0f00967b402c0654e5f0cfb22315"/>
    <w:p>
      <w:pPr>
        <w:pStyle w:val="Heading4"/>
      </w:pPr>
      <w:r>
        <w:t xml:space="preserve">6.1 Unified diagnostic criteria (DSM-5-TR · ICD-11)</w:t>
      </w:r>
    </w:p>
    <w:p>
      <w:pPr>
        <w:pStyle w:val="FirstParagraph"/>
      </w:pPr>
      <w:r>
        <w:t xml:space="preserve">A. At least 2 years (adults) / 1 year (children/adolescents) of numerous hypomanic and depressive subthreshold periods.</w:t>
      </w:r>
    </w:p>
    <w:p>
      <w:pPr>
        <w:pStyle w:val="BodyText"/>
      </w:pPr>
      <w:r>
        <w:t xml:space="preserve">B. During this period, symptoms are present for ≥ half of the time, and symptom-free periods do not exceed 2 months.</w:t>
      </w:r>
    </w:p>
    <w:p>
      <w:pPr>
        <w:pStyle w:val="BodyText"/>
      </w:pPr>
      <w:r>
        <w:t xml:space="preserve">C. Criteria for full major depressive, manic, or hypomanic episodes have never been met.</w:t>
      </w:r>
    </w:p>
    <w:p>
      <w:pPr>
        <w:pStyle w:val="BodyText"/>
      </w:pPr>
      <w:r>
        <w:t xml:space="preserve">D. Not better explained by schizoaffective, schizophrenia or other psychotic disorder.</w:t>
      </w:r>
    </w:p>
    <w:p>
      <w:pPr>
        <w:pStyle w:val="BodyText"/>
      </w:pPr>
      <w:r>
        <w:t xml:space="preserve">E. Exclusion of substance or medical condition.</w:t>
      </w:r>
    </w:p>
    <w:p>
      <w:pPr>
        <w:pStyle w:val="BodyText"/>
      </w:pPr>
      <w:r>
        <w:t xml:space="preserve">F. Significant distress or functional impairment.</w:t>
      </w:r>
    </w:p>
    <w:bookmarkEnd w:id="718"/>
    <w:bookmarkStart w:id="719" w:name="diagnostic-algorithm-15"/>
    <w:p>
      <w:pPr>
        <w:pStyle w:val="Heading4"/>
      </w:pPr>
      <w:r>
        <w:t xml:space="preserve">6.2 Diagnostic algorithm</w:t>
      </w:r>
    </w:p>
    <w:p>
      <w:pPr>
        <w:pStyle w:val="Compact"/>
        <w:numPr>
          <w:ilvl w:val="0"/>
          <w:numId w:val="1327"/>
        </w:numPr>
      </w:pPr>
      <w:r>
        <w:t xml:space="preserve">Clinical interview (mood diary recommended for 4–6 weeks — documentation of patient's own patterns).</w:t>
      </w:r>
    </w:p>
    <w:p>
      <w:pPr>
        <w:pStyle w:val="Compact"/>
        <w:numPr>
          <w:ilvl w:val="0"/>
          <w:numId w:val="1327"/>
        </w:numPr>
      </w:pPr>
      <w:r>
        <w:t xml:space="preserve">SCID-5, MDQ, HCL-32.</w:t>
      </w:r>
    </w:p>
    <w:p>
      <w:pPr>
        <w:pStyle w:val="Compact"/>
        <w:numPr>
          <w:ilvl w:val="0"/>
          <w:numId w:val="1327"/>
        </w:numPr>
      </w:pPr>
      <w:r>
        <w:t xml:space="preserve">Comorbidity and family history assessment.</w:t>
      </w:r>
    </w:p>
    <w:p>
      <w:pPr>
        <w:pStyle w:val="Compact"/>
        <w:numPr>
          <w:ilvl w:val="0"/>
          <w:numId w:val="1327"/>
        </w:numPr>
      </w:pPr>
      <w:r>
        <w:t xml:space="preserve">Medical and laboratory (thyroid absolute).</w:t>
      </w:r>
    </w:p>
    <w:bookmarkEnd w:id="719"/>
    <w:bookmarkStart w:id="720" w:name="differential-diagnosis-16"/>
    <w:p>
      <w:pPr>
        <w:pStyle w:val="Heading4"/>
      </w:pPr>
      <w:r>
        <w:t xml:space="preserve">6.3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Type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Full hypomanic and major depressive episodes.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Dysthymic disorder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Only depressive subthreshold; no hypomanic episodes.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Mood swings; identity disturbance; impulsivity and interpersonal relationships.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episodic; attention deficit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Cyclothymic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impairment.</w:t>
            </w:r>
          </w:p>
        </w:tc>
      </w:tr>
    </w:tbl>
    <w:bookmarkEnd w:id="720"/>
    <w:bookmarkEnd w:id="721"/>
    <w:bookmarkStart w:id="722" w:name="X73247cf2c90230f28f84c4fb1b516f94eb19c0e"/>
    <w:p>
      <w:pPr>
        <w:pStyle w:val="Heading3"/>
      </w:pPr>
      <w:r>
        <w:t xml:space="preserve">7. Examination and assessment</w:t>
      </w:r>
    </w:p>
    <w:p>
      <w:pPr>
        <w:pStyle w:val="Compact"/>
        <w:numPr>
          <w:ilvl w:val="0"/>
          <w:numId w:val="1328"/>
        </w:numPr>
      </w:pPr>
      <w:r>
        <w:t xml:space="preserve">Mood diary.</w:t>
      </w:r>
    </w:p>
    <w:p>
      <w:pPr>
        <w:pStyle w:val="Compact"/>
        <w:numPr>
          <w:ilvl w:val="0"/>
          <w:numId w:val="1328"/>
        </w:numPr>
      </w:pPr>
      <w:r>
        <w:t xml:space="preserve">MDQ, HCL-32, YMRS, HAM-D.</w:t>
      </w:r>
    </w:p>
    <w:p>
      <w:pPr>
        <w:pStyle w:val="Compact"/>
        <w:numPr>
          <w:ilvl w:val="0"/>
          <w:numId w:val="1328"/>
        </w:numPr>
      </w:pPr>
      <w:r>
        <w:t xml:space="preserve">Thyroid function.</w:t>
      </w:r>
    </w:p>
    <w:bookmarkEnd w:id="722"/>
    <w:bookmarkStart w:id="725" w:name="X80fddd00777ec6419c0138e9d37ac2c6c87fdee"/>
    <w:p>
      <w:pPr>
        <w:pStyle w:val="Heading3"/>
      </w:pPr>
      <w:r>
        <w:t xml:space="preserve">8. Treatment</w:t>
      </w:r>
    </w:p>
    <w:p>
      <w:pPr>
        <w:pStyle w:val="Compact"/>
        <w:numPr>
          <w:ilvl w:val="0"/>
          <w:numId w:val="1329"/>
        </w:numPr>
      </w:pPr>
      <w:r>
        <w:t xml:space="preserve">Psychotherapy first line — CBT, IPSRT, psychoeducation, behavioral activation, circadian rhythm management.</w:t>
      </w:r>
    </w:p>
    <w:p>
      <w:pPr>
        <w:pStyle w:val="Compact"/>
        <w:numPr>
          <w:ilvl w:val="0"/>
          <w:numId w:val="1329"/>
        </w:numPr>
      </w:pPr>
      <w:r>
        <w:t xml:space="preserve">Pharmacotherapy — evidence base is limited:</w:t>
      </w:r>
    </w:p>
    <w:p>
      <w:pPr>
        <w:pStyle w:val="Compact"/>
        <w:numPr>
          <w:ilvl w:val="1"/>
          <w:numId w:val="1330"/>
        </w:numPr>
      </w:pPr>
      <w:r>
        <w:t xml:space="preserve">Lithium or valproate — considered adequate in the context of bipolar spectrum.</w:t>
      </w:r>
    </w:p>
    <w:p>
      <w:pPr>
        <w:pStyle w:val="Compact"/>
        <w:numPr>
          <w:ilvl w:val="1"/>
          <w:numId w:val="1330"/>
        </w:numPr>
      </w:pPr>
      <w:r>
        <w:t xml:space="preserve">Lamotrigine — when depressive component is dominant.</w:t>
      </w:r>
    </w:p>
    <w:p>
      <w:pPr>
        <w:pStyle w:val="Compact"/>
        <w:numPr>
          <w:ilvl w:val="1"/>
          <w:numId w:val="1330"/>
        </w:numPr>
      </w:pPr>
      <w:r>
        <w:t xml:space="preserve">Atypical antipsychotic (quetiapine) — in moderate-severe cases.</w:t>
      </w:r>
    </w:p>
    <w:p>
      <w:pPr>
        <w:pStyle w:val="Compact"/>
        <w:numPr>
          <w:ilvl w:val="0"/>
          <w:numId w:val="1329"/>
        </w:numPr>
      </w:pPr>
      <w:r>
        <w:t xml:space="preserve">Antidepressant alone — risk of manic switch and rapid cycling; contraindicated.</w:t>
      </w:r>
    </w:p>
    <w:p>
      <w:pPr>
        <w:pStyle w:val="Compact"/>
        <w:numPr>
          <w:ilvl w:val="0"/>
          <w:numId w:val="1329"/>
        </w:numPr>
      </w:pPr>
      <w:r>
        <w:t xml:space="preserve">Stress management and maintenance of social-circadian rhythm — important.</w:t>
      </w:r>
    </w:p>
    <w:p>
      <w:pPr>
        <w:pStyle w:val="Compact"/>
        <w:numPr>
          <w:ilvl w:val="0"/>
          <w:numId w:val="1329"/>
        </w:numPr>
      </w:pPr>
      <w:r>
        <w:t xml:space="preserve">Monitoring for conversion to bipolar disorder — more frequent monitoring if family history and clinical markers present.</w:t>
      </w:r>
    </w:p>
    <w:bookmarkStart w:id="723" w:name="treatment-methods-16"/>
    <w:p>
      <w:pPr>
        <w:pStyle w:val="Heading4"/>
      </w:pPr>
      <w:r>
        <w:t xml:space="preserve">8.1 Treatment methods</w:t>
      </w:r>
    </w:p>
    <w:p>
      <w:pPr>
        <w:pStyle w:val="Compact"/>
        <w:numPr>
          <w:ilvl w:val="0"/>
          <w:numId w:val="1331"/>
        </w:numPr>
      </w:pPr>
      <w:r>
        <w:t xml:space="preserve">Interpersonal and Social Rhythm Therapy (IPSRT) — Frank (Frank E.) — Circadian rhythm and interpersonal stress management.</w:t>
      </w:r>
    </w:p>
    <w:p>
      <w:pPr>
        <w:pStyle w:val="Compact"/>
        <w:numPr>
          <w:ilvl w:val="0"/>
          <w:numId w:val="1331"/>
        </w:numPr>
      </w:pPr>
      <w:r>
        <w:t xml:space="preserve">CBT for bipolar spectrum — Psychoeducation, behavioral activation, relapse markers.</w:t>
      </w:r>
    </w:p>
    <w:p>
      <w:pPr>
        <w:pStyle w:val="Compact"/>
        <w:numPr>
          <w:ilvl w:val="0"/>
          <w:numId w:val="1331"/>
        </w:numPr>
      </w:pPr>
      <w:r>
        <w:t xml:space="preserve">Mood diary — Patient's documentation of own mood changes — diagnostic and therapeutic tool.</w:t>
      </w:r>
    </w:p>
    <w:p>
      <w:pPr>
        <w:pStyle w:val="Compact"/>
        <w:numPr>
          <w:ilvl w:val="0"/>
          <w:numId w:val="1331"/>
        </w:numPr>
      </w:pPr>
      <w:r>
        <w:t xml:space="preserve">Lithium and lamotrigine — Pharmacotherapy of bipolar spectrum adequate.</w:t>
      </w:r>
    </w:p>
    <w:bookmarkEnd w:id="723"/>
    <w:bookmarkStart w:id="724" w:name="differences-between-sources-24"/>
    <w:p>
      <w:pPr>
        <w:pStyle w:val="Heading4"/>
      </w:pPr>
      <w:r>
        <w:t xml:space="preserve">8.2 Differences between sources</w:t>
      </w:r>
    </w:p>
    <w:p>
      <w:pPr>
        <w:pStyle w:val="Compact"/>
        <w:numPr>
          <w:ilvl w:val="0"/>
          <w:numId w:val="1332"/>
        </w:numPr>
      </w:pPr>
      <w:r>
        <w:t xml:space="preserve">NICE CG185, CANMAT 2018 — separate algorithm for cyclothymic disorder is limited; bipolar spectrum principles apply; psychotherapy first-line.</w:t>
      </w:r>
    </w:p>
    <w:bookmarkEnd w:id="724"/>
    <w:bookmarkEnd w:id="725"/>
    <w:bookmarkStart w:id="726" w:name="X9d7e2dc0b6c77676b85cd51a70d8b9496bfb0ff"/>
    <w:p>
      <w:pPr>
        <w:pStyle w:val="Heading3"/>
      </w:pPr>
      <w:r>
        <w:t xml:space="preserve">9. Prognosis</w:t>
      </w:r>
    </w:p>
    <w:p>
      <w:pPr>
        <w:pStyle w:val="Compact"/>
        <w:numPr>
          <w:ilvl w:val="0"/>
          <w:numId w:val="1333"/>
        </w:numPr>
      </w:pPr>
      <w:r>
        <w:t xml:space="preserve">Chronic; spontaneous remission is rare.</w:t>
      </w:r>
    </w:p>
    <w:p>
      <w:pPr>
        <w:pStyle w:val="Compact"/>
        <w:numPr>
          <w:ilvl w:val="0"/>
          <w:numId w:val="1333"/>
        </w:numPr>
      </w:pPr>
      <w:r>
        <w:t xml:space="preserve">Risk of conversion to Bipolar Type I/II — annual clinical assessment.</w:t>
      </w:r>
    </w:p>
    <w:p>
      <w:pPr>
        <w:pStyle w:val="Compact"/>
        <w:numPr>
          <w:ilvl w:val="0"/>
          <w:numId w:val="1333"/>
        </w:numPr>
      </w:pPr>
      <w:r>
        <w:t xml:space="preserve">Comorbid substance use and BPD risk factors.</w:t>
      </w:r>
    </w:p>
    <w:p>
      <w:pPr>
        <w:pStyle w:val="Compact"/>
        <w:numPr>
          <w:ilvl w:val="0"/>
          <w:numId w:val="1333"/>
        </w:numPr>
      </w:pPr>
      <w:r>
        <w:t xml:space="preserve">Functional level improves with adequate treatment.</w:t>
      </w:r>
    </w:p>
    <w:bookmarkEnd w:id="726"/>
    <w:bookmarkStart w:id="732" w:name="X6bea39c745ca2bc26306278f7d726e639ee459e"/>
    <w:p>
      <w:pPr>
        <w:pStyle w:val="Heading3"/>
      </w:pPr>
      <w:r>
        <w:t xml:space="preserve">10. Myths and misconceptions</w:t>
      </w:r>
    </w:p>
    <w:bookmarkStart w:id="727" w:name="X97c5c117216310d05a9976c78d505fcb26a98b3"/>
    <w:p>
      <w:pPr>
        <w:pStyle w:val="Heading5"/>
      </w:pPr>
      <w:r>
        <w:t xml:space="preserve">Myth 1: “Cyclothymic temperament is a normal personality trait, does not require treatment”</w:t>
      </w:r>
    </w:p>
    <w:p>
      <w:pPr>
        <w:pStyle w:val="FirstParagraph"/>
      </w:pPr>
      <w:r>
        <w:t xml:space="preserve">Clinical logic: cyclothymic temperament when it is a normal variant has no functional impairment; clinical diagnosis requires functional impairment. However, many patients have explained it as a ‘creative nature’ for years and do not seek intervention, while quality of life deteriorates.</w:t>
      </w:r>
    </w:p>
    <w:bookmarkEnd w:id="727"/>
    <w:bookmarkStart w:id="728" w:name="X5147c20619b90c0be29aa52514ab8e76d5d1dcc"/>
    <w:p>
      <w:pPr>
        <w:pStyle w:val="Heading5"/>
      </w:pPr>
      <w:r>
        <w:t xml:space="preserve">Myth 2: “Cyclothymic disorder will not convert to bipolar”</w:t>
      </w:r>
    </w:p>
    <w:p>
      <w:pPr>
        <w:pStyle w:val="FirstParagraph"/>
      </w:pPr>
      <w:r>
        <w:t xml:space="preserve">Evidence: Akiskal — 15–50% conversion to bipolar Type I or II; higher risk if family history.</w:t>
      </w:r>
    </w:p>
    <w:bookmarkEnd w:id="728"/>
    <w:bookmarkStart w:id="729" w:name="X5db665d600785cf7eaddf9668ec23a311306e04"/>
    <w:p>
      <w:pPr>
        <w:pStyle w:val="Heading5"/>
      </w:pPr>
      <w:r>
        <w:t xml:space="preserve">Myth 3: “Antidepressant alone manages all mood changes”</w:t>
      </w:r>
    </w:p>
    <w:p>
      <w:pPr>
        <w:pStyle w:val="FirstParagraph"/>
      </w:pPr>
      <w:r>
        <w:t xml:space="preserve">Evidence: Manic switching and rapid cycling risk; required concomitant with mood stabilizer.</w:t>
      </w:r>
    </w:p>
    <w:bookmarkEnd w:id="729"/>
    <w:bookmarkStart w:id="730" w:name="X4bdab1c175d27c5ff7dab5faaa803a386dbf2fb"/>
    <w:p>
      <w:pPr>
        <w:pStyle w:val="Heading5"/>
      </w:pPr>
      <w:r>
        <w:t xml:space="preserve">Myth 4: “A cyclothymic patient will lose their creativity due to treatment”</w:t>
      </w:r>
    </w:p>
    <w:p>
      <w:pPr>
        <w:pStyle w:val="FirstParagraph"/>
      </w:pPr>
      <w:r>
        <w:t xml:space="preserve">Evidence: appropriate treatment (psychotherapy + mood stabilizer) helps preserve and enhance creativity (stabilized activity); romanticized ‘duality’ explanation leads to avoidance of intervention.</w:t>
      </w:r>
    </w:p>
    <w:bookmarkEnd w:id="730"/>
    <w:bookmarkStart w:id="731" w:name="X559d6039eccbe72a26cb063285910918bfd826c"/>
    <w:p>
      <w:pPr>
        <w:pStyle w:val="Heading5"/>
      </w:pPr>
      <w:r>
        <w:t xml:space="preserve">Myth 5: “Herbal preparations or diet cure cyclothymic disorder”</w:t>
      </w:r>
    </w:p>
    <w:p>
      <w:pPr>
        <w:pStyle w:val="FirstParagraph"/>
      </w:pPr>
      <w:r>
        <w:t xml:space="preserve">Evidence: St John's Wort risk of manic switch; omega-3 mild adjunct, not primary treatment.</w:t>
      </w:r>
    </w:p>
    <w:bookmarkEnd w:id="731"/>
    <w:bookmarkEnd w:id="732"/>
    <w:bookmarkStart w:id="2988" w:name="Xb11d7e6625726b680a2ecdd34646f0afd3b42c9"/>
    <w:p>
      <w:pPr>
        <w:pStyle w:val="Heading3"/>
      </w:pPr>
      <w:r>
        <w:t xml:space="preserve">11. Sources</w:t>
      </w:r>
    </w:p>
    <w:p>
      <w:pPr>
        <w:pStyle w:val="Compact"/>
        <w:numPr>
          <w:ilvl w:val="0"/>
          <w:numId w:val="1334"/>
        </w:numPr>
      </w:pPr>
      <w:r>
        <w:t xml:space="preserve">WHO. ICD-11. 6A62 Cyclothymic disorder. 2024.</w:t>
      </w:r>
    </w:p>
    <w:p>
      <w:pPr>
        <w:pStyle w:val="Compact"/>
        <w:numPr>
          <w:ilvl w:val="0"/>
          <w:numId w:val="1334"/>
        </w:numPr>
      </w:pPr>
      <w:r>
        <w:t xml:space="preserve">APA. DSM-5-TR. 2022.</w:t>
      </w:r>
    </w:p>
    <w:p>
      <w:pPr>
        <w:pStyle w:val="Compact"/>
        <w:numPr>
          <w:ilvl w:val="0"/>
          <w:numId w:val="1334"/>
        </w:numPr>
      </w:pPr>
      <w:r>
        <w:t xml:space="preserve">NICE CG185. 2014/2020.</w:t>
      </w:r>
    </w:p>
    <w:p>
      <w:pPr>
        <w:pStyle w:val="Compact"/>
        <w:numPr>
          <w:ilvl w:val="0"/>
          <w:numId w:val="1334"/>
        </w:numPr>
      </w:pPr>
      <w:r>
        <w:t xml:space="preserve">Yatham L.N. et al. CANMAT/ISBD 2018. Bipolar Disord 2018;20(2):97–170.</w:t>
      </w:r>
    </w:p>
    <w:p>
      <w:pPr>
        <w:pStyle w:val="Compact"/>
        <w:numPr>
          <w:ilvl w:val="0"/>
          <w:numId w:val="1334"/>
        </w:numPr>
      </w:pPr>
      <w:r>
        <w:t xml:space="preserve">Akiskal H.S., Khani M.K., Scott-Strauss A. Cyclothymic temperamental disorders. Psychiatr Clin North Am 1979;2(3):527–554.</w:t>
      </w:r>
    </w:p>
    <w:p>
      <w:pPr>
        <w:pStyle w:val="Compact"/>
        <w:numPr>
          <w:ilvl w:val="0"/>
          <w:numId w:val="1334"/>
        </w:numPr>
      </w:pPr>
      <w:r>
        <w:t xml:space="preserve">Frank E., Kupfer D.J., Thase M.E. et al. Two-year outcomes for interpersonal and social rhythm therapy in individuals with bipolar I disorder. Arch Gen Psychiatry 2005;62(9):996–1004.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33" w:name="Xb2b4fff4ebc190fc813fce28b021dcdd173e820"/>
            <w:r>
              <w:t xml:space="preserve">6A70 SINGLE EPISODE DEPRESSIVE DISORDER</w:t>
            </w:r>
            <w:bookmarkEnd w:id="733"/>
          </w:p>
          <w:p>
            <w:pPr>
              <w:pStyle w:val="Compact"/>
              <w:ind w:firstLine="0" w:left="0"/>
            </w:pPr>
            <w:r>
              <w:rPr>
                <w:lang w:val="en"/>
              </w:rPr>
              <w:t xml:space="preserve">Single episode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Disorder, Single Episode</w:t>
            </w:r>
          </w:p>
        </w:tc>
      </w:tr>
    </w:tbl>
    <w:bookmarkStart w:id="734" w:name="X18bd1502d888f628547b907c0549dcde3afdee9"/>
    <w:p>
      <w:pPr>
        <w:pStyle w:val="Heading3"/>
      </w:pPr>
      <w:r>
        <w:t xml:space="preserve">1. Definition and nosology</w:t>
      </w:r>
    </w:p>
    <w:p>
      <w:pPr>
        <w:pStyle w:val="FirstParagraph"/>
      </w:pPr>
      <w:r>
        <w:t xml:space="preserve">Single episode depressive disorder (ICD-11:</w:t>
      </w:r>
      <w:r>
        <w:t xml:space="preserve"> </w:t>
      </w:r>
      <w:r>
        <w:t xml:space="preserve">6A70</w:t>
      </w:r>
      <w:r>
        <w:t xml:space="preserve">; DSM-5-TR: Major Depressive Disorder, Single Episode — F32.x) — an affective disorder causing functional impairment, accompanied by significant cognitive, somatic, and psychomotor symptoms along with depressed mood and/or anhedonia for at least two weeks. In the patient's history only one major depressive episode is observed (in case of recurrence, code 6A71).</w:t>
      </w:r>
    </w:p>
    <w:bookmarkEnd w:id="734"/>
    <w:bookmarkStart w:id="735" w:name="X9e3eef8a71e2efb8853ed2347ca64ee9c111161"/>
    <w:p>
      <w:pPr>
        <w:pStyle w:val="Heading3"/>
      </w:pPr>
      <w:r>
        <w:t xml:space="preserve">2. History</w:t>
      </w:r>
    </w:p>
    <w:p>
      <w:pPr>
        <w:pStyle w:val="Compact"/>
        <w:numPr>
          <w:ilvl w:val="0"/>
          <w:numId w:val="1335"/>
        </w:numPr>
      </w:pPr>
      <w:r>
        <w:t xml:space="preserve">Hippocrates (5th–4th centuries BC) — the term “melancholia”.</w:t>
      </w:r>
    </w:p>
    <w:p>
      <w:pPr>
        <w:pStyle w:val="Compact"/>
        <w:numPr>
          <w:ilvl w:val="0"/>
          <w:numId w:val="1335"/>
        </w:numPr>
      </w:pPr>
      <w:r>
        <w:t xml:space="preserve">Kraepelin (1899) — Depressive episode within manic-depressive insanity.</w:t>
      </w:r>
    </w:p>
    <w:p>
      <w:pPr>
        <w:pStyle w:val="Compact"/>
        <w:numPr>
          <w:ilvl w:val="0"/>
          <w:numId w:val="1335"/>
        </w:numPr>
      </w:pPr>
      <w:r>
        <w:t xml:space="preserve">DSM-III (1980) — official diagnosis “Major Depressive Disorder”; separation from bipolar disorder.</w:t>
      </w:r>
    </w:p>
    <w:p>
      <w:pPr>
        <w:pStyle w:val="Compact"/>
        <w:numPr>
          <w:ilvl w:val="0"/>
          <w:numId w:val="1335"/>
        </w:numPr>
      </w:pPr>
      <w:r>
        <w:t xml:space="preserve">DSM-5 (2013) — The “bereavement exclusion” has been removed — a major depressive episode can be diagnosed in a patient even after the loss of a loved one.</w:t>
      </w:r>
    </w:p>
    <w:p>
      <w:pPr>
        <w:pStyle w:val="Compact"/>
        <w:numPr>
          <w:ilvl w:val="0"/>
          <w:numId w:val="1335"/>
        </w:numPr>
      </w:pPr>
      <w:r>
        <w:t xml:space="preserve">ICD-11 (2019) — Single episode (6A70) and Recurrent (6A71) are coded separately.</w:t>
      </w:r>
    </w:p>
    <w:bookmarkEnd w:id="735"/>
    <w:bookmarkStart w:id="736" w:name="X003265833c85852dc358a0cd25dc376a99c9f09"/>
    <w:p>
      <w:pPr>
        <w:pStyle w:val="Heading3"/>
      </w:pPr>
      <w:r>
        <w:t xml:space="preserve">3. Epidemiology</w:t>
      </w:r>
    </w:p>
    <w:p>
      <w:pPr>
        <w:pStyle w:val="Compact"/>
        <w:numPr>
          <w:ilvl w:val="0"/>
          <w:numId w:val="1336"/>
        </w:numPr>
      </w:pPr>
      <w:r>
        <w:t xml:space="preserve">Lifetime prevalence: 15–20% (NESARC-III; Hasin D.S. et al. JAMA Psychiatry 2018).</w:t>
      </w:r>
    </w:p>
    <w:p>
      <w:pPr>
        <w:pStyle w:val="Compact"/>
        <w:numPr>
          <w:ilvl w:val="0"/>
          <w:numId w:val="1336"/>
        </w:numPr>
      </w:pPr>
      <w:r>
        <w:t xml:space="preserve">Annual prevalence: ~6–8%.</w:t>
      </w:r>
    </w:p>
    <w:p>
      <w:pPr>
        <w:pStyle w:val="Compact"/>
        <w:numPr>
          <w:ilvl w:val="0"/>
          <w:numId w:val="1336"/>
        </w:numPr>
      </w:pPr>
      <w:r>
        <w:t xml:space="preserve">Sex: 1.5–2 times higher in females.</w:t>
      </w:r>
    </w:p>
    <w:p>
      <w:pPr>
        <w:pStyle w:val="Compact"/>
        <w:numPr>
          <w:ilvl w:val="0"/>
          <w:numId w:val="1336"/>
        </w:numPr>
      </w:pPr>
      <w:r>
        <w:t xml:space="preserve">Onset: mean 20–30 years; but possible at any age.</w:t>
      </w:r>
    </w:p>
    <w:p>
      <w:pPr>
        <w:pStyle w:val="Compact"/>
        <w:numPr>
          <w:ilvl w:val="0"/>
          <w:numId w:val="1336"/>
        </w:numPr>
      </w:pPr>
      <w:r>
        <w:t xml:space="preserve">Suicide: depressive disorder is associated with ~50% of suicide deaths.</w:t>
      </w:r>
    </w:p>
    <w:p>
      <w:pPr>
        <w:pStyle w:val="Compact"/>
        <w:numPr>
          <w:ilvl w:val="0"/>
          <w:numId w:val="1336"/>
        </w:numPr>
      </w:pPr>
      <w:r>
        <w:t xml:space="preserve">Comorbidity: anxiety disorders 60%, substance use 25%, pain, cardiovascular, diabetes.</w:t>
      </w:r>
    </w:p>
    <w:p>
      <w:pPr>
        <w:pStyle w:val="Compact"/>
        <w:numPr>
          <w:ilvl w:val="0"/>
          <w:numId w:val="1336"/>
        </w:numPr>
      </w:pPr>
      <w:r>
        <w:t xml:space="preserve">Mortality: overall mortality increased 1.5 times (cardiovascular, suicide).</w:t>
      </w:r>
    </w:p>
    <w:bookmarkEnd w:id="736"/>
    <w:bookmarkStart w:id="737" w:name="X1479e248be9b3701c7c79c4b73fc6f6bdbb5d44"/>
    <w:p>
      <w:pPr>
        <w:pStyle w:val="Heading3"/>
      </w:pPr>
      <w:r>
        <w:t xml:space="preserve">4. Aetiology and pathogenesis</w:t>
      </w:r>
    </w:p>
    <w:p>
      <w:pPr>
        <w:pStyle w:val="Compact"/>
        <w:numPr>
          <w:ilvl w:val="0"/>
          <w:numId w:val="1337"/>
        </w:numPr>
      </w:pPr>
      <w:r>
        <w:t xml:space="preserve">Heritability 35–40% (Sullivan P.F. et al. Am J Psychiatry 2000 meta-analysis); less than bipolar.</w:t>
      </w:r>
    </w:p>
    <w:p>
      <w:pPr>
        <w:pStyle w:val="Compact"/>
        <w:numPr>
          <w:ilvl w:val="0"/>
          <w:numId w:val="1337"/>
        </w:numPr>
      </w:pPr>
      <w:r>
        <w:t xml:space="preserve">GWAS — 100+ risk loci (Howard D.M. et al. Nat Neurosci 2019, n&gt;800,000).</w:t>
      </w:r>
    </w:p>
    <w:p>
      <w:pPr>
        <w:pStyle w:val="Compact"/>
        <w:numPr>
          <w:ilvl w:val="0"/>
          <w:numId w:val="1337"/>
        </w:numPr>
      </w:pPr>
      <w:r>
        <w:t xml:space="preserve">Neurobiological — monoaminergic (serotonin, norepinephrine, dopamine) hypothesis; HPA axis dysregulation, elevated cortisol; hippocampal volume reduction; inflammatory hypothesis (CRP, IL-6).</w:t>
      </w:r>
    </w:p>
    <w:p>
      <w:pPr>
        <w:pStyle w:val="Compact"/>
        <w:numPr>
          <w:ilvl w:val="0"/>
          <w:numId w:val="1337"/>
        </w:numPr>
      </w:pPr>
      <w:r>
        <w:t xml:space="preserve">Risk factors: childhood trauma, family history, acute stress, chronic medical illness, social isolation, substance use, postpartum period, hypothyroidism.</w:t>
      </w:r>
    </w:p>
    <w:bookmarkEnd w:id="737"/>
    <w:bookmarkStart w:id="740" w:name="X014643de74f6d016e34c1922b7135346d45a0f7"/>
    <w:p>
      <w:pPr>
        <w:pStyle w:val="Heading3"/>
      </w:pPr>
      <w:r>
        <w:t xml:space="preserve">5. Clinical features</w:t>
      </w:r>
    </w:p>
    <w:bookmarkStart w:id="738" w:name="X95389851e2c7447100ed660c65177592606c3b2"/>
    <w:p>
      <w:pPr>
        <w:pStyle w:val="Heading4"/>
      </w:pPr>
      <w:r>
        <w:t xml:space="preserve">5.1 Core symptoms (DSM-5-TR — ≥ 5 symptoms × 2 weeks, at least 1 of which is 1 or 2)</w:t>
      </w:r>
    </w:p>
    <w:p>
      <w:pPr>
        <w:pStyle w:val="Compact"/>
        <w:numPr>
          <w:ilvl w:val="0"/>
          <w:numId w:val="1338"/>
        </w:numPr>
      </w:pPr>
      <w:r>
        <w:t xml:space="preserve">Persistent low mood.</w:t>
      </w:r>
    </w:p>
    <w:p>
      <w:pPr>
        <w:pStyle w:val="Compact"/>
        <w:numPr>
          <w:ilvl w:val="0"/>
          <w:numId w:val="1338"/>
        </w:numPr>
      </w:pPr>
      <w:r>
        <w:t xml:space="preserve">Anhedonia — loss of interest and pleasure.</w:t>
      </w:r>
    </w:p>
    <w:p>
      <w:pPr>
        <w:pStyle w:val="Compact"/>
        <w:numPr>
          <w:ilvl w:val="0"/>
          <w:numId w:val="1338"/>
        </w:numPr>
      </w:pPr>
      <w:r>
        <w:t xml:space="preserve">Weight or appetite changes.</w:t>
      </w:r>
    </w:p>
    <w:p>
      <w:pPr>
        <w:pStyle w:val="Compact"/>
        <w:numPr>
          <w:ilvl w:val="0"/>
          <w:numId w:val="1338"/>
        </w:numPr>
      </w:pPr>
      <w:r>
        <w:t xml:space="preserve">Sleep disturbance (insomnia or hypersomnia).</w:t>
      </w:r>
    </w:p>
    <w:p>
      <w:pPr>
        <w:pStyle w:val="Compact"/>
        <w:numPr>
          <w:ilvl w:val="0"/>
          <w:numId w:val="1338"/>
        </w:numPr>
      </w:pPr>
      <w:r>
        <w:t xml:space="preserve">Psychomotor agitation or retardation (observable by others).</w:t>
      </w:r>
    </w:p>
    <w:p>
      <w:pPr>
        <w:pStyle w:val="Compact"/>
        <w:numPr>
          <w:ilvl w:val="0"/>
          <w:numId w:val="1338"/>
        </w:numPr>
      </w:pPr>
      <w:r>
        <w:t xml:space="preserve">Fatigue or loss of energy.</w:t>
      </w:r>
    </w:p>
    <w:p>
      <w:pPr>
        <w:pStyle w:val="Compact"/>
        <w:numPr>
          <w:ilvl w:val="0"/>
          <w:numId w:val="1338"/>
        </w:numPr>
      </w:pPr>
      <w:r>
        <w:t xml:space="preserve">Worthlessness or excessive guilt.</w:t>
      </w:r>
    </w:p>
    <w:p>
      <w:pPr>
        <w:pStyle w:val="Compact"/>
        <w:numPr>
          <w:ilvl w:val="0"/>
          <w:numId w:val="1338"/>
        </w:numPr>
      </w:pPr>
      <w:r>
        <w:t xml:space="preserve">Difficulty concentrating and impaired decision-making.</w:t>
      </w:r>
    </w:p>
    <w:p>
      <w:pPr>
        <w:pStyle w:val="Compact"/>
        <w:numPr>
          <w:ilvl w:val="0"/>
          <w:numId w:val="1338"/>
        </w:numPr>
      </w:pPr>
      <w:r>
        <w:t xml:space="preserve">Suicidal thoughts or plan.</w:t>
      </w:r>
    </w:p>
    <w:bookmarkEnd w:id="738"/>
    <w:bookmarkStart w:id="739" w:name="qualifiers-dsm-5-tr"/>
    <w:p>
      <w:pPr>
        <w:pStyle w:val="Heading4"/>
      </w:pPr>
      <w:r>
        <w:t xml:space="preserve">5.2 Qualifiers (DSM-5-TR)</w:t>
      </w:r>
    </w:p>
    <w:p>
      <w:pPr>
        <w:pStyle w:val="Compact"/>
        <w:numPr>
          <w:ilvl w:val="0"/>
          <w:numId w:val="1339"/>
        </w:numPr>
      </w:pPr>
      <w:r>
        <w:t xml:space="preserve">Severity: mild, moderate, severe.</w:t>
      </w:r>
    </w:p>
    <w:p>
      <w:pPr>
        <w:pStyle w:val="Compact"/>
        <w:numPr>
          <w:ilvl w:val="0"/>
          <w:numId w:val="1339"/>
        </w:numPr>
      </w:pPr>
      <w:r>
        <w:t xml:space="preserve">With psychotic features (delusion or hallucination).</w:t>
      </w:r>
    </w:p>
    <w:p>
      <w:pPr>
        <w:pStyle w:val="Compact"/>
        <w:numPr>
          <w:ilvl w:val="0"/>
          <w:numId w:val="1339"/>
        </w:numPr>
      </w:pPr>
      <w:r>
        <w:t xml:space="preserve">Atypical features (hypersomnia, hyperphagia, leaden paralysis).</w:t>
      </w:r>
    </w:p>
    <w:p>
      <w:pPr>
        <w:pStyle w:val="Compact"/>
        <w:numPr>
          <w:ilvl w:val="0"/>
          <w:numId w:val="1339"/>
        </w:numPr>
      </w:pPr>
      <w:r>
        <w:t xml:space="preserve">Melancholic features.</w:t>
      </w:r>
    </w:p>
    <w:p>
      <w:pPr>
        <w:pStyle w:val="Compact"/>
        <w:numPr>
          <w:ilvl w:val="0"/>
          <w:numId w:val="1339"/>
        </w:numPr>
      </w:pPr>
      <w:r>
        <w:t xml:space="preserve">Catatonic features.</w:t>
      </w:r>
    </w:p>
    <w:p>
      <w:pPr>
        <w:pStyle w:val="Compact"/>
        <w:numPr>
          <w:ilvl w:val="0"/>
          <w:numId w:val="1339"/>
        </w:numPr>
      </w:pPr>
      <w:r>
        <w:t xml:space="preserve">Peripartum onset.</w:t>
      </w:r>
    </w:p>
    <w:p>
      <w:pPr>
        <w:pStyle w:val="Compact"/>
        <w:numPr>
          <w:ilvl w:val="0"/>
          <w:numId w:val="1339"/>
        </w:numPr>
      </w:pPr>
      <w:r>
        <w:t xml:space="preserve">Seasonal pattern.</w:t>
      </w:r>
    </w:p>
    <w:p>
      <w:pPr>
        <w:pStyle w:val="Compact"/>
        <w:numPr>
          <w:ilvl w:val="0"/>
          <w:numId w:val="1339"/>
        </w:numPr>
      </w:pPr>
      <w:r>
        <w:t xml:space="preserve">Mixed features (manic components).</w:t>
      </w:r>
    </w:p>
    <w:p>
      <w:pPr>
        <w:pStyle w:val="Compact"/>
        <w:numPr>
          <w:ilvl w:val="0"/>
          <w:numId w:val="1339"/>
        </w:numPr>
      </w:pPr>
      <w:r>
        <w:t xml:space="preserve">With anxiety.</w:t>
      </w:r>
    </w:p>
    <w:bookmarkEnd w:id="739"/>
    <w:bookmarkEnd w:id="740"/>
    <w:bookmarkStart w:id="745" w:name="Xac5f4a8e740e1eb99c51951361b4272903f878d"/>
    <w:p>
      <w:pPr>
        <w:pStyle w:val="Heading3"/>
      </w:pPr>
      <w:r>
        <w:t xml:space="preserve">6. Diagnosis</w:t>
      </w:r>
    </w:p>
    <w:bookmarkStart w:id="741" w:name="Xb96a9cac24a92b999f6db94ab58cca390b3b9b4"/>
    <w:p>
      <w:pPr>
        <w:pStyle w:val="Heading4"/>
      </w:pPr>
      <w:r>
        <w:t xml:space="preserve">6.1 Unified diagnostic criteria (DSM-5-TR · ICD-11 consensus points)</w:t>
      </w:r>
    </w:p>
    <w:p>
      <w:pPr>
        <w:pStyle w:val="FirstParagraph"/>
      </w:pPr>
      <w:r>
        <w:t xml:space="preserve">A. The presence of 5 or more symptoms for ≥ 2 weeks; at least one of which must be depressed mood or anhedonia.</w:t>
      </w:r>
    </w:p>
    <w:p>
      <w:pPr>
        <w:pStyle w:val="BodyText"/>
      </w:pPr>
      <w:r>
        <w:t xml:space="preserve">B. Significant distress or functional impairment.</w:t>
      </w:r>
    </w:p>
    <w:p>
      <w:pPr>
        <w:pStyle w:val="BodyText"/>
      </w:pPr>
      <w:r>
        <w:t xml:space="preserve">C. Exclusion of substance or medical condition.</w:t>
      </w:r>
    </w:p>
    <w:p>
      <w:pPr>
        <w:pStyle w:val="BodyText"/>
      </w:pPr>
      <w:r>
        <w:t xml:space="preserve">D. Never had a manic or hypomanic episode.</w:t>
      </w:r>
    </w:p>
    <w:bookmarkEnd w:id="741"/>
    <w:bookmarkStart w:id="742" w:name="differences-between-sources-25"/>
    <w:p>
      <w:pPr>
        <w:pStyle w:val="Heading4"/>
      </w:pPr>
      <w:r>
        <w:t xml:space="preserve">6.2 Differences between sources</w:t>
      </w:r>
    </w:p>
    <w:p>
      <w:pPr>
        <w:pStyle w:val="Compact"/>
        <w:numPr>
          <w:ilvl w:val="0"/>
          <w:numId w:val="1340"/>
        </w:numPr>
      </w:pPr>
      <w:r>
        <w:t xml:space="preserve">DSM-5-TR: “Bereavement exclusion” removed (in DSM-IV, diagnosis was not made during 2 months of bereavement); grief and depressive episode can co-occur.</w:t>
      </w:r>
    </w:p>
    <w:p>
      <w:pPr>
        <w:pStyle w:val="Compact"/>
        <w:numPr>
          <w:ilvl w:val="0"/>
          <w:numId w:val="1340"/>
        </w:numPr>
      </w:pPr>
      <w:r>
        <w:t xml:space="preserve">ICD-11 (6A70): single episode separately coded; severity and psychotic feature qualifiers.</w:t>
      </w:r>
    </w:p>
    <w:p>
      <w:pPr>
        <w:pStyle w:val="Compact"/>
        <w:numPr>
          <w:ilvl w:val="0"/>
          <w:numId w:val="1340"/>
        </w:numPr>
      </w:pPr>
      <w:r>
        <w:t xml:space="preserve">NICE NG222 (2022): Severity classification: less severe, more severe (instead of mild/moderate/severe in DSM); treatment algorithms based on severity.</w:t>
      </w:r>
    </w:p>
    <w:bookmarkEnd w:id="742"/>
    <w:bookmarkStart w:id="743" w:name="diagnostic-algorithm-16"/>
    <w:p>
      <w:pPr>
        <w:pStyle w:val="Heading4"/>
      </w:pPr>
      <w:r>
        <w:t xml:space="preserve">6.3 Diagnostic algorithm</w:t>
      </w:r>
    </w:p>
    <w:p>
      <w:pPr>
        <w:pStyle w:val="Compact"/>
        <w:numPr>
          <w:ilvl w:val="0"/>
          <w:numId w:val="1341"/>
        </w:numPr>
      </w:pPr>
      <w:r>
        <w:t xml:space="preserve">Clinical interview.</w:t>
      </w:r>
    </w:p>
    <w:p>
      <w:pPr>
        <w:pStyle w:val="Compact"/>
        <w:numPr>
          <w:ilvl w:val="0"/>
          <w:numId w:val="1341"/>
        </w:numPr>
      </w:pPr>
      <w:r>
        <w:t xml:space="preserve">Structured interview (SCID-5, MINI).</w:t>
      </w:r>
    </w:p>
    <w:p>
      <w:pPr>
        <w:pStyle w:val="Compact"/>
        <w:numPr>
          <w:ilvl w:val="0"/>
          <w:numId w:val="1341"/>
        </w:numPr>
      </w:pPr>
      <w:r>
        <w:t xml:space="preserve">Scales — PHQ-9 (screening and monitoring), HAM-D, MADRS, BDI-II.</w:t>
      </w:r>
    </w:p>
    <w:p>
      <w:pPr>
        <w:pStyle w:val="Compact"/>
        <w:numPr>
          <w:ilvl w:val="0"/>
          <w:numId w:val="1341"/>
        </w:numPr>
      </w:pPr>
      <w:r>
        <w:t xml:space="preserve">Suicide risk (C-SSRS).</w:t>
      </w:r>
    </w:p>
    <w:p>
      <w:pPr>
        <w:pStyle w:val="Compact"/>
        <w:numPr>
          <w:ilvl w:val="0"/>
          <w:numId w:val="1341"/>
        </w:numPr>
      </w:pPr>
      <w:r>
        <w:t xml:space="preserve">Bipolar screening (MDQ, HCL-32) — to rule out bipolar episodes.</w:t>
      </w:r>
    </w:p>
    <w:p>
      <w:pPr>
        <w:pStyle w:val="Compact"/>
        <w:numPr>
          <w:ilvl w:val="0"/>
          <w:numId w:val="1341"/>
        </w:numPr>
      </w:pPr>
      <w:r>
        <w:t xml:space="preserve">Medical and laboratory (thyroid, B12, folate, ferritin, liver, kidney, pregnancy) — to exclude somatic causes.</w:t>
      </w:r>
    </w:p>
    <w:p>
      <w:pPr>
        <w:pStyle w:val="Compact"/>
        <w:numPr>
          <w:ilvl w:val="0"/>
          <w:numId w:val="1341"/>
        </w:numPr>
      </w:pPr>
      <w:r>
        <w:t xml:space="preserve">Toxicology screening (suspect substance use).</w:t>
      </w:r>
    </w:p>
    <w:bookmarkEnd w:id="743"/>
    <w:bookmarkStart w:id="744" w:name="differential-diagnosis-1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Type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manic or hypomanic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Dysthymic disorder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years subthreshold depressive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Response to stress factor; fewer criteria.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Grief (sadness)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After loss of a loved one; ‘wave-like’ course; self-esteem is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Elevated TSH; somatic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B12 / folate deficiency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Laboratory.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depression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substance use.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symptoms in 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Cognitive deficit dominant; elderly patient.</w:t>
            </w:r>
          </w:p>
        </w:tc>
      </w:tr>
    </w:tbl>
    <w:bookmarkEnd w:id="744"/>
    <w:bookmarkEnd w:id="745"/>
    <w:bookmarkStart w:id="746" w:name="X54bc834e24054ec27d0d336d7fadad3eae1b0f7"/>
    <w:p>
      <w:pPr>
        <w:pStyle w:val="Heading3"/>
      </w:pPr>
      <w:r>
        <w:t xml:space="preserve">7. Examination and assessment</w:t>
      </w:r>
    </w:p>
    <w:p>
      <w:pPr>
        <w:pStyle w:val="Compact"/>
        <w:numPr>
          <w:ilvl w:val="0"/>
          <w:numId w:val="1342"/>
        </w:numPr>
      </w:pPr>
      <w:r>
        <w:t xml:space="preserve">PHQ-9 — standard in primary care; ≥10 score indicates moderate-severe depression.</w:t>
      </w:r>
    </w:p>
    <w:p>
      <w:pPr>
        <w:pStyle w:val="Compact"/>
        <w:numPr>
          <w:ilvl w:val="0"/>
          <w:numId w:val="1342"/>
        </w:numPr>
      </w:pPr>
      <w:r>
        <w:t xml:space="preserve">HAM-D-17 (Hamilton), MADRS — clinical and research.</w:t>
      </w:r>
    </w:p>
    <w:p>
      <w:pPr>
        <w:pStyle w:val="Compact"/>
        <w:numPr>
          <w:ilvl w:val="0"/>
          <w:numId w:val="1342"/>
        </w:numPr>
      </w:pPr>
      <w:r>
        <w:t xml:space="preserve">BDI-II — self-assessment.</w:t>
      </w:r>
    </w:p>
    <w:p>
      <w:pPr>
        <w:pStyle w:val="Compact"/>
        <w:numPr>
          <w:ilvl w:val="0"/>
          <w:numId w:val="1342"/>
        </w:numPr>
      </w:pPr>
      <w:r>
        <w:t xml:space="preserve">C-SSRS — suicide risk.</w:t>
      </w:r>
    </w:p>
    <w:p>
      <w:pPr>
        <w:pStyle w:val="Compact"/>
        <w:numPr>
          <w:ilvl w:val="0"/>
          <w:numId w:val="1342"/>
        </w:numPr>
      </w:pPr>
      <w:r>
        <w:t xml:space="preserve">Laboratory: complete blood count, thyroid, B12, folate, ferritin, liver/kidney, glucose.</w:t>
      </w:r>
    </w:p>
    <w:p>
      <w:pPr>
        <w:pStyle w:val="Compact"/>
        <w:numPr>
          <w:ilvl w:val="0"/>
          <w:numId w:val="1342"/>
        </w:numPr>
      </w:pPr>
      <w:r>
        <w:t xml:space="preserve">EKG — before starting TCA or QT-prolonging medications.</w:t>
      </w:r>
    </w:p>
    <w:bookmarkEnd w:id="746"/>
    <w:bookmarkStart w:id="751" w:name="Xbc596eaf8762f8dcacde15e4dd3f8f4a7e4b3f9"/>
    <w:p>
      <w:pPr>
        <w:pStyle w:val="Heading3"/>
      </w:pPr>
      <w:r>
        <w:t xml:space="preserve">8. Treatment</w:t>
      </w:r>
    </w:p>
    <w:bookmarkStart w:id="747" w:name="Xa31e0be605ec74e992053199f7839b4619b1863"/>
    <w:p>
      <w:pPr>
        <w:pStyle w:val="Heading4"/>
      </w:pPr>
      <w:r>
        <w:t xml:space="preserve">8.1 General Principles (NICE NG222 · APA 2010 · CANMAT 2016 Consensus)</w:t>
      </w:r>
    </w:p>
    <w:p>
      <w:pPr>
        <w:pStyle w:val="Compact"/>
        <w:numPr>
          <w:ilvl w:val="0"/>
          <w:numId w:val="1343"/>
        </w:numPr>
      </w:pPr>
      <w:r>
        <w:t xml:space="preserve">Stepwise approach based on severity:</w:t>
      </w:r>
    </w:p>
    <w:p>
      <w:pPr>
        <w:pStyle w:val="Compact"/>
        <w:numPr>
          <w:ilvl w:val="1"/>
          <w:numId w:val="1344"/>
        </w:numPr>
      </w:pPr>
      <w:r>
        <w:t xml:space="preserve">Mild (PHQ-9 5–9) — guided self-help, CBT-based internet interventions, physical activity, observation.</w:t>
      </w:r>
    </w:p>
    <w:p>
      <w:pPr>
        <w:pStyle w:val="Compact"/>
        <w:numPr>
          <w:ilvl w:val="1"/>
          <w:numId w:val="1344"/>
        </w:numPr>
      </w:pPr>
      <w:r>
        <w:t xml:space="preserve">Moderate (PHQ-9 10–14) — CBT or IPT, or pharmacotherapy (SSRI); patient choice.</w:t>
      </w:r>
    </w:p>
    <w:p>
      <w:pPr>
        <w:pStyle w:val="Compact"/>
        <w:numPr>
          <w:ilvl w:val="1"/>
          <w:numId w:val="1344"/>
        </w:numPr>
      </w:pPr>
      <w:r>
        <w:t xml:space="preserve">Moderately severe (PHQ-9 15–19) — pharmacotherapy (SSRI) or a high-intensity psychological intervention; combination preferred.</w:t>
      </w:r>
    </w:p>
    <w:p>
      <w:pPr>
        <w:pStyle w:val="Compact"/>
        <w:numPr>
          <w:ilvl w:val="1"/>
          <w:numId w:val="1344"/>
        </w:numPr>
      </w:pPr>
      <w:r>
        <w:t xml:space="preserve">Severe (PHQ-9 ≥ 20 or psychotic features) — combination of pharmacotherapy + psychotherapy; severe psychotic/suicidal risk — inpatient admission and ECT.</w:t>
      </w:r>
    </w:p>
    <w:p>
      <w:pPr>
        <w:pStyle w:val="Compact"/>
        <w:numPr>
          <w:ilvl w:val="0"/>
          <w:numId w:val="1343"/>
        </w:numPr>
      </w:pPr>
      <w:r>
        <w:t xml:space="preserve">First-line pharmacotherapy: SSRIs — sertraline, escitalopram, fluoxetine, paroxetine, citalopram. Effect in 4–6 weeks; titration required.</w:t>
      </w:r>
    </w:p>
    <w:p>
      <w:pPr>
        <w:pStyle w:val="Compact"/>
        <w:numPr>
          <w:ilvl w:val="0"/>
          <w:numId w:val="1343"/>
        </w:numPr>
      </w:pPr>
      <w:r>
        <w:t xml:space="preserve">SNRI — venlafaxine, duloxetine — alternative or comorbid pain/anxiety.</w:t>
      </w:r>
    </w:p>
    <w:p>
      <w:pPr>
        <w:pStyle w:val="Compact"/>
        <w:numPr>
          <w:ilvl w:val="0"/>
          <w:numId w:val="1343"/>
        </w:numPr>
      </w:pPr>
      <w:r>
        <w:t xml:space="preserve">Other — mirtazapine (sleep and appetite problems), bupropion (few sexual side effects, ADHD comorbid), agomelatine, vortioxetine (cognitive component).</w:t>
      </w:r>
    </w:p>
    <w:p>
      <w:pPr>
        <w:pStyle w:val="Compact"/>
        <w:numPr>
          <w:ilvl w:val="0"/>
          <w:numId w:val="1343"/>
        </w:numPr>
      </w:pPr>
      <w:r>
        <w:t xml:space="preserve">Refractory: SSRI + lithium or quetiapine or aripiprazole; SSRI combinations; ketamine/esketamine (intranasal — FDA approved 2019, severe refractory); ECT.</w:t>
      </w:r>
    </w:p>
    <w:p>
      <w:pPr>
        <w:pStyle w:val="Compact"/>
        <w:numPr>
          <w:ilvl w:val="0"/>
          <w:numId w:val="1343"/>
        </w:numPr>
      </w:pPr>
      <w:r>
        <w:t xml:space="preserve">Psychotherapy first line alternative — monotherapy in mild-to-moderate depression, combination with pharmacotherapy in severe cases; specific methods and evidence base in the “Treatment methods” list (CBT, IPT, behavioral activation, MBCT).</w:t>
      </w:r>
    </w:p>
    <w:p>
      <w:pPr>
        <w:pStyle w:val="Compact"/>
        <w:numPr>
          <w:ilvl w:val="0"/>
          <w:numId w:val="1343"/>
        </w:numPr>
      </w:pPr>
      <w:r>
        <w:t xml:space="preserve">Suicide risk management — active assessment; hospitalization if risk high; restricted access to means (weapons, medications); psychosocial support.</w:t>
      </w:r>
    </w:p>
    <w:p>
      <w:pPr>
        <w:pStyle w:val="Compact"/>
        <w:numPr>
          <w:ilvl w:val="0"/>
          <w:numId w:val="1343"/>
        </w:numPr>
      </w:pPr>
      <w:r>
        <w:t xml:space="preserve">Treatment duration: first episode: continuation after remission for 6–12 months; long-term in case of relapse.</w:t>
      </w:r>
    </w:p>
    <w:bookmarkEnd w:id="747"/>
    <w:bookmarkStart w:id="748" w:name="pharmacotherapy-1"/>
    <w:p>
      <w:pPr>
        <w:pStyle w:val="Heading4"/>
      </w:pPr>
      <w:r>
        <w:t xml:space="preserve">8.2 Pharmacotherapy</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Class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Drug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Dose range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Sertraline, escitalopram, fluoxetine, paroxetine, citalopram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Sertraline 50–200 mg; escitalopram 10–20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First-line; sexual side effect; SIADH (in elderly); citalopram &gt; 40 mg QT prolongation.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Venlafaxine, duloxetine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Venlafaxine 75–375 mg; duloxetine 60–120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Comorbid pain, anxiety.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Atypical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Mirtazapine, bupropion, agomelatine, vortioxetine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Mirtazapine 15–45 mg; bupropion 150–450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Mirtazapine: sleep and appetite; bupropion: no sexual side effects.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Amitriptyline, nortriptyline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75–150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Second-to-third line; cardiac and anticholinergic side effects; overdose lethal.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Phenelzine,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Refractory; tyramine diet.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Esketamine (intranasal)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56–84 mg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FDA 2019, refractory; under supervision in clinic.</w:t>
            </w:r>
          </w:p>
        </w:tc>
      </w:tr>
    </w:tbl>
    <w:bookmarkEnd w:id="748"/>
    <w:bookmarkStart w:id="749" w:name="source-specific-clarifications-7"/>
    <w:p>
      <w:pPr>
        <w:pStyle w:val="Heading4"/>
      </w:pPr>
      <w:r>
        <w:t xml:space="preserve">8.3 Source-Specific Clarifications</w:t>
      </w:r>
    </w:p>
    <w:p>
      <w:pPr>
        <w:pStyle w:val="Compact"/>
        <w:numPr>
          <w:ilvl w:val="0"/>
          <w:numId w:val="1345"/>
        </w:numPr>
      </w:pPr>
      <w:r>
        <w:t xml:space="preserve">NICE NG222 (2022): stepwise algorithm based on severity; “less severe” — CBT or guided self-help first-line; “more severe” — combination.</w:t>
      </w:r>
    </w:p>
    <w:p>
      <w:pPr>
        <w:pStyle w:val="Compact"/>
        <w:numPr>
          <w:ilvl w:val="0"/>
          <w:numId w:val="1345"/>
        </w:numPr>
      </w:pPr>
      <w:r>
        <w:t xml:space="preserve">APA Practice Guideline (2010, 2019 update): SSRI first-line; CBT / IPT first-line alternative.</w:t>
      </w:r>
    </w:p>
    <w:p>
      <w:pPr>
        <w:pStyle w:val="Compact"/>
        <w:numPr>
          <w:ilvl w:val="0"/>
          <w:numId w:val="1345"/>
        </w:numPr>
      </w:pPr>
      <w:r>
        <w:t xml:space="preserve">CANMAT 2016: A 4-step algorithm based on severity and incident.</w:t>
      </w:r>
    </w:p>
    <w:p>
      <w:pPr>
        <w:pStyle w:val="Compact"/>
        <w:numPr>
          <w:ilvl w:val="0"/>
          <w:numId w:val="1345"/>
        </w:numPr>
      </w:pPr>
      <w:r>
        <w:t xml:space="preserve">Cipriani A. et al. Lancet 2018 network meta-analysis: Comparison of 21 antidepressants — agomelatine and amitriptyline highest efficacy; fluoxetine, fluvoxamine, reboxetine and trazodone lowest. The most acceptable were agomelatine, citalopram, escitalopram, fluoxetine, sertraline and vortioxetine; reboxetine ranked among the worst on both efficacy and acceptability. Efficacy differences are clinically modest.</w:t>
      </w:r>
    </w:p>
    <w:bookmarkEnd w:id="749"/>
    <w:bookmarkStart w:id="750" w:name="treatment-methods-17"/>
    <w:p>
      <w:pPr>
        <w:pStyle w:val="Heading4"/>
      </w:pPr>
      <w:r>
        <w:t xml:space="preserve">8.4 Treatment methods</w:t>
      </w:r>
    </w:p>
    <w:p>
      <w:pPr>
        <w:pStyle w:val="Compact"/>
        <w:numPr>
          <w:ilvl w:val="0"/>
          <w:numId w:val="1346"/>
        </w:numPr>
      </w:pPr>
      <w:r>
        <w:t xml:space="preserve">CBT for depression — Beck (Beck A.) — Cognitive restructuring, behavioral activation; 12–20 sessions. Evidence: Cuijpers P. et al. Cochrane meta-analyses — medium effect, comparable to pharmacotherapy; combination superior to monotherapy in severe cases.</w:t>
      </w:r>
    </w:p>
    <w:p>
      <w:pPr>
        <w:pStyle w:val="Compact"/>
        <w:numPr>
          <w:ilvl w:val="0"/>
          <w:numId w:val="1346"/>
        </w:numPr>
      </w:pPr>
      <w:r>
        <w:t xml:space="preserve">Interpersonal Therapy (IPT — Interpersonal Therapy) — Klerman (Klerman G.), Weissman (Weissman M.) — 4 problem areas – grief, role transition, role conflict, interpersonal deficit. 12–16 sessions. RCT evidence comparable to CBT.</w:t>
      </w:r>
    </w:p>
    <w:p>
      <w:pPr>
        <w:pStyle w:val="Compact"/>
        <w:numPr>
          <w:ilvl w:val="0"/>
          <w:numId w:val="1346"/>
        </w:numPr>
      </w:pPr>
      <w:r>
        <w:t xml:space="preserve">Behavioral Activation — Jacobson N., Martell C. — Systematic increase of positive activities, reduction of avoidance. Dimidjian S. et al. J Consult Clin Psychol 2006 RCT — comparable effect to CBT.</w:t>
      </w:r>
    </w:p>
    <w:p>
      <w:pPr>
        <w:pStyle w:val="Compact"/>
        <w:numPr>
          <w:ilvl w:val="0"/>
          <w:numId w:val="1346"/>
        </w:numPr>
      </w:pPr>
      <w:r>
        <w:t xml:space="preserve">Mindfulness-Based Cognitive Therapy (MBCT) — Segal Z., Williams M., Teasdale J — In relapse prevention; particularly if history of ≥3 episodes, effect may be superior to antidepressant continuation (Kuyken W. et al. Lancet 2015).</w:t>
      </w:r>
    </w:p>
    <w:p>
      <w:pPr>
        <w:pStyle w:val="Compact"/>
        <w:numPr>
          <w:ilvl w:val="0"/>
          <w:numId w:val="1346"/>
        </w:numPr>
      </w:pPr>
      <w:r>
        <w:t xml:space="preserve">Patient Health Questionnaire-9 (PHQ-9) — Kroenke (Kroenke K.), Spitzer (Spitzer R.L.) — Gold standard screening and monitoring tool in primary medical care.</w:t>
      </w:r>
    </w:p>
    <w:p>
      <w:pPr>
        <w:pStyle w:val="Compact"/>
        <w:numPr>
          <w:ilvl w:val="0"/>
          <w:numId w:val="1346"/>
        </w:numPr>
      </w:pPr>
      <w:r>
        <w:t xml:space="preserve">HAM-D / MADRS — Clinician-rated depressive severity scales.</w:t>
      </w:r>
    </w:p>
    <w:p>
      <w:pPr>
        <w:pStyle w:val="Compact"/>
        <w:numPr>
          <w:ilvl w:val="0"/>
          <w:numId w:val="1346"/>
        </w:numPr>
      </w:pPr>
      <w:r>
        <w:t xml:space="preserve">ECT — Severe psychotic depression, refractory, suicide risk, food intake disorder, pregnancy. UK ECT Review Group Lancet 2003 — ECT superior to pharmacotherapy in severe cases.</w:t>
      </w:r>
    </w:p>
    <w:p>
      <w:pPr>
        <w:pStyle w:val="Compact"/>
        <w:numPr>
          <w:ilvl w:val="0"/>
          <w:numId w:val="1346"/>
        </w:numPr>
      </w:pPr>
      <w:r>
        <w:t xml:space="preserve">Esketamine / Ketamine — FDA 2019 intranasal esketamine (Spravato) for severe refractory depression; rapid antidepressant effect (hours-days); administration under clinic supervision. Daly E.J. et al. JAMA Psychiatry 2018.</w:t>
      </w:r>
    </w:p>
    <w:p>
      <w:pPr>
        <w:pStyle w:val="Compact"/>
        <w:numPr>
          <w:ilvl w:val="0"/>
          <w:numId w:val="1346"/>
        </w:numPr>
      </w:pPr>
      <w:r>
        <w:t xml:space="preserve">Repetitive Transcranial Magnetic Stimulation (rTMS — repetitive Transcranial Magnetic Stimulation) — FDA-approved (2008) for refractory depression; 4–6 week course, target left DLPFC.</w:t>
      </w:r>
    </w:p>
    <w:bookmarkEnd w:id="750"/>
    <w:bookmarkEnd w:id="751"/>
    <w:bookmarkStart w:id="752" w:name="X3f91c6cdaa636fa7737c533f39ce670e088a4ca"/>
    <w:p>
      <w:pPr>
        <w:pStyle w:val="Heading3"/>
      </w:pPr>
      <w:r>
        <w:t xml:space="preserve">9. Prognosis</w:t>
      </w:r>
    </w:p>
    <w:p>
      <w:pPr>
        <w:pStyle w:val="Compact"/>
        <w:numPr>
          <w:ilvl w:val="0"/>
          <w:numId w:val="1347"/>
        </w:numPr>
      </w:pPr>
      <w:r>
        <w:t xml:space="preserve">Spontaneous remission occurs in 50% within one year (though most remissions occur without antidepressant treatment); relapse risk is high.</w:t>
      </w:r>
    </w:p>
    <w:p>
      <w:pPr>
        <w:pStyle w:val="Compact"/>
        <w:numPr>
          <w:ilvl w:val="0"/>
          <w:numId w:val="1347"/>
        </w:numPr>
      </w:pPr>
      <w:r>
        <w:t xml:space="preserve">The risk of a subsequent episode increases after each episode.</w:t>
      </w:r>
    </w:p>
    <w:p>
      <w:pPr>
        <w:pStyle w:val="Compact"/>
        <w:numPr>
          <w:ilvl w:val="0"/>
          <w:numId w:val="1347"/>
        </w:numPr>
      </w:pPr>
      <w:r>
        <w:t xml:space="preserve">Suicide risk is particularly high in the first weeks.</w:t>
      </w:r>
    </w:p>
    <w:p>
      <w:pPr>
        <w:pStyle w:val="Compact"/>
        <w:numPr>
          <w:ilvl w:val="0"/>
          <w:numId w:val="1347"/>
        </w:numPr>
      </w:pPr>
      <w:r>
        <w:t xml:space="preserve">Monitoring — PHQ-9 / MADRS, suicide risk, side effects, compliance; more frequent in first 12 weeks.</w:t>
      </w:r>
    </w:p>
    <w:p>
      <w:pPr>
        <w:pStyle w:val="Compact"/>
        <w:numPr>
          <w:ilvl w:val="0"/>
          <w:numId w:val="1347"/>
        </w:numPr>
      </w:pPr>
      <w:r>
        <w:t xml:space="preserve">Duration of treatment — 6–12 months after remission in first episode.</w:t>
      </w:r>
    </w:p>
    <w:bookmarkEnd w:id="752"/>
    <w:bookmarkStart w:id="764" w:name="Xd29945d5ad2738e60c9c6fc4acf19aef6b2eb84"/>
    <w:p>
      <w:pPr>
        <w:pStyle w:val="Heading3"/>
      </w:pPr>
      <w:r>
        <w:t xml:space="preserve">10. Myths and misconceptions</w:t>
      </w:r>
    </w:p>
    <w:bookmarkStart w:id="753" w:name="X54bb7bee566130dbe61c26e6c23d7494957a4c4"/>
    <w:p>
      <w:pPr>
        <w:pStyle w:val="Heading5"/>
      </w:pPr>
      <w:r>
        <w:t xml:space="preserve">Myth 1: “Depression is just ‘sadness’; it can be overcome voluntarily”</w:t>
      </w:r>
    </w:p>
    <w:p>
      <w:pPr>
        <w:pStyle w:val="FirstParagraph"/>
      </w:pPr>
      <w:r>
        <w:t xml:space="preserve">Evidence: Depression is a complex neurobiological disorder involving HPA axis dysregulation, monoamine imbalance, and structural changes (e.g., hippocampus); it is not volitionally controllable. The APA, WHO, and NICE define it as a medical condition.</w:t>
      </w:r>
    </w:p>
    <w:bookmarkEnd w:id="753"/>
    <w:bookmarkStart w:id="754" w:name="myth-2-antidepressants-are-addictive"/>
    <w:p>
      <w:pPr>
        <w:pStyle w:val="Heading5"/>
      </w:pPr>
      <w:r>
        <w:t xml:space="preserve">Myth 2: “Antidepressants are addictive”</w:t>
      </w:r>
    </w:p>
    <w:p>
      <w:pPr>
        <w:pStyle w:val="FirstParagraph"/>
      </w:pPr>
      <w:r>
        <w:t xml:space="preserve">Evidence: SSRI and SNRI do not cause addiction — no abuse or tolerance. But a discontinuation syndrome does exist (especially with the short half-life of paroxetine, venlafaxine) — this is not addiction, but physiological adaptation; it resolves with gradual discontinuation.</w:t>
      </w:r>
    </w:p>
    <w:bookmarkEnd w:id="754"/>
    <w:bookmarkStart w:id="755" w:name="Xeaed2cd31ca91c1751fbc08eb65466373639959"/>
    <w:p>
      <w:pPr>
        <w:pStyle w:val="Heading5"/>
      </w:pPr>
      <w:r>
        <w:t xml:space="preserve">Myth 3: “Antidepressant changes the patient's personality”</w:t>
      </w:r>
    </w:p>
    <w:p>
      <w:pPr>
        <w:pStyle w:val="FirstParagraph"/>
      </w:pPr>
      <w:r>
        <w:t xml:space="preserve">Evidence: Antidepressants reduce the symptoms; they do not change the personality. If a patient says that he or she no longer feels like themselves, that is a side effect — emotional blunting — and the answer is to change the drug or lower the dose.</w:t>
      </w:r>
    </w:p>
    <w:bookmarkEnd w:id="755"/>
    <w:bookmarkStart w:id="756" w:name="X8d45048e810ad7f8d3a350fa37d71caa9fda944"/>
    <w:p>
      <w:pPr>
        <w:pStyle w:val="Heading5"/>
      </w:pPr>
      <w:r>
        <w:t xml:space="preserve">Myth 4: “Antidepressants are no better than placebo”</w:t>
      </w:r>
    </w:p>
    <w:p>
      <w:pPr>
        <w:pStyle w:val="FirstParagraph"/>
      </w:pPr>
      <w:r>
        <w:t xml:space="preserve">Evidence: Cipriani Lancet 2018 — 21 antidepressants significantly superior to placebo; but effect is modest, especially in mild depression. In moderate-severe depression, the effect is clinically significant.</w:t>
      </w:r>
    </w:p>
    <w:bookmarkEnd w:id="756"/>
    <w:bookmarkStart w:id="757" w:name="Xf838a0342314520a4debd2f8350e162cc4c4127"/>
    <w:p>
      <w:pPr>
        <w:pStyle w:val="Heading5"/>
      </w:pPr>
      <w:r>
        <w:t xml:space="preserve">Myth 5: “Diet (omega-3, B vitamins, magnesium) replaces antidepressants”</w:t>
      </w:r>
    </w:p>
    <w:p>
      <w:pPr>
        <w:pStyle w:val="FirstParagraph"/>
      </w:pPr>
      <w:r>
        <w:t xml:space="preserve">Evidence: Some supplements (omega-3, vitamin D in deficiency) may have mild adjunct effect, but do not replace main treatment in moderate-severe depression. SMILES study (Jacka F.N. BMC Med 2017) — Mediterranean-type diet as mild adjunct.</w:t>
      </w:r>
    </w:p>
    <w:bookmarkEnd w:id="757"/>
    <w:bookmarkStart w:id="758" w:name="X32d2ab4838eb0dd8bf9c59bc80a521525b80d7b"/>
    <w:p>
      <w:pPr>
        <w:pStyle w:val="Heading5"/>
      </w:pPr>
      <w:r>
        <w:t xml:space="preserve">Myth 6: “St John's Wort is a natural antidepressant and can replace antidepressants”</w:t>
      </w:r>
    </w:p>
    <w:p>
      <w:pPr>
        <w:pStyle w:val="FirstParagraph"/>
      </w:pPr>
      <w:r>
        <w:t xml:space="preserve">Evidence: St John's wort shows efficacy in mild depression (Cochrane Linde K. 2008), but the evidence base is limited in moderate-to-severe depression; due to CYP induction, it reduces the levels of numerous drugs (contraceptives, anticoagulants, antidepressants, antiretrovirals) — a serious interaction.</w:t>
      </w:r>
    </w:p>
    <w:bookmarkEnd w:id="758"/>
    <w:bookmarkStart w:id="759" w:name="X4daeec168546aa26e1fecab714de5312798825a"/>
    <w:p>
      <w:pPr>
        <w:pStyle w:val="Heading5"/>
      </w:pPr>
      <w:r>
        <w:t xml:space="preserve">Myth 7: “Only exercise or psychotherapy is sufficient; medication is unnecessary”</w:t>
      </w:r>
    </w:p>
    <w:p>
      <w:pPr>
        <w:pStyle w:val="FirstParagraph"/>
      </w:pPr>
      <w:r>
        <w:t xml:space="preserve">Evidence: In mild depression, psychotherapy and exercise may sometimes be sufficient, but in moderate-to-severe depression and particularly when suicidal risk is present, pharmacotherapy is necessary; NICE NG222 and APA 2010.</w:t>
      </w:r>
    </w:p>
    <w:bookmarkEnd w:id="759"/>
    <w:bookmarkStart w:id="760" w:name="X6983b8f55e4609574cabfe6b831a25c75125dcd"/>
    <w:p>
      <w:pPr>
        <w:pStyle w:val="Heading5"/>
      </w:pPr>
      <w:r>
        <w:t xml:space="preserve">Myth 8: “ECT is an outdated or traumatic treatment”</w:t>
      </w:r>
    </w:p>
    <w:p>
      <w:pPr>
        <w:pStyle w:val="FirstParagraph"/>
      </w:pPr>
      <w:r>
        <w:t xml:space="preserve">Evidence: modern ECT (under anesthesia, with muscle relaxants) is safe and highly effective; it is the gold standard for severe refractory and psychotic depression. UK ECT Review Group Lancet 2003.</w:t>
      </w:r>
    </w:p>
    <w:bookmarkEnd w:id="760"/>
    <w:bookmarkStart w:id="761" w:name="myth-9-antidepressants-cause-suicide"/>
    <w:p>
      <w:pPr>
        <w:pStyle w:val="Heading5"/>
      </w:pPr>
      <w:r>
        <w:t xml:space="preserve">Myth 9: “Antidepressants cause suicide”</w:t>
      </w:r>
    </w:p>
    <w:p>
      <w:pPr>
        <w:pStyle w:val="FirstParagraph"/>
      </w:pPr>
      <w:r>
        <w:t xml:space="preserve">Evidence: FDA black box in children and adolescents (especially first weeks) warns of increased risk of suicidal thoughts — requires monitoring of these patients, but long-term antidepressants reduce suicide risk (Stone M. et al. BMJ 2009).</w:t>
      </w:r>
    </w:p>
    <w:bookmarkEnd w:id="761"/>
    <w:bookmarkStart w:id="762" w:name="X99622cc284539f09508396a9ff6a149b79d10a9"/>
    <w:p>
      <w:pPr>
        <w:pStyle w:val="Heading5"/>
      </w:pPr>
      <w:r>
        <w:t xml:space="preserve">Myth 10: “Depression cannot be diagnosed during the grieving period”</w:t>
      </w:r>
    </w:p>
    <w:p>
      <w:pPr>
        <w:pStyle w:val="FirstParagraph"/>
      </w:pPr>
      <w:r>
        <w:t xml:space="preserve">Evidence: DSM-5 eliminated the bereavement exclusion; grief and major depressive episode can co-occur; pathological forms of grief (prolonged grief disorder — 6B43) are separate.</w:t>
      </w:r>
    </w:p>
    <w:bookmarkEnd w:id="762"/>
    <w:bookmarkStart w:id="763" w:name="X56966b065d0d95d1db833debfddb5ac2e703697"/>
    <w:p>
      <w:pPr>
        <w:pStyle w:val="Heading5"/>
      </w:pPr>
      <w:r>
        <w:t xml:space="preserve">Myth 11: “Depression in healthy patients is a marker of psychological ‘weakness’”</w:t>
      </w:r>
    </w:p>
    <w:p>
      <w:pPr>
        <w:pStyle w:val="FirstParagraph"/>
      </w:pPr>
      <w:r>
        <w:t xml:space="preserve">Evidence: Depression can occur in any individual; the concept of “psychological strength” is stigmatizing and incorrect; it should be evaluated as a medical condition.</w:t>
      </w:r>
    </w:p>
    <w:bookmarkEnd w:id="763"/>
    <w:bookmarkEnd w:id="764"/>
    <w:bookmarkStart w:id="2987" w:name="X174376cf5fbfeca6510edaf6492f9f6ac5867ff"/>
    <w:p>
      <w:pPr>
        <w:pStyle w:val="Heading3"/>
      </w:pPr>
      <w:r>
        <w:t xml:space="preserve">11. Sources</w:t>
      </w:r>
    </w:p>
    <w:p>
      <w:pPr>
        <w:pStyle w:val="Compact"/>
        <w:numPr>
          <w:ilvl w:val="0"/>
          <w:numId w:val="1348"/>
        </w:numPr>
      </w:pPr>
      <w:r>
        <w:t xml:space="preserve">WHO. ICD-11. 6A70 Single episode depressive disorder. 2024.</w:t>
      </w:r>
    </w:p>
    <w:p>
      <w:pPr>
        <w:pStyle w:val="Compact"/>
        <w:numPr>
          <w:ilvl w:val="0"/>
          <w:numId w:val="1348"/>
        </w:numPr>
      </w:pPr>
      <w:r>
        <w:t xml:space="preserve">APA. DSM-5-TR. 2022.</w:t>
      </w:r>
    </w:p>
    <w:p>
      <w:pPr>
        <w:pStyle w:val="Compact"/>
        <w:numPr>
          <w:ilvl w:val="0"/>
          <w:numId w:val="1348"/>
        </w:numPr>
      </w:pPr>
      <w:r>
        <w:t xml:space="preserve">NICE NG222. Depression in adults: treatment and management. 2022.</w:t>
      </w:r>
    </w:p>
    <w:p>
      <w:pPr>
        <w:pStyle w:val="Compact"/>
        <w:numPr>
          <w:ilvl w:val="0"/>
          <w:numId w:val="1348"/>
        </w:numPr>
      </w:pPr>
      <w:r>
        <w:t xml:space="preserve">APA. Practice Guideline for the Treatment of Patients with Major Depressive Disorder. 3rd ed. 2010.</w:t>
      </w:r>
    </w:p>
    <w:p>
      <w:pPr>
        <w:pStyle w:val="Compact"/>
        <w:numPr>
          <w:ilvl w:val="0"/>
          <w:numId w:val="1348"/>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48"/>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48"/>
        </w:numPr>
      </w:pPr>
      <w:r>
        <w:t xml:space="preserve">Hasin D.S., Sarvet A.L., Meyers J.L. et al. Epidemiology of adult DSM-5 major depressive disorder and its specifiers in the United States. JAMA Psychiatry 2018;75(4):336–346.</w:t>
      </w:r>
    </w:p>
    <w:p>
      <w:pPr>
        <w:pStyle w:val="Compact"/>
        <w:numPr>
          <w:ilvl w:val="0"/>
          <w:numId w:val="1348"/>
        </w:numPr>
      </w:pPr>
      <w:r>
        <w:t xml:space="preserve">Howard D.M. et al. Genome-wide meta-analysis of depression identifies 102 independent variants. Nat Neurosci 2019;22(3):343–352.</w:t>
      </w:r>
    </w:p>
    <w:p>
      <w:pPr>
        <w:pStyle w:val="Compact"/>
        <w:numPr>
          <w:ilvl w:val="0"/>
          <w:numId w:val="1348"/>
        </w:numPr>
      </w:pPr>
      <w:r>
        <w:t xml:space="preserve">Cuijpers P., Karyotaki E., de Wit L., Ebert D.D. The effects of fifteen evidence-supported therapies for adult depression: A meta-analytic review. Psychother Res 2020;30(3):279–293.</w:t>
      </w:r>
    </w:p>
    <w:p>
      <w:pPr>
        <w:pStyle w:val="Compact"/>
        <w:numPr>
          <w:ilvl w:val="0"/>
          <w:numId w:val="1348"/>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48"/>
        </w:numPr>
      </w:pPr>
      <w:r>
        <w:t xml:space="preserve">Kroenke K., Spitzer R.L., Williams J.B. The PHQ-9: validity of a brief depression severity measure. J Gen Intern Med 2001;16(9):606–613.</w:t>
      </w:r>
    </w:p>
    <w:p>
      <w:pPr>
        <w:pStyle w:val="Compact"/>
        <w:numPr>
          <w:ilvl w:val="0"/>
          <w:numId w:val="1348"/>
        </w:numPr>
      </w:pPr>
      <w:r>
        <w:t xml:space="preserve">Daly E.J. et al. Efficacy and safety of intranasal esketamine adjunctive to oral antidepressant therapy in treatment-resistant depression. JAMA Psychiatry 2018;75(2):139–148.</w:t>
      </w:r>
    </w:p>
    <w:p>
      <w:pPr>
        <w:pStyle w:val="Compact"/>
        <w:numPr>
          <w:ilvl w:val="0"/>
          <w:numId w:val="1348"/>
        </w:numPr>
      </w:pPr>
      <w:r>
        <w:t xml:space="preserve">Jacka F.N. et al. A randomised controlled trial of dietary improvement for adults with major depression (the ‘SMILES’ trial). BMC Med 2017;15(1):23.</w:t>
      </w:r>
    </w:p>
    <w:p>
      <w:pPr>
        <w:pStyle w:val="Compact"/>
        <w:numPr>
          <w:ilvl w:val="0"/>
          <w:numId w:val="1348"/>
        </w:numPr>
      </w:pPr>
      <w:r>
        <w:t xml:space="preserve">UK ECT Review Group. Lancet 2003;361(9360):799–808.</w:t>
      </w:r>
    </w:p>
    <w:p>
      <w:pPr>
        <w:pStyle w:val="Compact"/>
        <w:numPr>
          <w:ilvl w:val="0"/>
          <w:numId w:val="1348"/>
        </w:numPr>
      </w:pPr>
      <w:r>
        <w:t xml:space="preserve">Stone M., Laughren T., Jones M.L. et al. Risk of suicidality in clinical trials of antidepressants in adults: analysis of proprietary data submitted to US Food and Drug Administration. BMJ 2009;339:b2880.</w:t>
      </w:r>
    </w:p>
    <w:p>
      <w:pPr>
        <w:pStyle w:val="Compact"/>
        <w:numPr>
          <w:ilvl w:val="0"/>
          <w:numId w:val="1348"/>
        </w:numPr>
      </w:pPr>
      <w:r>
        <w:t xml:space="preserve">Beck A.T., Rush A.J., Shaw B.F., Emery G. Cognitive Therapy of Depression. New York: Guilford Press, 1979.</w:t>
      </w:r>
    </w:p>
    <w:p>
      <w:pPr>
        <w:pStyle w:val="Compact"/>
        <w:numPr>
          <w:ilvl w:val="0"/>
          <w:numId w:val="1348"/>
        </w:numPr>
      </w:pPr>
      <w:r>
        <w:t xml:space="preserve">Martell C.R., Dimidjian S., Herman-Dunn R. Behavioral Activation for Depression: A Clinician’s Guide. New York: Guilford Press, 2010.</w:t>
      </w:r>
    </w:p>
    <w:p>
      <w:pPr>
        <w:pStyle w:val="Compact"/>
        <w:numPr>
          <w:ilvl w:val="0"/>
          <w:numId w:val="1348"/>
        </w:numPr>
      </w:pPr>
      <w:r>
        <w:t xml:space="preserve">Weissman M.M., Markowitz J.C., Klerman G.L. Comprehensive Guide to Interpersonal Psychotherapy. New York: Basic Books, 2000.</w:t>
      </w:r>
    </w:p>
    <w:p>
      <w:pPr>
        <w:pStyle w:val="Compact"/>
        <w:numPr>
          <w:ilvl w:val="0"/>
          <w:numId w:val="1348"/>
        </w:numPr>
      </w:pPr>
      <w:r>
        <w:t xml:space="preserve">Segal Z.V., Williams J.M.G., Teasdale J.D. Mindfulness-Based Cognitive Therapy for Depression. 2nd ed. New York: Guilford Press, 2013.</w:t>
      </w:r>
    </w:p>
    <w:p>
      <w:pPr>
        <w:pStyle w:val="Compact"/>
        <w:numPr>
          <w:ilvl w:val="0"/>
          <w:numId w:val="1348"/>
        </w:numPr>
      </w:pPr>
      <w:r>
        <w:t xml:space="preserve">Jacobson N.S., Dobson K.S., Truax P.A. et al. A component analysis of cognitive-behavioral treatment for depression. J Consult Clin Psychol 1996;64(2):295–304.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65" w:name="m246a71-recurrent-depressive-disorder"/>
            <w:r>
              <w:t xml:space="preserve">6A71 RECURRENT DEPRESSIVE DISORDER</w:t>
            </w:r>
            <w:bookmarkEnd w:id="765"/>
          </w:p>
          <w:p>
            <w:pPr>
              <w:pStyle w:val="Compact"/>
              <w:ind w:firstLine="0" w:left="0"/>
            </w:pPr>
            <w:r>
              <w:rPr>
                <w:lang w:val="en"/>
              </w:rPr>
              <w:t xml:space="preserve">Recurrent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Recurrent depressive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Disorder, Recurrent Episode</w:t>
            </w:r>
          </w:p>
        </w:tc>
      </w:tr>
    </w:tbl>
    <w:bookmarkStart w:id="766" w:name="X66dcb6baa6ec6e29bbade3037011313890f0231"/>
    <w:p>
      <w:pPr>
        <w:pStyle w:val="Heading3"/>
      </w:pPr>
      <w:r>
        <w:t xml:space="preserve">1. Definition and nosology</w:t>
      </w:r>
    </w:p>
    <w:p>
      <w:pPr>
        <w:pStyle w:val="FirstParagraph"/>
      </w:pPr>
      <w:r>
        <w:t xml:space="preserve">Recurrent depressive disorder (ICD-11:</w:t>
      </w:r>
      <w:r>
        <w:t xml:space="preserve"> </w:t>
      </w:r>
      <w:r>
        <w:t xml:space="preserve">6A71</w:t>
      </w:r>
      <w:r>
        <w:t xml:space="preserve">; DSM-5-TR: Major Depressive Disorder, Recurrent — F33.x) — presence of at least two major depressive episodes, with partial or full remission lasting at least 2 months between episodes. No history of manic or hypomanic episodes (if present, diagnosis is bipolar disorder).</w:t>
      </w:r>
    </w:p>
    <w:p>
      <w:pPr>
        <w:pStyle w:val="BodyText"/>
      </w:pPr>
      <w:r>
        <w:t xml:space="preserve">Differs from single episode depressive disorder (6A70) only by number of episodes; clinical manifestations, diagnostic criteria, and treatment principles are identical, but long-term maintenance pharmacotherapy plays a more important role here.</w:t>
      </w:r>
    </w:p>
    <w:bookmarkEnd w:id="766"/>
    <w:bookmarkStart w:id="767" w:name="Xd4ee296bfad42e8b330f942a239f94b273f4683"/>
    <w:p>
      <w:pPr>
        <w:pStyle w:val="Heading3"/>
      </w:pPr>
      <w:r>
        <w:t xml:space="preserve">2. History</w:t>
      </w:r>
    </w:p>
    <w:p>
      <w:pPr>
        <w:pStyle w:val="Compact"/>
        <w:numPr>
          <w:ilvl w:val="0"/>
          <w:numId w:val="1349"/>
        </w:numPr>
      </w:pPr>
      <w:r>
        <w:t xml:space="preserve">Kraepelin (1899) — within the framework of manic-depressive disorder, recurrent depressive episodes.</w:t>
      </w:r>
    </w:p>
    <w:p>
      <w:pPr>
        <w:pStyle w:val="Compact"/>
        <w:numPr>
          <w:ilvl w:val="0"/>
          <w:numId w:val="1349"/>
        </w:numPr>
      </w:pPr>
      <w:r>
        <w:t xml:space="preserve">Leonhard K. (1957) — concept of unipolar depression.</w:t>
      </w:r>
    </w:p>
    <w:p>
      <w:pPr>
        <w:pStyle w:val="Compact"/>
        <w:numPr>
          <w:ilvl w:val="0"/>
          <w:numId w:val="1349"/>
        </w:numPr>
      </w:pPr>
      <w:r>
        <w:t xml:space="preserve">DSM-III (1980), DSM-5 (2013) — Major Depressive Disorder, Recurrent official designation.</w:t>
      </w:r>
    </w:p>
    <w:p>
      <w:pPr>
        <w:pStyle w:val="Compact"/>
        <w:numPr>
          <w:ilvl w:val="0"/>
          <w:numId w:val="1349"/>
        </w:numPr>
      </w:pPr>
      <w:r>
        <w:t xml:space="preserve">ICD-11 (2019) — Single episode (6A70) and Recurrent (6A71) are coded separately.</w:t>
      </w:r>
    </w:p>
    <w:bookmarkEnd w:id="767"/>
    <w:bookmarkStart w:id="768" w:name="X459c64d34456bb3aa26e197a79099adc40aa641"/>
    <w:p>
      <w:pPr>
        <w:pStyle w:val="Heading3"/>
      </w:pPr>
      <w:r>
        <w:t xml:space="preserve">3. Epidemiology</w:t>
      </w:r>
    </w:p>
    <w:p>
      <w:pPr>
        <w:pStyle w:val="Compact"/>
        <w:numPr>
          <w:ilvl w:val="0"/>
          <w:numId w:val="1350"/>
        </w:numPr>
      </w:pPr>
      <w:r>
        <w:t xml:space="preserve">Major depressive disorder lifetime prevalence 15–20%; of which ~50–80% have a recurrent course.</w:t>
      </w:r>
    </w:p>
    <w:p>
      <w:pPr>
        <w:pStyle w:val="Compact"/>
        <w:numPr>
          <w:ilvl w:val="0"/>
          <w:numId w:val="1350"/>
        </w:numPr>
      </w:pPr>
      <w:r>
        <w:t xml:space="preserve">The risk of a subsequent episode increases after each episode (Solomon D.A. et al. Am J Psychiatry 2000) — ~50% after the 1st episode, ~70% after the 2nd, ~90% after the 3rd.</w:t>
      </w:r>
    </w:p>
    <w:p>
      <w:pPr>
        <w:pStyle w:val="Compact"/>
        <w:numPr>
          <w:ilvl w:val="0"/>
          <w:numId w:val="1350"/>
        </w:numPr>
      </w:pPr>
      <w:r>
        <w:t xml:space="preserve">Suicide risk higher than in single episodes, particularly in untreated episodes.</w:t>
      </w:r>
    </w:p>
    <w:bookmarkEnd w:id="768"/>
    <w:bookmarkStart w:id="769" w:name="Xf79291d715a0efccec607445e5cf1a5827d4ec9"/>
    <w:p>
      <w:pPr>
        <w:pStyle w:val="Heading3"/>
      </w:pPr>
      <w:r>
        <w:t xml:space="preserve">4. Aetiology and pathogenesis</w:t>
      </w:r>
    </w:p>
    <w:p>
      <w:pPr>
        <w:pStyle w:val="Compact"/>
        <w:numPr>
          <w:ilvl w:val="0"/>
          <w:numId w:val="1351"/>
        </w:numPr>
      </w:pPr>
      <w:r>
        <w:t xml:space="preserve">Same as single episode (6A70) — heritability ~35–40% (Sullivan 2000); GWAS loci.</w:t>
      </w:r>
    </w:p>
    <w:p>
      <w:pPr>
        <w:pStyle w:val="Compact"/>
        <w:numPr>
          <w:ilvl w:val="0"/>
          <w:numId w:val="1351"/>
        </w:numPr>
      </w:pPr>
      <w:r>
        <w:t xml:space="preserve">Relapse predisposition — predominantly cognitive predisposition, neurobiological “kindling” (Post R.M.) concept — threshold decreases for the next episode after each one.</w:t>
      </w:r>
    </w:p>
    <w:p>
      <w:pPr>
        <w:pStyle w:val="Compact"/>
        <w:numPr>
          <w:ilvl w:val="0"/>
          <w:numId w:val="1351"/>
        </w:numPr>
      </w:pPr>
      <w:r>
        <w:t xml:space="preserve">Risk factors — childhood trauma, family history, chronic stress, comorbid anxiety, somatic illness.</w:t>
      </w:r>
    </w:p>
    <w:bookmarkEnd w:id="769"/>
    <w:bookmarkStart w:id="770" w:name="X17d9cf8be367e43e922904800f629767f47f65a"/>
    <w:p>
      <w:pPr>
        <w:pStyle w:val="Heading3"/>
      </w:pPr>
      <w:r>
        <w:t xml:space="preserve">5. Clinical features</w:t>
      </w:r>
    </w:p>
    <w:p>
      <w:pPr>
        <w:pStyle w:val="FirstParagraph"/>
      </w:pPr>
      <w:r>
        <w:t xml:space="preserve">Same as a single episode (see 6A70 §5). In recurrent patients, additional features:</w:t>
      </w:r>
    </w:p>
    <w:p>
      <w:pPr>
        <w:pStyle w:val="Compact"/>
        <w:numPr>
          <w:ilvl w:val="0"/>
          <w:numId w:val="1352"/>
        </w:numPr>
      </w:pPr>
      <w:r>
        <w:t xml:space="preserve">Episode presentation may change from previous episodes (atypical features, seasonal pattern).</w:t>
      </w:r>
    </w:p>
    <w:p>
      <w:pPr>
        <w:pStyle w:val="Compact"/>
        <w:numPr>
          <w:ilvl w:val="0"/>
          <w:numId w:val="1352"/>
        </w:numPr>
      </w:pPr>
      <w:r>
        <w:t xml:space="preserve">Recurrent episodes typically begin more rapidly than previous ones (kindling concept — Post R.M. Am J Psychiatry 1992).</w:t>
      </w:r>
    </w:p>
    <w:p>
      <w:pPr>
        <w:pStyle w:val="Compact"/>
        <w:numPr>
          <w:ilvl w:val="0"/>
          <w:numId w:val="1352"/>
        </w:numPr>
      </w:pPr>
      <w:r>
        <w:t xml:space="preserve">Comorbid anxiety disorders with increased frequency.</w:t>
      </w:r>
    </w:p>
    <w:p>
      <w:pPr>
        <w:pStyle w:val="Compact"/>
        <w:numPr>
          <w:ilvl w:val="0"/>
          <w:numId w:val="1352"/>
        </w:numPr>
      </w:pPr>
      <w:r>
        <w:t xml:space="preserve">Chronic cognitive deficits may be observed (especially after multiple episodes).</w:t>
      </w:r>
    </w:p>
    <w:bookmarkEnd w:id="770"/>
    <w:bookmarkStart w:id="775" w:name="X23f412b7c8ee6d4b868866ffca4b99f789d2ea9"/>
    <w:p>
      <w:pPr>
        <w:pStyle w:val="Heading3"/>
      </w:pPr>
      <w:r>
        <w:t xml:space="preserve">6. Diagnosis</w:t>
      </w:r>
    </w:p>
    <w:bookmarkStart w:id="771" w:name="X9cac3226892bc139e9cc8920dde4520d51f3d1a"/>
    <w:p>
      <w:pPr>
        <w:pStyle w:val="Heading4"/>
      </w:pPr>
      <w:r>
        <w:t xml:space="preserve">6.1 Unified diagnostic criteria (DSM-5-TR · ICD-11)</w:t>
      </w:r>
    </w:p>
    <w:p>
      <w:pPr>
        <w:pStyle w:val="FirstParagraph"/>
      </w:pPr>
      <w:r>
        <w:t xml:space="preserve">A. At least 2 major depressive episodes (according to 6A70 §6.1 criteria).</w:t>
      </w:r>
    </w:p>
    <w:p>
      <w:pPr>
        <w:pStyle w:val="BodyText"/>
      </w:pPr>
      <w:r>
        <w:t xml:space="preserve">B. ≥ 2 months partial or full remission between episodes.</w:t>
      </w:r>
    </w:p>
    <w:p>
      <w:pPr>
        <w:pStyle w:val="BodyText"/>
      </w:pPr>
      <w:r>
        <w:t xml:space="preserve">C. Never had a manic or hypomanic episode.</w:t>
      </w:r>
    </w:p>
    <w:p>
      <w:pPr>
        <w:pStyle w:val="BodyText"/>
      </w:pPr>
      <w:r>
        <w:t xml:space="preserve">D. Not better explained by schizoaffective, schizophrenia or other psychotic disorder.</w:t>
      </w:r>
    </w:p>
    <w:bookmarkEnd w:id="771"/>
    <w:bookmarkStart w:id="772" w:name="differences-between-sources-26"/>
    <w:p>
      <w:pPr>
        <w:pStyle w:val="Heading4"/>
      </w:pPr>
      <w:r>
        <w:t xml:space="preserve">6.2 Differences between sources</w:t>
      </w:r>
    </w:p>
    <w:p>
      <w:pPr>
        <w:pStyle w:val="Compact"/>
        <w:numPr>
          <w:ilvl w:val="0"/>
          <w:numId w:val="1353"/>
        </w:numPr>
      </w:pPr>
      <w:r>
        <w:t xml:space="preserve">ICD-11: current episode severity (mild, moderate, severe) and psychotic feature qualifiers; remission status (partial, full).</w:t>
      </w:r>
    </w:p>
    <w:p>
      <w:pPr>
        <w:pStyle w:val="Compact"/>
        <w:numPr>
          <w:ilvl w:val="0"/>
          <w:numId w:val="1353"/>
        </w:numPr>
      </w:pPr>
      <w:r>
        <w:t xml:space="preserve">DSM-5-TR: qualifiers are the same as 6A70.</w:t>
      </w:r>
    </w:p>
    <w:p>
      <w:pPr>
        <w:pStyle w:val="Compact"/>
        <w:numPr>
          <w:ilvl w:val="0"/>
          <w:numId w:val="1353"/>
        </w:numPr>
      </w:pPr>
      <w:r>
        <w:t xml:space="preserve">NICE NG222: ≥3 episodes — MBCT (Mindfulness-Based Cognitive Therapy) is specifically recommended for relapse prevention in patients.</w:t>
      </w:r>
    </w:p>
    <w:bookmarkEnd w:id="772"/>
    <w:bookmarkStart w:id="773" w:name="diagnostic-algorithm-17"/>
    <w:p>
      <w:pPr>
        <w:pStyle w:val="Heading4"/>
      </w:pPr>
      <w:r>
        <w:t xml:space="preserve">6.3 Diagnostic algorithm</w:t>
      </w:r>
    </w:p>
    <w:p>
      <w:pPr>
        <w:pStyle w:val="Compact"/>
        <w:numPr>
          <w:ilvl w:val="0"/>
          <w:numId w:val="1354"/>
        </w:numPr>
      </w:pPr>
      <w:r>
        <w:t xml:space="preserve">History — number of previous episodes, duration, triggers, quality of remission.</w:t>
      </w:r>
    </w:p>
    <w:p>
      <w:pPr>
        <w:pStyle w:val="Compact"/>
        <w:numPr>
          <w:ilvl w:val="0"/>
          <w:numId w:val="1354"/>
        </w:numPr>
      </w:pPr>
      <w:r>
        <w:t xml:space="preserve">Bipolar screening (MDQ, HCL-32) — to rule out hypomanic episodes.</w:t>
      </w:r>
    </w:p>
    <w:p>
      <w:pPr>
        <w:pStyle w:val="Compact"/>
        <w:numPr>
          <w:ilvl w:val="0"/>
          <w:numId w:val="1354"/>
        </w:numPr>
      </w:pPr>
      <w:r>
        <w:t xml:space="preserve">PHQ-9 / HAM-D / MADRS — severity of current episode.</w:t>
      </w:r>
    </w:p>
    <w:p>
      <w:pPr>
        <w:pStyle w:val="Compact"/>
        <w:numPr>
          <w:ilvl w:val="0"/>
          <w:numId w:val="1354"/>
        </w:numPr>
      </w:pPr>
      <w:r>
        <w:t xml:space="preserve">C-SSRS — suicide risk (high in recurrent patients).</w:t>
      </w:r>
    </w:p>
    <w:p>
      <w:pPr>
        <w:pStyle w:val="Compact"/>
        <w:numPr>
          <w:ilvl w:val="0"/>
          <w:numId w:val="1354"/>
        </w:numPr>
      </w:pPr>
      <w:r>
        <w:t xml:space="preserve">Laboratory (thyroid, B12, folate, ferritin); somatic comorbidity assessment.</w:t>
      </w:r>
    </w:p>
    <w:bookmarkEnd w:id="773"/>
    <w:bookmarkStart w:id="774" w:name="differential-diagnosis-18"/>
    <w:p>
      <w:pPr>
        <w:pStyle w:val="Heading4"/>
      </w:pPr>
      <w:r>
        <w:t xml:space="preserve">6.4 Differential diagnosis</w:t>
      </w:r>
    </w:p>
    <w:p>
      <w:pPr>
        <w:pStyle w:val="FirstParagraph"/>
      </w:pPr>
      <w:r>
        <w:t xml:space="preserve">Same as 6A70 (see single episode). Special attention — exclude bipolar episodes.</w:t>
      </w:r>
    </w:p>
    <w:bookmarkEnd w:id="774"/>
    <w:bookmarkEnd w:id="775"/>
    <w:bookmarkStart w:id="776" w:name="X454bedec0acab0a8acb7308a56b5a2b00a241d4"/>
    <w:p>
      <w:pPr>
        <w:pStyle w:val="Heading3"/>
      </w:pPr>
      <w:r>
        <w:t xml:space="preserve">7. Examination and assessment</w:t>
      </w:r>
    </w:p>
    <w:p>
      <w:pPr>
        <w:pStyle w:val="FirstParagraph"/>
      </w:pPr>
      <w:r>
        <w:t xml:space="preserve">Same as 6A70. Special attention — assessment of cognitive deficits (after multiple episodes).</w:t>
      </w:r>
    </w:p>
    <w:bookmarkEnd w:id="776"/>
    <w:bookmarkStart w:id="780" w:name="Xe53d9009822d94ad0e39564a75e57cf95fa9a94"/>
    <w:p>
      <w:pPr>
        <w:pStyle w:val="Heading3"/>
      </w:pPr>
      <w:r>
        <w:t xml:space="preserve">8. Treatment</w:t>
      </w:r>
    </w:p>
    <w:bookmarkStart w:id="777" w:name="X8bd24f62d1c028f98597fb7b78f2ea3d3412e06"/>
    <w:p>
      <w:pPr>
        <w:pStyle w:val="Heading4"/>
      </w:pPr>
      <w:r>
        <w:t xml:space="preserve">8.1 General Principles (NICE NG222 · APA 2010 · CANMAT 2016)</w:t>
      </w:r>
    </w:p>
    <w:p>
      <w:pPr>
        <w:pStyle w:val="Compact"/>
        <w:numPr>
          <w:ilvl w:val="0"/>
          <w:numId w:val="1355"/>
        </w:numPr>
      </w:pPr>
      <w:r>
        <w:t xml:space="preserve">Acute episode treatment — Same as 6A70 (SSRI, CBT, combination).</w:t>
      </w:r>
    </w:p>
    <w:p>
      <w:pPr>
        <w:pStyle w:val="Compact"/>
        <w:numPr>
          <w:ilvl w:val="0"/>
          <w:numId w:val="1355"/>
        </w:numPr>
      </w:pPr>
      <w:r>
        <w:t xml:space="preserve">Maintenance pharmacotherapy — long-term.</w:t>
      </w:r>
    </w:p>
    <w:p>
      <w:pPr>
        <w:pStyle w:val="Compact"/>
        <w:numPr>
          <w:ilvl w:val="1"/>
          <w:numId w:val="1356"/>
        </w:numPr>
      </w:pPr>
      <w:r>
        <w:t xml:space="preserve">After 2 episodes — continue for 1–2 years after remission.</w:t>
      </w:r>
    </w:p>
    <w:p>
      <w:pPr>
        <w:pStyle w:val="Compact"/>
        <w:numPr>
          <w:ilvl w:val="1"/>
          <w:numId w:val="1356"/>
        </w:numPr>
      </w:pPr>
      <w:r>
        <w:t xml:space="preserve">≥3 episodes — long-term (years) or lifelong maintenance.</w:t>
      </w:r>
    </w:p>
    <w:p>
      <w:pPr>
        <w:pStyle w:val="Compact"/>
        <w:numPr>
          <w:ilvl w:val="1"/>
          <w:numId w:val="1356"/>
        </w:numPr>
      </w:pPr>
      <w:r>
        <w:t xml:space="preserve">Effective antidepressant is maintained at the same dose after remission (dose reduction increases relapse risk).</w:t>
      </w:r>
    </w:p>
    <w:p>
      <w:pPr>
        <w:pStyle w:val="Compact"/>
        <w:numPr>
          <w:ilvl w:val="0"/>
          <w:numId w:val="1355"/>
        </w:numPr>
      </w:pPr>
      <w:r>
        <w:t xml:space="preserve">MBCT (Mindfulness-Based Cognitive Therapy) — comparable effect to antidepressant continuation for relapse prophylaxis in patients with ≥3 episode history (Kuyken W. et al. Lancet 2015).</w:t>
      </w:r>
    </w:p>
    <w:p>
      <w:pPr>
        <w:pStyle w:val="Compact"/>
        <w:numPr>
          <w:ilvl w:val="0"/>
          <w:numId w:val="1355"/>
        </w:numPr>
      </w:pPr>
      <w:r>
        <w:t xml:space="preserve">Lithium adjunct — in refractory or high relapse risk patients; suicide reduction effect (Cipriani BMJ 2013).</w:t>
      </w:r>
    </w:p>
    <w:p>
      <w:pPr>
        <w:pStyle w:val="Compact"/>
        <w:numPr>
          <w:ilvl w:val="0"/>
          <w:numId w:val="1355"/>
        </w:numPr>
      </w:pPr>
      <w:r>
        <w:t xml:space="preserve">Recognition of relapse markers — psychoeducation for patient and family (sleep disturbance, irritability, social withdrawal, anhedonia).</w:t>
      </w:r>
    </w:p>
    <w:p>
      <w:pPr>
        <w:pStyle w:val="Compact"/>
        <w:numPr>
          <w:ilvl w:val="0"/>
          <w:numId w:val="1355"/>
        </w:numPr>
      </w:pPr>
      <w:r>
        <w:t xml:space="preserve">Comorbidity treatment — anxiety disorders, substance use, cardiovascular — parallel.</w:t>
      </w:r>
    </w:p>
    <w:p>
      <w:pPr>
        <w:pStyle w:val="Compact"/>
        <w:numPr>
          <w:ilvl w:val="0"/>
          <w:numId w:val="1355"/>
        </w:numPr>
      </w:pPr>
      <w:r>
        <w:t xml:space="preserve">Suicide risk monitoring — high, particularly at onset of new episode.</w:t>
      </w:r>
    </w:p>
    <w:bookmarkEnd w:id="777"/>
    <w:bookmarkStart w:id="778" w:name="treatment-methods-18"/>
    <w:p>
      <w:pPr>
        <w:pStyle w:val="Heading4"/>
      </w:pPr>
      <w:r>
        <w:t xml:space="preserve">8.2 Treatment methods</w:t>
      </w:r>
    </w:p>
    <w:p>
      <w:pPr>
        <w:pStyle w:val="Compact"/>
        <w:numPr>
          <w:ilvl w:val="0"/>
          <w:numId w:val="1357"/>
        </w:numPr>
      </w:pPr>
      <w:r>
        <w:t xml:space="preserve">Mindfulness-Based Cognitive Therapy (MBCT) — 8-week group program; 2.5-hour sessions + home practice. Effective in relapse prevention for patients with history of ≥3 episodes. RCT: Kuyken W. et al. Lancet 2015. mbct.com.</w:t>
      </w:r>
    </w:p>
    <w:p>
      <w:pPr>
        <w:pStyle w:val="Compact"/>
        <w:numPr>
          <w:ilvl w:val="0"/>
          <w:numId w:val="1357"/>
        </w:numPr>
      </w:pPr>
      <w:r>
        <w:t xml:space="preserve">Antidepressant Maintenance Therapy — Long-term use with the same drug and dose; at least 2 years (≥ 3 episodes); gradual discontinuation (4–8 weeks).</w:t>
      </w:r>
    </w:p>
    <w:p>
      <w:pPr>
        <w:pStyle w:val="Compact"/>
        <w:numPr>
          <w:ilvl w:val="0"/>
          <w:numId w:val="1357"/>
        </w:numPr>
      </w:pPr>
      <w:r>
        <w:t xml:space="preserve">CBT and IPT maintenance formats — Monthly or every 2 weeks per session; relapse prevention.</w:t>
      </w:r>
    </w:p>
    <w:p>
      <w:pPr>
        <w:pStyle w:val="Compact"/>
        <w:numPr>
          <w:ilvl w:val="0"/>
          <w:numId w:val="1357"/>
        </w:numPr>
      </w:pPr>
      <w:r>
        <w:t xml:space="preserve">Lithium adjunct — In refractory unipolar depression with high suicide risk; Cipriani BMJ 2013.</w:t>
      </w:r>
    </w:p>
    <w:bookmarkEnd w:id="778"/>
    <w:bookmarkStart w:id="779" w:name="differences-between-sources-27"/>
    <w:p>
      <w:pPr>
        <w:pStyle w:val="Heading4"/>
      </w:pPr>
      <w:r>
        <w:t xml:space="preserve">8.3 Differences between sources</w:t>
      </w:r>
    </w:p>
    <w:p>
      <w:pPr>
        <w:pStyle w:val="Compact"/>
        <w:numPr>
          <w:ilvl w:val="0"/>
          <w:numId w:val="1358"/>
        </w:numPr>
      </w:pPr>
      <w:r>
        <w:t xml:space="preserve">NICE NG222 (2022): ≥3 episode history — MBCT or antidepressant maintenance; both are comparably effective.</w:t>
      </w:r>
    </w:p>
    <w:p>
      <w:pPr>
        <w:pStyle w:val="Compact"/>
        <w:numPr>
          <w:ilvl w:val="0"/>
          <w:numId w:val="1358"/>
        </w:numPr>
      </w:pPr>
      <w:r>
        <w:t xml:space="preserve">APA 2010: maintenance pharmacotherapy after ≥ 2 episodes; long-term after ≥ 3 episodes.</w:t>
      </w:r>
    </w:p>
    <w:p>
      <w:pPr>
        <w:pStyle w:val="Compact"/>
        <w:numPr>
          <w:ilvl w:val="0"/>
          <w:numId w:val="1358"/>
        </w:numPr>
      </w:pPr>
      <w:r>
        <w:t xml:space="preserve">Geddes J.R. et al. Lancet 2003 meta-analysis: Antidepressant continuation significantly superior to placebo in relapse reduction (NNT 5).</w:t>
      </w:r>
    </w:p>
    <w:bookmarkEnd w:id="779"/>
    <w:bookmarkEnd w:id="780"/>
    <w:bookmarkStart w:id="781" w:name="Xda605df5fcda0d0490614adf38657006fb522dd"/>
    <w:p>
      <w:pPr>
        <w:pStyle w:val="Heading3"/>
      </w:pPr>
      <w:r>
        <w:t xml:space="preserve">9. Prognosis</w:t>
      </w:r>
    </w:p>
    <w:p>
      <w:pPr>
        <w:pStyle w:val="Compact"/>
        <w:numPr>
          <w:ilvl w:val="0"/>
          <w:numId w:val="1359"/>
        </w:numPr>
      </w:pPr>
      <w:r>
        <w:t xml:space="preserve">Relapse risk increases after each episode (Solomon 2000).</w:t>
      </w:r>
    </w:p>
    <w:p>
      <w:pPr>
        <w:pStyle w:val="Compact"/>
        <w:numPr>
          <w:ilvl w:val="0"/>
          <w:numId w:val="1359"/>
        </w:numPr>
      </w:pPr>
      <w:r>
        <w:t xml:space="preserve">Relapse risk significantly reduced with adequate maintenance treatment (NNT 5).</w:t>
      </w:r>
    </w:p>
    <w:p>
      <w:pPr>
        <w:pStyle w:val="Compact"/>
        <w:numPr>
          <w:ilvl w:val="0"/>
          <w:numId w:val="1359"/>
        </w:numPr>
      </w:pPr>
      <w:r>
        <w:t xml:space="preserve">Comorbid anxiety, somatic illnesses, compliance disturbance — poor prognosis.</w:t>
      </w:r>
    </w:p>
    <w:p>
      <w:pPr>
        <w:pStyle w:val="Compact"/>
        <w:numPr>
          <w:ilvl w:val="0"/>
          <w:numId w:val="1359"/>
        </w:numPr>
      </w:pPr>
      <w:r>
        <w:t xml:space="preserve">Monitoring — PHQ-9 monitoring; relapse markers; antidepressant levels and side effects; suicide risk.</w:t>
      </w:r>
    </w:p>
    <w:bookmarkEnd w:id="781"/>
    <w:bookmarkStart w:id="787" w:name="X3a90defc413e1e5e15415169eac713a320baa8b"/>
    <w:p>
      <w:pPr>
        <w:pStyle w:val="Heading3"/>
      </w:pPr>
      <w:r>
        <w:t xml:space="preserve">10. Myths and misconceptions</w:t>
      </w:r>
    </w:p>
    <w:bookmarkStart w:id="782" w:name="Xa7aac528ddb532f6d563540c73b1f1d5a889a85"/>
    <w:p>
      <w:pPr>
        <w:pStyle w:val="Heading5"/>
      </w:pPr>
      <w:r>
        <w:t xml:space="preserve">Myth 1: “Antidepressants cannot be used lifelong, they cause ‘addiction’”</w:t>
      </w:r>
    </w:p>
    <w:p>
      <w:pPr>
        <w:pStyle w:val="FirstParagraph"/>
      </w:pPr>
      <w:r>
        <w:t xml:space="preserve">Evidence: SSRI/SNRI do not cause dependency; lifelong maintenance is recommended for patients with ≥3 episode history (NICE NG222, APA 2010). Reducing the maintenance dose increases the risk of relapse.</w:t>
      </w:r>
    </w:p>
    <w:bookmarkEnd w:id="782"/>
    <w:bookmarkStart w:id="783" w:name="Xaa8d8200d6c8116631903c1ef1d3ce0bcce0814"/>
    <w:p>
      <w:pPr>
        <w:pStyle w:val="Heading5"/>
      </w:pPr>
      <w:r>
        <w:t xml:space="preserve">Myth 2: “Antidepressants should be stopped immediately after remission”</w:t>
      </w:r>
    </w:p>
    <w:p>
      <w:pPr>
        <w:pStyle w:val="FirstParagraph"/>
      </w:pPr>
      <w:r>
        <w:t xml:space="preserve">Evidence: After remission continue at least 6–12 months (single episode) or years (recurrent); early discontinuation significantly increases relapse risk (Geddes Lancet 2003).</w:t>
      </w:r>
    </w:p>
    <w:bookmarkEnd w:id="783"/>
    <w:bookmarkStart w:id="784" w:name="Xf684628b4c14919ebb97ed908dd647d75433466"/>
    <w:p>
      <w:pPr>
        <w:pStyle w:val="Heading5"/>
      </w:pPr>
      <w:r>
        <w:t xml:space="preserve">Myth 3: “Medication should be changed with every episode”</w:t>
      </w:r>
    </w:p>
    <w:p>
      <w:pPr>
        <w:pStyle w:val="FirstParagraph"/>
      </w:pPr>
      <w:r>
        <w:t xml:space="preserve">Evidence: The medication effective in the previous episode should be reused in the next episode (patient-specific efficacy).</w:t>
      </w:r>
    </w:p>
    <w:bookmarkEnd w:id="784"/>
    <w:bookmarkStart w:id="785" w:name="X0069ec7c6ab3b7d4060794530801afae23e0f6f"/>
    <w:p>
      <w:pPr>
        <w:pStyle w:val="Heading5"/>
      </w:pPr>
      <w:r>
        <w:t xml:space="preserve">Myth 4: “Recurrent depressive disorder is a ‘personality weakness’, treatment should not be long”</w:t>
      </w:r>
    </w:p>
    <w:p>
      <w:pPr>
        <w:pStyle w:val="FirstParagraph"/>
      </w:pPr>
      <w:r>
        <w:t xml:space="preserve">Evidence: Neurobiological ‘kindling’ concept — each episode increases risk of new episode; long-term treatment ‘protects’ the brain.</w:t>
      </w:r>
    </w:p>
    <w:bookmarkEnd w:id="785"/>
    <w:bookmarkStart w:id="786" w:name="Xfdafc0cc9358c4bf98e24e2dbaf95770212257b"/>
    <w:p>
      <w:pPr>
        <w:pStyle w:val="Heading5"/>
      </w:pPr>
      <w:r>
        <w:t xml:space="preserve">Myth 5: “Only MBCT is sufficient for relapse prevention; pharmacotherapy is unnecessary”</w:t>
      </w:r>
    </w:p>
    <w:p>
      <w:pPr>
        <w:pStyle w:val="FirstParagraph"/>
      </w:pPr>
      <w:r>
        <w:t xml:space="preserve">Evidence: Kuyken Lancet 2015 — MBCT vs. maintenance antidepressant comparative; but individual choice — based on patient values, accessibility, prior treatment response.</w:t>
      </w:r>
    </w:p>
    <w:bookmarkEnd w:id="786"/>
    <w:bookmarkEnd w:id="787"/>
    <w:bookmarkStart w:id="2986" w:name="Xedf69e496c1dbe00f5c54cd562fbd073814162b"/>
    <w:p>
      <w:pPr>
        <w:pStyle w:val="Heading3"/>
      </w:pPr>
      <w:r>
        <w:t xml:space="preserve">11. Sources</w:t>
      </w:r>
    </w:p>
    <w:p>
      <w:pPr>
        <w:pStyle w:val="Compact"/>
        <w:numPr>
          <w:ilvl w:val="0"/>
          <w:numId w:val="1360"/>
        </w:numPr>
      </w:pPr>
      <w:r>
        <w:t xml:space="preserve">WHO. ICD-11. 6A71 Recurrent depressive disorder. 2024.</w:t>
      </w:r>
    </w:p>
    <w:p>
      <w:pPr>
        <w:pStyle w:val="Compact"/>
        <w:numPr>
          <w:ilvl w:val="0"/>
          <w:numId w:val="1360"/>
        </w:numPr>
      </w:pPr>
      <w:r>
        <w:t xml:space="preserve">APA. DSM-5-TR. 2022.</w:t>
      </w:r>
    </w:p>
    <w:p>
      <w:pPr>
        <w:pStyle w:val="Compact"/>
        <w:numPr>
          <w:ilvl w:val="0"/>
          <w:numId w:val="1360"/>
        </w:numPr>
      </w:pPr>
      <w:r>
        <w:t xml:space="preserve">NICE NG222. 2022.</w:t>
      </w:r>
    </w:p>
    <w:p>
      <w:pPr>
        <w:pStyle w:val="Compact"/>
        <w:numPr>
          <w:ilvl w:val="0"/>
          <w:numId w:val="1360"/>
        </w:numPr>
      </w:pPr>
      <w:r>
        <w:t xml:space="preserve">APA. Practice Guideline for MDD. 3rd ed. 2010.</w:t>
      </w:r>
    </w:p>
    <w:p>
      <w:pPr>
        <w:pStyle w:val="Compact"/>
        <w:numPr>
          <w:ilvl w:val="0"/>
          <w:numId w:val="1360"/>
        </w:numPr>
      </w:pPr>
      <w:r>
        <w:t xml:space="preserve">Kennedy S.H. et al. CANMAT 2016. Can J Psychiatry 2016;61(9):540–560.</w:t>
      </w:r>
    </w:p>
    <w:p>
      <w:pPr>
        <w:pStyle w:val="Compact"/>
        <w:numPr>
          <w:ilvl w:val="0"/>
          <w:numId w:val="1360"/>
        </w:numPr>
      </w:pPr>
      <w:r>
        <w:t xml:space="preserve">Solomon D.A. et al. Multiple recurrences of major depressive disorder. Am J Psychiatry 2000;157(2):229–233.</w:t>
      </w:r>
    </w:p>
    <w:p>
      <w:pPr>
        <w:pStyle w:val="Compact"/>
        <w:numPr>
          <w:ilvl w:val="0"/>
          <w:numId w:val="1360"/>
        </w:numPr>
      </w:pPr>
      <w:r>
        <w:t xml:space="preserve">Post R.M. Transduction of psychosocial stress into the neurobiology of recurrent affective disorder. Am J Psychiatry 1992;149(8):999–1010.</w:t>
      </w:r>
    </w:p>
    <w:p>
      <w:pPr>
        <w:pStyle w:val="Compact"/>
        <w:numPr>
          <w:ilvl w:val="0"/>
          <w:numId w:val="1360"/>
        </w:numPr>
      </w:pPr>
      <w:r>
        <w:t xml:space="preserve">Geddes J.R. et al. Relapse prevention with antidepressant drug treatment in depressive disorders: a systematic review. Lancet 2003;361(9358):653–661.</w:t>
      </w:r>
    </w:p>
    <w:p>
      <w:pPr>
        <w:pStyle w:val="Compact"/>
        <w:numPr>
          <w:ilvl w:val="0"/>
          <w:numId w:val="1360"/>
        </w:numPr>
      </w:pPr>
      <w:r>
        <w:t xml:space="preserve">Kuyken W. et al. Lancet 2015;386(9988):63–73.</w:t>
      </w:r>
    </w:p>
    <w:p>
      <w:pPr>
        <w:pStyle w:val="Compact"/>
        <w:numPr>
          <w:ilvl w:val="0"/>
          <w:numId w:val="1360"/>
        </w:numPr>
      </w:pPr>
      <w:r>
        <w:t xml:space="preserve">Cipriani A. et al. BMJ 2013;346:f3646.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788" w:name="m256a72-dysthymic-disorder"/>
            <w:r>
              <w:t xml:space="preserve">6A72 DYSTHYMIC DISORDER</w:t>
            </w:r>
            <w:bookmarkEnd w:id="788"/>
          </w:p>
          <w:p>
            <w:pPr>
              <w:pStyle w:val="Compact"/>
              <w:ind w:firstLine="0" w:left="0"/>
            </w:pPr>
            <w:r>
              <w:rPr>
                <w:lang w:val="en"/>
              </w:rPr>
              <w:t xml:space="preserve">Dysthymic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Dysthymia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Depressive Disorder</w:t>
            </w:r>
          </w:p>
        </w:tc>
      </w:tr>
    </w:tbl>
    <w:bookmarkStart w:id="789" w:name="Xa77be8d127b375d497ce78d9e534e27d4fb5786"/>
    <w:p>
      <w:pPr>
        <w:pStyle w:val="Heading3"/>
      </w:pPr>
      <w:r>
        <w:t xml:space="preserve">1. Definition and nosology</w:t>
      </w:r>
    </w:p>
    <w:p>
      <w:pPr>
        <w:pStyle w:val="FirstParagraph"/>
      </w:pPr>
      <w:r>
        <w:t xml:space="preserve">Dysthymic disorder (ICD-11:</w:t>
      </w:r>
      <w:r>
        <w:t xml:space="preserve"> </w:t>
      </w:r>
      <w:r>
        <w:t xml:space="preserve">6A72</w:t>
      </w:r>
      <w:r>
        <w:t xml:space="preserve">; DSM-5-TR: Persistent Depressive Disorder — F34.1) — chronic depressive symptoms lasting at least 2 years (in adults; 1 year in children/adolescents) that do not meet the severity of a major depressive episode. The patient may describe their state as 'I've always been this way'.</w:t>
      </w:r>
    </w:p>
    <w:p>
      <w:pPr>
        <w:pStyle w:val="BodyText"/>
      </w:pPr>
      <w:r>
        <w:t xml:space="preserve">DSM-5-TR — the term “Persistent Depressive Disorder” combines dysthymia and chronic major depressive disorder; ICD-11 codes dysthymic and chronic depressive episode separately.</w:t>
      </w:r>
    </w:p>
    <w:bookmarkEnd w:id="789"/>
    <w:bookmarkStart w:id="790" w:name="X7b6cee4b6a5cc14486a69318321c69d12123620"/>
    <w:p>
      <w:pPr>
        <w:pStyle w:val="Heading3"/>
      </w:pPr>
      <w:r>
        <w:t xml:space="preserve">2. History</w:t>
      </w:r>
    </w:p>
    <w:p>
      <w:pPr>
        <w:pStyle w:val="Compact"/>
        <w:numPr>
          <w:ilvl w:val="0"/>
          <w:numId w:val="1361"/>
        </w:numPr>
      </w:pPr>
      <w:r>
        <w:t xml:space="preserve">Flemming C.F. (1844) — first psychiatric use of the term “dysthymia”; Kahlbaum (1882) — gave it its modern meaning as a chronic, subthreshold depressive state.</w:t>
      </w:r>
    </w:p>
    <w:p>
      <w:pPr>
        <w:pStyle w:val="Compact"/>
        <w:numPr>
          <w:ilvl w:val="0"/>
          <w:numId w:val="1361"/>
        </w:numPr>
      </w:pPr>
      <w:r>
        <w:t xml:space="preserve">Akiskal H.S. (1980s) — dysthymic temperament as a substage of the depressive spectrum.</w:t>
      </w:r>
    </w:p>
    <w:p>
      <w:pPr>
        <w:pStyle w:val="Compact"/>
        <w:numPr>
          <w:ilvl w:val="0"/>
          <w:numId w:val="1361"/>
        </w:numPr>
      </w:pPr>
      <w:r>
        <w:t xml:space="preserve">DSM-III (1980) — official diagnosis “Dysthymic Disorder”.</w:t>
      </w:r>
    </w:p>
    <w:p>
      <w:pPr>
        <w:pStyle w:val="Compact"/>
        <w:numPr>
          <w:ilvl w:val="0"/>
          <w:numId w:val="1361"/>
        </w:numPr>
      </w:pPr>
      <w:r>
        <w:t xml:space="preserve">DSM-5 (2013) — “Persistent Depressive Disorder” — merger of dysthymia and chronic MDD.</w:t>
      </w:r>
    </w:p>
    <w:p>
      <w:pPr>
        <w:pStyle w:val="Compact"/>
        <w:numPr>
          <w:ilvl w:val="0"/>
          <w:numId w:val="1361"/>
        </w:numPr>
      </w:pPr>
      <w:r>
        <w:t xml:space="preserve">ICD-11 (2019) — dysthymic disorder retained separately.</w:t>
      </w:r>
    </w:p>
    <w:bookmarkEnd w:id="790"/>
    <w:bookmarkStart w:id="791" w:name="X86ad8d3afc1576f8c944aea5c15e0ac1bdbc68b"/>
    <w:p>
      <w:pPr>
        <w:pStyle w:val="Heading3"/>
      </w:pPr>
      <w:r>
        <w:t xml:space="preserve">3. Epidemiology</w:t>
      </w:r>
    </w:p>
    <w:p>
      <w:pPr>
        <w:pStyle w:val="Compact"/>
        <w:numPr>
          <w:ilvl w:val="0"/>
          <w:numId w:val="1362"/>
        </w:numPr>
      </w:pPr>
      <w:r>
        <w:t xml:space="preserve">Lifetime prevalence: 1.1–6.4% (dysthymia); 12-month prevalence in the US ~0.5%, plus 1.5% for chronic major depression (DSM-5-TR).</w:t>
      </w:r>
    </w:p>
    <w:p>
      <w:pPr>
        <w:pStyle w:val="Compact"/>
        <w:numPr>
          <w:ilvl w:val="0"/>
          <w:numId w:val="1362"/>
        </w:numPr>
      </w:pPr>
      <w:r>
        <w:t xml:space="preserve">Sex: 2 times higher in females.</w:t>
      </w:r>
    </w:p>
    <w:p>
      <w:pPr>
        <w:pStyle w:val="Compact"/>
        <w:numPr>
          <w:ilvl w:val="0"/>
          <w:numId w:val="1362"/>
        </w:numPr>
      </w:pPr>
      <w:r>
        <w:t xml:space="preserve">Onset: early (childhood/adolescence — early-onset; ≥ 21 years — late-onset).</w:t>
      </w:r>
    </w:p>
    <w:p>
      <w:pPr>
        <w:pStyle w:val="Compact"/>
        <w:numPr>
          <w:ilvl w:val="0"/>
          <w:numId w:val="1362"/>
        </w:numPr>
      </w:pPr>
      <w:r>
        <w:t xml:space="preserve">“Double depression” — major depressive episode on a background of dysthymic disorder — occurs in 76.9% of patients within 5 years (Klein D.N. et al. Am J Psychiatry 2000;157(6):931–939).</w:t>
      </w:r>
    </w:p>
    <w:p>
      <w:pPr>
        <w:pStyle w:val="Compact"/>
        <w:numPr>
          <w:ilvl w:val="0"/>
          <w:numId w:val="1362"/>
        </w:numPr>
      </w:pPr>
      <w:r>
        <w:t xml:space="preserve">Comorbidity: anxiety, BPD, substance use.</w:t>
      </w:r>
    </w:p>
    <w:bookmarkEnd w:id="791"/>
    <w:bookmarkStart w:id="792" w:name="X1099fc0179f3778560fdaef840544f8d50fa62b"/>
    <w:p>
      <w:pPr>
        <w:pStyle w:val="Heading3"/>
      </w:pPr>
      <w:r>
        <w:t xml:space="preserve">4. Aetiology and pathogenesis</w:t>
      </w:r>
    </w:p>
    <w:p>
      <w:pPr>
        <w:pStyle w:val="Compact"/>
        <w:numPr>
          <w:ilvl w:val="0"/>
          <w:numId w:val="1363"/>
        </w:numPr>
      </w:pPr>
      <w:r>
        <w:t xml:space="preserve">Shared genetic and neurobiological predisposition with major depressive disorder.</w:t>
      </w:r>
    </w:p>
    <w:p>
      <w:pPr>
        <w:pStyle w:val="Compact"/>
        <w:numPr>
          <w:ilvl w:val="0"/>
          <w:numId w:val="1363"/>
        </w:numPr>
      </w:pPr>
      <w:r>
        <w:t xml:space="preserve">Childhood trauma and chronic psychosocial stress are key environmental risk factors.</w:t>
      </w:r>
    </w:p>
    <w:p>
      <w:pPr>
        <w:pStyle w:val="Compact"/>
        <w:numPr>
          <w:ilvl w:val="0"/>
          <w:numId w:val="1363"/>
        </w:numPr>
      </w:pPr>
      <w:r>
        <w:t xml:space="preserve">The frequency of depressive disorder or dysthymia is increased in close relatives.</w:t>
      </w:r>
    </w:p>
    <w:bookmarkEnd w:id="792"/>
    <w:bookmarkStart w:id="793" w:name="Xc8fe8d8521accad8151536f828a73348ac361e9"/>
    <w:p>
      <w:pPr>
        <w:pStyle w:val="Heading3"/>
      </w:pPr>
      <w:r>
        <w:t xml:space="preserve">5. Clinical features</w:t>
      </w:r>
    </w:p>
    <w:p>
      <w:pPr>
        <w:pStyle w:val="Compact"/>
        <w:numPr>
          <w:ilvl w:val="0"/>
          <w:numId w:val="1364"/>
        </w:numPr>
      </w:pPr>
      <w:r>
        <w:t xml:space="preserve">Persistent low mood — present most of the time (≥ half the time, no symptom-free period &gt; 2 months over 2 years).</w:t>
      </w:r>
    </w:p>
    <w:p>
      <w:pPr>
        <w:pStyle w:val="Compact"/>
        <w:numPr>
          <w:ilvl w:val="0"/>
          <w:numId w:val="1364"/>
        </w:numPr>
      </w:pPr>
      <w:r>
        <w:t xml:space="preserve">At least 2 of the following: low or increased appetite, insomnia or hypersomnia, low energy, low self-esteem, concentration difficulty, hopelessness.</w:t>
      </w:r>
    </w:p>
    <w:p>
      <w:pPr>
        <w:pStyle w:val="Compact"/>
        <w:numPr>
          <w:ilvl w:val="0"/>
          <w:numId w:val="1364"/>
        </w:numPr>
      </w:pPr>
      <w:r>
        <w:t xml:space="preserve">The patient has adapted to numerous functional compromises — the explanation “I have always been like this” is typical; they often present to the clinic against a background of a major depressive episode.</w:t>
      </w:r>
    </w:p>
    <w:bookmarkEnd w:id="793"/>
    <w:bookmarkStart w:id="798" w:name="X874c5716b68f50e866b86a2113bde1a6391010c"/>
    <w:p>
      <w:pPr>
        <w:pStyle w:val="Heading3"/>
      </w:pPr>
      <w:r>
        <w:t xml:space="preserve">6. Diagnosis</w:t>
      </w:r>
    </w:p>
    <w:bookmarkStart w:id="794" w:name="unified-diagnostic-criteria-2"/>
    <w:p>
      <w:pPr>
        <w:pStyle w:val="Heading4"/>
      </w:pPr>
      <w:r>
        <w:t xml:space="preserve">6.1 Unified diagnostic criteria</w:t>
      </w:r>
    </w:p>
    <w:p>
      <w:pPr>
        <w:pStyle w:val="FirstParagraph"/>
      </w:pPr>
      <w:r>
        <w:t xml:space="preserve">A. Persistent depressive mood ≥ 2 years (children ≥ 1 year), most of the day, most of the time.</w:t>
      </w:r>
    </w:p>
    <w:p>
      <w:pPr>
        <w:pStyle w:val="BodyText"/>
      </w:pPr>
      <w:r>
        <w:t xml:space="preserve">B. ≥ 2 symptoms during depressive episodes (above)</w:t>
      </w:r>
    </w:p>
    <w:p>
      <w:pPr>
        <w:pStyle w:val="BodyText"/>
      </w:pPr>
      <w:r>
        <w:t xml:space="preserve">C. No symptom-free period longer than 2 months within 2 years (1 year).</w:t>
      </w:r>
    </w:p>
    <w:p>
      <w:pPr>
        <w:pStyle w:val="BodyText"/>
      </w:pPr>
      <w:r>
        <w:t xml:space="preserve">D. During this period, criteria for a major depressive episode may be continuously present (DSM-5 — new “double depression” synthesis).</w:t>
      </w:r>
    </w:p>
    <w:p>
      <w:pPr>
        <w:pStyle w:val="BodyText"/>
      </w:pPr>
      <w:r>
        <w:t xml:space="preserve">E. Never had a manic or hypomanic episode.</w:t>
      </w:r>
    </w:p>
    <w:p>
      <w:pPr>
        <w:pStyle w:val="BodyText"/>
      </w:pPr>
      <w:r>
        <w:t xml:space="preserve">F. Not better explained by schizoaffective or other psychotic disorder.</w:t>
      </w:r>
    </w:p>
    <w:p>
      <w:pPr>
        <w:pStyle w:val="BodyText"/>
      </w:pPr>
      <w:r>
        <w:t xml:space="preserve">G. Exclusion of substance or medical condition.</w:t>
      </w:r>
    </w:p>
    <w:p>
      <w:pPr>
        <w:pStyle w:val="BodyText"/>
      </w:pPr>
      <w:r>
        <w:t xml:space="preserve">H. Significant distress or functional impairment.</w:t>
      </w:r>
    </w:p>
    <w:bookmarkEnd w:id="794"/>
    <w:bookmarkStart w:id="795" w:name="differences-between-sources-28"/>
    <w:p>
      <w:pPr>
        <w:pStyle w:val="Heading4"/>
      </w:pPr>
      <w:r>
        <w:t xml:space="preserve">6.2 Differences between sources</w:t>
      </w:r>
    </w:p>
    <w:p>
      <w:pPr>
        <w:pStyle w:val="Compact"/>
        <w:numPr>
          <w:ilvl w:val="0"/>
          <w:numId w:val="1365"/>
        </w:numPr>
      </w:pPr>
      <w:r>
        <w:t xml:space="preserve">DSM-5-TR: “Persistent Depressive Disorder” — combines dysthymia and chronic MDD; qualifiers — early/late onset, with/without anxious distress, melancholic, atypical, peripartum, seasonal, etc.</w:t>
      </w:r>
    </w:p>
    <w:p>
      <w:pPr>
        <w:pStyle w:val="Compact"/>
        <w:numPr>
          <w:ilvl w:val="0"/>
          <w:numId w:val="1365"/>
        </w:numPr>
      </w:pPr>
      <w:r>
        <w:t xml:space="preserve">ICD-11: dysthymic disorder (6A72) separate; chronic depressive episode within 6A70/71 qualifier.</w:t>
      </w:r>
    </w:p>
    <w:bookmarkEnd w:id="795"/>
    <w:bookmarkStart w:id="796" w:name="diagnostic-algorithm-18"/>
    <w:p>
      <w:pPr>
        <w:pStyle w:val="Heading4"/>
      </w:pPr>
      <w:r>
        <w:t xml:space="preserve">6.3 Diagnostic algorithm</w:t>
      </w:r>
    </w:p>
    <w:p>
      <w:pPr>
        <w:pStyle w:val="Compact"/>
        <w:numPr>
          <w:ilvl w:val="0"/>
          <w:numId w:val="1366"/>
        </w:numPr>
      </w:pPr>
      <w:r>
        <w:t xml:space="preserve">Clinical interview + long-term history (patient may not recall exact onset).</w:t>
      </w:r>
    </w:p>
    <w:p>
      <w:pPr>
        <w:pStyle w:val="Compact"/>
        <w:numPr>
          <w:ilvl w:val="0"/>
          <w:numId w:val="1366"/>
        </w:numPr>
      </w:pPr>
      <w:r>
        <w:t xml:space="preserve">SCID-5; PHQ-9, HAM-D, MADRS.</w:t>
      </w:r>
    </w:p>
    <w:p>
      <w:pPr>
        <w:pStyle w:val="Compact"/>
        <w:numPr>
          <w:ilvl w:val="0"/>
          <w:numId w:val="1366"/>
        </w:numPr>
      </w:pPr>
      <w:r>
        <w:t xml:space="preserve">Bipolar screening.</w:t>
      </w:r>
    </w:p>
    <w:p>
      <w:pPr>
        <w:pStyle w:val="Compact"/>
        <w:numPr>
          <w:ilvl w:val="0"/>
          <w:numId w:val="1366"/>
        </w:numPr>
      </w:pPr>
      <w:r>
        <w:t xml:space="preserve">Personality assessment – differential with BPD.</w:t>
      </w:r>
    </w:p>
    <w:p>
      <w:pPr>
        <w:pStyle w:val="Compact"/>
        <w:numPr>
          <w:ilvl w:val="0"/>
          <w:numId w:val="1366"/>
        </w:numPr>
      </w:pPr>
      <w:r>
        <w:t xml:space="preserve">Medical and laboratory (thyroid, anemia, B12).</w:t>
      </w:r>
    </w:p>
    <w:bookmarkEnd w:id="796"/>
    <w:bookmarkStart w:id="797" w:name="differential-diagnosis-1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disorder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Discrete episodes; mood is normal between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Cyclothymic disorder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Hypomanic periods present.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Emotional lability over hours; identity disturbance.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Response to stress factor; ≤ 6 months.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797"/>
    <w:bookmarkEnd w:id="798"/>
    <w:bookmarkStart w:id="799" w:name="X915758d7afbe733eaa13b8f0a5bb7d13033ef6d"/>
    <w:p>
      <w:pPr>
        <w:pStyle w:val="Heading3"/>
      </w:pPr>
      <w:r>
        <w:t xml:space="preserve">7. Examination and assessment</w:t>
      </w:r>
    </w:p>
    <w:p>
      <w:pPr>
        <w:pStyle w:val="Compact"/>
        <w:numPr>
          <w:ilvl w:val="0"/>
          <w:numId w:val="1367"/>
        </w:numPr>
      </w:pPr>
      <w:r>
        <w:t xml:space="preserve">PHQ-9, HAM-D, MADRS.</w:t>
      </w:r>
    </w:p>
    <w:p>
      <w:pPr>
        <w:pStyle w:val="Compact"/>
        <w:numPr>
          <w:ilvl w:val="0"/>
          <w:numId w:val="1367"/>
        </w:numPr>
      </w:pPr>
      <w:r>
        <w:t xml:space="preserve">Cornell Dysthymia Rating Scale — dysthymia-specific.</w:t>
      </w:r>
    </w:p>
    <w:p>
      <w:pPr>
        <w:pStyle w:val="Compact"/>
        <w:numPr>
          <w:ilvl w:val="0"/>
          <w:numId w:val="1367"/>
        </w:numPr>
      </w:pPr>
      <w:r>
        <w:t xml:space="preserve">Medical and laboratory.</w:t>
      </w:r>
    </w:p>
    <w:bookmarkEnd w:id="799"/>
    <w:bookmarkStart w:id="802" w:name="X8709315362f5c3a27d0a5646fbd75ab568c00e1"/>
    <w:p>
      <w:pPr>
        <w:pStyle w:val="Heading3"/>
      </w:pPr>
      <w:r>
        <w:t xml:space="preserve">8. Treatment</w:t>
      </w:r>
    </w:p>
    <w:p>
      <w:pPr>
        <w:pStyle w:val="Compact"/>
        <w:numPr>
          <w:ilvl w:val="0"/>
          <w:numId w:val="1368"/>
        </w:numPr>
      </w:pPr>
      <w:r>
        <w:t xml:space="preserve">Pharmacotherapy: SSRI (sertraline, fluoxetine) — first-line; the effect may take 6–8 weeks (slower than in major depression).</w:t>
      </w:r>
    </w:p>
    <w:p>
      <w:pPr>
        <w:pStyle w:val="Compact"/>
        <w:numPr>
          <w:ilvl w:val="0"/>
          <w:numId w:val="1368"/>
        </w:numPr>
      </w:pPr>
      <w:r>
        <w:t xml:space="preserve">Psychotherapy: CBASP (Cognitive Behavioral Analysis System of Psychotherapy — McCullough J.) — specifically developed for chronic depression; CBT, IPT.</w:t>
      </w:r>
    </w:p>
    <w:p>
      <w:pPr>
        <w:pStyle w:val="Compact"/>
        <w:numPr>
          <w:ilvl w:val="0"/>
          <w:numId w:val="1368"/>
        </w:numPr>
      </w:pPr>
      <w:r>
        <w:t xml:space="preserve">Combination — superior to monotherapy in dysthymic disorder (Keller M.B. et al. NEJM 2000 – nefazodone + CBASP RCT).</w:t>
      </w:r>
    </w:p>
    <w:p>
      <w:pPr>
        <w:pStyle w:val="Compact"/>
        <w:numPr>
          <w:ilvl w:val="0"/>
          <w:numId w:val="1368"/>
        </w:numPr>
      </w:pPr>
      <w:r>
        <w:t xml:space="preserve">In “double depression” — the management includes acute treatment of a major depressive episode + long-term maintenance therapy.</w:t>
      </w:r>
    </w:p>
    <w:p>
      <w:pPr>
        <w:pStyle w:val="Compact"/>
        <w:numPr>
          <w:ilvl w:val="0"/>
          <w:numId w:val="1368"/>
        </w:numPr>
      </w:pPr>
      <w:r>
        <w:t xml:space="preserve">Refractory — medication switch, augmentation (lithium, atypical antipsychotic).</w:t>
      </w:r>
    </w:p>
    <w:bookmarkStart w:id="800" w:name="treatment-methods-19"/>
    <w:p>
      <w:pPr>
        <w:pStyle w:val="Heading4"/>
      </w:pPr>
      <w:r>
        <w:t xml:space="preserve">8.1 Treatment methods</w:t>
      </w:r>
    </w:p>
    <w:p>
      <w:pPr>
        <w:pStyle w:val="Compact"/>
        <w:numPr>
          <w:ilvl w:val="0"/>
          <w:numId w:val="1369"/>
        </w:numPr>
      </w:pPr>
      <w:r>
        <w:t xml:space="preserve">Cognitive Behavioral Analysis System of Psychotherapy (CBASP — Cognitive Behavioral Analysis System of Psychotherapy) — McCullough (McCullough J.) — Approach specifically developed for chronic depression — situation analysis, interpersonal behavior teaching, use of therapeutic relationship as main tool. Keller M.B. et al. NEJM 2000 RCT.</w:t>
      </w:r>
    </w:p>
    <w:p>
      <w:pPr>
        <w:pStyle w:val="Compact"/>
        <w:numPr>
          <w:ilvl w:val="0"/>
          <w:numId w:val="1369"/>
        </w:numPr>
      </w:pPr>
      <w:r>
        <w:t xml:space="preserve">SSRI long-term — Sertraline, fluoxetine, escitalopram; slow response; prolonged maintenance.</w:t>
      </w:r>
    </w:p>
    <w:p>
      <w:pPr>
        <w:pStyle w:val="Compact"/>
        <w:numPr>
          <w:ilvl w:val="0"/>
          <w:numId w:val="1369"/>
        </w:numPr>
      </w:pPr>
      <w:r>
        <w:t xml:space="preserve">CBT and IPT — Standard depression therapies; modified for chronic form.</w:t>
      </w:r>
    </w:p>
    <w:bookmarkEnd w:id="800"/>
    <w:bookmarkStart w:id="801" w:name="differences-between-sources-29"/>
    <w:p>
      <w:pPr>
        <w:pStyle w:val="Heading4"/>
      </w:pPr>
      <w:r>
        <w:t xml:space="preserve">8.2 Differences between sources</w:t>
      </w:r>
    </w:p>
    <w:p>
      <w:pPr>
        <w:pStyle w:val="Compact"/>
        <w:numPr>
          <w:ilvl w:val="0"/>
          <w:numId w:val="1370"/>
        </w:numPr>
      </w:pPr>
      <w:r>
        <w:t xml:space="preserve">NICE NG222 — recommends long-term cognitive behavioural treatment for chronic depressive symptoms (CBASP is not named in the guideline); CBASP is named by APA 2010.</w:t>
      </w:r>
    </w:p>
    <w:p>
      <w:pPr>
        <w:pStyle w:val="Compact"/>
        <w:numPr>
          <w:ilvl w:val="0"/>
          <w:numId w:val="1370"/>
        </w:numPr>
      </w:pPr>
      <w:r>
        <w:t xml:space="preserve">APA 2010 — combination superior.</w:t>
      </w:r>
    </w:p>
    <w:p>
      <w:pPr>
        <w:pStyle w:val="Compact"/>
        <w:numPr>
          <w:ilvl w:val="0"/>
          <w:numId w:val="1370"/>
        </w:numPr>
      </w:pPr>
      <w:r>
        <w:t xml:space="preserve">Keller M.B. et al. NEJM 2000 — nefazodone + CBASP combination significantly superior to monotherapy.</w:t>
      </w:r>
    </w:p>
    <w:bookmarkEnd w:id="801"/>
    <w:bookmarkEnd w:id="802"/>
    <w:bookmarkStart w:id="803" w:name="Xab934f4c54a0ffd9899e8e7e3ac67661d1bf4e5"/>
    <w:p>
      <w:pPr>
        <w:pStyle w:val="Heading3"/>
      </w:pPr>
      <w:r>
        <w:t xml:space="preserve">9. Prognosis</w:t>
      </w:r>
    </w:p>
    <w:p>
      <w:pPr>
        <w:pStyle w:val="Compact"/>
        <w:numPr>
          <w:ilvl w:val="0"/>
          <w:numId w:val="1371"/>
        </w:numPr>
      </w:pPr>
      <w:r>
        <w:t xml:space="preserve">Chronic course; spontaneous remission is rare.</w:t>
      </w:r>
    </w:p>
    <w:p>
      <w:pPr>
        <w:pStyle w:val="Compact"/>
        <w:numPr>
          <w:ilvl w:val="0"/>
          <w:numId w:val="1371"/>
        </w:numPr>
      </w:pPr>
      <w:r>
        <w:t xml:space="preserve">“Double depression” — develops in 76.9% of dysthymic patients without a prior major episode within 5 years (Klein D.N. et al. Am J Psychiatry 2000).</w:t>
      </w:r>
    </w:p>
    <w:p>
      <w:pPr>
        <w:pStyle w:val="Compact"/>
        <w:numPr>
          <w:ilvl w:val="0"/>
          <w:numId w:val="1371"/>
        </w:numPr>
      </w:pPr>
      <w:r>
        <w:t xml:space="preserve">Functional level improves with long-term treatment.</w:t>
      </w:r>
    </w:p>
    <w:p>
      <w:pPr>
        <w:pStyle w:val="Compact"/>
        <w:numPr>
          <w:ilvl w:val="0"/>
          <w:numId w:val="1371"/>
        </w:numPr>
      </w:pPr>
      <w:r>
        <w:t xml:space="preserve">Monitoring — periodic scales, compliance, comorbidity.</w:t>
      </w:r>
    </w:p>
    <w:bookmarkEnd w:id="803"/>
    <w:bookmarkStart w:id="809" w:name="X1e692c22bf92afe599901bfd7b3bfc782c044d8"/>
    <w:p>
      <w:pPr>
        <w:pStyle w:val="Heading3"/>
      </w:pPr>
      <w:r>
        <w:t xml:space="preserve">10. Myths and misconceptions</w:t>
      </w:r>
    </w:p>
    <w:bookmarkStart w:id="804" w:name="X253242c165868d21f340b3d7ba3fd4e562f14e8"/>
    <w:p>
      <w:pPr>
        <w:pStyle w:val="Heading5"/>
      </w:pPr>
      <w:r>
        <w:t xml:space="preserve">Myth 1: “Dysthymia is just a ‘gloomy character’, not a medical disorder”</w:t>
      </w:r>
    </w:p>
    <w:p>
      <w:pPr>
        <w:pStyle w:val="FirstParagraph"/>
      </w:pPr>
      <w:r>
        <w:t xml:space="preserve">Evidence: persistent functional impairment, suicidality risk, development of “double depression”; should be evaluated as a medical disorder.</w:t>
      </w:r>
    </w:p>
    <w:bookmarkEnd w:id="804"/>
    <w:bookmarkStart w:id="805" w:name="X1ac63cb889d330780ac5eb202f87efcbb6a15a1"/>
    <w:p>
      <w:pPr>
        <w:pStyle w:val="Heading5"/>
      </w:pPr>
      <w:r>
        <w:t xml:space="preserve">Myth 2: “Dysthymic patient does not respond to antidepressants”</w:t>
      </w:r>
    </w:p>
    <w:p>
      <w:pPr>
        <w:pStyle w:val="FirstParagraph"/>
      </w:pPr>
      <w:r>
        <w:t xml:space="preserve">Evidence: The response is slow — 6 to 8 weeks, but SSRIs are effective; combination with CBASP superior.</w:t>
      </w:r>
    </w:p>
    <w:bookmarkEnd w:id="805"/>
    <w:bookmarkStart w:id="806" w:name="X0868ef97bebf5e7edfe2095db1fbebcfcbaa101"/>
    <w:p>
      <w:pPr>
        <w:pStyle w:val="Heading5"/>
      </w:pPr>
      <w:r>
        <w:t xml:space="preserve">Myth 3: “Chronic depression only requires psychotherapy; medications are ineffective”</w:t>
      </w:r>
    </w:p>
    <w:p>
      <w:pPr>
        <w:pStyle w:val="FirstParagraph"/>
      </w:pPr>
      <w:r>
        <w:t xml:space="preserve">Evidence: Keller NEJM 2000 — nefazodone + CBASP combination superior to monotherapy; pharmacotherapy is a core component.</w:t>
      </w:r>
    </w:p>
    <w:bookmarkEnd w:id="806"/>
    <w:bookmarkStart w:id="807" w:name="X2931f1fe0b6fe489e295a922c6645b02771cd1d"/>
    <w:p>
      <w:pPr>
        <w:pStyle w:val="Heading5"/>
      </w:pPr>
      <w:r>
        <w:t xml:space="preserve">Myth 4: “The patient's explanation 'I've always been like this' is not a basis for diagnosis — it should be accepted as adaptation”</w:t>
      </w:r>
    </w:p>
    <w:p>
      <w:pPr>
        <w:pStyle w:val="FirstParagraph"/>
      </w:pPr>
      <w:r>
        <w:t xml:space="preserve">Evidence: This patient perspective creates a problem of under-detection — long-term functional compromise may be a marker of medical condition.</w:t>
      </w:r>
    </w:p>
    <w:bookmarkEnd w:id="807"/>
    <w:bookmarkStart w:id="808" w:name="Xa0d485fb323eb272eacb3a63f68e44e62649dd0"/>
    <w:p>
      <w:pPr>
        <w:pStyle w:val="Heading5"/>
      </w:pPr>
      <w:r>
        <w:t xml:space="preserve">Myth 5: “Herbal preparations are a safe alternative for dysthymia”</w:t>
      </w:r>
    </w:p>
    <w:p>
      <w:pPr>
        <w:pStyle w:val="FirstParagraph"/>
      </w:pPr>
      <w:r>
        <w:t xml:space="preserve">Evidence: St John's Wort demonstrates some efficacy in mild depression, but CYP induction interactions; standard antidepressants superior.</w:t>
      </w:r>
    </w:p>
    <w:bookmarkEnd w:id="808"/>
    <w:bookmarkEnd w:id="809"/>
    <w:bookmarkStart w:id="2985" w:name="X579a0a99b0fdfeca1d5ae66c3f0911acd428ac9"/>
    <w:p>
      <w:pPr>
        <w:pStyle w:val="Heading3"/>
      </w:pPr>
      <w:r>
        <w:t xml:space="preserve">11. Sources</w:t>
      </w:r>
    </w:p>
    <w:p>
      <w:pPr>
        <w:pStyle w:val="Compact"/>
        <w:numPr>
          <w:ilvl w:val="0"/>
          <w:numId w:val="1372"/>
        </w:numPr>
      </w:pPr>
      <w:r>
        <w:t xml:space="preserve">WHO. ICD-11. 6A72 Dysthymic disorder. 2024.</w:t>
      </w:r>
    </w:p>
    <w:p>
      <w:pPr>
        <w:pStyle w:val="Compact"/>
        <w:numPr>
          <w:ilvl w:val="0"/>
          <w:numId w:val="1372"/>
        </w:numPr>
      </w:pPr>
      <w:r>
        <w:t xml:space="preserve">APA. DSM-5-TR. 2022.</w:t>
      </w:r>
    </w:p>
    <w:p>
      <w:pPr>
        <w:pStyle w:val="Compact"/>
        <w:numPr>
          <w:ilvl w:val="0"/>
          <w:numId w:val="1372"/>
        </w:numPr>
      </w:pPr>
      <w:r>
        <w:t xml:space="preserve">NICE NG222. 2022.</w:t>
      </w:r>
    </w:p>
    <w:p>
      <w:pPr>
        <w:pStyle w:val="Compact"/>
        <w:numPr>
          <w:ilvl w:val="0"/>
          <w:numId w:val="1372"/>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372"/>
        </w:numPr>
      </w:pPr>
      <w:r>
        <w:t xml:space="preserve">Klein D.N., Shankman S.A., Rose S. Ten-year prospective follow-up study of the naturalistic course of dysthymic disorder and double depression. Am J Psychiatry 2006;163(5):872–880.</w:t>
      </w:r>
    </w:p>
    <w:p>
      <w:pPr>
        <w:pStyle w:val="Compact"/>
        <w:numPr>
          <w:ilvl w:val="0"/>
          <w:numId w:val="1372"/>
        </w:numPr>
      </w:pPr>
      <w:r>
        <w:t xml:space="preserve">McCullough J.P. Treatment for Chronic Depression: Cognitive Behavioral Analysis System of Psychotherapy. Guilford Press; 2000.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10" w:name="Xaed6a398ae547e8fa124f573f4f2233ece79d09"/>
            <w:r>
              <w:t xml:space="preserve">GA34.41 PREMENSTRUAL DYSPHORIC DISORDER (PMDD)</w:t>
            </w:r>
            <w:bookmarkEnd w:id="810"/>
          </w:p>
          <w:p>
            <w:pPr>
              <w:pStyle w:val="Compact"/>
              <w:ind w:firstLine="0" w:left="0"/>
            </w:pPr>
            <w:r>
              <w:rPr>
                <w:lang w:val="en"/>
              </w:rPr>
              <w:t xml:space="preserve">Premenstrual dysphoric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Premenstrual tension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Premenstrual Dysphoric Disorder</w:t>
            </w:r>
          </w:p>
        </w:tc>
      </w:tr>
    </w:tbl>
    <w:bookmarkStart w:id="811" w:name="ga34-1-terif"/>
    <w:p>
      <w:pPr>
        <w:pStyle w:val="Heading3"/>
      </w:pPr>
      <w:r>
        <w:t xml:space="preserve">1. Definition and nosology</w:t>
      </w:r>
    </w:p>
    <w:p>
      <w:pPr>
        <w:pStyle w:val="FirstParagraph"/>
      </w:pPr>
      <w:r>
        <w:t xml:space="preserve">Premenstrual Dysphoric Disorder (ICD-11:</w:t>
      </w:r>
      <w:r>
        <w:t xml:space="preserve"> </w:t>
      </w:r>
      <w:r>
        <w:t xml:space="preserve">GA34.41</w:t>
      </w:r>
      <w:r>
        <w:t xml:space="preserve">; DSM-5-TR: N94.3) — a recurrent disorder with significant emotional and behavioral symptoms in the last week before the menstrual cycle (luteal phase), fully remitting within a few days after menses onset. Distinguished from Premenstrual Syndrome (PMS) by clinical severity and significant functional impairment.</w:t>
      </w:r>
    </w:p>
    <w:bookmarkEnd w:id="811"/>
    <w:bookmarkStart w:id="812" w:name="ga34-2-tarixce"/>
    <w:p>
      <w:pPr>
        <w:pStyle w:val="Heading3"/>
      </w:pPr>
      <w:r>
        <w:t xml:space="preserve">2. History</w:t>
      </w:r>
    </w:p>
    <w:p>
      <w:pPr>
        <w:pStyle w:val="Compact"/>
        <w:numPr>
          <w:ilvl w:val="0"/>
          <w:numId w:val="1373"/>
        </w:numPr>
      </w:pPr>
      <w:r>
        <w:t xml:space="preserve">Frank R.T. (1931) — “Premenstrual tension” term.</w:t>
      </w:r>
    </w:p>
    <w:p>
      <w:pPr>
        <w:pStyle w:val="Compact"/>
        <w:numPr>
          <w:ilvl w:val="0"/>
          <w:numId w:val="1373"/>
        </w:numPr>
      </w:pPr>
      <w:r>
        <w:t xml:space="preserve">DSM-IV (1994) — “Premenstrual Dysphoric Disorder” is included in Section III as a research category.</w:t>
      </w:r>
    </w:p>
    <w:p>
      <w:pPr>
        <w:pStyle w:val="Compact"/>
        <w:numPr>
          <w:ilvl w:val="0"/>
          <w:numId w:val="1373"/>
        </w:numPr>
      </w:pPr>
      <w:r>
        <w:t xml:space="preserve">DSM-5 (2013) — officially accepted as a diagnosis in the category of depressive disorders.</w:t>
      </w:r>
    </w:p>
    <w:p>
      <w:pPr>
        <w:pStyle w:val="Compact"/>
        <w:numPr>
          <w:ilvl w:val="0"/>
          <w:numId w:val="1373"/>
        </w:numPr>
      </w:pPr>
      <w:r>
        <w:t xml:space="preserve">ICD-11 (2019) — as separate category within mood disorders.</w:t>
      </w:r>
    </w:p>
    <w:bookmarkEnd w:id="812"/>
    <w:bookmarkStart w:id="813" w:name="ga34-3-epidemiologiya"/>
    <w:p>
      <w:pPr>
        <w:pStyle w:val="Heading3"/>
      </w:pPr>
      <w:r>
        <w:t xml:space="preserve">3. Epidemiology</w:t>
      </w:r>
    </w:p>
    <w:p>
      <w:pPr>
        <w:pStyle w:val="Compact"/>
        <w:numPr>
          <w:ilvl w:val="0"/>
          <w:numId w:val="1374"/>
        </w:numPr>
      </w:pPr>
      <w:r>
        <w:t xml:space="preserve">Prevalence in reproductive-age women: 3–8% (Yonkers K.A. et al. Lancet 2008 review).</w:t>
      </w:r>
    </w:p>
    <w:p>
      <w:pPr>
        <w:pStyle w:val="Compact"/>
        <w:numPr>
          <w:ilvl w:val="0"/>
          <w:numId w:val="1374"/>
        </w:numPr>
      </w:pPr>
      <w:r>
        <w:t xml:space="preserve">PMS — milder form — in 30–80% of women.</w:t>
      </w:r>
    </w:p>
    <w:p>
      <w:pPr>
        <w:pStyle w:val="Compact"/>
        <w:numPr>
          <w:ilvl w:val="0"/>
          <w:numId w:val="1374"/>
        </w:numPr>
      </w:pPr>
      <w:r>
        <w:t xml:space="preserve">Comorbidity: major depressive disorder, anxiety, bipolar disorder — increases risk.</w:t>
      </w:r>
    </w:p>
    <w:p>
      <w:pPr>
        <w:pStyle w:val="Compact"/>
        <w:numPr>
          <w:ilvl w:val="0"/>
          <w:numId w:val="1374"/>
        </w:numPr>
      </w:pPr>
      <w:r>
        <w:t xml:space="preserve">Suicidal thoughts significantly increase in the luteal phase.</w:t>
      </w:r>
    </w:p>
    <w:bookmarkEnd w:id="813"/>
    <w:bookmarkStart w:id="814" w:name="ga34-4-etiologiya"/>
    <w:p>
      <w:pPr>
        <w:pStyle w:val="Heading3"/>
      </w:pPr>
      <w:r>
        <w:t xml:space="preserve">4. Aetiology and pathogenesis</w:t>
      </w:r>
    </w:p>
    <w:p>
      <w:pPr>
        <w:pStyle w:val="Compact"/>
        <w:numPr>
          <w:ilvl w:val="0"/>
          <w:numId w:val="1375"/>
        </w:numPr>
      </w:pPr>
      <w:r>
        <w:t xml:space="preserve">Genetic: heritability ~30–50% (Treloar S.A. et al. Psychol Med 2002 twin studies).</w:t>
      </w:r>
    </w:p>
    <w:p>
      <w:pPr>
        <w:pStyle w:val="Compact"/>
        <w:numPr>
          <w:ilvl w:val="0"/>
          <w:numId w:val="1375"/>
        </w:numPr>
      </w:pPr>
      <w:r>
        <w:t xml:space="preserve">Hormonal sensitivity: In PMDD patients, ovarian hormones (estrogen, progesterone) are at normal levels; however sensitivity Increased — allopregnanolone (progesterone metabolite) exerts abnormal effect on GABA-A receptors (Schmidt P.J. et al. NEJM 1998 ovarian suppression and hormone supplementation study).</w:t>
      </w:r>
    </w:p>
    <w:p>
      <w:pPr>
        <w:pStyle w:val="Compact"/>
        <w:numPr>
          <w:ilvl w:val="0"/>
          <w:numId w:val="1375"/>
        </w:numPr>
      </w:pPr>
      <w:r>
        <w:t xml:space="preserve">Serotonergic dysregulation: The rapid effect of SSRIs (1–2 days, unlike classical depression) supports this mechanism.</w:t>
      </w:r>
    </w:p>
    <w:bookmarkEnd w:id="814"/>
    <w:bookmarkStart w:id="818" w:name="ga34-5-klinik"/>
    <w:p>
      <w:pPr>
        <w:pStyle w:val="Heading3"/>
      </w:pPr>
      <w:r>
        <w:t xml:space="preserve">5. Clinical features</w:t>
      </w:r>
    </w:p>
    <w:bookmarkStart w:id="815" w:name="Xc104d815d17a148238bb64f87eda324f0d4ee3f"/>
    <w:p>
      <w:pPr>
        <w:pStyle w:val="Heading4"/>
      </w:pPr>
      <w:r>
        <w:t xml:space="preserve">5.1 Affective and behavioral symptoms (in the luteal phase)</w:t>
      </w:r>
    </w:p>
    <w:p>
      <w:pPr>
        <w:pStyle w:val="Compact"/>
        <w:numPr>
          <w:ilvl w:val="0"/>
          <w:numId w:val="1376"/>
        </w:numPr>
      </w:pPr>
      <w:r>
        <w:t xml:space="preserve">Affective lability (rapidly changing mood, tearfulness, rejection sensitivity).</w:t>
      </w:r>
    </w:p>
    <w:p>
      <w:pPr>
        <w:pStyle w:val="Compact"/>
        <w:numPr>
          <w:ilvl w:val="0"/>
          <w:numId w:val="1376"/>
        </w:numPr>
      </w:pPr>
      <w:r>
        <w:t xml:space="preserve">Irritability and angry outbursts (interpersonal conflict).</w:t>
      </w:r>
    </w:p>
    <w:p>
      <w:pPr>
        <w:pStyle w:val="Compact"/>
        <w:numPr>
          <w:ilvl w:val="0"/>
          <w:numId w:val="1376"/>
        </w:numPr>
      </w:pPr>
      <w:r>
        <w:t xml:space="preserve">Low mood, hopelessness, self-criticism.</w:t>
      </w:r>
    </w:p>
    <w:p>
      <w:pPr>
        <w:pStyle w:val="Compact"/>
        <w:numPr>
          <w:ilvl w:val="0"/>
          <w:numId w:val="1376"/>
        </w:numPr>
      </w:pPr>
      <w:r>
        <w:t xml:space="preserve">Anxiety, tension.</w:t>
      </w:r>
    </w:p>
    <w:bookmarkEnd w:id="815"/>
    <w:bookmarkStart w:id="816" w:name="behavioral-and-somatic-symptoms"/>
    <w:p>
      <w:pPr>
        <w:pStyle w:val="Heading4"/>
      </w:pPr>
      <w:r>
        <w:t xml:space="preserve">5.2 Behavioral and somatic symptoms</w:t>
      </w:r>
    </w:p>
    <w:p>
      <w:pPr>
        <w:pStyle w:val="Compact"/>
        <w:numPr>
          <w:ilvl w:val="0"/>
          <w:numId w:val="1377"/>
        </w:numPr>
      </w:pPr>
      <w:r>
        <w:t xml:space="preserve">Decreased interest in usual activities.</w:t>
      </w:r>
    </w:p>
    <w:p>
      <w:pPr>
        <w:pStyle w:val="Compact"/>
        <w:numPr>
          <w:ilvl w:val="0"/>
          <w:numId w:val="1377"/>
        </w:numPr>
      </w:pPr>
      <w:r>
        <w:t xml:space="preserve">Difficulty concentrating.</w:t>
      </w:r>
    </w:p>
    <w:p>
      <w:pPr>
        <w:pStyle w:val="Compact"/>
        <w:numPr>
          <w:ilvl w:val="0"/>
          <w:numId w:val="1377"/>
        </w:numPr>
      </w:pPr>
      <w:r>
        <w:t xml:space="preserve">Lethargy and fatigue.</w:t>
      </w:r>
    </w:p>
    <w:p>
      <w:pPr>
        <w:pStyle w:val="Compact"/>
        <w:numPr>
          <w:ilvl w:val="0"/>
          <w:numId w:val="1377"/>
        </w:numPr>
      </w:pPr>
      <w:r>
        <w:t xml:space="preserve">Appetite changes (especially carbohydrate craving), excess.</w:t>
      </w:r>
    </w:p>
    <w:p>
      <w:pPr>
        <w:pStyle w:val="Compact"/>
        <w:numPr>
          <w:ilvl w:val="0"/>
          <w:numId w:val="1377"/>
        </w:numPr>
      </w:pPr>
      <w:r>
        <w:t xml:space="preserve">Sleep disturbance (insomnia or hypersomnia).</w:t>
      </w:r>
    </w:p>
    <w:p>
      <w:pPr>
        <w:pStyle w:val="Compact"/>
        <w:numPr>
          <w:ilvl w:val="0"/>
          <w:numId w:val="1377"/>
        </w:numPr>
      </w:pPr>
      <w:r>
        <w:t xml:space="preserve">Sense of loss of control.</w:t>
      </w:r>
    </w:p>
    <w:p>
      <w:pPr>
        <w:pStyle w:val="Compact"/>
        <w:numPr>
          <w:ilvl w:val="0"/>
          <w:numId w:val="1377"/>
        </w:numPr>
      </w:pPr>
      <w:r>
        <w:t xml:space="preserve">Somatic — swelling of body, back pain, headache, breast tenderness.</w:t>
      </w:r>
    </w:p>
    <w:bookmarkEnd w:id="816"/>
    <w:bookmarkStart w:id="817" w:name="duration-and-rhythm"/>
    <w:p>
      <w:pPr>
        <w:pStyle w:val="Heading4"/>
      </w:pPr>
      <w:r>
        <w:t xml:space="preserve">5.3 Duration and rhythm</w:t>
      </w:r>
    </w:p>
    <w:p>
      <w:pPr>
        <w:pStyle w:val="FirstParagraph"/>
      </w:pPr>
      <w:r>
        <w:t xml:space="preserve">Symptoms begin in luteal phase (1 week pre-menses), completely resolve within a few days post-menses onset; complete remission in follicular phase (post-menses).</w:t>
      </w:r>
    </w:p>
    <w:bookmarkEnd w:id="817"/>
    <w:bookmarkEnd w:id="818"/>
    <w:bookmarkStart w:id="822" w:name="ga34-6-diaqnoz"/>
    <w:p>
      <w:pPr>
        <w:pStyle w:val="Heading3"/>
      </w:pPr>
      <w:r>
        <w:t xml:space="preserve">6. Diagnosis</w:t>
      </w:r>
    </w:p>
    <w:bookmarkStart w:id="819" w:name="X985cd873b1b95826ef1ff2999b189b37683462b"/>
    <w:p>
      <w:pPr>
        <w:pStyle w:val="Heading4"/>
      </w:pPr>
      <w:r>
        <w:t xml:space="preserve">6.1 Unified diagnostic criteria (DSM-5-TR · ICD-11)</w:t>
      </w:r>
    </w:p>
    <w:p>
      <w:pPr>
        <w:pStyle w:val="FirstParagraph"/>
      </w:pPr>
      <w:r>
        <w:t xml:space="preserve">A. In most menstrual cycles, 5+ symptoms in the last week of luteal phase; diminish within a few days after onset of menses; complete remission in postmenstrual phase.</w:t>
      </w:r>
    </w:p>
    <w:p>
      <w:pPr>
        <w:pStyle w:val="BodyText"/>
      </w:pPr>
      <w:r>
        <w:t xml:space="preserve">B. At least 1 of the following:</w:t>
      </w:r>
    </w:p>
    <w:p>
      <w:pPr>
        <w:pStyle w:val="Compact"/>
        <w:numPr>
          <w:ilvl w:val="0"/>
          <w:numId w:val="1378"/>
        </w:numPr>
      </w:pPr>
      <w:r>
        <w:t xml:space="preserve">Affective lability;</w:t>
      </w:r>
    </w:p>
    <w:p>
      <w:pPr>
        <w:pStyle w:val="Compact"/>
        <w:numPr>
          <w:ilvl w:val="0"/>
          <w:numId w:val="1378"/>
        </w:numPr>
      </w:pPr>
      <w:r>
        <w:t xml:space="preserve">Irritability or anger;</w:t>
      </w:r>
    </w:p>
    <w:p>
      <w:pPr>
        <w:pStyle w:val="Compact"/>
        <w:numPr>
          <w:ilvl w:val="0"/>
          <w:numId w:val="1378"/>
        </w:numPr>
      </w:pPr>
      <w:r>
        <w:t xml:space="preserve">Low mood or self-criticism;</w:t>
      </w:r>
    </w:p>
    <w:p>
      <w:pPr>
        <w:pStyle w:val="Compact"/>
        <w:numPr>
          <w:ilvl w:val="0"/>
          <w:numId w:val="1378"/>
        </w:numPr>
      </w:pPr>
      <w:r>
        <w:t xml:space="preserve">Anxiety and tension.</w:t>
      </w:r>
    </w:p>
    <w:p>
      <w:pPr>
        <w:pStyle w:val="FirstParagraph"/>
      </w:pPr>
      <w:r>
        <w:t xml:space="preserve">C. Additional symptoms from the following (B + C total 5+):</w:t>
      </w:r>
    </w:p>
    <w:p>
      <w:pPr>
        <w:pStyle w:val="Compact"/>
        <w:numPr>
          <w:ilvl w:val="0"/>
          <w:numId w:val="1379"/>
        </w:numPr>
      </w:pPr>
      <w:r>
        <w:t xml:space="preserve">Decreased interest;</w:t>
      </w:r>
    </w:p>
    <w:p>
      <w:pPr>
        <w:pStyle w:val="Compact"/>
        <w:numPr>
          <w:ilvl w:val="0"/>
          <w:numId w:val="1379"/>
        </w:numPr>
      </w:pPr>
      <w:r>
        <w:t xml:space="preserve">Difficulty concentrating;</w:t>
      </w:r>
    </w:p>
    <w:p>
      <w:pPr>
        <w:pStyle w:val="Compact"/>
        <w:numPr>
          <w:ilvl w:val="0"/>
          <w:numId w:val="1379"/>
        </w:numPr>
      </w:pPr>
      <w:r>
        <w:t xml:space="preserve">Lethargy, fatigue;</w:t>
      </w:r>
    </w:p>
    <w:p>
      <w:pPr>
        <w:pStyle w:val="Compact"/>
        <w:numPr>
          <w:ilvl w:val="0"/>
          <w:numId w:val="1379"/>
        </w:numPr>
      </w:pPr>
      <w:r>
        <w:t xml:space="preserve">Appetite changes, excess;</w:t>
      </w:r>
    </w:p>
    <w:p>
      <w:pPr>
        <w:pStyle w:val="Compact"/>
        <w:numPr>
          <w:ilvl w:val="0"/>
          <w:numId w:val="1379"/>
        </w:numPr>
      </w:pPr>
      <w:r>
        <w:t xml:space="preserve">Sleep disturbance;</w:t>
      </w:r>
    </w:p>
    <w:p>
      <w:pPr>
        <w:pStyle w:val="Compact"/>
        <w:numPr>
          <w:ilvl w:val="0"/>
          <w:numId w:val="1379"/>
        </w:numPr>
      </w:pPr>
      <w:r>
        <w:t xml:space="preserve">Sense of loss of control;</w:t>
      </w:r>
    </w:p>
    <w:p>
      <w:pPr>
        <w:pStyle w:val="Compact"/>
        <w:numPr>
          <w:ilvl w:val="0"/>
          <w:numId w:val="1379"/>
        </w:numPr>
      </w:pPr>
      <w:r>
        <w:t xml:space="preserve">Somatic (swelling, pain, etc.)</w:t>
      </w:r>
    </w:p>
    <w:p>
      <w:pPr>
        <w:pStyle w:val="FirstParagraph"/>
      </w:pPr>
      <w:r>
        <w:t xml:space="preserve">D. Significant distress or functional impairment.</w:t>
      </w:r>
    </w:p>
    <w:p>
      <w:pPr>
        <w:pStyle w:val="BodyText"/>
      </w:pPr>
      <w:r>
        <w:t xml:space="preserve">E. Prospective mood diary for ≥ 2 cycles — mandatory for confirmation of diagnosis.</w:t>
      </w:r>
    </w:p>
    <w:p>
      <w:pPr>
        <w:pStyle w:val="BodyText"/>
      </w:pPr>
      <w:r>
        <w:t xml:space="preserve">F. The symptoms are not merely an exacerbation of the symptoms of another psychiatric disorder (MDD, panic, dysthymic) (PMDD is a separate diagnosis; however, it can also occur against this background—“premenstrual exacerbation”).</w:t>
      </w:r>
    </w:p>
    <w:bookmarkEnd w:id="819"/>
    <w:bookmarkStart w:id="820" w:name="diagnostic-algorithm-19"/>
    <w:p>
      <w:pPr>
        <w:pStyle w:val="Heading4"/>
      </w:pPr>
      <w:r>
        <w:t xml:space="preserve">6.2 Diagnostic algorithm</w:t>
      </w:r>
    </w:p>
    <w:p>
      <w:pPr>
        <w:pStyle w:val="Compact"/>
        <w:numPr>
          <w:ilvl w:val="0"/>
          <w:numId w:val="1380"/>
        </w:numPr>
      </w:pPr>
      <w:r>
        <w:t xml:space="preserve">Clinical interview — rhythm of cycle-related symptoms.</w:t>
      </w:r>
    </w:p>
    <w:p>
      <w:pPr>
        <w:pStyle w:val="Compact"/>
        <w:numPr>
          <w:ilvl w:val="0"/>
          <w:numId w:val="1380"/>
        </w:numPr>
      </w:pPr>
      <w:r>
        <w:t xml:space="preserve">Prospective mood diary for 2 cycles — DRSP (Daily Record of Severity of Problems, Endicott J.) or PRISM (Premenstrual Record of Impact and Severity of Menstruation) — diagnosis cannot be confirmed by retrospective anamnesis.</w:t>
      </w:r>
    </w:p>
    <w:p>
      <w:pPr>
        <w:pStyle w:val="Compact"/>
        <w:numPr>
          <w:ilvl w:val="0"/>
          <w:numId w:val="1380"/>
        </w:numPr>
      </w:pPr>
      <w:r>
        <w:t xml:space="preserve">Comorbidity screening (depression, anxiety, bipolar).</w:t>
      </w:r>
    </w:p>
    <w:p>
      <w:pPr>
        <w:pStyle w:val="Compact"/>
        <w:numPr>
          <w:ilvl w:val="0"/>
          <w:numId w:val="1380"/>
        </w:numPr>
      </w:pPr>
      <w:r>
        <w:t xml:space="preserve">Medical (thyroid, anemia, polycystic ovary).</w:t>
      </w:r>
    </w:p>
    <w:bookmarkEnd w:id="820"/>
    <w:bookmarkStart w:id="821" w:name="differential-diagnosis-20"/>
    <w:p>
      <w:pPr>
        <w:pStyle w:val="Heading4"/>
      </w:pPr>
      <w:r>
        <w:t xml:space="preserve">6.3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PMS (premenstrual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Soft symptoms, no functional impairment.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luteal exacerbation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Core disturbance (MDD) is present throughout cycle, intensified in luteal phase.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Hypomanic/manic episodes present.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Thyroid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Endometriosis, dysmenorrhoea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Pelvic pain dominant; mood symptoms mild.</w:t>
            </w:r>
          </w:p>
        </w:tc>
      </w:tr>
    </w:tbl>
    <w:bookmarkEnd w:id="821"/>
    <w:bookmarkEnd w:id="822"/>
    <w:bookmarkStart w:id="823" w:name="ga34-7-muayine"/>
    <w:p>
      <w:pPr>
        <w:pStyle w:val="Heading3"/>
      </w:pPr>
      <w:r>
        <w:t xml:space="preserve">7. Examination and assessment</w:t>
      </w:r>
    </w:p>
    <w:p>
      <w:pPr>
        <w:pStyle w:val="Compact"/>
        <w:numPr>
          <w:ilvl w:val="0"/>
          <w:numId w:val="1381"/>
        </w:numPr>
      </w:pPr>
      <w:r>
        <w:t xml:space="preserve">DRSP or PRISM mood diary.</w:t>
      </w:r>
    </w:p>
    <w:p>
      <w:pPr>
        <w:pStyle w:val="Compact"/>
        <w:numPr>
          <w:ilvl w:val="0"/>
          <w:numId w:val="1381"/>
        </w:numPr>
      </w:pPr>
      <w:r>
        <w:t xml:space="preserve">PHQ-9, GAD-7 — comorbidity.</w:t>
      </w:r>
    </w:p>
    <w:p>
      <w:pPr>
        <w:pStyle w:val="Compact"/>
        <w:numPr>
          <w:ilvl w:val="0"/>
          <w:numId w:val="1381"/>
        </w:numPr>
      </w:pPr>
      <w:r>
        <w:t xml:space="preserve">Pelvic examination (gynecologist) and TSH — somatic causes excluded.</w:t>
      </w:r>
    </w:p>
    <w:bookmarkEnd w:id="823"/>
    <w:bookmarkStart w:id="827" w:name="ga34-8-mualice"/>
    <w:p>
      <w:pPr>
        <w:pStyle w:val="Heading3"/>
      </w:pPr>
      <w:r>
        <w:t xml:space="preserve">8. Treatment</w:t>
      </w:r>
    </w:p>
    <w:bookmarkStart w:id="824" w:name="general-principles-acog-ispmd-apa-2010"/>
    <w:p>
      <w:pPr>
        <w:pStyle w:val="Heading4"/>
      </w:pPr>
      <w:r>
        <w:t xml:space="preserve">8.1 General principles (ACOG · ISPMD · APA 2010)</w:t>
      </w:r>
    </w:p>
    <w:p>
      <w:pPr>
        <w:pStyle w:val="Compact"/>
        <w:numPr>
          <w:ilvl w:val="0"/>
          <w:numId w:val="1382"/>
        </w:numPr>
      </w:pPr>
      <w:r>
        <w:t xml:space="preserve">SSRI first-line: Fluoxetine, sertraline, paroxetine (FDA approved for PMDD), escitalopram. Two modes possible:</w:t>
      </w:r>
    </w:p>
    <w:p>
      <w:pPr>
        <w:pStyle w:val="Compact"/>
        <w:numPr>
          <w:ilvl w:val="1"/>
          <w:numId w:val="1383"/>
        </w:numPr>
      </w:pPr>
      <w:r>
        <w:t xml:space="preserve">Persistent (daily): Throughout the entire cycle.</w:t>
      </w:r>
    </w:p>
    <w:p>
      <w:pPr>
        <w:pStyle w:val="Compact"/>
        <w:numPr>
          <w:ilvl w:val="1"/>
          <w:numId w:val="1383"/>
        </w:numPr>
      </w:pPr>
      <w:r>
        <w:t xml:space="preserve">Luteal-phase intermittent: From ovulation to start of menses (14 days) — equally effective (Steiner M. et al. NEJM 1995 RCT).</w:t>
      </w:r>
    </w:p>
    <w:p>
      <w:pPr>
        <w:pStyle w:val="Compact"/>
        <w:numPr>
          <w:ilvl w:val="0"/>
          <w:numId w:val="1382"/>
        </w:numPr>
      </w:pPr>
      <w:r>
        <w:t xml:space="preserve">Hormonal suppression — combined oral contraceptives (especially those containing drospirenone — Yaz, Beyaz; FDA-approved); GnRH agonists (leuprolide) in refractory cases.</w:t>
      </w:r>
    </w:p>
    <w:p>
      <w:pPr>
        <w:pStyle w:val="Compact"/>
        <w:numPr>
          <w:ilvl w:val="0"/>
          <w:numId w:val="1382"/>
        </w:numPr>
      </w:pPr>
      <w:r>
        <w:t xml:space="preserve">Oophorectomy — last choice, in refractory severe cases; with estrogen replacement therapy.</w:t>
      </w:r>
    </w:p>
    <w:p>
      <w:pPr>
        <w:pStyle w:val="Compact"/>
        <w:numPr>
          <w:ilvl w:val="0"/>
          <w:numId w:val="1382"/>
        </w:numPr>
      </w:pPr>
      <w:r>
        <w:t xml:space="preserve">CBT — adjunctive; Lustyk M.K. et al. reviews have shown modest effect.</w:t>
      </w:r>
    </w:p>
    <w:p>
      <w:pPr>
        <w:pStyle w:val="Compact"/>
        <w:numPr>
          <w:ilvl w:val="0"/>
          <w:numId w:val="1382"/>
        </w:numPr>
      </w:pPr>
      <w:r>
        <w:t xml:space="preserve">Lifestyle: Physical activity, caffeine and alcohol reduction — adjunct.</w:t>
      </w:r>
    </w:p>
    <w:p>
      <w:pPr>
        <w:pStyle w:val="Compact"/>
        <w:numPr>
          <w:ilvl w:val="0"/>
          <w:numId w:val="1382"/>
        </w:numPr>
      </w:pPr>
      <w:r>
        <w:t xml:space="preserve">Calcium supplementation (1200 mg/day) — Thys-Jacobs S. et al. Am J Obstet Gynecol 1998 RCT — moderate effect; adjunct role.</w:t>
      </w:r>
    </w:p>
    <w:bookmarkEnd w:id="824"/>
    <w:bookmarkStart w:id="825" w:name="treatment-methods-20"/>
    <w:p>
      <w:pPr>
        <w:pStyle w:val="Heading4"/>
      </w:pPr>
      <w:r>
        <w:t xml:space="preserve">8.2 Treatment methods</w:t>
      </w:r>
    </w:p>
    <w:p>
      <w:pPr>
        <w:pStyle w:val="Compact"/>
        <w:numPr>
          <w:ilvl w:val="0"/>
          <w:numId w:val="1384"/>
        </w:numPr>
      </w:pPr>
      <w:r>
        <w:t xml:space="preserve">Daily Record of Severity of Problems (DRSP) — Endicott (Endicott J.) — 21 symptoms, daily rating of 1–6 points; prospective 2 cycles required for PMDD diagnosis.</w:t>
      </w:r>
    </w:p>
    <w:p>
      <w:pPr>
        <w:pStyle w:val="Compact"/>
        <w:numPr>
          <w:ilvl w:val="0"/>
          <w:numId w:val="1384"/>
        </w:numPr>
      </w:pPr>
      <w:r>
        <w:t xml:space="preserve">SSRI — Luteal Phase Regimen — From ovulation (day 14) until menses onset; as effective as continuous use. Steiner M. et al. NEJM 1995.</w:t>
      </w:r>
    </w:p>
    <w:p>
      <w:pPr>
        <w:pStyle w:val="Compact"/>
        <w:numPr>
          <w:ilvl w:val="0"/>
          <w:numId w:val="1384"/>
        </w:numPr>
      </w:pPr>
      <w:r>
        <w:t xml:space="preserve">Drospirenone-containing Oral Contraceptive — Yaz, Beyaz — FDA approval for PMDD; hormonal stabilization.</w:t>
      </w:r>
    </w:p>
    <w:p>
      <w:pPr>
        <w:pStyle w:val="Compact"/>
        <w:numPr>
          <w:ilvl w:val="0"/>
          <w:numId w:val="1384"/>
        </w:numPr>
      </w:pPr>
      <w:r>
        <w:t xml:space="preserve">GnRH Agonist (Leuprolide) — Ovarian suppression in refractory cases; risk of osteoporosis with long-term use.</w:t>
      </w:r>
    </w:p>
    <w:bookmarkEnd w:id="825"/>
    <w:bookmarkStart w:id="826" w:name="differences-between-sources-30"/>
    <w:p>
      <w:pPr>
        <w:pStyle w:val="Heading4"/>
      </w:pPr>
      <w:r>
        <w:t xml:space="preserve">8.3 Differences between sources</w:t>
      </w:r>
    </w:p>
    <w:p>
      <w:pPr>
        <w:pStyle w:val="Compact"/>
        <w:numPr>
          <w:ilvl w:val="0"/>
          <w:numId w:val="1385"/>
        </w:numPr>
      </w:pPr>
      <w:r>
        <w:t xml:space="preserve">ACOG (American College of Obstetricians and Gynecologists) Practice Bulletin: SSRI first-line; oral contraceptive second.</w:t>
      </w:r>
    </w:p>
    <w:p>
      <w:pPr>
        <w:pStyle w:val="Compact"/>
        <w:numPr>
          <w:ilvl w:val="0"/>
          <w:numId w:val="1385"/>
        </w:numPr>
      </w:pPr>
      <w:r>
        <w:t xml:space="preserve">ISPMD (International Society for Premenstrual Disorders) consensus: continuous or luteal SSRIs equal efficacy; GnRH refractory.</w:t>
      </w:r>
    </w:p>
    <w:bookmarkEnd w:id="826"/>
    <w:bookmarkEnd w:id="827"/>
    <w:bookmarkStart w:id="828" w:name="ga34-9-proqnoz"/>
    <w:p>
      <w:pPr>
        <w:pStyle w:val="Heading3"/>
      </w:pPr>
      <w:r>
        <w:t xml:space="preserve">9. Prognosis</w:t>
      </w:r>
    </w:p>
    <w:p>
      <w:pPr>
        <w:pStyle w:val="Compact"/>
        <w:numPr>
          <w:ilvl w:val="0"/>
          <w:numId w:val="1386"/>
        </w:numPr>
      </w:pPr>
      <w:r>
        <w:t xml:space="preserve">SSRI or hormonal treatment leads to significant improvement in most patients.</w:t>
      </w:r>
    </w:p>
    <w:p>
      <w:pPr>
        <w:pStyle w:val="Compact"/>
        <w:numPr>
          <w:ilvl w:val="0"/>
          <w:numId w:val="1386"/>
        </w:numPr>
      </w:pPr>
      <w:r>
        <w:t xml:space="preserve">Persists during reproductive period; remission after menopause.</w:t>
      </w:r>
    </w:p>
    <w:p>
      <w:pPr>
        <w:pStyle w:val="Compact"/>
        <w:numPr>
          <w:ilvl w:val="0"/>
          <w:numId w:val="1386"/>
        </w:numPr>
      </w:pPr>
      <w:r>
        <w:t xml:space="preserve">Monitoring — cycle symptoms, compliance, side effects, comorbidity.</w:t>
      </w:r>
    </w:p>
    <w:bookmarkEnd w:id="828"/>
    <w:bookmarkStart w:id="836" w:name="ga34-10-mifler"/>
    <w:p>
      <w:pPr>
        <w:pStyle w:val="Heading3"/>
      </w:pPr>
      <w:r>
        <w:t xml:space="preserve">10. Myths and misconceptions</w:t>
      </w:r>
    </w:p>
    <w:bookmarkStart w:id="829" w:name="Xe071fd4996f9f1522acb229d2afbb85a6e161af"/>
    <w:p>
      <w:pPr>
        <w:pStyle w:val="Heading5"/>
      </w:pPr>
      <w:r>
        <w:t xml:space="preserve">Myth 1: “PMDD is ‘female willpower weakness’, not a medical disorder”</w:t>
      </w:r>
    </w:p>
    <w:p>
      <w:pPr>
        <w:pStyle w:val="FirstParagraph"/>
      </w:pPr>
      <w:r>
        <w:t xml:space="preserve">Evidence: Schmidt P.J. NEJM 1998 — ovarian hormone suppression eliminates symptoms, hormone restart returns symptoms; neurobiologically based disorder. DSM-5 and ICD-11 official diagnosis.</w:t>
      </w:r>
    </w:p>
    <w:bookmarkEnd w:id="829"/>
    <w:bookmarkStart w:id="830" w:name="myth-2-pmdd-is-also-pms-no-difference"/>
    <w:p>
      <w:pPr>
        <w:pStyle w:val="Heading5"/>
      </w:pPr>
      <w:r>
        <w:t xml:space="preserve">Myth 2: “PMDD is also PMS, no difference”</w:t>
      </w:r>
    </w:p>
    <w:p>
      <w:pPr>
        <w:pStyle w:val="FirstParagraph"/>
      </w:pPr>
      <w:r>
        <w:t xml:space="preserve">Evidence: PMS mild form in 30–80% of women; PMDD characterized by clinical severity and functional impairment — 3–8% of women.</w:t>
      </w:r>
    </w:p>
    <w:bookmarkEnd w:id="830"/>
    <w:bookmarkStart w:id="831" w:name="Xb2ec4485878a84f4504621a05bcb49d17fb5c33"/>
    <w:p>
      <w:pPr>
        <w:pStyle w:val="Heading5"/>
      </w:pPr>
      <w:r>
        <w:t xml:space="preserve">Myth 3: “SSRIs show no significant effect in PMDD, should be treated like depression”</w:t>
      </w:r>
    </w:p>
    <w:p>
      <w:pPr>
        <w:pStyle w:val="FirstParagraph"/>
      </w:pPr>
      <w:r>
        <w:t xml:space="preserve">Evidence: SSRI shows rapid effect (within 1–2 days) in PMDD — different pharmacokinetic mechanism from major depression; direct effect on serotonergic system.</w:t>
      </w:r>
    </w:p>
    <w:bookmarkEnd w:id="831"/>
    <w:bookmarkStart w:id="832" w:name="Xb1e8f28a1c679e3b6b6fe78c45a427866bf40e0"/>
    <w:p>
      <w:pPr>
        <w:pStyle w:val="Heading5"/>
      </w:pPr>
      <w:r>
        <w:t xml:space="preserve">Myth 4: “Only hormonal treatment (pregnancy, hormone replacement) is effective”</w:t>
      </w:r>
    </w:p>
    <w:p>
      <w:pPr>
        <w:pStyle w:val="FirstParagraph"/>
      </w:pPr>
      <w:r>
        <w:t xml:space="preserve">Evidence: SSRI and hormonal treatment both effective; SSRI first-line (for most patients); hormonal — with gynecological comorbidity or patient choice.</w:t>
      </w:r>
    </w:p>
    <w:bookmarkEnd w:id="832"/>
    <w:bookmarkStart w:id="833" w:name="Xb7176613a3b9c671d8600aaa0cdccab8f756c1d"/>
    <w:p>
      <w:pPr>
        <w:pStyle w:val="Heading5"/>
      </w:pPr>
      <w:r>
        <w:t xml:space="preserve">Myth 5: “Herbal preparations (chasteberry, evening primrose oil, St John's Wort) cure PMDD”</w:t>
      </w:r>
    </w:p>
    <w:p>
      <w:pPr>
        <w:pStyle w:val="FirstParagraph"/>
      </w:pPr>
      <w:r>
        <w:t xml:space="preserve">Evidence: Chasteberry (Vitex agnus-castus) has mild effect for PMS in some studies; evidence base for PMDD limited. Evening primrose oil — Cochrane negative results. St John's Wort — risk of interaction with SSRIs.</w:t>
      </w:r>
    </w:p>
    <w:bookmarkEnd w:id="833"/>
    <w:bookmarkStart w:id="834" w:name="Xc71310c834615ae49d0f5bfdf2f8f6aad6495cf"/>
    <w:p>
      <w:pPr>
        <w:pStyle w:val="Heading5"/>
      </w:pPr>
      <w:r>
        <w:t xml:space="preserve">Myth 6: “Craniosacral therapy, homeopathy, acupuncture cure PMDD”</w:t>
      </w:r>
    </w:p>
    <w:p>
      <w:pPr>
        <w:pStyle w:val="FirstParagraph"/>
      </w:pPr>
      <w:r>
        <w:t xml:space="preserve">Evidence: Efficacy of these complementary interventions for PMDD has not been proven.</w:t>
      </w:r>
    </w:p>
    <w:bookmarkEnd w:id="834"/>
    <w:bookmarkStart w:id="835" w:name="X280509f809dde44bb175b038b02aac0976bfb30"/>
    <w:p>
      <w:pPr>
        <w:pStyle w:val="Heading5"/>
      </w:pPr>
      <w:r>
        <w:t xml:space="preserve">Myth 7: “PMDD diagnosis can be made from retrospective history”</w:t>
      </w:r>
    </w:p>
    <w:p>
      <w:pPr>
        <w:pStyle w:val="FirstParagraph"/>
      </w:pPr>
      <w:r>
        <w:t xml:space="preserve">Evidence: retrospective records are unreliable; Prospective 2-cycle diary is mandatory for diagnosis — this is the most frequent cause of underdetection.</w:t>
      </w:r>
    </w:p>
    <w:bookmarkEnd w:id="835"/>
    <w:bookmarkEnd w:id="836"/>
    <w:bookmarkStart w:id="837" w:name="ga34-11-menbeler"/>
    <w:p>
      <w:pPr>
        <w:pStyle w:val="Heading3"/>
      </w:pPr>
      <w:r>
        <w:t xml:space="preserve">11. Sources</w:t>
      </w:r>
    </w:p>
    <w:p>
      <w:pPr>
        <w:pStyle w:val="Compact"/>
        <w:numPr>
          <w:ilvl w:val="0"/>
          <w:numId w:val="1387"/>
        </w:numPr>
      </w:pPr>
      <w:r>
        <w:t xml:space="preserve">WHO. ICD-11. GA34.41 Premenstrual dysphoric disorder. 2024.</w:t>
      </w:r>
    </w:p>
    <w:p>
      <w:pPr>
        <w:pStyle w:val="Compact"/>
        <w:numPr>
          <w:ilvl w:val="0"/>
          <w:numId w:val="1387"/>
        </w:numPr>
      </w:pPr>
      <w:r>
        <w:t xml:space="preserve">APA. DSM-5-TR. 2022.</w:t>
      </w:r>
    </w:p>
    <w:p>
      <w:pPr>
        <w:pStyle w:val="Compact"/>
        <w:numPr>
          <w:ilvl w:val="0"/>
          <w:numId w:val="1387"/>
        </w:numPr>
      </w:pPr>
      <w:r>
        <w:t xml:space="preserve">Yonkers K.A., O'Brien P.M., Eriksson E. Premenstrual syndrome. Lancet 2008;371(9619):1200–1210.</w:t>
      </w:r>
    </w:p>
    <w:p>
      <w:pPr>
        <w:pStyle w:val="Compact"/>
        <w:numPr>
          <w:ilvl w:val="0"/>
          <w:numId w:val="138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387"/>
        </w:numPr>
      </w:pPr>
      <w:r>
        <w:t xml:space="preserve">Steiner M., Steinberg S., Stewart D. et al. Fluoxetine in the treatment of premenstrual dysphoria. NEJM 1995;332(23):1529–1534.</w:t>
      </w:r>
    </w:p>
    <w:p>
      <w:pPr>
        <w:pStyle w:val="Compact"/>
        <w:numPr>
          <w:ilvl w:val="0"/>
          <w:numId w:val="1387"/>
        </w:numPr>
      </w:pPr>
      <w:r>
        <w:t xml:space="preserve">Thys-Jacobs S., Starkey P., Bernstein D., Tian J. Calcium carbonate and the premenstrual syndrome. Am J Obstet Gynecol 1998;179(2):444–452.</w:t>
      </w:r>
    </w:p>
    <w:p>
      <w:pPr>
        <w:pStyle w:val="Compact"/>
        <w:numPr>
          <w:ilvl w:val="0"/>
          <w:numId w:val="1387"/>
        </w:numPr>
      </w:pPr>
      <w:r>
        <w:t xml:space="preserve">ACOG Practice Bulletin No. 15. Premenstrual syndrome. 2000 (reviewed).</w:t>
      </w:r>
    </w:p>
    <w:p>
      <w:pPr>
        <w:pStyle w:val="Compact"/>
        <w:numPr>
          <w:ilvl w:val="0"/>
          <w:numId w:val="1387"/>
        </w:numPr>
      </w:pPr>
      <w:r>
        <w:t xml:space="preserve">Nevatte T., O’Brien P.M.S., Bäckström T. et al. ISPMD consensus on the management of premenstrual disorders. Arch Womens Ment Health 2013;16(4):279–291.</w:t>
      </w:r>
    </w:p>
    <w:p>
      <w:pPr>
        <w:pStyle w:val="Compact"/>
        <w:numPr>
          <w:ilvl w:val="0"/>
          <w:numId w:val="1387"/>
        </w:numPr>
      </w:pPr>
      <w:r>
        <w:t xml:space="preserve">Ismaili E., Walsh S., O’Brien P.M.S. et al. Fourth consensus of the International Society for Premenstrual Disorders (ISPMD): auditable standards for diagnosis and management of premenstrual disorder. Arch Womens Ment Health 2016;19(6):953–958.</w:t>
      </w:r>
    </w:p>
    <w:p>
      <w:pPr>
        <w:pStyle w:val="Compact"/>
        <w:numPr>
          <w:ilvl w:val="0"/>
          <w:numId w:val="1387"/>
        </w:numPr>
      </w:pPr>
      <w:r>
        <w:t xml:space="preserve">Treloar S.A., Heath A.C., Martin N.G. Genetic and environmental influences on premenstrual symptoms. Psychol Med 2002;32(1):25–38.</w:t>
      </w:r>
    </w:p>
    <w:p>
      <w:pPr>
        <w:pStyle w:val="Compact"/>
        <w:numPr>
          <w:ilvl w:val="0"/>
          <w:numId w:val="1387"/>
        </w:numPr>
      </w:pPr>
      <w:r>
        <w:t xml:space="preserve">Marjoribanks J., Brown J., O’Brien P.M.S., Wyatt K. Selective serotonin reuptake inhibitors for premenstrual syndrome. Cochrane Database Syst Rev 2013;(6):CD001396.</w:t>
      </w:r>
    </w:p>
    <w:p>
      <w:pPr>
        <w:pStyle w:val="Compact"/>
        <w:numPr>
          <w:ilvl w:val="0"/>
          <w:numId w:val="1387"/>
        </w:numPr>
      </w:pPr>
      <w:r>
        <w:t xml:space="preserve">Endicott J., Nee J., Harrison W. Daily Record of Severity of Problems (DRSP): reliability and validity. Arch Womens Ment Health 2006;9(1):41–49.</w:t>
      </w:r>
    </w:p>
    <w:p>
      <w:pPr>
        <w:pStyle w:val="Compact"/>
        <w:numPr>
          <w:ilvl w:val="0"/>
          <w:numId w:val="1387"/>
        </w:numPr>
      </w:pPr>
      <w:r>
        <w:t xml:space="preserve">Lustyk M.K.B., Gerrish W.G., Shaver S., Keys S.L. Cognitive-behavioral therapy for premenstrual syndrome and premenstrual dysphoric disorder: a systematic review. Arch Womens Ment Health 2009;12(2):85–96.</w:t>
      </w:r>
    </w:p>
    <w:bookmarkEnd w:id="837"/>
    <w:bookmarkStart w:id="838" w:name="m276b006b0z-anxiety-disorders"/>
    <w:p>
      <w:pPr>
        <w:pageBreakBefore/>
        <w:pStyle w:val="Heading1"/>
      </w:pPr>
      <w:r>
        <w:t xml:space="preserve">6B00–6B0Z ANXIETY DISORDERS</w:t>
      </w:r>
    </w:p>
    <w:p>
      <w:pPr>
        <w:pStyle w:val="FirstParagraph"/>
      </w:pPr>
      <w:r>
        <w:t xml:space="preserve">Anxiety or fear-related disorders</w:t>
      </w:r>
    </w:p>
    <w:bookmarkEnd w:id="83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39" w:name="m286b00-generalised-anxiety-disorder-gad"/>
            <w:r>
              <w:t xml:space="preserve">6B00 GENERALISED ANXIETY DISORDER (GAD)</w:t>
            </w:r>
            <w:bookmarkEnd w:id="839"/>
          </w:p>
          <w:p>
            <w:pPr>
              <w:pStyle w:val="Compact"/>
              <w:ind w:firstLine="0" w:left="0"/>
            </w:pPr>
            <w:r>
              <w:rPr>
                <w:lang w:val="en"/>
              </w:rPr>
              <w:t xml:space="preserve">Generalised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Generalized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Generalized Anxiety Disorder</w:t>
            </w:r>
          </w:p>
        </w:tc>
      </w:tr>
    </w:tbl>
    <w:bookmarkStart w:id="840" w:name="X04af5f4fd2e62ecaabbb3fbe6f7cf48b020f8b0"/>
    <w:p>
      <w:pPr>
        <w:pStyle w:val="Heading3"/>
      </w:pPr>
      <w:r>
        <w:t xml:space="preserve">1. Definition and nosology</w:t>
      </w:r>
    </w:p>
    <w:p>
      <w:pPr>
        <w:pStyle w:val="FirstParagraph"/>
      </w:pPr>
      <w:r>
        <w:t xml:space="preserve">Generalized anxiety disorder (ICD-11:</w:t>
      </w:r>
      <w:r>
        <w:t xml:space="preserve"> </w:t>
      </w:r>
      <w:r>
        <w:t xml:space="preserve">6B00</w:t>
      </w:r>
      <w:r>
        <w:t xml:space="preserve">; DSM-5-TR: F41.1) — a disorder characterized by excessive anxiety that persists for at least several months (≥ 6 months in DSM-5-TR), encompasses multiple life domains (work, family, health, daily topics), is uncontrollable, and lacks sufficient triggers. It is accompanied by significant somatic symptoms (tension, fatigue, sleep disturbance).</w:t>
      </w:r>
    </w:p>
    <w:bookmarkEnd w:id="840"/>
    <w:bookmarkStart w:id="841" w:name="X02074e49c1051ba39d7a567287b55ce3979061a"/>
    <w:p>
      <w:pPr>
        <w:pStyle w:val="Heading3"/>
      </w:pPr>
      <w:r>
        <w:t xml:space="preserve">2. History</w:t>
      </w:r>
    </w:p>
    <w:p>
      <w:pPr>
        <w:pStyle w:val="Compact"/>
        <w:numPr>
          <w:ilvl w:val="0"/>
          <w:numId w:val="1388"/>
        </w:numPr>
      </w:pPr>
      <w:r>
        <w:t xml:space="preserve">1920s–1960s — term ‘anxiety neurosis’, linked to Freud's influence.</w:t>
      </w:r>
    </w:p>
    <w:p>
      <w:pPr>
        <w:pStyle w:val="Compact"/>
        <w:numPr>
          <w:ilvl w:val="0"/>
          <w:numId w:val="1388"/>
        </w:numPr>
      </w:pPr>
      <w:r>
        <w:t xml:space="preserve">DSM-III (1980) — “anxiety neurosis” → separation of panic disorder and GAD; GAD was a residual category.</w:t>
      </w:r>
    </w:p>
    <w:p>
      <w:pPr>
        <w:pStyle w:val="Compact"/>
        <w:numPr>
          <w:ilvl w:val="0"/>
          <w:numId w:val="1388"/>
        </w:numPr>
      </w:pPr>
      <w:r>
        <w:t xml:space="preserve">DSM-IV (1994), DSM-5 (2013) — GAD as separate disorder; ≥ 6-month duration; characteristic somatic symptoms.</w:t>
      </w:r>
    </w:p>
    <w:p>
      <w:pPr>
        <w:pStyle w:val="Compact"/>
        <w:numPr>
          <w:ilvl w:val="0"/>
          <w:numId w:val="1388"/>
        </w:numPr>
      </w:pPr>
      <w:r>
        <w:t xml:space="preserve">ICD-11 (2019) — has formulated the duration requirement for diagnosis as “several months” (less strict than DSM-5).</w:t>
      </w:r>
    </w:p>
    <w:bookmarkEnd w:id="841"/>
    <w:bookmarkStart w:id="842" w:name="Xa449269694381207437bd7b28e44beecfca2895"/>
    <w:p>
      <w:pPr>
        <w:pStyle w:val="Heading3"/>
      </w:pPr>
      <w:r>
        <w:t xml:space="preserve">3. Epidemiology</w:t>
      </w:r>
    </w:p>
    <w:p>
      <w:pPr>
        <w:pStyle w:val="Compact"/>
        <w:numPr>
          <w:ilvl w:val="0"/>
          <w:numId w:val="1389"/>
        </w:numPr>
      </w:pPr>
      <w:r>
        <w:t xml:space="preserve">Lifetime prevalence: 3–9% (Kessler R.C. et al. WMH surveys).</w:t>
      </w:r>
    </w:p>
    <w:p>
      <w:pPr>
        <w:pStyle w:val="Compact"/>
        <w:numPr>
          <w:ilvl w:val="0"/>
          <w:numId w:val="1389"/>
        </w:numPr>
      </w:pPr>
      <w:r>
        <w:t xml:space="preserve">Annual prevalence: ~2–3%.</w:t>
      </w:r>
    </w:p>
    <w:p>
      <w:pPr>
        <w:pStyle w:val="Compact"/>
        <w:numPr>
          <w:ilvl w:val="0"/>
          <w:numId w:val="1389"/>
        </w:numPr>
      </w:pPr>
      <w:r>
        <w:t xml:space="preserve">Sex: 2 times higher in females.</w:t>
      </w:r>
    </w:p>
    <w:p>
      <w:pPr>
        <w:pStyle w:val="Compact"/>
        <w:numPr>
          <w:ilvl w:val="0"/>
          <w:numId w:val="1389"/>
        </w:numPr>
      </w:pPr>
      <w:r>
        <w:t xml:space="preserve">Onset — bimodal — adolescence and middle age; often chronic course.</w:t>
      </w:r>
    </w:p>
    <w:p>
      <w:pPr>
        <w:pStyle w:val="Compact"/>
        <w:numPr>
          <w:ilvl w:val="0"/>
          <w:numId w:val="1389"/>
        </w:numPr>
      </w:pPr>
      <w:r>
        <w:t xml:space="preserve">Comorbidity: MDD ~60%, social anxiety, panic, substance use, somatic (irritable bowel, cardiac complaints).</w:t>
      </w:r>
    </w:p>
    <w:bookmarkEnd w:id="842"/>
    <w:bookmarkStart w:id="843" w:name="X094a57f6c16b21374c4ee26c836fbd5a3b7de32"/>
    <w:p>
      <w:pPr>
        <w:pStyle w:val="Heading3"/>
      </w:pPr>
      <w:r>
        <w:t xml:space="preserve">4. Aetiology and pathogenesis</w:t>
      </w:r>
    </w:p>
    <w:p>
      <w:pPr>
        <w:pStyle w:val="Compact"/>
        <w:numPr>
          <w:ilvl w:val="0"/>
          <w:numId w:val="1390"/>
        </w:numPr>
      </w:pPr>
      <w:r>
        <w:t xml:space="preserve">Heritability 30–40% (Hettema J.M. et al. Am J Psychiatry 2001 meta-analysis).</w:t>
      </w:r>
    </w:p>
    <w:p>
      <w:pPr>
        <w:pStyle w:val="Compact"/>
        <w:numPr>
          <w:ilvl w:val="0"/>
          <w:numId w:val="1390"/>
        </w:numPr>
      </w:pPr>
      <w:r>
        <w:t xml:space="preserve">Neurobiological — amygdala hyperresponsivity, impaired prefrontal-amygdala regulation; GABAergic and serotonergic dysregulation.</w:t>
      </w:r>
    </w:p>
    <w:p>
      <w:pPr>
        <w:pStyle w:val="Compact"/>
        <w:numPr>
          <w:ilvl w:val="0"/>
          <w:numId w:val="1390"/>
        </w:numPr>
      </w:pPr>
      <w:r>
        <w:t xml:space="preserve">Personality traits (neuroticism, behavioral inhibition) are high-risk factors.</w:t>
      </w:r>
    </w:p>
    <w:p>
      <w:pPr>
        <w:pStyle w:val="Compact"/>
        <w:numPr>
          <w:ilvl w:val="0"/>
          <w:numId w:val="1390"/>
        </w:numPr>
      </w:pPr>
      <w:r>
        <w:t xml:space="preserve">Environment — childhood trauma, chronic stress, parental overprotection.</w:t>
      </w:r>
    </w:p>
    <w:bookmarkEnd w:id="843"/>
    <w:bookmarkStart w:id="846" w:name="X397ccdf86a1d38621ac62e250e5cc3bfa83f5ca"/>
    <w:p>
      <w:pPr>
        <w:pStyle w:val="Heading3"/>
      </w:pPr>
      <w:r>
        <w:t xml:space="preserve">5. Clinical features</w:t>
      </w:r>
    </w:p>
    <w:bookmarkStart w:id="844" w:name="psychological-symptoms"/>
    <w:p>
      <w:pPr>
        <w:pStyle w:val="Heading4"/>
      </w:pPr>
      <w:r>
        <w:t xml:space="preserve">5.1 Psychological symptoms</w:t>
      </w:r>
    </w:p>
    <w:p>
      <w:pPr>
        <w:pStyle w:val="Compact"/>
        <w:numPr>
          <w:ilvl w:val="0"/>
          <w:numId w:val="1391"/>
        </w:numPr>
      </w:pPr>
      <w:r>
        <w:t xml:space="preserve">Uncontrollable worry covering multiple areas.</w:t>
      </w:r>
    </w:p>
    <w:p>
      <w:pPr>
        <w:pStyle w:val="Compact"/>
        <w:numPr>
          <w:ilvl w:val="0"/>
          <w:numId w:val="1391"/>
        </w:numPr>
      </w:pPr>
      <w:r>
        <w:t xml:space="preserve">“Worry about worry” — meta-worry (Wells A. concept).</w:t>
      </w:r>
    </w:p>
    <w:p>
      <w:pPr>
        <w:pStyle w:val="Compact"/>
        <w:numPr>
          <w:ilvl w:val="0"/>
          <w:numId w:val="1391"/>
        </w:numPr>
      </w:pPr>
      <w:r>
        <w:t xml:space="preserve">Difficulty concentrating, mind going blank.</w:t>
      </w:r>
    </w:p>
    <w:p>
      <w:pPr>
        <w:pStyle w:val="Compact"/>
        <w:numPr>
          <w:ilvl w:val="0"/>
          <w:numId w:val="1391"/>
        </w:numPr>
      </w:pPr>
      <w:r>
        <w:t xml:space="preserve">Irritability.</w:t>
      </w:r>
    </w:p>
    <w:bookmarkEnd w:id="844"/>
    <w:bookmarkStart w:id="845" w:name="somatic-symptoms"/>
    <w:p>
      <w:pPr>
        <w:pStyle w:val="Heading4"/>
      </w:pPr>
      <w:r>
        <w:t xml:space="preserve">5.2 Somatic symptoms</w:t>
      </w:r>
    </w:p>
    <w:p>
      <w:pPr>
        <w:pStyle w:val="Compact"/>
        <w:numPr>
          <w:ilvl w:val="0"/>
          <w:numId w:val="1392"/>
        </w:numPr>
      </w:pPr>
      <w:r>
        <w:t xml:space="preserve">Muscle tension.</w:t>
      </w:r>
    </w:p>
    <w:p>
      <w:pPr>
        <w:pStyle w:val="Compact"/>
        <w:numPr>
          <w:ilvl w:val="0"/>
          <w:numId w:val="1392"/>
        </w:numPr>
      </w:pPr>
      <w:r>
        <w:t xml:space="preserve">Fatigue.</w:t>
      </w:r>
    </w:p>
    <w:p>
      <w:pPr>
        <w:pStyle w:val="Compact"/>
        <w:numPr>
          <w:ilvl w:val="0"/>
          <w:numId w:val="1392"/>
        </w:numPr>
      </w:pPr>
      <w:r>
        <w:t xml:space="preserve">Sleep disturbance (difficulty falling asleep, difficulty staying asleep).</w:t>
      </w:r>
    </w:p>
    <w:p>
      <w:pPr>
        <w:pStyle w:val="Compact"/>
        <w:numPr>
          <w:ilvl w:val="0"/>
          <w:numId w:val="1392"/>
        </w:numPr>
      </w:pPr>
      <w:r>
        <w:t xml:space="preserve">Autonomic symptoms (tachycardia, sweating, dry mouth, headache).</w:t>
      </w:r>
    </w:p>
    <w:p>
      <w:pPr>
        <w:pStyle w:val="Compact"/>
        <w:numPr>
          <w:ilvl w:val="0"/>
          <w:numId w:val="1392"/>
        </w:numPr>
      </w:pPr>
      <w:r>
        <w:t xml:space="preserve">IBS is a common comorbidity, presenting with gastrointestinal complaints.</w:t>
      </w:r>
    </w:p>
    <w:bookmarkEnd w:id="845"/>
    <w:bookmarkEnd w:id="846"/>
    <w:bookmarkStart w:id="851" w:name="Xb95714e239480c48c24c59131d9de2d53d6c4dd"/>
    <w:p>
      <w:pPr>
        <w:pStyle w:val="Heading3"/>
      </w:pPr>
      <w:r>
        <w:t xml:space="preserve">6. Diagnosis</w:t>
      </w:r>
    </w:p>
    <w:bookmarkStart w:id="847" w:name="unified-diagnostic-criteria-3"/>
    <w:p>
      <w:pPr>
        <w:pStyle w:val="Heading4"/>
      </w:pPr>
      <w:r>
        <w:t xml:space="preserve">6.1 Unified diagnostic criteria</w:t>
      </w:r>
    </w:p>
    <w:p>
      <w:pPr>
        <w:pStyle w:val="FirstParagraph"/>
      </w:pPr>
      <w:r>
        <w:t xml:space="preserve">A. Excessive anxiety or tension, focused on multiple areas; present most of the time during daily activities; ≥ 6 months (DSM-5-TR) / several months (ICD-11).</w:t>
      </w:r>
    </w:p>
    <w:p>
      <w:pPr>
        <w:pStyle w:val="BodyText"/>
      </w:pPr>
      <w:r>
        <w:t xml:space="preserve">B. Difficulty managing anxiety.</w:t>
      </w:r>
    </w:p>
    <w:p>
      <w:pPr>
        <w:pStyle w:val="BodyText"/>
      </w:pPr>
      <w:r>
        <w:t xml:space="preserve">C. ≥ 3 symptoms from the following (1 in children):</w:t>
      </w:r>
    </w:p>
    <w:p>
      <w:pPr>
        <w:pStyle w:val="Compact"/>
        <w:numPr>
          <w:ilvl w:val="0"/>
          <w:numId w:val="1393"/>
        </w:numPr>
      </w:pPr>
      <w:r>
        <w:t xml:space="preserve">Restlessness, feeling keyed up or on edge;</w:t>
      </w:r>
    </w:p>
    <w:p>
      <w:pPr>
        <w:pStyle w:val="Compact"/>
        <w:numPr>
          <w:ilvl w:val="0"/>
          <w:numId w:val="1393"/>
        </w:numPr>
      </w:pPr>
      <w:r>
        <w:t xml:space="preserve">Easy fatigability;</w:t>
      </w:r>
    </w:p>
    <w:p>
      <w:pPr>
        <w:pStyle w:val="Compact"/>
        <w:numPr>
          <w:ilvl w:val="0"/>
          <w:numId w:val="1393"/>
        </w:numPr>
      </w:pPr>
      <w:r>
        <w:t xml:space="preserve">Difficulty concentrating;</w:t>
      </w:r>
    </w:p>
    <w:p>
      <w:pPr>
        <w:pStyle w:val="Compact"/>
        <w:numPr>
          <w:ilvl w:val="0"/>
          <w:numId w:val="1393"/>
        </w:numPr>
      </w:pPr>
      <w:r>
        <w:t xml:space="preserve">Irritability;</w:t>
      </w:r>
    </w:p>
    <w:p>
      <w:pPr>
        <w:pStyle w:val="Compact"/>
        <w:numPr>
          <w:ilvl w:val="0"/>
          <w:numId w:val="1393"/>
        </w:numPr>
      </w:pPr>
      <w:r>
        <w:t xml:space="preserve">Muscle tension;</w:t>
      </w:r>
    </w:p>
    <w:p>
      <w:pPr>
        <w:pStyle w:val="Compact"/>
        <w:numPr>
          <w:ilvl w:val="0"/>
          <w:numId w:val="1393"/>
        </w:numPr>
      </w:pPr>
      <w:r>
        <w:t xml:space="preserve">Sleep disturbance.</w:t>
      </w:r>
    </w:p>
    <w:p>
      <w:pPr>
        <w:pStyle w:val="FirstParagraph"/>
      </w:pPr>
      <w:r>
        <w:t xml:space="preserve">D. Significant distress or functional impairment.</w:t>
      </w:r>
    </w:p>
    <w:p>
      <w:pPr>
        <w:pStyle w:val="BodyText"/>
      </w:pPr>
      <w:r>
        <w:t xml:space="preserve">E. Exclusion of substance or medical condition.</w:t>
      </w:r>
    </w:p>
    <w:p>
      <w:pPr>
        <w:pStyle w:val="BodyText"/>
      </w:pPr>
      <w:r>
        <w:t xml:space="preserve">F. Not better explained by another psychiatric disorder.</w:t>
      </w:r>
    </w:p>
    <w:bookmarkEnd w:id="847"/>
    <w:bookmarkStart w:id="848" w:name="differences-between-sources-31"/>
    <w:p>
      <w:pPr>
        <w:pStyle w:val="Heading4"/>
      </w:pPr>
      <w:r>
        <w:t xml:space="preserve">6.2 Differences between sources</w:t>
      </w:r>
    </w:p>
    <w:p>
      <w:pPr>
        <w:pStyle w:val="Compact"/>
        <w:numPr>
          <w:ilvl w:val="0"/>
          <w:numId w:val="1394"/>
        </w:numPr>
      </w:pPr>
      <w:r>
        <w:t xml:space="preserve">DSM-5-TR: ≥6 month period; ≥3 somatic symptoms.</w:t>
      </w:r>
    </w:p>
    <w:p>
      <w:pPr>
        <w:pStyle w:val="Compact"/>
        <w:numPr>
          <w:ilvl w:val="0"/>
          <w:numId w:val="1394"/>
        </w:numPr>
      </w:pPr>
      <w:r>
        <w:t xml:space="preserve">ICD-11: duration “a few months” — less stringent; somatic symptoms are required, but a specific number is not indicated.</w:t>
      </w:r>
    </w:p>
    <w:p>
      <w:pPr>
        <w:pStyle w:val="Compact"/>
        <w:numPr>
          <w:ilvl w:val="0"/>
          <w:numId w:val="1394"/>
        </w:numPr>
      </w:pPr>
      <w:r>
        <w:t xml:space="preserve">NICE CG113 (Generalised anxiety disorder and panic disorder in adults: management, 2011, 2020 update): Stepped care — psychoeducation + observation → guided self-help → CBT or pharmacotherapy → combination → specialized service in severe case.</w:t>
      </w:r>
    </w:p>
    <w:bookmarkEnd w:id="848"/>
    <w:bookmarkStart w:id="849" w:name="diagnostic-algorithm-20"/>
    <w:p>
      <w:pPr>
        <w:pStyle w:val="Heading4"/>
      </w:pPr>
      <w:r>
        <w:t xml:space="preserve">6.3 Diagnostic algorithm</w:t>
      </w:r>
    </w:p>
    <w:p>
      <w:pPr>
        <w:pStyle w:val="Compact"/>
        <w:numPr>
          <w:ilvl w:val="0"/>
          <w:numId w:val="1395"/>
        </w:numPr>
      </w:pPr>
      <w:r>
        <w:t xml:space="preserve">Clinical interview (areas of concern, triggers, somatic symptoms, avoidance).</w:t>
      </w:r>
    </w:p>
    <w:p>
      <w:pPr>
        <w:pStyle w:val="Compact"/>
        <w:numPr>
          <w:ilvl w:val="0"/>
          <w:numId w:val="1395"/>
        </w:numPr>
      </w:pPr>
      <w:r>
        <w:t xml:space="preserve">SCID-5, MINI.</w:t>
      </w:r>
    </w:p>
    <w:p>
      <w:pPr>
        <w:pStyle w:val="Compact"/>
        <w:numPr>
          <w:ilvl w:val="0"/>
          <w:numId w:val="1395"/>
        </w:numPr>
      </w:pPr>
      <w:r>
        <w:t xml:space="preserve">GAD-7 (screening, initial indicators and monitoring) — ≥ 10 moderate-to-severe anxiety.</w:t>
      </w:r>
    </w:p>
    <w:p>
      <w:pPr>
        <w:pStyle w:val="Compact"/>
        <w:numPr>
          <w:ilvl w:val="0"/>
          <w:numId w:val="1395"/>
        </w:numPr>
      </w:pPr>
      <w:r>
        <w:t xml:space="preserve">HAM-A (Hamilton Anxiety) — clinician-rated.</w:t>
      </w:r>
    </w:p>
    <w:p>
      <w:pPr>
        <w:pStyle w:val="Compact"/>
        <w:numPr>
          <w:ilvl w:val="0"/>
          <w:numId w:val="1395"/>
        </w:numPr>
      </w:pPr>
      <w:r>
        <w:t xml:space="preserve">Comorbidity screening (PHQ-9 depression, panic, social anxiety).</w:t>
      </w:r>
    </w:p>
    <w:p>
      <w:pPr>
        <w:pStyle w:val="Compact"/>
        <w:numPr>
          <w:ilvl w:val="0"/>
          <w:numId w:val="1395"/>
        </w:numPr>
      </w:pPr>
      <w:r>
        <w:t xml:space="preserve">Exclude somatic causes — TSH, anemia, cardiac, caffeine or stimulant use.</w:t>
      </w:r>
    </w:p>
    <w:bookmarkEnd w:id="849"/>
    <w:bookmarkStart w:id="850" w:name="differential-diagnosis-2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Discrete panic attacks.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social evaluation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obsessions, compulsions.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 history, intrusive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predominate.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Decreased TSH, somatic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Caffeine or stimulant intoxication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Use history.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Arrhythmia, 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cardiac and endocrine tests.</w:t>
            </w:r>
          </w:p>
        </w:tc>
      </w:tr>
    </w:tbl>
    <w:bookmarkEnd w:id="850"/>
    <w:bookmarkEnd w:id="851"/>
    <w:bookmarkStart w:id="852" w:name="X483c99d78e2d6a872a10b2cd35ad1b74aea405f"/>
    <w:p>
      <w:pPr>
        <w:pStyle w:val="Heading3"/>
      </w:pPr>
      <w:r>
        <w:t xml:space="preserve">7. Examination and assessment</w:t>
      </w:r>
    </w:p>
    <w:p>
      <w:pPr>
        <w:pStyle w:val="Compact"/>
        <w:numPr>
          <w:ilvl w:val="0"/>
          <w:numId w:val="1396"/>
        </w:numPr>
      </w:pPr>
      <w:r>
        <w:t xml:space="preserve">GAD-7, HAM-A, PSWQ (Penn State Worry Questionnaire).</w:t>
      </w:r>
    </w:p>
    <w:p>
      <w:pPr>
        <w:pStyle w:val="Compact"/>
        <w:numPr>
          <w:ilvl w:val="0"/>
          <w:numId w:val="1396"/>
        </w:numPr>
      </w:pPr>
      <w:r>
        <w:t xml:space="preserve">Medical and laboratory (TSH, complete blood count, caffeine and alcohol use assessment).</w:t>
      </w:r>
    </w:p>
    <w:p>
      <w:pPr>
        <w:pStyle w:val="Compact"/>
        <w:numPr>
          <w:ilvl w:val="0"/>
          <w:numId w:val="1396"/>
        </w:numPr>
      </w:pPr>
      <w:r>
        <w:t xml:space="preserve">EKG (if cardiac complaint present).</w:t>
      </w:r>
    </w:p>
    <w:bookmarkEnd w:id="852"/>
    <w:bookmarkStart w:id="860" w:name="Xf829a50095f4661a2174b63cac043cdb2324dd9"/>
    <w:p>
      <w:pPr>
        <w:pStyle w:val="Heading3"/>
      </w:pPr>
      <w:r>
        <w:t xml:space="preserve">8. Treatment</w:t>
      </w:r>
    </w:p>
    <w:bookmarkStart w:id="853" w:name="stepped-approach-nice-cg113-canmat-2014"/>
    <w:p>
      <w:pPr>
        <w:pStyle w:val="Heading4"/>
      </w:pPr>
      <w:r>
        <w:t xml:space="preserve">8.1 Stepped approach (NICE CG113 · CANMAT 2014)</w:t>
      </w:r>
    </w:p>
    <w:p>
      <w:pPr>
        <w:pStyle w:val="Compact"/>
        <w:numPr>
          <w:ilvl w:val="0"/>
          <w:numId w:val="1397"/>
        </w:numPr>
      </w:pPr>
      <w:r>
        <w:t xml:space="preserve">Step 1 — psychoeducation and active monitoring.</w:t>
      </w:r>
    </w:p>
    <w:p>
      <w:pPr>
        <w:pStyle w:val="Compact"/>
        <w:numPr>
          <w:ilvl w:val="0"/>
          <w:numId w:val="1397"/>
        </w:numPr>
      </w:pPr>
      <w:r>
        <w:t xml:space="preserve">Step 2 — guided self-help (internet-based CBT), psychoeducation groups.</w:t>
      </w:r>
    </w:p>
    <w:p>
      <w:pPr>
        <w:pStyle w:val="Compact"/>
        <w:numPr>
          <w:ilvl w:val="0"/>
          <w:numId w:val="1397"/>
        </w:numPr>
      </w:pPr>
      <w:r>
        <w:t xml:space="preserve">Step 3 — high-intensity CBT or pharmacotherapy.</w:t>
      </w:r>
    </w:p>
    <w:p>
      <w:pPr>
        <w:pStyle w:val="Compact"/>
        <w:numPr>
          <w:ilvl w:val="0"/>
          <w:numId w:val="1397"/>
        </w:numPr>
      </w:pPr>
      <w:r>
        <w:t xml:space="preserve">Step 4 — specialist service: combination treatment, refractory cases.</w:t>
      </w:r>
    </w:p>
    <w:bookmarkEnd w:id="853"/>
    <w:bookmarkStart w:id="854" w:name="first-line"/>
    <w:p>
      <w:pPr>
        <w:pStyle w:val="Heading4"/>
      </w:pPr>
      <w:r>
        <w:t xml:space="preserve">8.2 First line</w:t>
      </w:r>
    </w:p>
    <w:p>
      <w:pPr>
        <w:pStyle w:val="FirstParagraph"/>
      </w:pPr>
      <w:r>
        <w:t xml:space="preserve">Psychotherapy — cognitive behavioural therapy (CBT). The method with the strongest evidence base; 12–20 sessions. Components:</w:t>
      </w:r>
    </w:p>
    <w:p>
      <w:pPr>
        <w:pStyle w:val="Compact"/>
        <w:numPr>
          <w:ilvl w:val="0"/>
          <w:numId w:val="1398"/>
        </w:numPr>
      </w:pPr>
      <w:r>
        <w:t xml:space="preserve">Cognitive restructuring — testing beliefs about anxiety: judgements such as “worrying keeps me prepared” are set against the facts.</w:t>
      </w:r>
    </w:p>
    <w:p>
      <w:pPr>
        <w:pStyle w:val="Compact"/>
        <w:numPr>
          <w:ilvl w:val="0"/>
          <w:numId w:val="1398"/>
        </w:numPr>
      </w:pPr>
      <w:r>
        <w:t xml:space="preserve">Work with intolerance of uncertainty (Dugas M.J. model) — the patient deliberately experiences situations with unknown outcomes and builds tolerance.</w:t>
      </w:r>
    </w:p>
    <w:p>
      <w:pPr>
        <w:pStyle w:val="Compact"/>
        <w:numPr>
          <w:ilvl w:val="0"/>
          <w:numId w:val="1398"/>
        </w:numPr>
      </w:pPr>
      <w:r>
        <w:t xml:space="preserve">Exposure — stepwise withdrawal of avoidance of anxiety-provoking situations; carrying out postponed decisions.</w:t>
      </w:r>
    </w:p>
    <w:p>
      <w:pPr>
        <w:pStyle w:val="Compact"/>
        <w:numPr>
          <w:ilvl w:val="0"/>
          <w:numId w:val="1398"/>
        </w:numPr>
      </w:pPr>
      <w:r>
        <w:t xml:space="preserve">Problem-solving training — breaking a real problem into workable steps and accepting what cannot be solved.</w:t>
      </w:r>
    </w:p>
    <w:p>
      <w:pPr>
        <w:pStyle w:val="Compact"/>
        <w:numPr>
          <w:ilvl w:val="0"/>
          <w:numId w:val="1398"/>
        </w:numPr>
      </w:pPr>
      <w:r>
        <w:t xml:space="preserve">Relaxation — progressive muscle relaxation, diaphragmatic breathing.</w:t>
      </w:r>
    </w:p>
    <w:p>
      <w:pPr>
        <w:pStyle w:val="FirstParagraph"/>
      </w:pPr>
      <w:r>
        <w:t xml:space="preserve">Effect: reviews by Cuijpers P. et al. report a medium-to-large effect size; the result is comparable with pharmacotherapy and the relapse risk is lower.</w:t>
      </w:r>
    </w:p>
    <w:p>
      <w:pPr>
        <w:pStyle w:val="BodyText"/>
      </w:pPr>
      <w:r>
        <w:t xml:space="preserve">Pharmacotherapy. Effect is assessed at 4–6 weeks; a full response may take 8–12 weeks:</w:t>
      </w:r>
    </w:p>
    <w:p>
      <w:pPr>
        <w:pStyle w:val="Compact"/>
        <w:numPr>
          <w:ilvl w:val="0"/>
          <w:numId w:val="1399"/>
        </w:numPr>
      </w:pPr>
      <w:r>
        <w:t xml:space="preserve">SSRIs — sertraline, escitalopram, paroxetine.</w:t>
      </w:r>
    </w:p>
    <w:p>
      <w:pPr>
        <w:pStyle w:val="Compact"/>
        <w:numPr>
          <w:ilvl w:val="0"/>
          <w:numId w:val="1399"/>
        </w:numPr>
      </w:pPr>
      <w:r>
        <w:t xml:space="preserve">SNRIs — venlafaxine, duloxetine.</w:t>
      </w:r>
    </w:p>
    <w:p>
      <w:pPr>
        <w:pStyle w:val="Compact"/>
        <w:numPr>
          <w:ilvl w:val="0"/>
          <w:numId w:val="1399"/>
        </w:numPr>
      </w:pPr>
      <w:r>
        <w:t xml:space="preserve">The starting dose is low: a temporary increase in anxiety is possible in the first days.</w:t>
      </w:r>
    </w:p>
    <w:p>
      <w:pPr>
        <w:pStyle w:val="FirstParagraph"/>
      </w:pPr>
      <w:r>
        <w:t xml:space="preserve">Slee A. et al. (Lancet 2019) network meta-analysis: duloxetine, pregabalin and venlafaxine showed high efficacy; the tolerability profile varies between agents.</w:t>
      </w:r>
    </w:p>
    <w:bookmarkEnd w:id="854"/>
    <w:bookmarkStart w:id="855" w:name="second-line"/>
    <w:p>
      <w:pPr>
        <w:pStyle w:val="Heading4"/>
      </w:pPr>
      <w:r>
        <w:t xml:space="preserve">8.3 Second line</w:t>
      </w:r>
    </w:p>
    <w:p>
      <w:pPr>
        <w:pStyle w:val="Compact"/>
        <w:numPr>
          <w:ilvl w:val="0"/>
          <w:numId w:val="1400"/>
        </w:numPr>
      </w:pPr>
      <w:r>
        <w:t xml:space="preserve">Pregabalin — approved for this indication in Europe; acts quickly but carries dependence potential.</w:t>
      </w:r>
    </w:p>
    <w:p>
      <w:pPr>
        <w:pStyle w:val="Compact"/>
        <w:numPr>
          <w:ilvl w:val="0"/>
          <w:numId w:val="1400"/>
        </w:numPr>
      </w:pPr>
      <w:r>
        <w:t xml:space="preserve">Buspirone — partial effect; as an alternative to benzodiazepines.</w:t>
      </w:r>
    </w:p>
    <w:p>
      <w:pPr>
        <w:pStyle w:val="Compact"/>
        <w:numPr>
          <w:ilvl w:val="0"/>
          <w:numId w:val="1400"/>
        </w:numPr>
      </w:pPr>
      <w:r>
        <w:t xml:space="preserve">Mirtazapine — adjunct where sleep disturbance accompanies.</w:t>
      </w:r>
    </w:p>
    <w:p>
      <w:pPr>
        <w:pStyle w:val="Compact"/>
        <w:numPr>
          <w:ilvl w:val="0"/>
          <w:numId w:val="1400"/>
        </w:numPr>
      </w:pPr>
      <w:r>
        <w:t xml:space="preserve">Quetiapine — second line in CANMAT 2014; use limited by metabolic adverse effects.</w:t>
      </w:r>
    </w:p>
    <w:bookmarkEnd w:id="855"/>
    <w:bookmarkStart w:id="856" w:name="short-term-use-and-limits"/>
    <w:p>
      <w:pPr>
        <w:pStyle w:val="Heading4"/>
      </w:pPr>
      <w:r>
        <w:t xml:space="preserve">8.4 Short-term use and limits</w:t>
      </w:r>
    </w:p>
    <w:p>
      <w:pPr>
        <w:pStyle w:val="Compact"/>
        <w:numPr>
          <w:ilvl w:val="0"/>
          <w:numId w:val="1401"/>
        </w:numPr>
      </w:pPr>
      <w:r>
        <w:t xml:space="preserve">Benzodiazepines — only in the acute period, no longer than 2–4 weeks. Dependence potential is high; continuous use is not recommended.</w:t>
      </w:r>
    </w:p>
    <w:bookmarkEnd w:id="856"/>
    <w:bookmarkStart w:id="857" w:name="additional-methods"/>
    <w:p>
      <w:pPr>
        <w:pStyle w:val="Heading4"/>
      </w:pPr>
      <w:r>
        <w:t xml:space="preserve">8.5 Additional methods</w:t>
      </w:r>
    </w:p>
    <w:p>
      <w:pPr>
        <w:pStyle w:val="Compact"/>
        <w:numPr>
          <w:ilvl w:val="0"/>
          <w:numId w:val="1402"/>
        </w:numPr>
      </w:pPr>
      <w:r>
        <w:t xml:space="preserve">Mindfulness-based stress reduction and cognitive therapy (MBSR / MBCT) — an 8-week group programme; a mild effect in this disorder. Hofmann S.G. et al., J Consult Clin Psychol 2010 meta-analysis.</w:t>
      </w:r>
    </w:p>
    <w:p>
      <w:pPr>
        <w:pStyle w:val="Compact"/>
        <w:numPr>
          <w:ilvl w:val="0"/>
          <w:numId w:val="1402"/>
        </w:numPr>
      </w:pPr>
      <w:r>
        <w:t xml:space="preserve">Acceptance and commitment therapy (ACT) — instead of fighting the symptom it teaches living by one’s values alongside it; increases psychological flexibility. Randomised trials by Roemer L. et al.</w:t>
      </w:r>
    </w:p>
    <w:p>
      <w:pPr>
        <w:pStyle w:val="Compact"/>
        <w:numPr>
          <w:ilvl w:val="0"/>
          <w:numId w:val="1402"/>
        </w:numPr>
      </w:pPr>
      <w:r>
        <w:t xml:space="preserve">Applied relaxation (Öst L.G. method) — structured progressive muscle relaxation, applied when an anxiety trigger appears.</w:t>
      </w:r>
    </w:p>
    <w:p>
      <w:pPr>
        <w:pStyle w:val="Compact"/>
        <w:numPr>
          <w:ilvl w:val="0"/>
          <w:numId w:val="1402"/>
        </w:numPr>
      </w:pPr>
      <w:r>
        <w:t xml:space="preserve">Lifestyle — limiting caffeine, regular physical activity, sleep hygiene, avoidance of alcohol and psychoactive substances.</w:t>
      </w:r>
    </w:p>
    <w:bookmarkEnd w:id="857"/>
    <w:bookmarkStart w:id="858" w:name="duration-of-treatment"/>
    <w:p>
      <w:pPr>
        <w:pStyle w:val="Heading4"/>
      </w:pPr>
      <w:r>
        <w:t xml:space="preserve">8.6 Duration of treatment</w:t>
      </w:r>
    </w:p>
    <w:p>
      <w:pPr>
        <w:pStyle w:val="Compact"/>
        <w:numPr>
          <w:ilvl w:val="0"/>
          <w:numId w:val="1403"/>
        </w:numPr>
      </w:pPr>
      <w:r>
        <w:t xml:space="preserve">Continued for at least 12 months after remission.</w:t>
      </w:r>
    </w:p>
    <w:p>
      <w:pPr>
        <w:pStyle w:val="Compact"/>
        <w:numPr>
          <w:ilvl w:val="0"/>
          <w:numId w:val="1403"/>
        </w:numPr>
      </w:pPr>
      <w:r>
        <w:t xml:space="preserve">In a chronic course or with multiple relapses, treatment is planned as long-term.</w:t>
      </w:r>
    </w:p>
    <w:p>
      <w:pPr>
        <w:pStyle w:val="Compact"/>
        <w:numPr>
          <w:ilvl w:val="0"/>
          <w:numId w:val="1403"/>
        </w:numPr>
      </w:pPr>
      <w:r>
        <w:t xml:space="preserve">Withdrawal is stepwise: abrupt discontinuation raises the risk of return.</w:t>
      </w:r>
    </w:p>
    <w:bookmarkEnd w:id="858"/>
    <w:bookmarkStart w:id="859" w:name="differences-between-sources-32"/>
    <w:p>
      <w:pPr>
        <w:pStyle w:val="Heading4"/>
      </w:pPr>
      <w:r>
        <w:t xml:space="preserve">8.7 Differences between sources</w:t>
      </w:r>
    </w:p>
    <w:p>
      <w:pPr>
        <w:pStyle w:val="Compact"/>
        <w:numPr>
          <w:ilvl w:val="0"/>
          <w:numId w:val="1404"/>
        </w:numPr>
      </w:pPr>
      <w:r>
        <w:t xml:space="preserve">NICE CG113 (2011, reaffirmed 2020) — stepped approach; SSRIs and SNRIs as first-line pharmacotherapy; benzodiazepines only acutely and briefly.</w:t>
      </w:r>
    </w:p>
    <w:p>
      <w:pPr>
        <w:pStyle w:val="Compact"/>
        <w:numPr>
          <w:ilvl w:val="0"/>
          <w:numId w:val="1404"/>
        </w:numPr>
      </w:pPr>
      <w:r>
        <w:t xml:space="preserve">APA — has no separate guideline for this disorder; the only document in the family concerns panic disorder (2009, archived status). Reference is therefore made to NICE CG113 and CANMAT 2014.</w:t>
      </w:r>
    </w:p>
    <w:p>
      <w:pPr>
        <w:pStyle w:val="Compact"/>
        <w:numPr>
          <w:ilvl w:val="0"/>
          <w:numId w:val="1404"/>
        </w:numPr>
      </w:pPr>
      <w:r>
        <w:t xml:space="preserve">CANMAT 2014 (Katzman M.A. et al.) — first line escitalopram, sertraline, venlafaxine, duloxetine; second line pregabalin, buspirone, mirtazapine, quetiapine.</w:t>
      </w:r>
    </w:p>
    <w:bookmarkEnd w:id="859"/>
    <w:bookmarkEnd w:id="860"/>
    <w:bookmarkStart w:id="861" w:name="Xfd7cae85a0b5b85af67cf2a30346adc9ea44f97"/>
    <w:p>
      <w:pPr>
        <w:pStyle w:val="Heading3"/>
      </w:pPr>
      <w:r>
        <w:t xml:space="preserve">9. Prognosis</w:t>
      </w:r>
    </w:p>
    <w:p>
      <w:pPr>
        <w:pStyle w:val="Compact"/>
        <w:numPr>
          <w:ilvl w:val="0"/>
          <w:numId w:val="1405"/>
        </w:numPr>
      </w:pPr>
      <w:r>
        <w:t xml:space="preserve">Chronic course; spontaneous remission is low.</w:t>
      </w:r>
    </w:p>
    <w:p>
      <w:pPr>
        <w:pStyle w:val="Compact"/>
        <w:numPr>
          <w:ilvl w:val="0"/>
          <w:numId w:val="1405"/>
        </w:numPr>
      </w:pPr>
      <w:r>
        <w:t xml:space="preserve">Significant symptom reduction and functional improvement with adequate treatment.</w:t>
      </w:r>
    </w:p>
    <w:p>
      <w:pPr>
        <w:pStyle w:val="Compact"/>
        <w:numPr>
          <w:ilvl w:val="0"/>
          <w:numId w:val="1405"/>
        </w:numPr>
      </w:pPr>
      <w:r>
        <w:t xml:space="preserve">Comorbid MDD is a marker of poor prognosis.</w:t>
      </w:r>
    </w:p>
    <w:p>
      <w:pPr>
        <w:pStyle w:val="Compact"/>
        <w:numPr>
          <w:ilvl w:val="0"/>
          <w:numId w:val="1405"/>
        </w:numPr>
      </w:pPr>
      <w:r>
        <w:t xml:space="preserve">Monitoring — GAD-7 monitoring, side effects, compliance, comorbidity.</w:t>
      </w:r>
    </w:p>
    <w:bookmarkEnd w:id="861"/>
    <w:bookmarkStart w:id="872" w:name="X0458ee014c84e106c22d3bafdeb0a7ddb14ce2a"/>
    <w:p>
      <w:pPr>
        <w:pStyle w:val="Heading3"/>
      </w:pPr>
      <w:r>
        <w:t xml:space="preserve">10. Myths and misconceptions</w:t>
      </w:r>
    </w:p>
    <w:bookmarkStart w:id="862" w:name="Xa41fc89c22a5ecb4014c6a2a8238b866b507b01"/>
    <w:p>
      <w:pPr>
        <w:pStyle w:val="Heading5"/>
      </w:pPr>
      <w:r>
        <w:t xml:space="preserve">Myth 1: “Anxiety is a normal life feeling, not a medical condition”</w:t>
      </w:r>
    </w:p>
    <w:p>
      <w:pPr>
        <w:pStyle w:val="FirstParagraph"/>
      </w:pPr>
      <w:r>
        <w:t xml:space="preserve">Evidence: A clinical distinction exists between normal anxiety and GAD — severity, duration (≥ 6 months), uncontrollability, somatic components, functional impairment. Clinical diagnosis is made based on specific criteria.</w:t>
      </w:r>
    </w:p>
    <w:bookmarkEnd w:id="862"/>
    <w:bookmarkStart w:id="863" w:name="Xcfd007dd7cf85e9e5ef95266c2cc91d5fccaaa5"/>
    <w:p>
      <w:pPr>
        <w:pStyle w:val="Heading5"/>
      </w:pPr>
      <w:r>
        <w:t xml:space="preserve">Myth 2: “Benzodiazepines are first-line treatment for GAD”</w:t>
      </w:r>
    </w:p>
    <w:p>
      <w:pPr>
        <w:pStyle w:val="FirstParagraph"/>
      </w:pPr>
      <w:r>
        <w:t xml:space="preserve">Evidence: NICE CG113, APA, CANMAT — benzodiazepines only for short-term (2–4 weeks) use; high dependence potential; SSRIs and SNRIs first-line.</w:t>
      </w:r>
    </w:p>
    <w:bookmarkEnd w:id="863"/>
    <w:bookmarkStart w:id="864" w:name="Xbbfedf1ec5f7f94f97de55adf9f508e1f1c2a67"/>
    <w:p>
      <w:pPr>
        <w:pStyle w:val="Heading5"/>
      </w:pPr>
      <w:r>
        <w:t xml:space="preserve">Myth 3: “Only relaxation or yoga can cure GAD”</w:t>
      </w:r>
    </w:p>
    <w:p>
      <w:pPr>
        <w:pStyle w:val="FirstParagraph"/>
      </w:pPr>
      <w:r>
        <w:t xml:space="preserve">Evidence: They show moderate adjunctive effects, but in moderate-severe cases CBT and/or pharmacotherapy are required.</w:t>
      </w:r>
    </w:p>
    <w:bookmarkEnd w:id="864"/>
    <w:bookmarkStart w:id="865" w:name="Xadf708da7efb897c4c2e5558c5a142b4f1865b9"/>
    <w:p>
      <w:pPr>
        <w:pStyle w:val="Heading5"/>
      </w:pPr>
      <w:r>
        <w:t xml:space="preserve">Myth 4: “Antidepressants are ineffective for anxiety — they are for depression”</w:t>
      </w:r>
    </w:p>
    <w:p>
      <w:pPr>
        <w:pStyle w:val="FirstParagraph"/>
      </w:pPr>
      <w:r>
        <w:t xml:space="preserve">Evidence: SSRI and SNRI effective in anxiety disorders; via effect of serotonergic system on amygdala activity. CANMAT 2014, Slee Lancet 2019.</w:t>
      </w:r>
    </w:p>
    <w:bookmarkEnd w:id="865"/>
    <w:bookmarkStart w:id="866" w:name="X4598cfddd122bfb695280c56feceebbf739ccbe"/>
    <w:p>
      <w:pPr>
        <w:pStyle w:val="Heading5"/>
      </w:pPr>
      <w:r>
        <w:t xml:space="preserve">Myth 5: “The patient can learn not to be anxious voluntarily”</w:t>
      </w:r>
    </w:p>
    <w:p>
      <w:pPr>
        <w:pStyle w:val="FirstParagraph"/>
      </w:pPr>
      <w:r>
        <w:t xml:space="preserve">Evidence: GAD is a neurobiological dysregulation; CBT or pharmacotherapy acts at the neurobiological level.</w:t>
      </w:r>
    </w:p>
    <w:bookmarkEnd w:id="866"/>
    <w:bookmarkStart w:id="867" w:name="X01ca17944c9e10e95f62f76b63bdb00ef6ee511"/>
    <w:p>
      <w:pPr>
        <w:pStyle w:val="Heading5"/>
      </w:pPr>
      <w:r>
        <w:t xml:space="preserve">Myth 6: “Caffeine restriction is sufficient for GAD”</w:t>
      </w:r>
    </w:p>
    <w:p>
      <w:pPr>
        <w:pStyle w:val="FirstParagraph"/>
      </w:pPr>
      <w:r>
        <w:t xml:space="preserve">Evidence: Caffeine can exacerbate symptoms; restriction is an adjunct step, not primary treatment.</w:t>
      </w:r>
    </w:p>
    <w:bookmarkEnd w:id="867"/>
    <w:bookmarkStart w:id="868" w:name="X4ea5ff2af5164dd2cd7e665d980407684b8b569"/>
    <w:p>
      <w:pPr>
        <w:pStyle w:val="Heading5"/>
      </w:pPr>
      <w:r>
        <w:t xml:space="preserve">Myth 7: “Herbal preparations (kava, valerian, passiflora) can replace standard treatment”</w:t>
      </w:r>
    </w:p>
    <w:p>
      <w:pPr>
        <w:pStyle w:val="FirstParagraph"/>
      </w:pPr>
      <w:r>
        <w:t xml:space="preserve">Evidence: Kava severe hepatotoxicity (several fatalities — FDA warning); valerian and passiflora effect weak; St John's Wort interaction.</w:t>
      </w:r>
    </w:p>
    <w:bookmarkEnd w:id="868"/>
    <w:bookmarkStart w:id="869" w:name="myth-8-cannabis-cbd-cures-anxiety"/>
    <w:p>
      <w:pPr>
        <w:pStyle w:val="Heading5"/>
      </w:pPr>
      <w:r>
        <w:t xml:space="preserve">Myth 8: “Cannabis (CBD) cures anxiety”</w:t>
      </w:r>
    </w:p>
    <w:p>
      <w:pPr>
        <w:pStyle w:val="FirstParagraph"/>
      </w:pPr>
      <w:r>
        <w:t xml:space="preserve">Evidence: Preliminary studies exist for CBD, but insufficient for clinical recommendation; THC may exacerbate anxiety or trigger panic attacks.</w:t>
      </w:r>
    </w:p>
    <w:bookmarkEnd w:id="869"/>
    <w:bookmarkStart w:id="870" w:name="X8ebad3e25a4ab284987c9f8701890495b8d75fa"/>
    <w:p>
      <w:pPr>
        <w:pStyle w:val="Heading5"/>
      </w:pPr>
      <w:r>
        <w:t xml:space="preserve">Myth 9: “You will have to use antidepressants for life”</w:t>
      </w:r>
    </w:p>
    <w:p>
      <w:pPr>
        <w:pStyle w:val="FirstParagraph"/>
      </w:pPr>
      <w:r>
        <w:t xml:space="preserve">Evidence: After remission 12 months; then gradual discontinuation possible; restart if relapse.</w:t>
      </w:r>
    </w:p>
    <w:bookmarkEnd w:id="870"/>
    <w:bookmarkStart w:id="871" w:name="Xcd1314209614d4374c85fc13d301c35f64ec300"/>
    <w:p>
      <w:pPr>
        <w:pStyle w:val="Heading5"/>
      </w:pPr>
      <w:r>
        <w:t xml:space="preserve">Myth 10: “Electroconvulsive therapy is effective in refractory GAD”</w:t>
      </w:r>
    </w:p>
    <w:p>
      <w:pPr>
        <w:pStyle w:val="FirstParagraph"/>
      </w:pPr>
      <w:r>
        <w:t xml:space="preserve">Evidence: ECT is not indicated for GAD; in refractory cases — medication change, combination, atypical antipsychotic adjunct.</w:t>
      </w:r>
    </w:p>
    <w:bookmarkEnd w:id="871"/>
    <w:bookmarkEnd w:id="872"/>
    <w:bookmarkStart w:id="2984" w:name="Xf72c721c14b5ec8caadd85afbcba9fe178f812e"/>
    <w:p>
      <w:pPr>
        <w:pStyle w:val="Heading3"/>
      </w:pPr>
      <w:r>
        <w:t xml:space="preserve">11. Sources</w:t>
      </w:r>
    </w:p>
    <w:p>
      <w:pPr>
        <w:pStyle w:val="Compact"/>
        <w:numPr>
          <w:ilvl w:val="0"/>
          <w:numId w:val="1406"/>
        </w:numPr>
      </w:pPr>
      <w:r>
        <w:t xml:space="preserve">WHO. ICD-11. 6B00 Generalised anxiety disorder. 2024.</w:t>
      </w:r>
    </w:p>
    <w:p>
      <w:pPr>
        <w:pStyle w:val="Compact"/>
        <w:numPr>
          <w:ilvl w:val="0"/>
          <w:numId w:val="1406"/>
        </w:numPr>
      </w:pPr>
      <w:r>
        <w:t xml:space="preserve">APA. DSM-5-TR. 2022.</w:t>
      </w:r>
    </w:p>
    <w:p>
      <w:pPr>
        <w:pStyle w:val="Compact"/>
        <w:numPr>
          <w:ilvl w:val="0"/>
          <w:numId w:val="1406"/>
        </w:numPr>
      </w:pPr>
      <w:r>
        <w:t xml:space="preserve">NICE CG113. Generalised anxiety disorder and panic disorder in adults: management. 2011, 2020 update.</w:t>
      </w:r>
    </w:p>
    <w:p>
      <w:pPr>
        <w:pStyle w:val="Compact"/>
        <w:numPr>
          <w:ilvl w:val="0"/>
          <w:numId w:val="1406"/>
        </w:numPr>
      </w:pPr>
      <w:r>
        <w:t xml:space="preserve">Katzman M.A. et al. Canadian clinical practice guidelines for the management of anxiety, posttraumatic stress and obsessive-compulsive disorders. BMC Psychiatry 2014;14(Suppl 1):S1.</w:t>
      </w:r>
    </w:p>
    <w:p>
      <w:pPr>
        <w:pStyle w:val="Compact"/>
        <w:numPr>
          <w:ilvl w:val="0"/>
          <w:numId w:val="1406"/>
        </w:numPr>
      </w:pPr>
      <w:r>
        <w:t xml:space="preserve">Slee A., Nazareth I., Bondaronek P. et al. Pharmacological treatments for generalised anxiety disorder: a systematic review and network meta-analysis. Lancet 2019;393(10173):768–777.</w:t>
      </w:r>
    </w:p>
    <w:p>
      <w:pPr>
        <w:pStyle w:val="Compact"/>
        <w:numPr>
          <w:ilvl w:val="0"/>
          <w:numId w:val="1406"/>
        </w:numPr>
      </w:pPr>
      <w:r>
        <w:t xml:space="preserve">Hettema J.M., Neale M.C., Kendler K.S. A review and meta-analysis of the genetic epidemiology of anxiety disorders. Am J Psychiatry 2001;158(10):1568–1578.</w:t>
      </w:r>
    </w:p>
    <w:p>
      <w:pPr>
        <w:pStyle w:val="Compact"/>
        <w:numPr>
          <w:ilvl w:val="0"/>
          <w:numId w:val="1406"/>
        </w:numPr>
      </w:pPr>
      <w:r>
        <w:t xml:space="preserve">Hofmann S.G., Sawyer A.T., Witt A.A., Oh D. The effect of mindfulness-based therapy on anxiety and depression. J Consult Clin Psychol 2010;78(2):169–183.</w:t>
      </w:r>
    </w:p>
    <w:p>
      <w:pPr>
        <w:pStyle w:val="Compact"/>
        <w:numPr>
          <w:ilvl w:val="0"/>
          <w:numId w:val="1406"/>
        </w:numPr>
      </w:pPr>
      <w:r>
        <w:t xml:space="preserve">Spitzer R.L., Kroenke K., Williams J.B., Löwe B. A brief measure for assessing generalized anxiety disorder: the GAD-7. Arch Intern Med 2006;166(10):1092–1097.</w:t>
      </w:r>
    </w:p>
    <w:p>
      <w:pPr>
        <w:pStyle w:val="Compact"/>
        <w:numPr>
          <w:ilvl w:val="0"/>
          <w:numId w:val="1406"/>
        </w:numPr>
      </w:pPr>
      <w:r>
        <w:t xml:space="preserve">Cuijpers P., Sijbrandij M., Koole S. et al. Psychological treatment of generalized anxiety disorder: a meta-analysis. Clin Psychol Rev 2014;34(2):130–140.</w:t>
      </w:r>
    </w:p>
    <w:p>
      <w:pPr>
        <w:pStyle w:val="Compact"/>
        <w:numPr>
          <w:ilvl w:val="0"/>
          <w:numId w:val="1406"/>
        </w:numPr>
      </w:pPr>
      <w:r>
        <w:t xml:space="preserve">Dugas M.J., Robichaud M. Cognitive-Behavioral Treatment for Generalized Anxiety Disorder. New York: Routledge, 2007.</w:t>
      </w:r>
    </w:p>
    <w:p>
      <w:pPr>
        <w:pStyle w:val="Compact"/>
        <w:numPr>
          <w:ilvl w:val="0"/>
          <w:numId w:val="1406"/>
        </w:numPr>
      </w:pPr>
      <w:r>
        <w:t xml:space="preserve">Meyer T.J., Miller M.L., Metzger R.L., Borkovec T.D. Development and validation of the Penn State Worry Questionnaire. Behav Res Ther 1990;28(6):487–495.</w:t>
      </w:r>
    </w:p>
    <w:p>
      <w:pPr>
        <w:pStyle w:val="Compact"/>
        <w:numPr>
          <w:ilvl w:val="0"/>
          <w:numId w:val="1406"/>
        </w:numPr>
      </w:pPr>
      <w:r>
        <w:t xml:space="preserve">Roemer L., Orsillo S.M. An open trial of an acceptance-based behavior therapy for generalized anxiety disorder. Behav Ther 2007;38(1):72–85.</w:t>
      </w:r>
    </w:p>
    <w:p>
      <w:pPr>
        <w:pStyle w:val="Compact"/>
        <w:numPr>
          <w:ilvl w:val="0"/>
          <w:numId w:val="1406"/>
        </w:numPr>
      </w:pPr>
      <w:r>
        <w:t xml:space="preserve">Wells A. Metacognitive Therapy for Anxiety and Depression. New York: Guilford Press, 2009.</w:t>
      </w:r>
    </w:p>
    <w:p>
      <w:pPr>
        <w:pStyle w:val="Compact"/>
        <w:numPr>
          <w:ilvl w:val="0"/>
          <w:numId w:val="1406"/>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73" w:name="m296b01-panic-disorder"/>
            <w:r>
              <w:t xml:space="preserve">6B01 PANIC DISORDER</w:t>
            </w:r>
            <w:bookmarkEnd w:id="873"/>
          </w:p>
          <w:p>
            <w:pPr>
              <w:pStyle w:val="Compact"/>
              <w:ind w:firstLine="0" w:left="0"/>
            </w:pPr>
            <w:r>
              <w:rPr>
                <w:lang w:val="en"/>
              </w:rPr>
              <w:t xml:space="preserve">Panic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disorder [episodic paroxysmal anxiety]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Disorder</w:t>
            </w:r>
          </w:p>
        </w:tc>
      </w:tr>
    </w:tbl>
    <w:bookmarkStart w:id="874" w:name="X2ed75406aeb30b40be14e0585b1b4463ccf64e5"/>
    <w:p>
      <w:pPr>
        <w:pStyle w:val="Heading3"/>
      </w:pPr>
      <w:r>
        <w:t xml:space="preserve">1. Definition and nosology</w:t>
      </w:r>
    </w:p>
    <w:p>
      <w:pPr>
        <w:pStyle w:val="FirstParagraph"/>
      </w:pPr>
      <w:r>
        <w:t xml:space="preserve">Panic disorder (ICD-11:</w:t>
      </w:r>
      <w:r>
        <w:t xml:space="preserve"> </w:t>
      </w:r>
      <w:r>
        <w:t xml:space="preserve">6B01</w:t>
      </w:r>
      <w:r>
        <w:t xml:space="preserve">; DSM-5-TR: F41.0) — a disorder characterized by recurrent, unexpected panic attacks (acute episodes of fear or anxiety peaking within 10 minutes) and persistent worry about recurrence of these attacks, with behavioral changes.</w:t>
      </w:r>
    </w:p>
    <w:bookmarkEnd w:id="874"/>
    <w:bookmarkStart w:id="875" w:name="Xc7083bd00b950c539f21ebf054fcf50a258c17f"/>
    <w:p>
      <w:pPr>
        <w:pStyle w:val="Heading3"/>
      </w:pPr>
      <w:r>
        <w:t xml:space="preserve">2. History</w:t>
      </w:r>
    </w:p>
    <w:p>
      <w:pPr>
        <w:pStyle w:val="Compact"/>
        <w:numPr>
          <w:ilvl w:val="0"/>
          <w:numId w:val="1407"/>
        </w:numPr>
      </w:pPr>
      <w:r>
        <w:t xml:space="preserve">Da Costa J.M. (1871) ‘irritable heart’ — in American Civil War soldiers.</w:t>
      </w:r>
    </w:p>
    <w:p>
      <w:pPr>
        <w:pStyle w:val="Compact"/>
        <w:numPr>
          <w:ilvl w:val="0"/>
          <w:numId w:val="1407"/>
        </w:numPr>
      </w:pPr>
      <w:r>
        <w:t xml:space="preserve">Freud (1894) “anxiety neurosis”.</w:t>
      </w:r>
    </w:p>
    <w:p>
      <w:pPr>
        <w:pStyle w:val="Compact"/>
        <w:numPr>
          <w:ilvl w:val="0"/>
          <w:numId w:val="1407"/>
        </w:numPr>
      </w:pPr>
      <w:r>
        <w:t xml:space="preserve">Klein D.F. (1964) — distinguishing antidepressant response of panic attacks; basis for splitting ‘anxiety neurosis’.</w:t>
      </w:r>
    </w:p>
    <w:p>
      <w:pPr>
        <w:pStyle w:val="Compact"/>
        <w:numPr>
          <w:ilvl w:val="0"/>
          <w:numId w:val="1407"/>
        </w:numPr>
      </w:pPr>
      <w:r>
        <w:t xml:space="preserve">DSM-III (1980) — Official diagnosis of Panic Disorder.</w:t>
      </w:r>
    </w:p>
    <w:p>
      <w:pPr>
        <w:pStyle w:val="Compact"/>
        <w:numPr>
          <w:ilvl w:val="0"/>
          <w:numId w:val="1407"/>
        </w:numPr>
      </w:pPr>
      <w:r>
        <w:t xml:space="preserve">DSM-5 (2013), ICD-11 — Agoraphobia is a separate category from panic disorder.</w:t>
      </w:r>
    </w:p>
    <w:bookmarkEnd w:id="875"/>
    <w:bookmarkStart w:id="876" w:name="Xda8dc573d5d3bd67e8809fe892622144931de2e"/>
    <w:p>
      <w:pPr>
        <w:pStyle w:val="Heading3"/>
      </w:pPr>
      <w:r>
        <w:t xml:space="preserve">3. Epidemiology</w:t>
      </w:r>
    </w:p>
    <w:p>
      <w:pPr>
        <w:pStyle w:val="Compact"/>
        <w:numPr>
          <w:ilvl w:val="0"/>
          <w:numId w:val="1408"/>
        </w:numPr>
      </w:pPr>
      <w:r>
        <w:t xml:space="preserve">Lifetime prevalence: 2–5%; annual ~2.7% (Kessler R.C. WMH).</w:t>
      </w:r>
    </w:p>
    <w:p>
      <w:pPr>
        <w:pStyle w:val="Compact"/>
        <w:numPr>
          <w:ilvl w:val="0"/>
          <w:numId w:val="1408"/>
        </w:numPr>
      </w:pPr>
      <w:r>
        <w:t xml:space="preserve">Sex: 2 times higher in females.</w:t>
      </w:r>
    </w:p>
    <w:p>
      <w:pPr>
        <w:pStyle w:val="Compact"/>
        <w:numPr>
          <w:ilvl w:val="0"/>
          <w:numId w:val="1408"/>
        </w:numPr>
      </w:pPr>
      <w:r>
        <w:t xml:space="preserve">Onset: young to middle adulthood (20–30 years); second peak in middle age.</w:t>
      </w:r>
    </w:p>
    <w:p>
      <w:pPr>
        <w:pStyle w:val="Compact"/>
        <w:numPr>
          <w:ilvl w:val="0"/>
          <w:numId w:val="1408"/>
        </w:numPr>
      </w:pPr>
      <w:r>
        <w:t xml:space="preserve">Comorbidity: agoraphobia 30–50%, MDD 50–60%, other anxiety disorders, substance use, mitral valve prolapse.</w:t>
      </w:r>
    </w:p>
    <w:bookmarkEnd w:id="876"/>
    <w:bookmarkStart w:id="877" w:name="X4130b67c72fd85be1c85698fc120d1881b1af6e"/>
    <w:p>
      <w:pPr>
        <w:pStyle w:val="Heading3"/>
      </w:pPr>
      <w:r>
        <w:t xml:space="preserve">4. Aetiology and pathogenesis</w:t>
      </w:r>
    </w:p>
    <w:p>
      <w:pPr>
        <w:pStyle w:val="Compact"/>
        <w:numPr>
          <w:ilvl w:val="0"/>
          <w:numId w:val="1409"/>
        </w:numPr>
      </w:pPr>
      <w:r>
        <w:t xml:space="preserve">Heritability ~40% (Hettema 2001 meta-analysis).</w:t>
      </w:r>
    </w:p>
    <w:p>
      <w:pPr>
        <w:pStyle w:val="Compact"/>
        <w:numPr>
          <w:ilvl w:val="0"/>
          <w:numId w:val="1409"/>
        </w:numPr>
      </w:pPr>
      <w:r>
        <w:t xml:space="preserve">Neurobiological — amygdala-locus coeruleus-prefrontal circuit hyperreactivity; serotonergic, noradrenergic, GABAergic dysregulation.</w:t>
      </w:r>
    </w:p>
    <w:p>
      <w:pPr>
        <w:pStyle w:val="Compact"/>
        <w:numPr>
          <w:ilvl w:val="0"/>
          <w:numId w:val="1409"/>
        </w:numPr>
      </w:pPr>
      <w:r>
        <w:t xml:space="preserve">CO₂ sensitivity hypothesis (Klein D.F. ‘suffocation false alarm’) — patients show sensitivity to hyperventilation and CO₂ accumulation.</w:t>
      </w:r>
    </w:p>
    <w:p>
      <w:pPr>
        <w:pStyle w:val="Compact"/>
        <w:numPr>
          <w:ilvl w:val="0"/>
          <w:numId w:val="1409"/>
        </w:numPr>
      </w:pPr>
      <w:r>
        <w:t xml:space="preserve">Personality — anxiety sensitivity (Reiss S.); childhood history of separation anxiety.</w:t>
      </w:r>
    </w:p>
    <w:bookmarkEnd w:id="877"/>
    <w:bookmarkStart w:id="879" w:name="X65d16223ebbb393acb0a3e1c01e43748a46ccc4"/>
    <w:p>
      <w:pPr>
        <w:pStyle w:val="Heading3"/>
      </w:pPr>
      <w:r>
        <w:t xml:space="preserve">5. Clinical features</w:t>
      </w:r>
    </w:p>
    <w:bookmarkStart w:id="878" w:name="X4495c8257960374c12e292b1f980c9c5e525616"/>
    <w:p>
      <w:pPr>
        <w:pStyle w:val="Heading4"/>
      </w:pPr>
      <w:r>
        <w:t xml:space="preserve">Panic attack — 4+ symptoms peak within 10 minutes</w:t>
      </w:r>
    </w:p>
    <w:p>
      <w:pPr>
        <w:pStyle w:val="Compact"/>
        <w:numPr>
          <w:ilvl w:val="0"/>
          <w:numId w:val="1410"/>
        </w:numPr>
      </w:pPr>
      <w:r>
        <w:t xml:space="preserve">Palpitations, fluttering, tachycardia.</w:t>
      </w:r>
    </w:p>
    <w:p>
      <w:pPr>
        <w:pStyle w:val="Compact"/>
        <w:numPr>
          <w:ilvl w:val="0"/>
          <w:numId w:val="1410"/>
        </w:numPr>
      </w:pPr>
      <w:r>
        <w:t xml:space="preserve">Cold sweat, trembling.</w:t>
      </w:r>
    </w:p>
    <w:p>
      <w:pPr>
        <w:pStyle w:val="Compact"/>
        <w:numPr>
          <w:ilvl w:val="0"/>
          <w:numId w:val="1410"/>
        </w:numPr>
      </w:pPr>
      <w:r>
        <w:t xml:space="preserve">Shortness of breath, feeling of air insufficiency.</w:t>
      </w:r>
    </w:p>
    <w:p>
      <w:pPr>
        <w:pStyle w:val="Compact"/>
        <w:numPr>
          <w:ilvl w:val="0"/>
          <w:numId w:val="1410"/>
        </w:numPr>
      </w:pPr>
      <w:r>
        <w:t xml:space="preserve">Feeling of suffocation.</w:t>
      </w:r>
    </w:p>
    <w:p>
      <w:pPr>
        <w:pStyle w:val="Compact"/>
        <w:numPr>
          <w:ilvl w:val="0"/>
          <w:numId w:val="1410"/>
        </w:numPr>
      </w:pPr>
      <w:r>
        <w:t xml:space="preserve">Chest pain or discomfort.</w:t>
      </w:r>
    </w:p>
    <w:p>
      <w:pPr>
        <w:pStyle w:val="Compact"/>
        <w:numPr>
          <w:ilvl w:val="0"/>
          <w:numId w:val="1410"/>
        </w:numPr>
      </w:pPr>
      <w:r>
        <w:t xml:space="preserve">Nausea, abdominal discomfort.</w:t>
      </w:r>
    </w:p>
    <w:p>
      <w:pPr>
        <w:pStyle w:val="Compact"/>
        <w:numPr>
          <w:ilvl w:val="0"/>
          <w:numId w:val="1410"/>
        </w:numPr>
      </w:pPr>
      <w:r>
        <w:t xml:space="preserve">Dizziness, unreal feeling.</w:t>
      </w:r>
    </w:p>
    <w:p>
      <w:pPr>
        <w:pStyle w:val="Compact"/>
        <w:numPr>
          <w:ilvl w:val="0"/>
          <w:numId w:val="1410"/>
        </w:numPr>
      </w:pPr>
      <w:r>
        <w:t xml:space="preserve">Cold or hot sensations; paresthesia.</w:t>
      </w:r>
    </w:p>
    <w:p>
      <w:pPr>
        <w:pStyle w:val="Compact"/>
        <w:numPr>
          <w:ilvl w:val="0"/>
          <w:numId w:val="1410"/>
        </w:numPr>
      </w:pPr>
      <w:r>
        <w:t xml:space="preserve">Derealization, depersonalization.</w:t>
      </w:r>
    </w:p>
    <w:p>
      <w:pPr>
        <w:pStyle w:val="Compact"/>
        <w:numPr>
          <w:ilvl w:val="0"/>
          <w:numId w:val="1410"/>
        </w:numPr>
      </w:pPr>
      <w:r>
        <w:t xml:space="preserve">Fear of loss of control or “going crazy.”</w:t>
      </w:r>
    </w:p>
    <w:p>
      <w:pPr>
        <w:pStyle w:val="Compact"/>
        <w:numPr>
          <w:ilvl w:val="0"/>
          <w:numId w:val="1410"/>
        </w:numPr>
      </w:pPr>
      <w:r>
        <w:t xml:space="preserve">Fear of death.</w:t>
      </w:r>
    </w:p>
    <w:p>
      <w:pPr>
        <w:pStyle w:val="FirstParagraph"/>
      </w:pPr>
      <w:r>
        <w:t xml:space="preserve">Attack lasts 5–20 minutes; hospital admission is frequent (with cardiac complaints).</w:t>
      </w:r>
    </w:p>
    <w:bookmarkEnd w:id="878"/>
    <w:bookmarkEnd w:id="879"/>
    <w:bookmarkStart w:id="884" w:name="X5cceaddb153927a12cc7acfa49eb96d3296c835"/>
    <w:p>
      <w:pPr>
        <w:pStyle w:val="Heading3"/>
      </w:pPr>
      <w:r>
        <w:t xml:space="preserve">6. Diagnosis</w:t>
      </w:r>
    </w:p>
    <w:bookmarkStart w:id="880" w:name="unified-diagnostic-criteria-4"/>
    <w:p>
      <w:pPr>
        <w:pStyle w:val="Heading4"/>
      </w:pPr>
      <w:r>
        <w:t xml:space="preserve">6.1 Unified diagnostic criteria</w:t>
      </w:r>
    </w:p>
    <w:p>
      <w:pPr>
        <w:pStyle w:val="FirstParagraph"/>
      </w:pPr>
      <w:r>
        <w:t xml:space="preserve">A. Repeated unexpected panic attacks.</w:t>
      </w:r>
    </w:p>
    <w:p>
      <w:pPr>
        <w:pStyle w:val="BodyText"/>
      </w:pPr>
      <w:r>
        <w:t xml:space="preserve">B. At least one of the attacks has been followed by ≥ 1 month of one or more of the following:</w:t>
      </w:r>
    </w:p>
    <w:p>
      <w:pPr>
        <w:pStyle w:val="Compact"/>
        <w:numPr>
          <w:ilvl w:val="0"/>
          <w:numId w:val="1411"/>
        </w:numPr>
      </w:pPr>
      <w:r>
        <w:t xml:space="preserve">Persistent worry about next attack;</w:t>
      </w:r>
    </w:p>
    <w:p>
      <w:pPr>
        <w:pStyle w:val="Compact"/>
        <w:numPr>
          <w:ilvl w:val="0"/>
          <w:numId w:val="1411"/>
        </w:numPr>
      </w:pPr>
      <w:r>
        <w:t xml:space="preserve">Fear of consequences of attacks (heart attack, going crazy);</w:t>
      </w:r>
    </w:p>
    <w:p>
      <w:pPr>
        <w:pStyle w:val="Compact"/>
        <w:numPr>
          <w:ilvl w:val="0"/>
          <w:numId w:val="1411"/>
        </w:numPr>
      </w:pPr>
      <w:r>
        <w:t xml:space="preserve">Significant behavioral change associated with attacks (avoidance, safety behaviors).</w:t>
      </w:r>
    </w:p>
    <w:p>
      <w:pPr>
        <w:pStyle w:val="FirstParagraph"/>
      </w:pPr>
      <w:r>
        <w:t xml:space="preserve">C. Exclusion of substance or medical condition.</w:t>
      </w:r>
    </w:p>
    <w:p>
      <w:pPr>
        <w:pStyle w:val="BodyText"/>
      </w:pPr>
      <w:r>
        <w:t xml:space="preserve">D. Not better explained by another mental disorder (social anxiety, OCD, PTSD, separation).</w:t>
      </w:r>
    </w:p>
    <w:bookmarkEnd w:id="880"/>
    <w:bookmarkStart w:id="881" w:name="differences-between-sources-33"/>
    <w:p>
      <w:pPr>
        <w:pStyle w:val="Heading4"/>
      </w:pPr>
      <w:r>
        <w:t xml:space="preserve">6.2 Differences between sources</w:t>
      </w:r>
    </w:p>
    <w:p>
      <w:pPr>
        <w:pStyle w:val="Compact"/>
        <w:numPr>
          <w:ilvl w:val="0"/>
          <w:numId w:val="1412"/>
        </w:numPr>
      </w:pPr>
      <w:r>
        <w:t xml:space="preserve">DSM-5-TR — agoraphobia as a separate diagnosis (F40.00); may co-occur.</w:t>
      </w:r>
    </w:p>
    <w:p>
      <w:pPr>
        <w:pStyle w:val="Compact"/>
        <w:numPr>
          <w:ilvl w:val="0"/>
          <w:numId w:val="1412"/>
        </w:numPr>
      </w:pPr>
      <w:r>
        <w:t xml:space="preserve">ICD-11 — agoraphobia has its own code 6B02; but no one-month period of concern is required — “persistent concern” is enough.</w:t>
      </w:r>
    </w:p>
    <w:p>
      <w:pPr>
        <w:pStyle w:val="Compact"/>
        <w:numPr>
          <w:ilvl w:val="0"/>
          <w:numId w:val="1412"/>
        </w:numPr>
      </w:pPr>
      <w:r>
        <w:t xml:space="preserve">NICE CG113 — diagnosis after exclusion of somatic cause.</w:t>
      </w:r>
    </w:p>
    <w:bookmarkEnd w:id="881"/>
    <w:bookmarkStart w:id="882" w:name="diagnostic-algorithm-21"/>
    <w:p>
      <w:pPr>
        <w:pStyle w:val="Heading4"/>
      </w:pPr>
      <w:r>
        <w:t xml:space="preserve">6.3 Diagnostic algorithm</w:t>
      </w:r>
    </w:p>
    <w:p>
      <w:pPr>
        <w:pStyle w:val="Compact"/>
        <w:numPr>
          <w:ilvl w:val="0"/>
          <w:numId w:val="1413"/>
        </w:numPr>
      </w:pPr>
      <w:r>
        <w:t xml:space="preserve">Clinical interview + attack history.</w:t>
      </w:r>
    </w:p>
    <w:p>
      <w:pPr>
        <w:pStyle w:val="Compact"/>
        <w:numPr>
          <w:ilvl w:val="0"/>
          <w:numId w:val="1413"/>
        </w:numPr>
      </w:pPr>
      <w:r>
        <w:t xml:space="preserve">SCID-5, MINI.</w:t>
      </w:r>
    </w:p>
    <w:p>
      <w:pPr>
        <w:pStyle w:val="Compact"/>
        <w:numPr>
          <w:ilvl w:val="0"/>
          <w:numId w:val="1413"/>
        </w:numPr>
      </w:pPr>
      <w:r>
        <w:t xml:space="preserve">PDSS (Panic Disorder Severity Scale), GAD-7 comorbidity.</w:t>
      </w:r>
    </w:p>
    <w:p>
      <w:pPr>
        <w:pStyle w:val="Compact"/>
        <w:numPr>
          <w:ilvl w:val="0"/>
          <w:numId w:val="1413"/>
        </w:numPr>
      </w:pPr>
      <w:r>
        <w:t xml:space="preserve">Medical: EKG, TSH, complete blood count, glucose, caffeine/stimulants; pheochromocytoma suspicion — 24-hour urinary metanephrines.</w:t>
      </w:r>
    </w:p>
    <w:p>
      <w:pPr>
        <w:pStyle w:val="Compact"/>
        <w:numPr>
          <w:ilvl w:val="0"/>
          <w:numId w:val="1413"/>
        </w:numPr>
      </w:pPr>
      <w:r>
        <w:t xml:space="preserve">Comorbidity (agoraphobia, MDD, substance use).</w:t>
      </w:r>
    </w:p>
    <w:bookmarkEnd w:id="882"/>
    <w:bookmarkStart w:id="883" w:name="differential-diagnosis-2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Avoidance domains are primary; comorbid possible.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evaluation trigger.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object/situation.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 history, intrusive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Urine metanephrine.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Arrhythmia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(caffeine, cocaine)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bl>
    <w:bookmarkEnd w:id="883"/>
    <w:bookmarkEnd w:id="884"/>
    <w:bookmarkStart w:id="885" w:name="Xf1cfee24ae5905590a6a98a9c40bd62bca253bc"/>
    <w:p>
      <w:pPr>
        <w:pStyle w:val="Heading3"/>
      </w:pPr>
      <w:r>
        <w:t xml:space="preserve">7. Examination and assessment</w:t>
      </w:r>
    </w:p>
    <w:p>
      <w:pPr>
        <w:pStyle w:val="Compact"/>
        <w:numPr>
          <w:ilvl w:val="0"/>
          <w:numId w:val="1414"/>
        </w:numPr>
      </w:pPr>
      <w:r>
        <w:t xml:space="preserve">PDSS, ACQ (Agoraphobic Cognitions), BSQ (Body Sensations Questionnaire).</w:t>
      </w:r>
    </w:p>
    <w:p>
      <w:pPr>
        <w:pStyle w:val="Compact"/>
        <w:numPr>
          <w:ilvl w:val="0"/>
          <w:numId w:val="1414"/>
        </w:numPr>
      </w:pPr>
      <w:r>
        <w:t xml:space="preserve">EKG, TSH, complete blood count, glucose.</w:t>
      </w:r>
    </w:p>
    <w:p>
      <w:pPr>
        <w:pStyle w:val="Compact"/>
        <w:numPr>
          <w:ilvl w:val="0"/>
          <w:numId w:val="1414"/>
        </w:numPr>
      </w:pPr>
      <w:r>
        <w:t xml:space="preserve">Holter EKG (suspected arrhythmia).</w:t>
      </w:r>
    </w:p>
    <w:p>
      <w:pPr>
        <w:pStyle w:val="Compact"/>
        <w:numPr>
          <w:ilvl w:val="0"/>
          <w:numId w:val="1414"/>
        </w:numPr>
      </w:pPr>
      <w:r>
        <w:t xml:space="preserve">Toxicology.</w:t>
      </w:r>
    </w:p>
    <w:bookmarkEnd w:id="885"/>
    <w:bookmarkStart w:id="889" w:name="Xc5d0d386cf02b1700d6842266545de4b1d97489"/>
    <w:p>
      <w:pPr>
        <w:pStyle w:val="Heading3"/>
      </w:pPr>
      <w:r>
        <w:t xml:space="preserve">8. Treatment</w:t>
      </w:r>
    </w:p>
    <w:bookmarkStart w:id="886" w:name="X110c5c4cd82681d2f13da1586701eb32f8663a2"/>
    <w:p>
      <w:pPr>
        <w:pStyle w:val="Heading4"/>
      </w:pPr>
      <w:r>
        <w:t xml:space="preserve">8.1 General principles (NICE CG113 · CANMAT 2014)</w:t>
      </w:r>
    </w:p>
    <w:p>
      <w:pPr>
        <w:pStyle w:val="Compact"/>
        <w:numPr>
          <w:ilvl w:val="0"/>
          <w:numId w:val="1415"/>
        </w:numPr>
      </w:pPr>
      <w:r>
        <w:t xml:space="preserve">CBT for panic — psychoeducation, interoceptive exposure (building tolerance to bodily sensations), in vivo exposure (to avoided situations), cognitive restructuring. 12–16 sessions. Evidence: Cuijpers P. et al. reviews — large effect.</w:t>
      </w:r>
    </w:p>
    <w:p>
      <w:pPr>
        <w:pStyle w:val="Compact"/>
        <w:numPr>
          <w:ilvl w:val="0"/>
          <w:numId w:val="1415"/>
        </w:numPr>
      </w:pPr>
      <w:r>
        <w:t xml:space="preserve">Pharmacotherapy: SSRIs (sertraline, paroxetine, fluoxetine — FDA-approved for panic disorder; escitalopram off-label) or SNRIs (venlafaxine) — first-line. Start at low dose (jittery, ‘activation’ effect may worsen panic).</w:t>
      </w:r>
    </w:p>
    <w:p>
      <w:pPr>
        <w:pStyle w:val="Compact"/>
        <w:numPr>
          <w:ilvl w:val="0"/>
          <w:numId w:val="1415"/>
        </w:numPr>
      </w:pPr>
      <w:r>
        <w:t xml:space="preserve">Benzodiazepine (clonazepam, lorazepam) — short-term initial stabilization; ≤ 4 weeks; dependence potential.</w:t>
      </w:r>
    </w:p>
    <w:p>
      <w:pPr>
        <w:pStyle w:val="Compact"/>
        <w:numPr>
          <w:ilvl w:val="0"/>
          <w:numId w:val="1415"/>
        </w:numPr>
      </w:pPr>
      <w:r>
        <w:t xml:space="preserve">Treatment duration — ≥ 12 months after remission.</w:t>
      </w:r>
    </w:p>
    <w:p>
      <w:pPr>
        <w:pStyle w:val="Compact"/>
        <w:numPr>
          <w:ilvl w:val="0"/>
          <w:numId w:val="1415"/>
        </w:numPr>
      </w:pPr>
      <w:r>
        <w:t xml:space="preserve">Caffeine, alcohol, marijuana restriction.</w:t>
      </w:r>
    </w:p>
    <w:bookmarkEnd w:id="886"/>
    <w:bookmarkStart w:id="887" w:name="treatment-methods-21"/>
    <w:p>
      <w:pPr>
        <w:pStyle w:val="Heading4"/>
      </w:pPr>
      <w:r>
        <w:t xml:space="preserve">8.2 Treatment methods</w:t>
      </w:r>
    </w:p>
    <w:p>
      <w:pPr>
        <w:pStyle w:val="Compact"/>
        <w:numPr>
          <w:ilvl w:val="0"/>
          <w:numId w:val="1416"/>
        </w:numPr>
      </w:pPr>
      <w:r>
        <w:t xml:space="preserve">CBT for panic — Clark (Clark D.M.), Barlow (Barlow D.H.) — Interoceptive exposure (deliberately creating body sensation — hyperventilation, spinning, caffeine) + in vivo exposure + cognitive restructuring. Evidence: Barlow D.H. et al. JAMA 2000 RCT.</w:t>
      </w:r>
    </w:p>
    <w:p>
      <w:pPr>
        <w:pStyle w:val="Compact"/>
        <w:numPr>
          <w:ilvl w:val="0"/>
          <w:numId w:val="1416"/>
        </w:numPr>
      </w:pPr>
      <w:r>
        <w:t xml:space="preserve">Panic Control Treatment (PCT) — Barlow (Barlow D.H.) — 11-session manually administered protocol; widely used in the USA.</w:t>
      </w:r>
    </w:p>
    <w:p>
      <w:pPr>
        <w:pStyle w:val="Compact"/>
        <w:numPr>
          <w:ilvl w:val="0"/>
          <w:numId w:val="1416"/>
        </w:numPr>
      </w:pPr>
      <w:r>
        <w:t xml:space="preserve">Panic Disorder Severity Scale (PDSS) — Shear (Shear M.K.) — 7 items; baseline indicators and monitoring.</w:t>
      </w:r>
    </w:p>
    <w:p>
      <w:pPr>
        <w:pStyle w:val="Compact"/>
        <w:numPr>
          <w:ilvl w:val="0"/>
          <w:numId w:val="1416"/>
        </w:numPr>
      </w:pPr>
      <w:r>
        <w:t xml:space="preserve">Internet-based cognitive behavioral therapy (iCBT) — Andersson G. et al. demonstrated that internet-based CBT — iCBT — showed comparable efficacy to individual CBT.</w:t>
      </w:r>
    </w:p>
    <w:bookmarkEnd w:id="887"/>
    <w:bookmarkStart w:id="888" w:name="differences-between-sources-34"/>
    <w:p>
      <w:pPr>
        <w:pStyle w:val="Heading4"/>
      </w:pPr>
      <w:r>
        <w:t xml:space="preserve">8.3 Differences between sources</w:t>
      </w:r>
    </w:p>
    <w:p>
      <w:pPr>
        <w:pStyle w:val="Compact"/>
        <w:numPr>
          <w:ilvl w:val="0"/>
          <w:numId w:val="1417"/>
        </w:numPr>
      </w:pPr>
      <w:r>
        <w:t xml:space="preserve">NICE CG113 — CBT and SSRIs first-line; benzodiazepines only short-term.</w:t>
      </w:r>
    </w:p>
    <w:p>
      <w:pPr>
        <w:pStyle w:val="Compact"/>
        <w:numPr>
          <w:ilvl w:val="0"/>
          <w:numId w:val="1417"/>
        </w:numPr>
      </w:pPr>
      <w:r>
        <w:t xml:space="preserve">APA Anxiety Guidelines — CBT and pharmacotherapy equally effective.</w:t>
      </w:r>
    </w:p>
    <w:p>
      <w:pPr>
        <w:pStyle w:val="Compact"/>
        <w:numPr>
          <w:ilvl w:val="0"/>
          <w:numId w:val="1417"/>
        </w:numPr>
      </w:pPr>
      <w:r>
        <w:t xml:space="preserve">Mitte K. J Affect Disord 2005 meta-analysis — CBT superior to placebo and wait-list.</w:t>
      </w:r>
    </w:p>
    <w:bookmarkEnd w:id="888"/>
    <w:bookmarkEnd w:id="889"/>
    <w:bookmarkStart w:id="890" w:name="X8b65b8039d6772945e4c42fcd4b7e7487c49eb1"/>
    <w:p>
      <w:pPr>
        <w:pStyle w:val="Heading3"/>
      </w:pPr>
      <w:r>
        <w:t xml:space="preserve">9. Prognosis</w:t>
      </w:r>
    </w:p>
    <w:p>
      <w:pPr>
        <w:pStyle w:val="Compact"/>
        <w:numPr>
          <w:ilvl w:val="0"/>
          <w:numId w:val="1418"/>
        </w:numPr>
      </w:pPr>
      <w:r>
        <w:t xml:space="preserve">Remission with treatment in most patients.</w:t>
      </w:r>
    </w:p>
    <w:p>
      <w:pPr>
        <w:pStyle w:val="Compact"/>
        <w:numPr>
          <w:ilvl w:val="0"/>
          <w:numId w:val="1418"/>
        </w:numPr>
      </w:pPr>
      <w:r>
        <w:t xml:space="preserve">Comorbid agoraphobia or MDD poor prognosis.</w:t>
      </w:r>
    </w:p>
    <w:p>
      <w:pPr>
        <w:pStyle w:val="Compact"/>
        <w:numPr>
          <w:ilvl w:val="0"/>
          <w:numId w:val="1418"/>
        </w:numPr>
      </w:pPr>
      <w:r>
        <w:t xml:space="preserve">Early intervention prevents crystallization of avoidance behavior.</w:t>
      </w:r>
    </w:p>
    <w:bookmarkEnd w:id="890"/>
    <w:bookmarkStart w:id="896" w:name="X1e3ceb3151fc27fee4e4b42c10926ec0061b00e"/>
    <w:p>
      <w:pPr>
        <w:pStyle w:val="Heading3"/>
      </w:pPr>
      <w:r>
        <w:t xml:space="preserve">10. Myths and misconceptions</w:t>
      </w:r>
    </w:p>
    <w:bookmarkStart w:id="891" w:name="myth-1-panic-attack-is-a-heart-attack"/>
    <w:p>
      <w:pPr>
        <w:pStyle w:val="Heading5"/>
      </w:pPr>
      <w:r>
        <w:t xml:space="preserve">Myth 1: “Panic attack is a heart attack”</w:t>
      </w:r>
    </w:p>
    <w:p>
      <w:pPr>
        <w:pStyle w:val="FirstParagraph"/>
      </w:pPr>
      <w:r>
        <w:t xml:space="preserve">Evidence: symptoms may be similar; but panic attack is short-term, normal EKG after clinical presentation. Klein's ‘suffocation false alarm’ hypothesis explains the mechanism.</w:t>
      </w:r>
    </w:p>
    <w:bookmarkEnd w:id="891"/>
    <w:bookmarkStart w:id="892" w:name="X0d4cf0e69fa7bc0cd7d9ffd2db3427590b2404b"/>
    <w:p>
      <w:pPr>
        <w:pStyle w:val="Heading5"/>
      </w:pPr>
      <w:r>
        <w:t xml:space="preserve">Myth 2: “The patient can voluntarily control panic”</w:t>
      </w:r>
    </w:p>
    <w:p>
      <w:pPr>
        <w:pStyle w:val="FirstParagraph"/>
      </w:pPr>
      <w:r>
        <w:t xml:space="preserve">Evidence: Panic is a neurobiological dysregulation; CBT and pharmacotherapy are required.</w:t>
      </w:r>
    </w:p>
    <w:bookmarkEnd w:id="892"/>
    <w:bookmarkStart w:id="893" w:name="Xdd0c64e6a031d681fd66bdee42bff235b8b4ded"/>
    <w:p>
      <w:pPr>
        <w:pStyle w:val="Heading5"/>
      </w:pPr>
      <w:r>
        <w:t xml:space="preserve">Myth 3: “Benzodiazepine is the main treatment for panic”</w:t>
      </w:r>
    </w:p>
    <w:p>
      <w:pPr>
        <w:pStyle w:val="FirstParagraph"/>
      </w:pPr>
      <w:r>
        <w:t xml:space="preserve">Evidence: For short-term stabilization; addiction potential; SSRIs and CBT first-line.</w:t>
      </w:r>
    </w:p>
    <w:bookmarkEnd w:id="893"/>
    <w:bookmarkStart w:id="894" w:name="Xb0cc36c818ccc12e06f1d361ed95af703f0eec1"/>
    <w:p>
      <w:pPr>
        <w:pStyle w:val="Heading5"/>
      </w:pPr>
      <w:r>
        <w:t xml:space="preserve">Myth 4: “A panic patient must be protected from panic-inducing situations”</w:t>
      </w:r>
    </w:p>
    <w:p>
      <w:pPr>
        <w:pStyle w:val="FirstParagraph"/>
      </w:pPr>
      <w:r>
        <w:t xml:space="preserve">Evidence: Avoidance strengthens the symptoms; exposure is the main therapeutic mechanism.</w:t>
      </w:r>
    </w:p>
    <w:bookmarkEnd w:id="894"/>
    <w:bookmarkStart w:id="895" w:name="Xefa53a49f957de06870d7903bf9c17ff1357c7d"/>
    <w:p>
      <w:pPr>
        <w:pStyle w:val="Heading5"/>
      </w:pPr>
      <w:r>
        <w:t xml:space="preserve">Myth 5: “Herbal preparations (kava, valerian) are safe for panic”</w:t>
      </w:r>
    </w:p>
    <w:p>
      <w:pPr>
        <w:pStyle w:val="FirstParagraph"/>
      </w:pPr>
      <w:r>
        <w:t xml:space="preserve">Evidence: Kava hepatotoxicity (FDA warning); standard treatment superior.</w:t>
      </w:r>
    </w:p>
    <w:bookmarkEnd w:id="895"/>
    <w:bookmarkEnd w:id="896"/>
    <w:bookmarkStart w:id="2983" w:name="X3c700fca5f343355baa534d364f15e74946c8aa"/>
    <w:p>
      <w:pPr>
        <w:pStyle w:val="Heading3"/>
      </w:pPr>
      <w:r>
        <w:t xml:space="preserve">11. Sources</w:t>
      </w:r>
    </w:p>
    <w:p>
      <w:pPr>
        <w:pStyle w:val="Compact"/>
        <w:numPr>
          <w:ilvl w:val="0"/>
          <w:numId w:val="1419"/>
        </w:numPr>
      </w:pPr>
      <w:r>
        <w:t xml:space="preserve">WHO. ICD-11. 6B01 Panic disorder. 2024.</w:t>
      </w:r>
    </w:p>
    <w:p>
      <w:pPr>
        <w:pStyle w:val="Compact"/>
        <w:numPr>
          <w:ilvl w:val="0"/>
          <w:numId w:val="1419"/>
        </w:numPr>
      </w:pPr>
      <w:r>
        <w:t xml:space="preserve">APA. DSM-5-TR. 2022.</w:t>
      </w:r>
    </w:p>
    <w:p>
      <w:pPr>
        <w:pStyle w:val="Compact"/>
        <w:numPr>
          <w:ilvl w:val="0"/>
          <w:numId w:val="1419"/>
        </w:numPr>
      </w:pPr>
      <w:r>
        <w:t xml:space="preserve">NICE CG113. 2011/2020.</w:t>
      </w:r>
    </w:p>
    <w:p>
      <w:pPr>
        <w:pStyle w:val="Compact"/>
        <w:numPr>
          <w:ilvl w:val="0"/>
          <w:numId w:val="1419"/>
        </w:numPr>
      </w:pPr>
      <w:r>
        <w:t xml:space="preserve">Katzman M.A. et al. CANMAT 2014. BMC Psychiatry 2014;14(Suppl 1):S1.</w:t>
      </w:r>
    </w:p>
    <w:p>
      <w:pPr>
        <w:pStyle w:val="Compact"/>
        <w:numPr>
          <w:ilvl w:val="0"/>
          <w:numId w:val="1419"/>
        </w:numPr>
      </w:pPr>
      <w:r>
        <w:t xml:space="preserve">Barlow D.H. et al. Cognitive-behavioral therapy, imipramine, or their combination for panic disorder. JAMA 2000;283(19):2529–2536.</w:t>
      </w:r>
    </w:p>
    <w:p>
      <w:pPr>
        <w:pStyle w:val="Compact"/>
        <w:numPr>
          <w:ilvl w:val="0"/>
          <w:numId w:val="1419"/>
        </w:numPr>
      </w:pPr>
      <w:r>
        <w:t xml:space="preserve">Shear M.K. et al. Multicenter collaborative panic disorder severity scale. Am J Psychiatry 1997;154(11):1571–1575.</w:t>
      </w:r>
    </w:p>
    <w:p>
      <w:pPr>
        <w:pStyle w:val="Compact"/>
        <w:numPr>
          <w:ilvl w:val="0"/>
          <w:numId w:val="1419"/>
        </w:numPr>
      </w:pPr>
      <w:r>
        <w:t xml:space="preserve">Klein D.F. False suffocation alarms, spontaneous panics, and related conditions. Arch Gen Psychiatry 1993;50(4):306–317.</w:t>
      </w:r>
    </w:p>
    <w:p>
      <w:pPr>
        <w:pStyle w:val="Compact"/>
        <w:numPr>
          <w:ilvl w:val="0"/>
          <w:numId w:val="1419"/>
        </w:numPr>
      </w:pPr>
      <w:r>
        <w:t xml:space="preserve">Clark D.M. A cognitive approach to panic. Behav Res Ther 1986;24(4):461–470.</w:t>
      </w:r>
    </w:p>
    <w:p>
      <w:pPr>
        <w:pStyle w:val="Compact"/>
        <w:numPr>
          <w:ilvl w:val="0"/>
          <w:numId w:val="1419"/>
        </w:numPr>
      </w:pPr>
      <w:r>
        <w:t xml:space="preserve">Andersson G., Cuijpers P., Carlbring P. et al. Guided internet-based vs. face-to-face cognitive behaviour therapy for psychiatric and somatic disorders: a systematic review and meta-analysis. World Psychiatry 2014;13(3):288–295.</w:t>
      </w:r>
    </w:p>
    <w:p>
      <w:pPr>
        <w:pStyle w:val="Compact"/>
        <w:numPr>
          <w:ilvl w:val="0"/>
          <w:numId w:val="1419"/>
        </w:numPr>
      </w:pPr>
      <w:r>
        <w:t xml:space="preserve">Reiss S., Peterson R.A., Gursky D.M., McNally R.J. Anxiety sensitivity, anxiety frequency and the prediction of fearfulness. Behav Res Ther 1986;24(1):1–8.</w:t>
      </w:r>
    </w:p>
    <w:p>
      <w:pPr>
        <w:pStyle w:val="Compact"/>
        <w:numPr>
          <w:ilvl w:val="0"/>
          <w:numId w:val="141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897" w:name="m306b02-agoraphobia"/>
            <w:r>
              <w:t xml:space="preserve">6B02 AGORAPHOBIA</w:t>
            </w:r>
            <w:bookmarkEnd w:id="897"/>
          </w:p>
          <w:p>
            <w:pPr>
              <w:pStyle w:val="Compact"/>
              <w:ind w:firstLine="0" w:left="0"/>
            </w:pPr>
            <w:r>
              <w:rPr>
                <w:lang w:val="en"/>
              </w:rPr>
              <w:t xml:space="preserve">Agoraphobia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Agoraphobia</w:t>
            </w:r>
          </w:p>
        </w:tc>
      </w:tr>
    </w:tbl>
    <w:bookmarkStart w:id="898" w:name="X56258f5bb30d48ff9ebbb61ff6b44a9077208cd"/>
    <w:p>
      <w:pPr>
        <w:pStyle w:val="Heading3"/>
      </w:pPr>
      <w:r>
        <w:t xml:space="preserve">1. Definition and nosology</w:t>
      </w:r>
    </w:p>
    <w:p>
      <w:pPr>
        <w:pStyle w:val="FirstParagraph"/>
      </w:pPr>
      <w:r>
        <w:t xml:space="preserve">Agoraphobia (ICD-11:</w:t>
      </w:r>
      <w:r>
        <w:t xml:space="preserve"> </w:t>
      </w:r>
      <w:r>
        <w:t xml:space="preserve">6B02</w:t>
      </w:r>
      <w:r>
        <w:t xml:space="preserve">; DSM-5-TR: F40.00) — excessive fear and avoidance of situations from which escape is difficult or help may not be available (public transportation, open spaces, enclosed spaces, crowds, leaving home alone). The patient fears developing panic attacks or other incapacitating symptoms.</w:t>
      </w:r>
    </w:p>
    <w:bookmarkEnd w:id="898"/>
    <w:bookmarkStart w:id="899" w:name="X8dbde86d7b617b049205937ed68accd946804ff"/>
    <w:p>
      <w:pPr>
        <w:pStyle w:val="Heading3"/>
      </w:pPr>
      <w:r>
        <w:t xml:space="preserve">2. History</w:t>
      </w:r>
    </w:p>
    <w:p>
      <w:pPr>
        <w:pStyle w:val="Compact"/>
        <w:numPr>
          <w:ilvl w:val="0"/>
          <w:numId w:val="1420"/>
        </w:numPr>
      </w:pPr>
      <w:r>
        <w:t xml:space="preserve">Westphal C. (1872) “agoraphobia” — Greek “agora” (square) + fear.</w:t>
      </w:r>
    </w:p>
    <w:p>
      <w:pPr>
        <w:pStyle w:val="Compact"/>
        <w:numPr>
          <w:ilvl w:val="0"/>
          <w:numId w:val="1420"/>
        </w:numPr>
      </w:pPr>
      <w:r>
        <w:t xml:space="preserve">DSM-III (1980) — Together with panic disorder.</w:t>
      </w:r>
    </w:p>
    <w:p>
      <w:pPr>
        <w:pStyle w:val="Compact"/>
        <w:numPr>
          <w:ilvl w:val="0"/>
          <w:numId w:val="1420"/>
        </w:numPr>
      </w:pPr>
      <w:r>
        <w:t xml:space="preserve">DSM-5 (2013), ICD-11 — agoraphobia formalized as a SEPARATE category from panic disorder (comorbidity possible, but based on separate diagnosis).</w:t>
      </w:r>
    </w:p>
    <w:bookmarkEnd w:id="899"/>
    <w:bookmarkStart w:id="900" w:name="X25b0514d9f267de2f53c979776ee7fef974f041"/>
    <w:p>
      <w:pPr>
        <w:pStyle w:val="Heading3"/>
      </w:pPr>
      <w:r>
        <w:t xml:space="preserve">3. Epidemiology</w:t>
      </w:r>
    </w:p>
    <w:p>
      <w:pPr>
        <w:pStyle w:val="Compact"/>
        <w:numPr>
          <w:ilvl w:val="0"/>
          <w:numId w:val="1421"/>
        </w:numPr>
      </w:pPr>
      <w:r>
        <w:t xml:space="preserve">Lifetime prevalence: 1–2.5%.</w:t>
      </w:r>
    </w:p>
    <w:p>
      <w:pPr>
        <w:pStyle w:val="Compact"/>
        <w:numPr>
          <w:ilvl w:val="0"/>
          <w:numId w:val="1421"/>
        </w:numPr>
      </w:pPr>
      <w:r>
        <w:t xml:space="preserve">Sex: 2 times higher in females.</w:t>
      </w:r>
    </w:p>
    <w:p>
      <w:pPr>
        <w:pStyle w:val="Compact"/>
        <w:numPr>
          <w:ilvl w:val="0"/>
          <w:numId w:val="1421"/>
        </w:numPr>
      </w:pPr>
      <w:r>
        <w:t xml:space="preserve">Onset: young to middle adulthood.</w:t>
      </w:r>
    </w:p>
    <w:p>
      <w:pPr>
        <w:pStyle w:val="Compact"/>
        <w:numPr>
          <w:ilvl w:val="0"/>
          <w:numId w:val="1421"/>
        </w:numPr>
      </w:pPr>
      <w:r>
        <w:t xml:space="preserve">Comorbidity: panic disorder 50%, MDD, other anxiety, substance use.</w:t>
      </w:r>
    </w:p>
    <w:bookmarkEnd w:id="900"/>
    <w:bookmarkStart w:id="901" w:name="X418308eb2abafbe61b6f6e1efebb7b9898cf367"/>
    <w:p>
      <w:pPr>
        <w:pStyle w:val="Heading3"/>
      </w:pPr>
      <w:r>
        <w:t xml:space="preserve">4. Aetiology and pathogenesis</w:t>
      </w:r>
    </w:p>
    <w:p>
      <w:pPr>
        <w:pStyle w:val="Compact"/>
        <w:numPr>
          <w:ilvl w:val="0"/>
          <w:numId w:val="1422"/>
        </w:numPr>
      </w:pPr>
      <w:r>
        <w:t xml:space="preserve">Heritability ~48% (Mosing M.A. et al. Depress Anxiety 2009;26(11):1004–1011).</w:t>
      </w:r>
    </w:p>
    <w:p>
      <w:pPr>
        <w:pStyle w:val="Compact"/>
        <w:numPr>
          <w:ilvl w:val="0"/>
          <w:numId w:val="1422"/>
        </w:numPr>
      </w:pPr>
      <w:r>
        <w:t xml:space="preserve">Classical conditioning — fear transfer to a specific situation when a panic attack occurs in that situation.</w:t>
      </w:r>
    </w:p>
    <w:p>
      <w:pPr>
        <w:pStyle w:val="Compact"/>
        <w:numPr>
          <w:ilvl w:val="0"/>
          <w:numId w:val="1422"/>
        </w:numPr>
      </w:pPr>
      <w:r>
        <w:t xml:space="preserve">Cognitive factors — catastrophizing (“help won't come”).</w:t>
      </w:r>
    </w:p>
    <w:bookmarkEnd w:id="901"/>
    <w:bookmarkStart w:id="902" w:name="Xd22f74dd7f9c490cb6b05f1840465e775a716af"/>
    <w:p>
      <w:pPr>
        <w:pStyle w:val="Heading3"/>
      </w:pPr>
      <w:r>
        <w:t xml:space="preserve">5. Clinical features</w:t>
      </w:r>
    </w:p>
    <w:p>
      <w:pPr>
        <w:pStyle w:val="FirstParagraph"/>
      </w:pPr>
      <w:r>
        <w:t xml:space="preserve">Typical avoided situations:</w:t>
      </w:r>
    </w:p>
    <w:p>
      <w:pPr>
        <w:pStyle w:val="Compact"/>
        <w:numPr>
          <w:ilvl w:val="0"/>
          <w:numId w:val="1423"/>
        </w:numPr>
      </w:pPr>
      <w:r>
        <w:t xml:space="preserve">Public transportation (bus, train, airplane).</w:t>
      </w:r>
    </w:p>
    <w:p>
      <w:pPr>
        <w:pStyle w:val="Compact"/>
        <w:numPr>
          <w:ilvl w:val="0"/>
          <w:numId w:val="1423"/>
        </w:numPr>
      </w:pPr>
      <w:r>
        <w:t xml:space="preserve">Open areas (square, bridge, open ground).</w:t>
      </w:r>
    </w:p>
    <w:p>
      <w:pPr>
        <w:pStyle w:val="Compact"/>
        <w:numPr>
          <w:ilvl w:val="0"/>
          <w:numId w:val="1423"/>
        </w:numPr>
      </w:pPr>
      <w:r>
        <w:t xml:space="preserve">Closed spaces (store, cinema theater).</w:t>
      </w:r>
    </w:p>
    <w:p>
      <w:pPr>
        <w:pStyle w:val="Compact"/>
        <w:numPr>
          <w:ilvl w:val="0"/>
          <w:numId w:val="1423"/>
        </w:numPr>
      </w:pPr>
      <w:r>
        <w:t xml:space="preserve">Queuing or crowd.</w:t>
      </w:r>
    </w:p>
    <w:p>
      <w:pPr>
        <w:pStyle w:val="Compact"/>
        <w:numPr>
          <w:ilvl w:val="0"/>
          <w:numId w:val="1423"/>
        </w:numPr>
      </w:pPr>
      <w:r>
        <w:t xml:space="preserve">Leaving home alone.</w:t>
      </w:r>
    </w:p>
    <w:p>
      <w:pPr>
        <w:pStyle w:val="FirstParagraph"/>
      </w:pPr>
      <w:r>
        <w:t xml:space="preserve">The patient displays avoidance behaviors, “safety” behaviors (carrying a companion, mobile phone, medication), partial or complete home confinement. In severe cases, housebound.</w:t>
      </w:r>
    </w:p>
    <w:bookmarkEnd w:id="902"/>
    <w:bookmarkStart w:id="907" w:name="X88a812e86c089146ff3bab5a95c50dad42c74d3"/>
    <w:p>
      <w:pPr>
        <w:pStyle w:val="Heading3"/>
      </w:pPr>
      <w:r>
        <w:t xml:space="preserve">6. Diagnosis</w:t>
      </w:r>
    </w:p>
    <w:bookmarkStart w:id="903" w:name="unified-diagnostic-criteria-5"/>
    <w:p>
      <w:pPr>
        <w:pStyle w:val="Heading4"/>
      </w:pPr>
      <w:r>
        <w:t xml:space="preserve">6.1 Unified diagnostic criteria</w:t>
      </w:r>
    </w:p>
    <w:p>
      <w:pPr>
        <w:pStyle w:val="FirstParagraph"/>
      </w:pPr>
      <w:r>
        <w:t xml:space="preserve">A. Significant fear or anxiety in ≥ 2 of the following five categories:</w:t>
      </w:r>
    </w:p>
    <w:p>
      <w:pPr>
        <w:pStyle w:val="Compact"/>
        <w:numPr>
          <w:ilvl w:val="0"/>
          <w:numId w:val="1424"/>
        </w:numPr>
      </w:pPr>
      <w:r>
        <w:t xml:space="preserve">Public transportation;</w:t>
      </w:r>
    </w:p>
    <w:p>
      <w:pPr>
        <w:pStyle w:val="Compact"/>
        <w:numPr>
          <w:ilvl w:val="0"/>
          <w:numId w:val="1424"/>
        </w:numPr>
      </w:pPr>
      <w:r>
        <w:t xml:space="preserve">Open areas;</w:t>
      </w:r>
    </w:p>
    <w:p>
      <w:pPr>
        <w:pStyle w:val="Compact"/>
        <w:numPr>
          <w:ilvl w:val="0"/>
          <w:numId w:val="1424"/>
        </w:numPr>
      </w:pPr>
      <w:r>
        <w:t xml:space="preserve">Closed compartments;</w:t>
      </w:r>
    </w:p>
    <w:p>
      <w:pPr>
        <w:pStyle w:val="Compact"/>
        <w:numPr>
          <w:ilvl w:val="0"/>
          <w:numId w:val="1424"/>
        </w:numPr>
      </w:pPr>
      <w:r>
        <w:t xml:space="preserve">Queue or crowd;</w:t>
      </w:r>
    </w:p>
    <w:p>
      <w:pPr>
        <w:pStyle w:val="Compact"/>
        <w:numPr>
          <w:ilvl w:val="0"/>
          <w:numId w:val="1424"/>
        </w:numPr>
      </w:pPr>
      <w:r>
        <w:t xml:space="preserve">Leaving home alone.</w:t>
      </w:r>
    </w:p>
    <w:p>
      <w:pPr>
        <w:pStyle w:val="FirstParagraph"/>
      </w:pPr>
      <w:r>
        <w:t xml:space="preserve">B. These situations are feared because escape is difficult or help will not be available — in the event of a panic attack or incapacitating symptom.</w:t>
      </w:r>
    </w:p>
    <w:p>
      <w:pPr>
        <w:pStyle w:val="BodyText"/>
      </w:pPr>
      <w:r>
        <w:t xml:space="preserve">C. Situations almost always provoke fear.</w:t>
      </w:r>
    </w:p>
    <w:p>
      <w:pPr>
        <w:pStyle w:val="BodyText"/>
      </w:pPr>
      <w:r>
        <w:t xml:space="preserve">D. Active avoidance, companion demand, or enduring with acute distress.</w:t>
      </w:r>
    </w:p>
    <w:p>
      <w:pPr>
        <w:pStyle w:val="BodyText"/>
      </w:pPr>
      <w:r>
        <w:t xml:space="preserve">E. Fear is disproportionate to the situation.</w:t>
      </w:r>
    </w:p>
    <w:p>
      <w:pPr>
        <w:pStyle w:val="BodyText"/>
      </w:pPr>
      <w:r>
        <w:t xml:space="preserve">F. Persistent (≥ 6 months DSM-5-TR).</w:t>
      </w:r>
    </w:p>
    <w:p>
      <w:pPr>
        <w:pStyle w:val="BodyText"/>
      </w:pPr>
      <w:r>
        <w:t xml:space="preserve">G. Significant functional impairment.</w:t>
      </w:r>
    </w:p>
    <w:p>
      <w:pPr>
        <w:pStyle w:val="BodyText"/>
      </w:pPr>
      <w:r>
        <w:t xml:space="preserve">H. Not better explained by a medical or other mental disorder.</w:t>
      </w:r>
    </w:p>
    <w:bookmarkEnd w:id="903"/>
    <w:bookmarkStart w:id="904" w:name="differences-between-sources-35"/>
    <w:p>
      <w:pPr>
        <w:pStyle w:val="Heading4"/>
      </w:pPr>
      <w:r>
        <w:t xml:space="preserve">6.2 Differences between sources</w:t>
      </w:r>
    </w:p>
    <w:p>
      <w:pPr>
        <w:pStyle w:val="Compact"/>
        <w:numPr>
          <w:ilvl w:val="0"/>
          <w:numId w:val="1425"/>
        </w:numPr>
      </w:pPr>
      <w:r>
        <w:t xml:space="preserve">DSM-5-TR / ICD-11 — agoraphobia separate from panic disorder; both diagnoses are given if comorbid.</w:t>
      </w:r>
    </w:p>
    <w:p>
      <w:pPr>
        <w:pStyle w:val="Compact"/>
        <w:numPr>
          <w:ilvl w:val="0"/>
          <w:numId w:val="1425"/>
        </w:numPr>
      </w:pPr>
      <w:r>
        <w:t xml:space="preserve">NICE CG113 — agoraphobia with panic disorder: similar intervention.</w:t>
      </w:r>
    </w:p>
    <w:bookmarkEnd w:id="904"/>
    <w:bookmarkStart w:id="905" w:name="diagnostic-algorithm-22"/>
    <w:p>
      <w:pPr>
        <w:pStyle w:val="Heading4"/>
      </w:pPr>
      <w:r>
        <w:t xml:space="preserve">6.3 Diagnostic algorithm</w:t>
      </w:r>
    </w:p>
    <w:p>
      <w:pPr>
        <w:pStyle w:val="Compact"/>
        <w:numPr>
          <w:ilvl w:val="0"/>
          <w:numId w:val="1426"/>
        </w:numPr>
      </w:pPr>
      <w:r>
        <w:t xml:space="preserve">Clinical interview — avoided situations, panic attack history, functional burden.</w:t>
      </w:r>
    </w:p>
    <w:p>
      <w:pPr>
        <w:pStyle w:val="Compact"/>
        <w:numPr>
          <w:ilvl w:val="0"/>
          <w:numId w:val="1426"/>
        </w:numPr>
      </w:pPr>
      <w:r>
        <w:t xml:space="preserve">SCID-5, MINI.</w:t>
      </w:r>
    </w:p>
    <w:p>
      <w:pPr>
        <w:pStyle w:val="Compact"/>
        <w:numPr>
          <w:ilvl w:val="0"/>
          <w:numId w:val="1426"/>
        </w:numPr>
      </w:pPr>
      <w:r>
        <w:t xml:space="preserve">Mobility Inventory for Agoraphobia (MIA) — avoidance severity.</w:t>
      </w:r>
    </w:p>
    <w:p>
      <w:pPr>
        <w:pStyle w:val="Compact"/>
        <w:numPr>
          <w:ilvl w:val="0"/>
          <w:numId w:val="1426"/>
        </w:numPr>
      </w:pPr>
      <w:r>
        <w:t xml:space="preserve">Comorbidity (panic, MDD, substance).</w:t>
      </w:r>
    </w:p>
    <w:p>
      <w:pPr>
        <w:pStyle w:val="Compact"/>
        <w:numPr>
          <w:ilvl w:val="0"/>
          <w:numId w:val="1426"/>
        </w:numPr>
      </w:pPr>
      <w:r>
        <w:t xml:space="preserve">Medical examination.</w:t>
      </w:r>
    </w:p>
    <w:bookmarkEnd w:id="905"/>
    <w:bookmarkStart w:id="906" w:name="differential-diagnosis-2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Attack is primary; avoidance areas are limited or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Concrete single object/situation.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social evaluation.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trauma.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Separation anxiety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separation from a close person is dominant.</w:t>
            </w:r>
          </w:p>
        </w:tc>
      </w:tr>
    </w:tbl>
    <w:bookmarkEnd w:id="906"/>
    <w:bookmarkEnd w:id="907"/>
    <w:bookmarkStart w:id="908" w:name="X29a329eb89f0d48c35932f4f364b90fa32e3a4f"/>
    <w:p>
      <w:pPr>
        <w:pStyle w:val="Heading3"/>
      </w:pPr>
      <w:r>
        <w:t xml:space="preserve">7. Examination and assessment</w:t>
      </w:r>
    </w:p>
    <w:p>
      <w:pPr>
        <w:pStyle w:val="Compact"/>
        <w:numPr>
          <w:ilvl w:val="0"/>
          <w:numId w:val="1427"/>
        </w:numPr>
      </w:pPr>
      <w:r>
        <w:t xml:space="preserve">MIA, ACQ, BSQ.</w:t>
      </w:r>
    </w:p>
    <w:p>
      <w:pPr>
        <w:pStyle w:val="Compact"/>
        <w:numPr>
          <w:ilvl w:val="0"/>
          <w:numId w:val="1427"/>
        </w:numPr>
      </w:pPr>
      <w:r>
        <w:t xml:space="preserve">GAD-7, PHQ-9, PDSS comorbidity.</w:t>
      </w:r>
    </w:p>
    <w:bookmarkEnd w:id="908"/>
    <w:bookmarkStart w:id="911" w:name="X5a37743612c9848ae1eb8731a7de68b28361eee"/>
    <w:p>
      <w:pPr>
        <w:pStyle w:val="Heading3"/>
      </w:pPr>
      <w:r>
        <w:t xml:space="preserve">8. Treatment</w:t>
      </w:r>
    </w:p>
    <w:p>
      <w:pPr>
        <w:pStyle w:val="Compact"/>
        <w:numPr>
          <w:ilvl w:val="0"/>
          <w:numId w:val="1428"/>
        </w:numPr>
      </w:pPr>
      <w:r>
        <w:t xml:space="preserve">CBT — exposure-based; graded in vivo exposure to avoided situations; cognitive restructuring. First-line; large effect.</w:t>
      </w:r>
    </w:p>
    <w:p>
      <w:pPr>
        <w:pStyle w:val="Compact"/>
        <w:numPr>
          <w:ilvl w:val="0"/>
          <w:numId w:val="1428"/>
        </w:numPr>
      </w:pPr>
      <w:r>
        <w:t xml:space="preserve">SSRI or SNRI — first-line pharmacotherapy (as in panic disorder).</w:t>
      </w:r>
    </w:p>
    <w:p>
      <w:pPr>
        <w:pStyle w:val="Compact"/>
        <w:numPr>
          <w:ilvl w:val="0"/>
          <w:numId w:val="1428"/>
        </w:numPr>
      </w:pPr>
      <w:r>
        <w:t xml:space="preserve">Benzodiazepine — only short-term.</w:t>
      </w:r>
    </w:p>
    <w:p>
      <w:pPr>
        <w:pStyle w:val="Compact"/>
        <w:numPr>
          <w:ilvl w:val="0"/>
          <w:numId w:val="1428"/>
        </w:numPr>
      </w:pPr>
      <w:r>
        <w:t xml:space="preserve">Virtual reality exposure — alternative means; evidence base developing.</w:t>
      </w:r>
    </w:p>
    <w:p>
      <w:pPr>
        <w:pStyle w:val="Compact"/>
        <w:numPr>
          <w:ilvl w:val="0"/>
          <w:numId w:val="1428"/>
        </w:numPr>
      </w:pPr>
      <w:r>
        <w:t xml:space="preserve">Treatment duration — ≥ 12 months after remission.</w:t>
      </w:r>
    </w:p>
    <w:bookmarkStart w:id="909" w:name="treatment-methods-22"/>
    <w:p>
      <w:pPr>
        <w:pStyle w:val="Heading4"/>
      </w:pPr>
      <w:r>
        <w:t xml:space="preserve">8.1 Treatment methods</w:t>
      </w:r>
    </w:p>
    <w:p>
      <w:pPr>
        <w:pStyle w:val="Compact"/>
        <w:numPr>
          <w:ilvl w:val="0"/>
          <w:numId w:val="1429"/>
        </w:numPr>
      </w:pPr>
      <w:r>
        <w:t xml:space="preserve">In vivo exposure — Staged approach — patient enters avoided situations in structured manner; therapist can accompany (therapist-assisted exposure). First-line method.</w:t>
      </w:r>
    </w:p>
    <w:p>
      <w:pPr>
        <w:pStyle w:val="Compact"/>
        <w:numPr>
          <w:ilvl w:val="0"/>
          <w:numId w:val="1429"/>
        </w:numPr>
      </w:pPr>
      <w:r>
        <w:t xml:space="preserve">Virtual Reality Exposure Therapy (VRET — Virtual Reality Exposure Therapy) — Virtual environment created in clinical context; alternative to in vivo exposure. Botella C. et al. Behav Res Ther 2007.</w:t>
      </w:r>
    </w:p>
    <w:p>
      <w:pPr>
        <w:pStyle w:val="Compact"/>
        <w:numPr>
          <w:ilvl w:val="0"/>
          <w:numId w:val="1429"/>
        </w:numPr>
      </w:pPr>
      <w:r>
        <w:t xml:space="preserve">CBT for panic (Clark, Barlow) — adapted for agoraphobia — Interoceptive + in vivo exposure.</w:t>
      </w:r>
    </w:p>
    <w:p>
      <w:pPr>
        <w:pStyle w:val="Compact"/>
        <w:numPr>
          <w:ilvl w:val="0"/>
          <w:numId w:val="1429"/>
        </w:numPr>
      </w:pPr>
      <w:r>
        <w:t xml:space="preserve">Mobility Inventory (MIA) — Chambless (Chambless D.L.) — 27 situations; degree of avoidance alone and with partner.</w:t>
      </w:r>
    </w:p>
    <w:bookmarkEnd w:id="909"/>
    <w:bookmarkStart w:id="910" w:name="differences-between-sources-36"/>
    <w:p>
      <w:pPr>
        <w:pStyle w:val="Heading4"/>
      </w:pPr>
      <w:r>
        <w:t xml:space="preserve">8.2 Differences between sources</w:t>
      </w:r>
    </w:p>
    <w:p>
      <w:pPr>
        <w:pStyle w:val="Compact"/>
        <w:numPr>
          <w:ilvl w:val="0"/>
          <w:numId w:val="1430"/>
        </w:numPr>
      </w:pPr>
      <w:r>
        <w:t xml:space="preserve">NICE CG113 — CBT and SSRIs.</w:t>
      </w:r>
    </w:p>
    <w:p>
      <w:pPr>
        <w:pStyle w:val="Compact"/>
        <w:numPr>
          <w:ilvl w:val="0"/>
          <w:numId w:val="1430"/>
        </w:numPr>
      </w:pPr>
      <w:r>
        <w:t xml:space="preserve">CANMAT 2014 — same.</w:t>
      </w:r>
    </w:p>
    <w:p>
      <w:pPr>
        <w:pStyle w:val="Compact"/>
        <w:numPr>
          <w:ilvl w:val="0"/>
          <w:numId w:val="1430"/>
        </w:numPr>
      </w:pPr>
      <w:r>
        <w:t xml:space="preserve">Sánchez-Meca J. et al. Clin Psychol Rev 2010 meta-analysis — CBT-based exposure showed large effect.</w:t>
      </w:r>
    </w:p>
    <w:bookmarkEnd w:id="910"/>
    <w:bookmarkEnd w:id="911"/>
    <w:bookmarkStart w:id="912" w:name="X13819268017fffa70d73e1e01d789e4c2f7cd4f"/>
    <w:p>
      <w:pPr>
        <w:pStyle w:val="Heading3"/>
      </w:pPr>
      <w:r>
        <w:t xml:space="preserve">9. Prognosis</w:t>
      </w:r>
    </w:p>
    <w:p>
      <w:pPr>
        <w:pStyle w:val="Compact"/>
        <w:numPr>
          <w:ilvl w:val="0"/>
          <w:numId w:val="1431"/>
        </w:numPr>
      </w:pPr>
      <w:r>
        <w:t xml:space="preserve">Exposure CBT — most patients achieve functional recovery.</w:t>
      </w:r>
    </w:p>
    <w:p>
      <w:pPr>
        <w:pStyle w:val="Compact"/>
        <w:numPr>
          <w:ilvl w:val="0"/>
          <w:numId w:val="1431"/>
        </w:numPr>
      </w:pPr>
      <w:r>
        <w:t xml:space="preserve">Chronicity without early intervention (housebound).</w:t>
      </w:r>
    </w:p>
    <w:p>
      <w:pPr>
        <w:pStyle w:val="Compact"/>
        <w:numPr>
          <w:ilvl w:val="0"/>
          <w:numId w:val="1431"/>
        </w:numPr>
      </w:pPr>
      <w:r>
        <w:t xml:space="preserve">Comorbid MDD predicts a poor prognosis.</w:t>
      </w:r>
    </w:p>
    <w:bookmarkEnd w:id="912"/>
    <w:bookmarkStart w:id="918" w:name="X26a0239362c05a396ccc63df5c887f10ca9c006"/>
    <w:p>
      <w:pPr>
        <w:pStyle w:val="Heading3"/>
      </w:pPr>
      <w:r>
        <w:t xml:space="preserve">10. Myths and misconceptions</w:t>
      </w:r>
    </w:p>
    <w:bookmarkStart w:id="913" w:name="Xf0aaec71dd16f997027957f3ae00eabbfe5f05b"/>
    <w:p>
      <w:pPr>
        <w:pStyle w:val="Heading5"/>
      </w:pPr>
      <w:r>
        <w:t xml:space="preserve">Myth 1: “Patients with agoraphobia should not be placed in situations”</w:t>
      </w:r>
    </w:p>
    <w:p>
      <w:pPr>
        <w:pStyle w:val="FirstParagraph"/>
      </w:pPr>
      <w:r>
        <w:t xml:space="preserve">Evidence: Avoidance strengthens the symptoms; exposure is the main therapeutic mechanism.</w:t>
      </w:r>
    </w:p>
    <w:bookmarkEnd w:id="913"/>
    <w:bookmarkStart w:id="914" w:name="Xc22a55825e531cb000386707654623fea0fea82"/>
    <w:p>
      <w:pPr>
        <w:pStyle w:val="Heading5"/>
      </w:pPr>
      <w:r>
        <w:t xml:space="preserve">Myth 2: “Agoraphobia is a ‘subtype’ of panic disorder”</w:t>
      </w:r>
    </w:p>
    <w:p>
      <w:pPr>
        <w:pStyle w:val="FirstParagraph"/>
      </w:pPr>
      <w:r>
        <w:t xml:space="preserve">Evidence: DSM-5-TR and ICD-11 — separate diagnostic categories; comorbidity possible, but can occur without the other.</w:t>
      </w:r>
    </w:p>
    <w:bookmarkEnd w:id="914"/>
    <w:bookmarkStart w:id="915" w:name="X6ea2b6f149a11dce3b1e327909f55644f029c1e"/>
    <w:p>
      <w:pPr>
        <w:pStyle w:val="Heading5"/>
      </w:pPr>
      <w:r>
        <w:t xml:space="preserve">Myth 3: “The patient is ‘lazy’, does not want to leave”</w:t>
      </w:r>
    </w:p>
    <w:p>
      <w:pPr>
        <w:pStyle w:val="FirstParagraph"/>
      </w:pPr>
      <w:r>
        <w:t xml:space="preserve">Evidence: Agoraphobia is a neurobiological and behavior-based clinical disorder; not a volitional or character problem.</w:t>
      </w:r>
    </w:p>
    <w:bookmarkEnd w:id="915"/>
    <w:bookmarkStart w:id="916" w:name="Xc3f6a50f4d03c109b19f5643e241c8155585bb8"/>
    <w:p>
      <w:pPr>
        <w:pStyle w:val="Heading5"/>
      </w:pPr>
      <w:r>
        <w:t xml:space="preserve">Myth 4: “Only medication cures agoraphobia, therapy is unnecessary”</w:t>
      </w:r>
    </w:p>
    <w:p>
      <w:pPr>
        <w:pStyle w:val="FirstParagraph"/>
      </w:pPr>
      <w:r>
        <w:t xml:space="preserve">Evidence: without exposure-based CBT sustained remission difficult; pharmacotherapy alone does not change avoidance behavior.</w:t>
      </w:r>
    </w:p>
    <w:bookmarkEnd w:id="916"/>
    <w:bookmarkStart w:id="917" w:name="Xf991d95b56975005dd58e41ae7304e4b574f121"/>
    <w:p>
      <w:pPr>
        <w:pStyle w:val="Heading5"/>
      </w:pPr>
      <w:r>
        <w:t xml:space="preserve">Myth 5: “Ordering online or staying in distance education is an appropriate lifestyle for a patient with agoraphobia”</w:t>
      </w:r>
    </w:p>
    <w:p>
      <w:pPr>
        <w:pStyle w:val="FirstParagraph"/>
      </w:pPr>
      <w:r>
        <w:t xml:space="preserve">Evidence: Accommodation provides short-term relief but strengthens illness and reduces functional level.</w:t>
      </w:r>
    </w:p>
    <w:bookmarkEnd w:id="917"/>
    <w:bookmarkEnd w:id="918"/>
    <w:bookmarkStart w:id="2982" w:name="Xe81fde3c3cdfb8e67aa9dad274b5ec095189364"/>
    <w:p>
      <w:pPr>
        <w:pStyle w:val="Heading3"/>
      </w:pPr>
      <w:r>
        <w:t xml:space="preserve">11. Sources</w:t>
      </w:r>
    </w:p>
    <w:p>
      <w:pPr>
        <w:pStyle w:val="Compact"/>
        <w:numPr>
          <w:ilvl w:val="0"/>
          <w:numId w:val="1432"/>
        </w:numPr>
      </w:pPr>
      <w:r>
        <w:t xml:space="preserve">WHO. ICD-11. 6B02 Agoraphobia. 2024.</w:t>
      </w:r>
    </w:p>
    <w:p>
      <w:pPr>
        <w:pStyle w:val="Compact"/>
        <w:numPr>
          <w:ilvl w:val="0"/>
          <w:numId w:val="1432"/>
        </w:numPr>
      </w:pPr>
      <w:r>
        <w:t xml:space="preserve">APA. DSM-5-TR. 2022.</w:t>
      </w:r>
    </w:p>
    <w:p>
      <w:pPr>
        <w:pStyle w:val="Compact"/>
        <w:numPr>
          <w:ilvl w:val="0"/>
          <w:numId w:val="1432"/>
        </w:numPr>
      </w:pPr>
      <w:r>
        <w:t xml:space="preserve">NICE CG113. 2011/2020.</w:t>
      </w:r>
    </w:p>
    <w:p>
      <w:pPr>
        <w:pStyle w:val="Compact"/>
        <w:numPr>
          <w:ilvl w:val="0"/>
          <w:numId w:val="1432"/>
        </w:numPr>
      </w:pPr>
      <w:r>
        <w:t xml:space="preserve">Sánchez-Meca J. et al. Psychological treatment of panic disorder with or without agoraphobia: a meta-analysis. Clin Psychol Rev 2010;30(1):37–50.</w:t>
      </w:r>
    </w:p>
    <w:p>
      <w:pPr>
        <w:pStyle w:val="Compact"/>
        <w:numPr>
          <w:ilvl w:val="0"/>
          <w:numId w:val="1432"/>
        </w:numPr>
      </w:pPr>
      <w:r>
        <w:t xml:space="preserve">Chambless D.L., Caputo G.C., Jasin S.E. et al. The Mobility Inventory for Agoraphobia. Behav Res Ther 1985;23(1):35–44.</w:t>
      </w:r>
    </w:p>
    <w:p>
      <w:pPr>
        <w:pStyle w:val="Compact"/>
        <w:numPr>
          <w:ilvl w:val="0"/>
          <w:numId w:val="1432"/>
        </w:numPr>
      </w:pPr>
      <w:r>
        <w:t xml:space="preserve">Botella C., García-Palacios A., Villa H. et al. Virtual reality exposure in the treatment of panic disorder and agoraphobia. Clin Psychol Psychother 2007;14(3):164–175.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19" w:name="m316b03-specific-phobia"/>
            <w:r>
              <w:t xml:space="preserve">6B03 SPECIFIC PHOBIA</w:t>
            </w:r>
            <w:bookmarkEnd w:id="919"/>
          </w:p>
          <w:p>
            <w:pPr>
              <w:pStyle w:val="Compact"/>
              <w:ind w:firstLine="0" w:left="0"/>
            </w:pPr>
            <w:r>
              <w:rPr>
                <w:lang w:val="en"/>
              </w:rPr>
              <w:t xml:space="preserve">Specific phobia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(isolated) phobias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Phobia</w:t>
            </w:r>
          </w:p>
        </w:tc>
      </w:tr>
    </w:tbl>
    <w:bookmarkStart w:id="920" w:name="X88770e42be407a80700315923b1a33e0427d405"/>
    <w:p>
      <w:pPr>
        <w:pStyle w:val="Heading3"/>
      </w:pPr>
      <w:r>
        <w:t xml:space="preserve">1. Definition and nosology</w:t>
      </w:r>
    </w:p>
    <w:p>
      <w:pPr>
        <w:pStyle w:val="FirstParagraph"/>
      </w:pPr>
      <w:r>
        <w:t xml:space="preserve">Specific phobia (ICD-11:</w:t>
      </w:r>
      <w:r>
        <w:t xml:space="preserve"> </w:t>
      </w:r>
      <w:r>
        <w:t xml:space="preserve">6B03</w:t>
      </w:r>
      <w:r>
        <w:t xml:space="preserve">; DSM-5-TR: F40.2xx) — marked, irrational fear and avoidance of a specific object or situation (animals, blood-injection, heights, flying, enclosed spaces). The patient usually recognizes the fear as excessive.</w:t>
      </w:r>
    </w:p>
    <w:bookmarkEnd w:id="920"/>
    <w:bookmarkStart w:id="921" w:name="X34309e383c6a0324c58881ed781b4243ee48580"/>
    <w:p>
      <w:pPr>
        <w:pStyle w:val="Heading3"/>
      </w:pPr>
      <w:r>
        <w:t xml:space="preserve">2. History</w:t>
      </w:r>
    </w:p>
    <w:p>
      <w:pPr>
        <w:pStyle w:val="Compact"/>
        <w:numPr>
          <w:ilvl w:val="0"/>
          <w:numId w:val="1433"/>
        </w:numPr>
      </w:pPr>
      <w:r>
        <w:t xml:space="preserve">Hippocrates (5th century BC) — descriptions of phobia.</w:t>
      </w:r>
    </w:p>
    <w:p>
      <w:pPr>
        <w:pStyle w:val="Compact"/>
        <w:numPr>
          <w:ilvl w:val="0"/>
          <w:numId w:val="1433"/>
        </w:numPr>
      </w:pPr>
      <w:r>
        <w:t xml:space="preserve">Westphal C. (1872) — systematic classification.</w:t>
      </w:r>
    </w:p>
    <w:p>
      <w:pPr>
        <w:pStyle w:val="Compact"/>
        <w:numPr>
          <w:ilvl w:val="0"/>
          <w:numId w:val="1433"/>
        </w:numPr>
      </w:pPr>
      <w:r>
        <w:t xml:space="preserve">Marks I.M. (1969) — systematic desensitization and exposure studies.</w:t>
      </w:r>
    </w:p>
    <w:p>
      <w:pPr>
        <w:pStyle w:val="Compact"/>
        <w:numPr>
          <w:ilvl w:val="0"/>
          <w:numId w:val="1433"/>
        </w:numPr>
      </w:pPr>
      <w:r>
        <w:t xml:space="preserve">DSM-5 (2013), ICD-11 — subtypes: animal, natural environment, blood-injection-injury, situational, other.</w:t>
      </w:r>
    </w:p>
    <w:bookmarkEnd w:id="921"/>
    <w:bookmarkStart w:id="922" w:name="X2667d594a274b31b39fe142f10eafc2c8bdabdf"/>
    <w:p>
      <w:pPr>
        <w:pStyle w:val="Heading3"/>
      </w:pPr>
      <w:r>
        <w:t xml:space="preserve">3. Epidemiology</w:t>
      </w:r>
    </w:p>
    <w:p>
      <w:pPr>
        <w:pStyle w:val="Compact"/>
        <w:numPr>
          <w:ilvl w:val="0"/>
          <w:numId w:val="1434"/>
        </w:numPr>
      </w:pPr>
      <w:r>
        <w:t xml:space="preserve">Lifetime prevalence 7–12% — one of the most common anxiety disorders.</w:t>
      </w:r>
    </w:p>
    <w:p>
      <w:pPr>
        <w:pStyle w:val="Compact"/>
        <w:numPr>
          <w:ilvl w:val="0"/>
          <w:numId w:val="1434"/>
        </w:numPr>
      </w:pPr>
      <w:r>
        <w:t xml:space="preserve">Sex: 2–3 times higher in females (blood-injection subtype exception — difference small).</w:t>
      </w:r>
    </w:p>
    <w:p>
      <w:pPr>
        <w:pStyle w:val="Compact"/>
        <w:numPr>
          <w:ilvl w:val="0"/>
          <w:numId w:val="1434"/>
        </w:numPr>
      </w:pPr>
      <w:r>
        <w:t xml:space="preserve">Onset: childhood (animal, blood-injection), young adulthood (situational).</w:t>
      </w:r>
    </w:p>
    <w:bookmarkEnd w:id="922"/>
    <w:bookmarkStart w:id="923" w:name="Xfb04c8b2b2c2cb03f59310ec2ffa4434b2c7c58"/>
    <w:p>
      <w:pPr>
        <w:pStyle w:val="Heading3"/>
      </w:pPr>
      <w:r>
        <w:t xml:space="preserve">4. Aetiology and pathogenesis</w:t>
      </w:r>
    </w:p>
    <w:p>
      <w:pPr>
        <w:pStyle w:val="Compact"/>
        <w:numPr>
          <w:ilvl w:val="0"/>
          <w:numId w:val="1435"/>
        </w:numPr>
      </w:pPr>
      <w:r>
        <w:t xml:space="preserve">Heritability is estimated at approximately 30% (Hettema, 2001).</w:t>
      </w:r>
    </w:p>
    <w:p>
      <w:pPr>
        <w:pStyle w:val="Compact"/>
        <w:numPr>
          <w:ilvl w:val="0"/>
          <w:numId w:val="1435"/>
        </w:numPr>
      </w:pPr>
      <w:r>
        <w:t xml:space="preserve">Aetiological models include classical conditioning (Watson, ‘Little Albert’, 1920), vicarious learning, and informational transmission.</w:t>
      </w:r>
    </w:p>
    <w:p>
      <w:pPr>
        <w:pStyle w:val="Compact"/>
        <w:numPr>
          <w:ilvl w:val="0"/>
          <w:numId w:val="1435"/>
        </w:numPr>
      </w:pPr>
      <w:r>
        <w:t xml:space="preserve">Seligman’s concept of biological preparedness posits a genetic predisposition toward fear of phylogenetically relevant stimuli (e.g., snakes, spiders).</w:t>
      </w:r>
    </w:p>
    <w:p>
      <w:pPr>
        <w:pStyle w:val="Compact"/>
        <w:numPr>
          <w:ilvl w:val="0"/>
          <w:numId w:val="1435"/>
        </w:numPr>
      </w:pPr>
      <w:r>
        <w:t xml:space="preserve">In the blood-injection-injury subtype, the characteristic vasovagal response (bradycardia, hypotension, and syncope) distinguishes it from all other specific phobias.</w:t>
      </w:r>
    </w:p>
    <w:bookmarkEnd w:id="923"/>
    <w:bookmarkStart w:id="925" w:name="Xeab6874fabdcee071b667459fdacd9bb35887db"/>
    <w:p>
      <w:pPr>
        <w:pStyle w:val="Heading3"/>
      </w:pPr>
      <w:r>
        <w:t xml:space="preserve">5. Clinical features</w:t>
      </w:r>
    </w:p>
    <w:bookmarkStart w:id="924" w:name="subtypes"/>
    <w:p>
      <w:pPr>
        <w:pStyle w:val="Heading4"/>
      </w:pPr>
      <w:r>
        <w:t xml:space="preserve">Subtypes</w:t>
      </w:r>
    </w:p>
    <w:p>
      <w:pPr>
        <w:pStyle w:val="Compact"/>
        <w:numPr>
          <w:ilvl w:val="0"/>
          <w:numId w:val="1436"/>
        </w:numPr>
      </w:pPr>
      <w:r>
        <w:t xml:space="preserve">Animal — spider, snake, dog, insects.</w:t>
      </w:r>
    </w:p>
    <w:p>
      <w:pPr>
        <w:pStyle w:val="Compact"/>
        <w:numPr>
          <w:ilvl w:val="0"/>
          <w:numId w:val="1436"/>
        </w:numPr>
      </w:pPr>
      <w:r>
        <w:t xml:space="preserve">Natural environment — heights, water, storms.</w:t>
      </w:r>
    </w:p>
    <w:p>
      <w:pPr>
        <w:pStyle w:val="Compact"/>
        <w:numPr>
          <w:ilvl w:val="0"/>
          <w:numId w:val="1436"/>
        </w:numPr>
      </w:pPr>
      <w:r>
        <w:t xml:space="preserve">Blood-injection-injury — vasovagal reaction (loss of consciousness characteristic).</w:t>
      </w:r>
    </w:p>
    <w:p>
      <w:pPr>
        <w:pStyle w:val="Compact"/>
        <w:numPr>
          <w:ilvl w:val="0"/>
          <w:numId w:val="1436"/>
        </w:numPr>
      </w:pPr>
      <w:r>
        <w:t xml:space="preserve">Situational — flight, elevator, tunnel, driving, enclosed place.</w:t>
      </w:r>
    </w:p>
    <w:p>
      <w:pPr>
        <w:pStyle w:val="Compact"/>
        <w:numPr>
          <w:ilvl w:val="0"/>
          <w:numId w:val="1436"/>
        </w:numPr>
      </w:pPr>
      <w:r>
        <w:t xml:space="preserve">Other — choking, vomiting, clowns, certain sounds.</w:t>
      </w:r>
    </w:p>
    <w:bookmarkEnd w:id="924"/>
    <w:bookmarkEnd w:id="925"/>
    <w:bookmarkStart w:id="930" w:name="Xd7d911196ed430c1516007a05b95431c25d6c85"/>
    <w:p>
      <w:pPr>
        <w:pStyle w:val="Heading3"/>
      </w:pPr>
      <w:r>
        <w:t xml:space="preserve">6. Diagnosis</w:t>
      </w:r>
    </w:p>
    <w:bookmarkStart w:id="926" w:name="unified-diagnostic-criteria-6"/>
    <w:p>
      <w:pPr>
        <w:pStyle w:val="Heading4"/>
      </w:pPr>
      <w:r>
        <w:t xml:space="preserve">6.1 Unified diagnostic criteria</w:t>
      </w:r>
    </w:p>
    <w:p>
      <w:pPr>
        <w:pStyle w:val="FirstParagraph"/>
      </w:pPr>
      <w:r>
        <w:t xml:space="preserve">A. Acute fear or anxiety about a specific object or situation.</w:t>
      </w:r>
    </w:p>
    <w:p>
      <w:pPr>
        <w:pStyle w:val="BodyText"/>
      </w:pPr>
      <w:r>
        <w:t xml:space="preserve">B. Object/situation almost always provokes fear.</w:t>
      </w:r>
    </w:p>
    <w:p>
      <w:pPr>
        <w:pStyle w:val="BodyText"/>
      </w:pPr>
      <w:r>
        <w:t xml:space="preserve">C. Enduring with active avoidance or acute distress.</w:t>
      </w:r>
    </w:p>
    <w:p>
      <w:pPr>
        <w:pStyle w:val="BodyText"/>
      </w:pPr>
      <w:r>
        <w:t xml:space="preserve">D. Fear is disproportionate to the actual risk.</w:t>
      </w:r>
    </w:p>
    <w:p>
      <w:pPr>
        <w:pStyle w:val="BodyText"/>
      </w:pPr>
      <w:r>
        <w:t xml:space="preserve">E. ≥6 months duration (DSM-5-TR).</w:t>
      </w:r>
    </w:p>
    <w:p>
      <w:pPr>
        <w:pStyle w:val="BodyText"/>
      </w:pPr>
      <w:r>
        <w:t xml:space="preserve">F. Significant distress or functional impairment.</w:t>
      </w:r>
    </w:p>
    <w:p>
      <w:pPr>
        <w:pStyle w:val="BodyText"/>
      </w:pPr>
      <w:r>
        <w:t xml:space="preserve">G. Not better explained by another mental disorder.</w:t>
      </w:r>
    </w:p>
    <w:bookmarkEnd w:id="926"/>
    <w:bookmarkStart w:id="927" w:name="differences-between-sources-37"/>
    <w:p>
      <w:pPr>
        <w:pStyle w:val="Heading4"/>
      </w:pPr>
      <w:r>
        <w:t xml:space="preserve">6.2 Differences between sources</w:t>
      </w:r>
    </w:p>
    <w:p>
      <w:pPr>
        <w:pStyle w:val="Compact"/>
        <w:numPr>
          <w:ilvl w:val="0"/>
          <w:numId w:val="1437"/>
        </w:numPr>
      </w:pPr>
      <w:r>
        <w:t xml:space="preserve">DSM-5-TR / ICD-11 — subtype qualifier is mandatory.</w:t>
      </w:r>
    </w:p>
    <w:p>
      <w:pPr>
        <w:pStyle w:val="Compact"/>
        <w:numPr>
          <w:ilvl w:val="0"/>
          <w:numId w:val="1437"/>
        </w:numPr>
      </w:pPr>
      <w:r>
        <w:t xml:space="preserve">NICE — no separate specific phobia guideline; general anxiety principles.</w:t>
      </w:r>
    </w:p>
    <w:bookmarkEnd w:id="927"/>
    <w:bookmarkStart w:id="928" w:name="diagnostic-algorithm-23"/>
    <w:p>
      <w:pPr>
        <w:pStyle w:val="Heading4"/>
      </w:pPr>
      <w:r>
        <w:t xml:space="preserve">6.3 Diagnostic algorithm</w:t>
      </w:r>
    </w:p>
    <w:p>
      <w:pPr>
        <w:pStyle w:val="Compact"/>
        <w:numPr>
          <w:ilvl w:val="0"/>
          <w:numId w:val="1438"/>
        </w:numPr>
      </w:pPr>
      <w:r>
        <w:t xml:space="preserve">Clinical interview.</w:t>
      </w:r>
    </w:p>
    <w:p>
      <w:pPr>
        <w:pStyle w:val="Compact"/>
        <w:numPr>
          <w:ilvl w:val="0"/>
          <w:numId w:val="1438"/>
        </w:numPr>
      </w:pPr>
      <w:r>
        <w:t xml:space="preserve">FSS (Fear Survey Schedule), specific phobia subscales.</w:t>
      </w:r>
    </w:p>
    <w:p>
      <w:pPr>
        <w:pStyle w:val="Compact"/>
        <w:numPr>
          <w:ilvl w:val="0"/>
          <w:numId w:val="1438"/>
        </w:numPr>
      </w:pPr>
      <w:r>
        <w:t xml:space="preserve">Functional burden assessment.</w:t>
      </w:r>
    </w:p>
    <w:bookmarkEnd w:id="928"/>
    <w:bookmarkStart w:id="929" w:name="differential-diagnosis-2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Attack is unexpected.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Comprehensive situational category.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social evaluation.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Obsession is primary; contamination fear with compulsions.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trauma.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Hypochondriasis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illness.</w:t>
            </w:r>
          </w:p>
        </w:tc>
      </w:tr>
    </w:tbl>
    <w:bookmarkEnd w:id="929"/>
    <w:bookmarkEnd w:id="930"/>
    <w:bookmarkStart w:id="931" w:name="X7d4f4789d2a0c3c94a9294a99c07c3923f8024e"/>
    <w:p>
      <w:pPr>
        <w:pStyle w:val="Heading3"/>
      </w:pPr>
      <w:r>
        <w:t xml:space="preserve">7. Examination and assessment</w:t>
      </w:r>
    </w:p>
    <w:p>
      <w:pPr>
        <w:pStyle w:val="Compact"/>
        <w:numPr>
          <w:ilvl w:val="0"/>
          <w:numId w:val="1439"/>
        </w:numPr>
      </w:pPr>
      <w:r>
        <w:t xml:space="preserve">FSS, specific phobia scale.</w:t>
      </w:r>
    </w:p>
    <w:p>
      <w:pPr>
        <w:pStyle w:val="Compact"/>
        <w:numPr>
          <w:ilvl w:val="0"/>
          <w:numId w:val="1439"/>
        </w:numPr>
      </w:pPr>
      <w:r>
        <w:t xml:space="preserve">BAT (Behavioral Avoidance Test) — the degree to which the patient approaches the phobic object.</w:t>
      </w:r>
    </w:p>
    <w:bookmarkEnd w:id="931"/>
    <w:bookmarkStart w:id="934" w:name="Xb4c7d810d3cf594b4d271fdb650289ba333ee20"/>
    <w:p>
      <w:pPr>
        <w:pStyle w:val="Heading3"/>
      </w:pPr>
      <w:r>
        <w:t xml:space="preserve">8. Treatment</w:t>
      </w:r>
    </w:p>
    <w:p>
      <w:pPr>
        <w:pStyle w:val="Compact"/>
        <w:numPr>
          <w:ilvl w:val="0"/>
          <w:numId w:val="1440"/>
        </w:numPr>
      </w:pPr>
      <w:r>
        <w:t xml:space="preserve">Exposure therapy is first-line and most effective. Single session 2–3-hour structured exposure (Öst L.G. “one-session treatment”) is effective for most animal and situational phobias.</w:t>
      </w:r>
    </w:p>
    <w:p>
      <w:pPr>
        <w:pStyle w:val="Compact"/>
        <w:numPr>
          <w:ilvl w:val="0"/>
          <w:numId w:val="1440"/>
        </w:numPr>
      </w:pPr>
      <w:r>
        <w:t xml:space="preserve">Stepped in vivo exposure — adapted to patient's pace.</w:t>
      </w:r>
    </w:p>
    <w:p>
      <w:pPr>
        <w:pStyle w:val="Compact"/>
        <w:numPr>
          <w:ilvl w:val="0"/>
          <w:numId w:val="1440"/>
        </w:numPr>
      </w:pPr>
      <w:r>
        <w:t xml:space="preserve">Virtual Reality Exposure — particularly suitable for flight, height.</w:t>
      </w:r>
    </w:p>
    <w:p>
      <w:pPr>
        <w:pStyle w:val="Compact"/>
        <w:numPr>
          <w:ilvl w:val="0"/>
          <w:numId w:val="1440"/>
        </w:numPr>
      </w:pPr>
      <w:r>
        <w:t xml:space="preserve">In the blood-injection subtype — applied tension (Öst) — the patient is taught to tense the muscles, which prevents the vasovagal response.</w:t>
      </w:r>
    </w:p>
    <w:p>
      <w:pPr>
        <w:pStyle w:val="Compact"/>
        <w:numPr>
          <w:ilvl w:val="0"/>
          <w:numId w:val="1440"/>
        </w:numPr>
      </w:pPr>
      <w:r>
        <w:t xml:space="preserve">Pharmacotherapy has no primary role; benzodiazepines only for specific events (e.g., pre-flight) as short-term adjunct; may sometimes reduce efficacy of CBT exposure.</w:t>
      </w:r>
    </w:p>
    <w:p>
      <w:pPr>
        <w:pStyle w:val="Compact"/>
        <w:numPr>
          <w:ilvl w:val="0"/>
          <w:numId w:val="1440"/>
        </w:numPr>
      </w:pPr>
      <w:r>
        <w:t xml:space="preserve">D-cycloserine adjunct — may enhance exposure efficacy (evidence base developing).</w:t>
      </w:r>
    </w:p>
    <w:bookmarkStart w:id="932" w:name="treatment-methods-23"/>
    <w:p>
      <w:pPr>
        <w:pStyle w:val="Heading4"/>
      </w:pPr>
      <w:r>
        <w:t xml:space="preserve">8.1 Treatment methods</w:t>
      </w:r>
    </w:p>
    <w:p>
      <w:pPr>
        <w:pStyle w:val="Compact"/>
        <w:numPr>
          <w:ilvl w:val="0"/>
          <w:numId w:val="1441"/>
        </w:numPr>
      </w:pPr>
      <w:r>
        <w:t xml:space="preserve">One-Session Exposure (One-Session Treatment) — Öst (Öst L.G.) — 2–3 hour structured in vivo exposure; 80–90% efficacy for most animal and situational phobias. Öst L.G. Behav Res Ther 1989.</w:t>
      </w:r>
    </w:p>
    <w:p>
      <w:pPr>
        <w:pStyle w:val="Compact"/>
        <w:numPr>
          <w:ilvl w:val="0"/>
          <w:numId w:val="1441"/>
        </w:numPr>
      </w:pPr>
      <w:r>
        <w:t xml:space="preserve">Systematic Desensitization (Systematic Desensitization) — Wolpe (Wolpe J.) — Historical method — relaxation + gradual phobic stimulus; superseded by in vivo exposure.</w:t>
      </w:r>
    </w:p>
    <w:p>
      <w:pPr>
        <w:pStyle w:val="Compact"/>
        <w:numPr>
          <w:ilvl w:val="0"/>
          <w:numId w:val="1441"/>
        </w:numPr>
      </w:pPr>
      <w:r>
        <w:t xml:space="preserve">Applied Tension (Öst — blood-injection) — Tightening muscles for 10–15 seconds — prevents vasovagal syncope; in specific blood-injection phobia.</w:t>
      </w:r>
    </w:p>
    <w:p>
      <w:pPr>
        <w:pStyle w:val="Compact"/>
        <w:numPr>
          <w:ilvl w:val="0"/>
          <w:numId w:val="1441"/>
        </w:numPr>
      </w:pPr>
      <w:r>
        <w:t xml:space="preserve">Virtual Reality Exposure Therapy (VRET — Virtual Reality Exposure Therapy) — For flying, height, spider phobias. Botella C. et al. reviews.</w:t>
      </w:r>
    </w:p>
    <w:p>
      <w:pPr>
        <w:pStyle w:val="Compact"/>
        <w:numPr>
          <w:ilvl w:val="0"/>
          <w:numId w:val="1441"/>
        </w:numPr>
      </w:pPr>
      <w:r>
        <w:t xml:space="preserve">D-cycloserine adjunct — NMDA partial agonist; when administered prior to exposure sessions, may enhance extinction learning. Hofmann S.G. et al. review — moderate evidence.</w:t>
      </w:r>
    </w:p>
    <w:bookmarkEnd w:id="932"/>
    <w:bookmarkStart w:id="933" w:name="differences-between-sources-38"/>
    <w:p>
      <w:pPr>
        <w:pStyle w:val="Heading4"/>
      </w:pPr>
      <w:r>
        <w:t xml:space="preserve">8.2 Differences between sources</w:t>
      </w:r>
    </w:p>
    <w:p>
      <w:pPr>
        <w:pStyle w:val="Compact"/>
        <w:numPr>
          <w:ilvl w:val="0"/>
          <w:numId w:val="1442"/>
        </w:numPr>
      </w:pPr>
      <w:r>
        <w:t xml:space="preserve">Öst L.G. — one-session exposure demonstrated 80–90% efficacy (Behav Res Ther 1989).</w:t>
      </w:r>
    </w:p>
    <w:p>
      <w:pPr>
        <w:pStyle w:val="Compact"/>
        <w:numPr>
          <w:ilvl w:val="0"/>
          <w:numId w:val="1442"/>
        </w:numPr>
      </w:pPr>
      <w:r>
        <w:t xml:space="preserve">Wolitzky-Taylor K.B. et al. Clin Psychol Rev 2008 meta-analysis (33 RCTs) — exposure showed a large effect versus wait-list and a medium effect versus placebo; in vivo contact outperformed other modes of exposure. This meta-analysis made no comparison with pharmacotherapy.</w:t>
      </w:r>
    </w:p>
    <w:p>
      <w:pPr>
        <w:pStyle w:val="Compact"/>
        <w:numPr>
          <w:ilvl w:val="0"/>
          <w:numId w:val="1442"/>
        </w:numPr>
      </w:pPr>
      <w:r>
        <w:t xml:space="preserve">APA Anxiety Guidelines — exposure first-line.</w:t>
      </w:r>
    </w:p>
    <w:bookmarkEnd w:id="933"/>
    <w:bookmarkEnd w:id="934"/>
    <w:bookmarkStart w:id="935" w:name="Xd9a7733da5e67e6a17d605e865cbc280bb752d3"/>
    <w:p>
      <w:pPr>
        <w:pStyle w:val="Heading3"/>
      </w:pPr>
      <w:r>
        <w:t xml:space="preserve">9. Prognosis</w:t>
      </w:r>
    </w:p>
    <w:p>
      <w:pPr>
        <w:pStyle w:val="Compact"/>
        <w:numPr>
          <w:ilvl w:val="0"/>
          <w:numId w:val="1443"/>
        </w:numPr>
      </w:pPr>
      <w:r>
        <w:t xml:space="preserve">Exposure CBT — majority of patients achieve remission.</w:t>
      </w:r>
    </w:p>
    <w:p>
      <w:pPr>
        <w:pStyle w:val="Compact"/>
        <w:numPr>
          <w:ilvl w:val="0"/>
          <w:numId w:val="1443"/>
        </w:numPr>
      </w:pPr>
      <w:r>
        <w:t xml:space="preserve">Without treatment, chronicity.</w:t>
      </w:r>
    </w:p>
    <w:bookmarkEnd w:id="935"/>
    <w:bookmarkStart w:id="941" w:name="X559df13b98199db9821b7a18cfbcd0d2ed56356"/>
    <w:p>
      <w:pPr>
        <w:pStyle w:val="Heading3"/>
      </w:pPr>
      <w:r>
        <w:t xml:space="preserve">10. Myths and misconceptions</w:t>
      </w:r>
    </w:p>
    <w:bookmarkStart w:id="936" w:name="Xc6ec5f9c3994b7a7ee8f3d3f8d0572e384d209b"/>
    <w:p>
      <w:pPr>
        <w:pStyle w:val="Heading5"/>
      </w:pPr>
      <w:r>
        <w:t xml:space="preserve">Myth 1: “Specific phobia is only a childhood phobia and does not require treatment in adults”</w:t>
      </w:r>
    </w:p>
    <w:p>
      <w:pPr>
        <w:pStyle w:val="FirstParagraph"/>
      </w:pPr>
      <w:r>
        <w:t xml:space="preserve">Evidence: Specific phobia creates functional impairment in adulthood too (avoidance of flying — occupational limitation; avoidance of medical procedures — health risk).</w:t>
      </w:r>
    </w:p>
    <w:bookmarkEnd w:id="936"/>
    <w:bookmarkStart w:id="937" w:name="X091d4115558bda010d623a38035f6eaa3c7175e"/>
    <w:p>
      <w:pPr>
        <w:pStyle w:val="Heading5"/>
      </w:pPr>
      <w:r>
        <w:t xml:space="preserve">Myth 2: “Forcing the patient into a phobic object causes trauma”</w:t>
      </w:r>
    </w:p>
    <w:p>
      <w:pPr>
        <w:pStyle w:val="FirstParagraph"/>
      </w:pPr>
      <w:r>
        <w:t xml:space="preserve">Evidence: appropriately applied stepped exposure is safe and highly effective; with patient consent and pace.</w:t>
      </w:r>
    </w:p>
    <w:bookmarkEnd w:id="937"/>
    <w:bookmarkStart w:id="938" w:name="Xdaa9501fe816689c3662d13e56235c263543b19"/>
    <w:p>
      <w:pPr>
        <w:pStyle w:val="Heading5"/>
      </w:pPr>
      <w:r>
        <w:t xml:space="preserve">Myth 3: “Hypnotherapy or NLP rapidly cures phobias”</w:t>
      </w:r>
    </w:p>
    <w:p>
      <w:pPr>
        <w:pStyle w:val="FirstParagraph"/>
      </w:pPr>
      <w:r>
        <w:t xml:space="preserve">Evidence: systematic evidence base is limited; exposure-based approach is the gold standard.</w:t>
      </w:r>
    </w:p>
    <w:bookmarkEnd w:id="938"/>
    <w:bookmarkStart w:id="939" w:name="Xa22eb66750d857496c5ae1527af06433d8d66af"/>
    <w:p>
      <w:pPr>
        <w:pStyle w:val="Heading5"/>
      </w:pPr>
      <w:r>
        <w:t xml:space="preserve">Myth 4: “A patient can live a normal life by completely avoiding the phobic object”</w:t>
      </w:r>
    </w:p>
    <w:p>
      <w:pPr>
        <w:pStyle w:val="FirstParagraph"/>
      </w:pPr>
      <w:r>
        <w:t xml:space="preserve">Evidence: Avoidance strengthens phobia; situational phobias (flight, elevator) create medical and social restrictions.</w:t>
      </w:r>
    </w:p>
    <w:bookmarkEnd w:id="939"/>
    <w:bookmarkStart w:id="940" w:name="X33d76a38496823d310daef5f25e927dbdd9db28"/>
    <w:p>
      <w:pPr>
        <w:pStyle w:val="Heading5"/>
      </w:pPr>
      <w:r>
        <w:t xml:space="preserve">Myth 5: “Benzodiazepine is an effective treatment for specific situations like flying”</w:t>
      </w:r>
    </w:p>
    <w:p>
      <w:pPr>
        <w:pStyle w:val="FirstParagraph"/>
      </w:pPr>
      <w:r>
        <w:t xml:space="preserve">Evidence: Possible short-term adjunct role, but not long-term solution; may reduce CBT/exposure efficacy (state-dependent learning).</w:t>
      </w:r>
    </w:p>
    <w:bookmarkEnd w:id="940"/>
    <w:bookmarkEnd w:id="941"/>
    <w:bookmarkStart w:id="2981" w:name="Xa52064c60af195514ed1b0c087121fa5447ecc0"/>
    <w:p>
      <w:pPr>
        <w:pStyle w:val="Heading3"/>
      </w:pPr>
      <w:r>
        <w:t xml:space="preserve">11. Sources</w:t>
      </w:r>
    </w:p>
    <w:p>
      <w:pPr>
        <w:pStyle w:val="Compact"/>
        <w:numPr>
          <w:ilvl w:val="0"/>
          <w:numId w:val="1444"/>
        </w:numPr>
      </w:pPr>
      <w:r>
        <w:t xml:space="preserve">WHO. ICD-11. 6B03 Specific phobia. 2024.</w:t>
      </w:r>
    </w:p>
    <w:p>
      <w:pPr>
        <w:pStyle w:val="Compact"/>
        <w:numPr>
          <w:ilvl w:val="0"/>
          <w:numId w:val="1444"/>
        </w:numPr>
      </w:pPr>
      <w:r>
        <w:t xml:space="preserve">APA. DSM-5-TR. 2022.</w:t>
      </w:r>
    </w:p>
    <w:p>
      <w:pPr>
        <w:pStyle w:val="Compact"/>
        <w:numPr>
          <w:ilvl w:val="0"/>
          <w:numId w:val="1444"/>
        </w:numPr>
      </w:pPr>
      <w:r>
        <w:t xml:space="preserve">Öst L.G. One-session treatment for specific phobias. Behav Res Ther 1989;27(1):1–7.</w:t>
      </w:r>
    </w:p>
    <w:p>
      <w:pPr>
        <w:pStyle w:val="Compact"/>
        <w:numPr>
          <w:ilvl w:val="0"/>
          <w:numId w:val="1444"/>
        </w:numPr>
      </w:pPr>
      <w:r>
        <w:t xml:space="preserve">Wolitzky-Taylor K.B., Horowitz J.D., Powers M.B., Telch M.J. Psychological approaches in the treatment of specific phobias: a meta-analysis. Clin Psychol Rev 2008;28(6):1021–1037.</w:t>
      </w:r>
    </w:p>
    <w:p>
      <w:pPr>
        <w:pStyle w:val="Compact"/>
        <w:numPr>
          <w:ilvl w:val="0"/>
          <w:numId w:val="1444"/>
        </w:numPr>
      </w:pPr>
      <w:r>
        <w:t xml:space="preserve">Hettema J.M., Neale M.C., Kendler K.S. A review and meta-analysis of the genetic epidemiology of anxiety disorders. Am J Psychiatry 2001;158(10):1568–1578.</w:t>
      </w:r>
    </w:p>
    <w:p>
      <w:pPr>
        <w:pStyle w:val="Compact"/>
        <w:numPr>
          <w:ilvl w:val="0"/>
          <w:numId w:val="1444"/>
        </w:numPr>
      </w:pPr>
      <w:r>
        <w:t xml:space="preserve">Wolpe J. Psychotherapy by Reciprocal Inhibition. Stanford: Stanford University Press, 1958.</w:t>
      </w:r>
    </w:p>
    <w:p>
      <w:pPr>
        <w:pStyle w:val="Compact"/>
        <w:numPr>
          <w:ilvl w:val="0"/>
          <w:numId w:val="1444"/>
        </w:numPr>
      </w:pPr>
      <w:r>
        <w:t xml:space="preserve">Seligman M.E.P. Phobias and preparedness. Behav Ther 1971;2(3):307–320.</w:t>
      </w:r>
    </w:p>
    <w:p>
      <w:pPr>
        <w:pStyle w:val="Compact"/>
        <w:numPr>
          <w:ilvl w:val="0"/>
          <w:numId w:val="1444"/>
        </w:numPr>
      </w:pPr>
      <w:r>
        <w:t xml:space="preserve">Hofmann S.G. Enhancing exposure-based therapy from a translational research perspective. Behav Res Ther 2007;45(9):1987–2001.</w:t>
      </w:r>
    </w:p>
    <w:p>
      <w:pPr>
        <w:pStyle w:val="Compact"/>
        <w:numPr>
          <w:ilvl w:val="0"/>
          <w:numId w:val="1444"/>
        </w:numPr>
      </w:pPr>
      <w:r>
        <w:t xml:space="preserve">Botella C., Fernández-Álvarez J., Guillén V. et al. Recent progress in virtual reality exposure therapy for phobias: a systematic review. Curr Psychiatry Rep 2017;19(7):42.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42" w:name="m326b04-social-anxiety-disorder"/>
            <w:r>
              <w:t xml:space="preserve">6B04 SOCIAL ANXIETY DISORDER</w:t>
            </w:r>
            <w:bookmarkEnd w:id="942"/>
          </w:p>
          <w:p>
            <w:pPr>
              <w:pStyle w:val="Compact"/>
              <w:ind w:firstLine="0" w:left="0"/>
            </w:pPr>
            <w:r>
              <w:rPr>
                <w:lang w:val="en"/>
              </w:rPr>
              <w:t xml:space="preserve">Social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phobias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Disorder</w:t>
            </w:r>
          </w:p>
        </w:tc>
      </w:tr>
    </w:tbl>
    <w:bookmarkStart w:id="943" w:name="X86672f811a17d665ab3951d1eb1a41c884166fb"/>
    <w:p>
      <w:pPr>
        <w:pStyle w:val="Heading3"/>
      </w:pPr>
      <w:r>
        <w:t xml:space="preserve">1. Definition and nosology</w:t>
      </w:r>
    </w:p>
    <w:p>
      <w:pPr>
        <w:pStyle w:val="FirstParagraph"/>
      </w:pPr>
      <w:r>
        <w:t xml:space="preserve">Social anxiety disorder (ICD-11:</w:t>
      </w:r>
      <w:r>
        <w:t xml:space="preserve"> </w:t>
      </w:r>
      <w:r>
        <w:t xml:space="preserve">6B04</w:t>
      </w:r>
      <w:r>
        <w:t xml:space="preserve">; DSM-5-TR: F40.10) — intense and persistent fear of negative evaluation or humiliation by others in social situations. The patient avoids situations such as speaking, interaction, and being observed.</w:t>
      </w:r>
    </w:p>
    <w:bookmarkEnd w:id="943"/>
    <w:bookmarkStart w:id="944" w:name="X64a238b3693b5dc831cefeba6897194cb3dc6a5"/>
    <w:p>
      <w:pPr>
        <w:pStyle w:val="Heading3"/>
      </w:pPr>
      <w:r>
        <w:t xml:space="preserve">2. History</w:t>
      </w:r>
    </w:p>
    <w:p>
      <w:pPr>
        <w:pStyle w:val="Compact"/>
        <w:numPr>
          <w:ilvl w:val="0"/>
          <w:numId w:val="1445"/>
        </w:numPr>
      </w:pPr>
      <w:r>
        <w:t xml:space="preserve">Janet P. (1903) — ‘phobie des situations sociales’.</w:t>
      </w:r>
    </w:p>
    <w:p>
      <w:pPr>
        <w:pStyle w:val="Compact"/>
        <w:numPr>
          <w:ilvl w:val="0"/>
          <w:numId w:val="1445"/>
        </w:numPr>
      </w:pPr>
      <w:r>
        <w:t xml:space="preserve">Marks I.M., Gelder M.G. (1966) — separation of social phobia from agoraphobia.</w:t>
      </w:r>
    </w:p>
    <w:p>
      <w:pPr>
        <w:pStyle w:val="Compact"/>
        <w:numPr>
          <w:ilvl w:val="0"/>
          <w:numId w:val="1445"/>
        </w:numPr>
      </w:pPr>
      <w:r>
        <w:t xml:space="preserve">DSM-III (1980) — “Social Phobia” as an official diagnosis.</w:t>
      </w:r>
    </w:p>
    <w:p>
      <w:pPr>
        <w:pStyle w:val="Compact"/>
        <w:numPr>
          <w:ilvl w:val="0"/>
          <w:numId w:val="1445"/>
        </w:numPr>
      </w:pPr>
      <w:r>
        <w:t xml:space="preserve">DSM-5 (2013) — “Social Anxiety Disorder” — broader and more precise term; performance-only subtype added.</w:t>
      </w:r>
    </w:p>
    <w:p>
      <w:pPr>
        <w:pStyle w:val="Compact"/>
        <w:numPr>
          <w:ilvl w:val="0"/>
          <w:numId w:val="1445"/>
        </w:numPr>
      </w:pPr>
      <w:r>
        <w:t xml:space="preserve">ICD-11 — parallel.</w:t>
      </w:r>
    </w:p>
    <w:bookmarkEnd w:id="944"/>
    <w:bookmarkStart w:id="945" w:name="X67c5086e579af4654a2f328e5e95f90bcc2c633"/>
    <w:p>
      <w:pPr>
        <w:pStyle w:val="Heading3"/>
      </w:pPr>
      <w:r>
        <w:t xml:space="preserve">3. Epidemiology</w:t>
      </w:r>
    </w:p>
    <w:p>
      <w:pPr>
        <w:pStyle w:val="Compact"/>
        <w:numPr>
          <w:ilvl w:val="0"/>
          <w:numId w:val="1446"/>
        </w:numPr>
      </w:pPr>
      <w:r>
        <w:t xml:space="preserve">Lifetime prevalence: 7–13% (Kessler WMH; cultural variability).</w:t>
      </w:r>
    </w:p>
    <w:p>
      <w:pPr>
        <w:pStyle w:val="Compact"/>
        <w:numPr>
          <w:ilvl w:val="0"/>
          <w:numId w:val="1446"/>
        </w:numPr>
      </w:pPr>
      <w:r>
        <w:t xml:space="preserve">Sex: relatively higher in females, but males seek clinical help more often.</w:t>
      </w:r>
    </w:p>
    <w:p>
      <w:pPr>
        <w:pStyle w:val="Compact"/>
        <w:numPr>
          <w:ilvl w:val="0"/>
          <w:numId w:val="1446"/>
        </w:numPr>
      </w:pPr>
      <w:r>
        <w:t xml:space="preserve">Onset: adolescence (mean 13 years) — one of the earliest onset anxiety disorders.</w:t>
      </w:r>
    </w:p>
    <w:p>
      <w:pPr>
        <w:pStyle w:val="Compact"/>
        <w:numPr>
          <w:ilvl w:val="0"/>
          <w:numId w:val="1446"/>
        </w:numPr>
      </w:pPr>
      <w:r>
        <w:t xml:space="preserve">Comorbidity: MDD 60%, other anxiety, alcohol use (as self-medication).</w:t>
      </w:r>
    </w:p>
    <w:bookmarkEnd w:id="945"/>
    <w:bookmarkStart w:id="946" w:name="X254026bb836e179af4a92a1c4a9e1ce873b7b91"/>
    <w:p>
      <w:pPr>
        <w:pStyle w:val="Heading3"/>
      </w:pPr>
      <w:r>
        <w:t xml:space="preserve">4. Aetiology and pathogenesis</w:t>
      </w:r>
    </w:p>
    <w:p>
      <w:pPr>
        <w:pStyle w:val="Compact"/>
        <w:numPr>
          <w:ilvl w:val="0"/>
          <w:numId w:val="1447"/>
        </w:numPr>
      </w:pPr>
      <w:r>
        <w:t xml:space="preserve">Heritability ~30–40%.</w:t>
      </w:r>
    </w:p>
    <w:p>
      <w:pPr>
        <w:pStyle w:val="Compact"/>
        <w:numPr>
          <w:ilvl w:val="0"/>
          <w:numId w:val="1447"/>
        </w:numPr>
      </w:pPr>
      <w:r>
        <w:t xml:space="preserve">Behavioral inhibition (Kagan J.) — childhood temperament as a strong risk factor.</w:t>
      </w:r>
    </w:p>
    <w:p>
      <w:pPr>
        <w:pStyle w:val="Compact"/>
        <w:numPr>
          <w:ilvl w:val="0"/>
          <w:numId w:val="1447"/>
        </w:numPr>
      </w:pPr>
      <w:r>
        <w:t xml:space="preserve">Neurobiological — amygdala hyperreactivity to social stimuli; serotonergic dysregulation.</w:t>
      </w:r>
    </w:p>
    <w:p>
      <w:pPr>
        <w:pStyle w:val="Compact"/>
        <w:numPr>
          <w:ilvl w:val="0"/>
          <w:numId w:val="1447"/>
        </w:numPr>
      </w:pPr>
      <w:r>
        <w:t xml:space="preserve">Cognitive — self-focused attention, negative self-image, catastrophizing (Clark D.M., Wells A. model).</w:t>
      </w:r>
    </w:p>
    <w:p>
      <w:pPr>
        <w:pStyle w:val="Compact"/>
        <w:numPr>
          <w:ilvl w:val="0"/>
          <w:numId w:val="1447"/>
        </w:numPr>
      </w:pPr>
      <w:r>
        <w:t xml:space="preserve">Environment — childhood peer victimization, parental overprotection.</w:t>
      </w:r>
    </w:p>
    <w:bookmarkEnd w:id="946"/>
    <w:bookmarkStart w:id="947" w:name="X743be2bcb61e0ff6b302083fdd7cf0e7296b412"/>
    <w:p>
      <w:pPr>
        <w:pStyle w:val="Heading3"/>
      </w:pPr>
      <w:r>
        <w:t xml:space="preserve">5. Clinical features</w:t>
      </w:r>
    </w:p>
    <w:p>
      <w:pPr>
        <w:pStyle w:val="Compact"/>
        <w:numPr>
          <w:ilvl w:val="0"/>
          <w:numId w:val="1448"/>
        </w:numPr>
      </w:pPr>
      <w:r>
        <w:t xml:space="preserve">Feared situations — public speaking, asking questions, sharing a meal, writing or eating in front of others, public toilets, talking on the phone.</w:t>
      </w:r>
    </w:p>
    <w:p>
      <w:pPr>
        <w:pStyle w:val="Compact"/>
        <w:numPr>
          <w:ilvl w:val="0"/>
          <w:numId w:val="1448"/>
        </w:numPr>
      </w:pPr>
      <w:r>
        <w:t xml:space="preserve">Somatic — flushing, tremor, sweating, tachycardia, dry mouth, voice tremor.</w:t>
      </w:r>
    </w:p>
    <w:p>
      <w:pPr>
        <w:pStyle w:val="Compact"/>
        <w:numPr>
          <w:ilvl w:val="0"/>
          <w:numId w:val="1448"/>
        </w:numPr>
      </w:pPr>
      <w:r>
        <w:t xml:space="preserve">Cognitive — negative thoughts about oneself, “post-event processing” (prolonged self-criticism after a situation).</w:t>
      </w:r>
    </w:p>
    <w:p>
      <w:pPr>
        <w:pStyle w:val="Compact"/>
        <w:numPr>
          <w:ilvl w:val="0"/>
          <w:numId w:val="1448"/>
        </w:numPr>
      </w:pPr>
      <w:r>
        <w:t xml:space="preserve">Avoidance and ‘safety’ behaviors (avoiding eye contact, speaking less, alcohol use).</w:t>
      </w:r>
    </w:p>
    <w:p>
      <w:pPr>
        <w:pStyle w:val="Compact"/>
        <w:numPr>
          <w:ilvl w:val="0"/>
          <w:numId w:val="1448"/>
        </w:numPr>
      </w:pPr>
      <w:r>
        <w:t xml:space="preserve">Functional burden — academic and occupational development, friends, romantic relationships.</w:t>
      </w:r>
    </w:p>
    <w:bookmarkEnd w:id="947"/>
    <w:bookmarkStart w:id="952" w:name="X7e133dc65b006e64c8f3de807faac9823e4a29b"/>
    <w:p>
      <w:pPr>
        <w:pStyle w:val="Heading3"/>
      </w:pPr>
      <w:r>
        <w:t xml:space="preserve">6. Diagnosis</w:t>
      </w:r>
    </w:p>
    <w:bookmarkStart w:id="948" w:name="unified-diagnostic-criteria-7"/>
    <w:p>
      <w:pPr>
        <w:pStyle w:val="Heading4"/>
      </w:pPr>
      <w:r>
        <w:t xml:space="preserve">6.1 Unified diagnostic criteria</w:t>
      </w:r>
    </w:p>
    <w:p>
      <w:pPr>
        <w:pStyle w:val="FirstParagraph"/>
      </w:pPr>
      <w:r>
        <w:t xml:space="preserve">A. Marked fear in one or more social situations — being observed or evaluated by others.</w:t>
      </w:r>
    </w:p>
    <w:p>
      <w:pPr>
        <w:pStyle w:val="BodyText"/>
      </w:pPr>
      <w:r>
        <w:t xml:space="preserve">B. The patient fears humiliation, rejection by others, or offending others.</w:t>
      </w:r>
    </w:p>
    <w:p>
      <w:pPr>
        <w:pStyle w:val="BodyText"/>
      </w:pPr>
      <w:r>
        <w:t xml:space="preserve">C. Situations almost always provoke fear.</w:t>
      </w:r>
    </w:p>
    <w:p>
      <w:pPr>
        <w:pStyle w:val="BodyText"/>
      </w:pPr>
      <w:r>
        <w:t xml:space="preserve">D. Avoidance or endurance with intense discomfort.</w:t>
      </w:r>
    </w:p>
    <w:p>
      <w:pPr>
        <w:pStyle w:val="BodyText"/>
      </w:pPr>
      <w:r>
        <w:t xml:space="preserve">E. Fear is disproportionate to the social situation.</w:t>
      </w:r>
    </w:p>
    <w:p>
      <w:pPr>
        <w:pStyle w:val="BodyText"/>
      </w:pPr>
      <w:r>
        <w:t xml:space="preserve">F. ≥6 months duration (DSM-5-TR).</w:t>
      </w:r>
    </w:p>
    <w:p>
      <w:pPr>
        <w:pStyle w:val="BodyText"/>
      </w:pPr>
      <w:r>
        <w:t xml:space="preserve">G. Functional impairment.</w:t>
      </w:r>
    </w:p>
    <w:p>
      <w:pPr>
        <w:pStyle w:val="BodyText"/>
      </w:pPr>
      <w:r>
        <w:t xml:space="preserve">H. Not fully explained by another mental disorder or medical condition.</w:t>
      </w:r>
    </w:p>
    <w:bookmarkEnd w:id="948"/>
    <w:bookmarkStart w:id="949" w:name="differences-between-sources-39"/>
    <w:p>
      <w:pPr>
        <w:pStyle w:val="Heading4"/>
      </w:pPr>
      <w:r>
        <w:t xml:space="preserve">6.2 Differences between sources</w:t>
      </w:r>
    </w:p>
    <w:p>
      <w:pPr>
        <w:pStyle w:val="Compact"/>
        <w:numPr>
          <w:ilvl w:val="0"/>
          <w:numId w:val="1449"/>
        </w:numPr>
      </w:pPr>
      <w:r>
        <w:t xml:space="preserve">DSM-5-TR — “performance only” specifier (limited to performance situations).</w:t>
      </w:r>
    </w:p>
    <w:p>
      <w:pPr>
        <w:pStyle w:val="Compact"/>
        <w:numPr>
          <w:ilvl w:val="0"/>
          <w:numId w:val="1449"/>
        </w:numPr>
      </w:pPr>
      <w:r>
        <w:t xml:space="preserve">ICD-11 — the duration is “at least several months” (6 months in DSM-5-TR); in children the peer setting is assessed as well, not only contact with adults.</w:t>
      </w:r>
    </w:p>
    <w:p>
      <w:pPr>
        <w:pStyle w:val="Compact"/>
        <w:numPr>
          <w:ilvl w:val="0"/>
          <w:numId w:val="1449"/>
        </w:numPr>
      </w:pPr>
      <w:r>
        <w:t xml:space="preserve">NICE CG159 (Social anxiety disorder: recognition, assessment and treatment, 2013) — individual CBT first-line.</w:t>
      </w:r>
    </w:p>
    <w:bookmarkEnd w:id="949"/>
    <w:bookmarkStart w:id="950" w:name="diagnostic-algorithm-24"/>
    <w:p>
      <w:pPr>
        <w:pStyle w:val="Heading4"/>
      </w:pPr>
      <w:r>
        <w:t xml:space="preserve">6.3 Diagnostic algorithm</w:t>
      </w:r>
    </w:p>
    <w:p>
      <w:pPr>
        <w:pStyle w:val="Compact"/>
        <w:numPr>
          <w:ilvl w:val="0"/>
          <w:numId w:val="1450"/>
        </w:numPr>
      </w:pPr>
      <w:r>
        <w:t xml:space="preserve">Clinical interview.</w:t>
      </w:r>
    </w:p>
    <w:p>
      <w:pPr>
        <w:pStyle w:val="Compact"/>
        <w:numPr>
          <w:ilvl w:val="0"/>
          <w:numId w:val="1450"/>
        </w:numPr>
      </w:pPr>
      <w:r>
        <w:t xml:space="preserve">SCID-5, MINI.</w:t>
      </w:r>
    </w:p>
    <w:p>
      <w:pPr>
        <w:pStyle w:val="Compact"/>
        <w:numPr>
          <w:ilvl w:val="0"/>
          <w:numId w:val="1450"/>
        </w:numPr>
      </w:pPr>
      <w:r>
        <w:t xml:space="preserve">Liebowitz Social Anxiety Scale (LSAS), SPIN (Social Phobia Inventory) — scale and monitoring.</w:t>
      </w:r>
    </w:p>
    <w:p>
      <w:pPr>
        <w:pStyle w:val="Compact"/>
        <w:numPr>
          <w:ilvl w:val="0"/>
          <w:numId w:val="1450"/>
        </w:numPr>
      </w:pPr>
      <w:r>
        <w:t xml:space="preserve">Comorbidity (MDD, other anxiety, alcohol use).</w:t>
      </w:r>
    </w:p>
    <w:bookmarkEnd w:id="950"/>
    <w:bookmarkStart w:id="951" w:name="differential-diagnosis-2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Difficult escape, help absent; social evaluation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object/situation.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Attack is unexpected.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Avoidant 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pattern, broader; comorbidity is common.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Social-communication deficit early onset; social interest variable.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Failure to speak in specific contexts.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Body dysmorphic disorder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Appearance-based anxiety.</w:t>
            </w:r>
          </w:p>
        </w:tc>
      </w:tr>
    </w:tbl>
    <w:bookmarkEnd w:id="951"/>
    <w:bookmarkEnd w:id="952"/>
    <w:bookmarkStart w:id="953" w:name="Xf48336989d54a8bc429f0b45da08e58ee709ca2"/>
    <w:p>
      <w:pPr>
        <w:pStyle w:val="Heading3"/>
      </w:pPr>
      <w:r>
        <w:t xml:space="preserve">7. Examination and assessment</w:t>
      </w:r>
    </w:p>
    <w:p>
      <w:pPr>
        <w:pStyle w:val="Compact"/>
        <w:numPr>
          <w:ilvl w:val="0"/>
          <w:numId w:val="1451"/>
        </w:numPr>
      </w:pPr>
      <w:r>
        <w:t xml:space="preserve">LSAS — gold standard scale (24 items).</w:t>
      </w:r>
    </w:p>
    <w:p>
      <w:pPr>
        <w:pStyle w:val="Compact"/>
        <w:numPr>
          <w:ilvl w:val="0"/>
          <w:numId w:val="1451"/>
        </w:numPr>
      </w:pPr>
      <w:r>
        <w:t xml:space="preserve">SPIN — short screening (17 items).</w:t>
      </w:r>
    </w:p>
    <w:p>
      <w:pPr>
        <w:pStyle w:val="Compact"/>
        <w:numPr>
          <w:ilvl w:val="0"/>
          <w:numId w:val="1451"/>
        </w:numPr>
      </w:pPr>
      <w:r>
        <w:t xml:space="preserve">BFNE (Brief Fear of Negative Evaluation).</w:t>
      </w:r>
    </w:p>
    <w:bookmarkEnd w:id="953"/>
    <w:bookmarkStart w:id="957" w:name="Xa92133b3bb08e3992399490251db64ff7c60c6b"/>
    <w:p>
      <w:pPr>
        <w:pStyle w:val="Heading3"/>
      </w:pPr>
      <w:r>
        <w:t xml:space="preserve">8. Treatment</w:t>
      </w:r>
    </w:p>
    <w:bookmarkStart w:id="954" w:name="X9af2c4605394dc1d8b3f5dc6646a4a3fa1c278d"/>
    <w:p>
      <w:pPr>
        <w:pStyle w:val="Heading4"/>
      </w:pPr>
      <w:r>
        <w:t xml:space="preserve">8.1 General principles (NICE CG159 · CANMAT 2014)</w:t>
      </w:r>
    </w:p>
    <w:p>
      <w:pPr>
        <w:pStyle w:val="Compact"/>
        <w:numPr>
          <w:ilvl w:val="0"/>
          <w:numId w:val="1452"/>
        </w:numPr>
      </w:pPr>
      <w:r>
        <w:t xml:space="preserve">Individual CBT (Clark D.M. model) first-line — redirecting self-focused attention, video feedback, behavioral experiments, cognitive restructuring, in vivo exposure. 12–16 sessions. NICE CG159 — individual CBT superior to group CBT.</w:t>
      </w:r>
    </w:p>
    <w:p>
      <w:pPr>
        <w:pStyle w:val="Compact"/>
        <w:numPr>
          <w:ilvl w:val="0"/>
          <w:numId w:val="1452"/>
        </w:numPr>
      </w:pPr>
      <w:r>
        <w:t xml:space="preserve">SSRI and SNRI first-line pharmacotherapy — escitalopram, sertraline, paroxetine (FDA approved), venlafaxine (FDA approved).</w:t>
      </w:r>
    </w:p>
    <w:p>
      <w:pPr>
        <w:pStyle w:val="Compact"/>
        <w:numPr>
          <w:ilvl w:val="0"/>
          <w:numId w:val="1452"/>
        </w:numPr>
      </w:pPr>
      <w:r>
        <w:t xml:space="preserve">Second-line — moclobemide (RIMA, approved in Europe), pregabalin (evidence limited), gabapentin.</w:t>
      </w:r>
    </w:p>
    <w:p>
      <w:pPr>
        <w:pStyle w:val="Compact"/>
        <w:numPr>
          <w:ilvl w:val="0"/>
          <w:numId w:val="1452"/>
        </w:numPr>
      </w:pPr>
      <w:r>
        <w:t xml:space="preserve">Benzodiazepine — only short-term for a specific situation (e.g., prior to performance); not sustained.</w:t>
      </w:r>
    </w:p>
    <w:p>
      <w:pPr>
        <w:pStyle w:val="Compact"/>
        <w:numPr>
          <w:ilvl w:val="0"/>
          <w:numId w:val="1452"/>
        </w:numPr>
      </w:pPr>
      <w:r>
        <w:t xml:space="preserve">β-blocker (propranolol) — in performance subtype, 1–2 hours before performance; ineffective in social reciprocal interaction.</w:t>
      </w:r>
    </w:p>
    <w:p>
      <w:pPr>
        <w:pStyle w:val="Compact"/>
        <w:numPr>
          <w:ilvl w:val="0"/>
          <w:numId w:val="1452"/>
        </w:numPr>
      </w:pPr>
      <w:r>
        <w:t xml:space="preserve">Duration of treatment — after remission ≥ 12 months.</w:t>
      </w:r>
    </w:p>
    <w:p>
      <w:pPr>
        <w:pStyle w:val="Compact"/>
        <w:numPr>
          <w:ilvl w:val="0"/>
          <w:numId w:val="1452"/>
        </w:numPr>
      </w:pPr>
      <w:r>
        <w:t xml:space="preserve">Alcohol use — as a form of self-medication; requires special attention and parallel intervention.</w:t>
      </w:r>
    </w:p>
    <w:bookmarkEnd w:id="954"/>
    <w:bookmarkStart w:id="955" w:name="treatment-methods-24"/>
    <w:p>
      <w:pPr>
        <w:pStyle w:val="Heading4"/>
      </w:pPr>
      <w:r>
        <w:t xml:space="preserve">8.2 Treatment methods</w:t>
      </w:r>
    </w:p>
    <w:p>
      <w:pPr>
        <w:pStyle w:val="Compact"/>
        <w:numPr>
          <w:ilvl w:val="0"/>
          <w:numId w:val="1453"/>
        </w:numPr>
      </w:pPr>
      <w:r>
        <w:t xml:space="preserve">Clark CBT Model — Specifically developed for social anxiety; external redirection of self-focused attention, video feedback (seeing one's performance through others' eyes), behavioral experiments (testing fearful beliefs), in vivo exposure. Evidence: Clark D.M. et al. J Consult Clin Psychol 2003 RCT — experimental individual CBT superior to other interventions.</w:t>
      </w:r>
    </w:p>
    <w:p>
      <w:pPr>
        <w:pStyle w:val="Compact"/>
        <w:numPr>
          <w:ilvl w:val="0"/>
          <w:numId w:val="1453"/>
        </w:numPr>
      </w:pPr>
      <w:r>
        <w:t xml:space="preserve">Heimberg Group CBT — 12-session group format; Heimberg R.G. model. Effective, but relatively weaker than individual CBT (NICE CG159).</w:t>
      </w:r>
    </w:p>
    <w:p>
      <w:pPr>
        <w:pStyle w:val="Compact"/>
        <w:numPr>
          <w:ilvl w:val="0"/>
          <w:numId w:val="1453"/>
        </w:numPr>
      </w:pPr>
      <w:r>
        <w:t xml:space="preserve">Internet-based cognitive behavioral therapy (iCBT) — Andersson G. et al. RCTs — therapist-supported iCBT is comparable to individual CBT.</w:t>
      </w:r>
    </w:p>
    <w:p>
      <w:pPr>
        <w:pStyle w:val="Compact"/>
        <w:numPr>
          <w:ilvl w:val="0"/>
          <w:numId w:val="1453"/>
        </w:numPr>
      </w:pPr>
      <w:r>
        <w:t xml:space="preserve">Liebowitz Social Anxiety Scale (LSAS — Liebowitz Social Anxiety Scale) — 24 items (11 social interaction + 13 performance); each item is rated for both fear/anxiety and avoidance (48 ratings, 0–144 points, 4 subscales); gold standard.</w:t>
      </w:r>
    </w:p>
    <w:p>
      <w:pPr>
        <w:pStyle w:val="Compact"/>
        <w:numPr>
          <w:ilvl w:val="0"/>
          <w:numId w:val="1453"/>
        </w:numPr>
      </w:pPr>
      <w:r>
        <w:t xml:space="preserve">Social Phobia Inventory (SPIN) — 17 items; brief screening.</w:t>
      </w:r>
    </w:p>
    <w:bookmarkEnd w:id="955"/>
    <w:bookmarkStart w:id="956" w:name="differences-between-sources-40"/>
    <w:p>
      <w:pPr>
        <w:pStyle w:val="Heading4"/>
      </w:pPr>
      <w:r>
        <w:t xml:space="preserve">8.3 Differences between sources</w:t>
      </w:r>
    </w:p>
    <w:p>
      <w:pPr>
        <w:pStyle w:val="Compact"/>
        <w:numPr>
          <w:ilvl w:val="0"/>
          <w:numId w:val="1454"/>
        </w:numPr>
      </w:pPr>
      <w:r>
        <w:t xml:space="preserve">NICE CG159 (2013) — individual CBT (Clark) first-line; SSRIs alternative; group CBT or self-help may be suitable for some patients.</w:t>
      </w:r>
    </w:p>
    <w:p>
      <w:pPr>
        <w:pStyle w:val="Compact"/>
        <w:numPr>
          <w:ilvl w:val="0"/>
          <w:numId w:val="1454"/>
        </w:numPr>
      </w:pPr>
      <w:r>
        <w:t xml:space="preserve">CANMAT 2014 — first-line escitalopram, sertraline, paroxetine, venlafaxine.</w:t>
      </w:r>
    </w:p>
    <w:p>
      <w:pPr>
        <w:pStyle w:val="Compact"/>
        <w:numPr>
          <w:ilvl w:val="0"/>
          <w:numId w:val="1454"/>
        </w:numPr>
      </w:pPr>
      <w:r>
        <w:t xml:space="preserve">Mayo-Wilson E. et al. Lancet Psychiatry 2014 network meta-analysis — individual CBT has the greatest effect; SSRIs second.</w:t>
      </w:r>
    </w:p>
    <w:bookmarkEnd w:id="956"/>
    <w:bookmarkEnd w:id="957"/>
    <w:bookmarkStart w:id="958" w:name="X40dfda27dd1545f903025032398da05baffac47"/>
    <w:p>
      <w:pPr>
        <w:pStyle w:val="Heading3"/>
      </w:pPr>
      <w:r>
        <w:t xml:space="preserve">9. Prognosis</w:t>
      </w:r>
    </w:p>
    <w:p>
      <w:pPr>
        <w:pStyle w:val="Compact"/>
        <w:numPr>
          <w:ilvl w:val="0"/>
          <w:numId w:val="1455"/>
        </w:numPr>
      </w:pPr>
      <w:r>
        <w:t xml:space="preserve">Chronic course, high relapse rate without treatment.</w:t>
      </w:r>
    </w:p>
    <w:p>
      <w:pPr>
        <w:pStyle w:val="Compact"/>
        <w:numPr>
          <w:ilvl w:val="0"/>
          <w:numId w:val="1455"/>
        </w:numPr>
      </w:pPr>
      <w:r>
        <w:t xml:space="preserve">CBT and SSRIs result in significant improvement in most patients.</w:t>
      </w:r>
    </w:p>
    <w:p>
      <w:pPr>
        <w:pStyle w:val="Compact"/>
        <w:numPr>
          <w:ilvl w:val="0"/>
          <w:numId w:val="1455"/>
        </w:numPr>
      </w:pPr>
      <w:r>
        <w:t xml:space="preserve">Early onset and avoidant personality comorbidity as a poor prognosis marker.</w:t>
      </w:r>
    </w:p>
    <w:bookmarkEnd w:id="958"/>
    <w:bookmarkStart w:id="967" w:name="Xd74344ca8db682a6cf38b636fec9ec36396314e"/>
    <w:p>
      <w:pPr>
        <w:pStyle w:val="Heading3"/>
      </w:pPr>
      <w:r>
        <w:t xml:space="preserve">10. Myths and misconceptions</w:t>
      </w:r>
    </w:p>
    <w:bookmarkStart w:id="959" w:name="X56a185cb4632daefc4d5c9410b1cfdc53c44e0d"/>
    <w:p>
      <w:pPr>
        <w:pStyle w:val="Heading5"/>
      </w:pPr>
      <w:r>
        <w:t xml:space="preserve">Myth 1: “Social anxiety — ordinary ‘shyness about life’, does not require treatment”</w:t>
      </w:r>
    </w:p>
    <w:p>
      <w:pPr>
        <w:pStyle w:val="FirstParagraph"/>
      </w:pPr>
      <w:r>
        <w:t xml:space="preserve">Evidence: Social anxiety disorder is associated with functional impairment, academic and occupational limitations, risk of depression and alcohol use; it is evaluated as a medical condition.</w:t>
      </w:r>
    </w:p>
    <w:bookmarkEnd w:id="959"/>
    <w:bookmarkStart w:id="960" w:name="X28e820792b818c9de8dbec0843572da994fdb6e"/>
    <w:p>
      <w:pPr>
        <w:pStyle w:val="Heading5"/>
      </w:pPr>
      <w:r>
        <w:t xml:space="preserve">Myth 2: “The patient can live a normal life by completely avoiding social situations”</w:t>
      </w:r>
    </w:p>
    <w:p>
      <w:pPr>
        <w:pStyle w:val="FirstParagraph"/>
      </w:pPr>
      <w:r>
        <w:t xml:space="preserve">Evidence: Avoidance strengthens the symptoms and leads to isolation; exposure is the main therapeutic mechanism.</w:t>
      </w:r>
    </w:p>
    <w:bookmarkEnd w:id="960"/>
    <w:bookmarkStart w:id="961" w:name="myth-3-alcohol-treats-social-anxiety"/>
    <w:p>
      <w:pPr>
        <w:pStyle w:val="Heading5"/>
      </w:pPr>
      <w:r>
        <w:t xml:space="preserve">Myth 3: “Alcohol ‘treats’ social anxiety”</w:t>
      </w:r>
    </w:p>
    <w:p>
      <w:pPr>
        <w:pStyle w:val="FirstParagraph"/>
      </w:pPr>
      <w:r>
        <w:t xml:space="preserve">Evidence: Alcohol provides short-term relief but long-term exacerbates distress and leads to alcohol use disorder; prevalence of this combination is 20–40%.</w:t>
      </w:r>
    </w:p>
    <w:bookmarkEnd w:id="961"/>
    <w:bookmarkStart w:id="962" w:name="X5190fed71736f426254e23b04da766bd05e2556"/>
    <w:p>
      <w:pPr>
        <w:pStyle w:val="Heading5"/>
      </w:pPr>
      <w:r>
        <w:t xml:space="preserve">Myth 4: “Benzodiazepines are effective long-term for social anxiety”</w:t>
      </w:r>
    </w:p>
    <w:p>
      <w:pPr>
        <w:pStyle w:val="FirstParagraph"/>
      </w:pPr>
      <w:r>
        <w:t xml:space="preserve">Evidence: Short-term effect; addiction potential; CBT or SSRIs superior.</w:t>
      </w:r>
    </w:p>
    <w:bookmarkEnd w:id="962"/>
    <w:bookmarkStart w:id="963" w:name="X07c649c0ca409c3b154c2729d7eef440f34b51d"/>
    <w:p>
      <w:pPr>
        <w:pStyle w:val="Heading5"/>
      </w:pPr>
      <w:r>
        <w:t xml:space="preserve">Myth 5: “Propranolol is effective for all forms of social anxiety”</w:t>
      </w:r>
    </w:p>
    <w:p>
      <w:pPr>
        <w:pStyle w:val="FirstParagraph"/>
      </w:pPr>
      <w:r>
        <w:t xml:space="preserve">Evidence: propranolol is effective only in the performance subtype (before a performance); it is ineffective in social interaction (parties, relationships).</w:t>
      </w:r>
    </w:p>
    <w:bookmarkEnd w:id="963"/>
    <w:bookmarkStart w:id="964" w:name="X45c02fe935712928a971fa24562f3000dc6d44c"/>
    <w:p>
      <w:pPr>
        <w:pStyle w:val="Heading5"/>
      </w:pPr>
      <w:r>
        <w:t xml:space="preserve">Myth 6: “The patient has avoidant personality disorder, so treatment is unresponsive”</w:t>
      </w:r>
    </w:p>
    <w:p>
      <w:pPr>
        <w:pStyle w:val="FirstParagraph"/>
      </w:pPr>
      <w:r>
        <w:t xml:space="preserve">Evidence: Comorbid avoidant personality patient may also respond to standard interventions; long-term CBT or schema therapy.</w:t>
      </w:r>
    </w:p>
    <w:bookmarkEnd w:id="964"/>
    <w:bookmarkStart w:id="965" w:name="X1b870db6fde74bfc41d85ad998072604e1b7786"/>
    <w:p>
      <w:pPr>
        <w:pStyle w:val="Heading5"/>
      </w:pPr>
      <w:r>
        <w:t xml:space="preserve">Myth 7: “Only hypnotherapy or NLP cures quickly”</w:t>
      </w:r>
    </w:p>
    <w:p>
      <w:pPr>
        <w:pStyle w:val="FirstParagraph"/>
      </w:pPr>
      <w:r>
        <w:t xml:space="preserve">Evidence: No evidence base; CBT and SSRIs are gold standard.</w:t>
      </w:r>
    </w:p>
    <w:bookmarkEnd w:id="965"/>
    <w:bookmarkStart w:id="966" w:name="Xe7f4d1d69a79a34b829745330f481726af59bab"/>
    <w:p>
      <w:pPr>
        <w:pStyle w:val="Heading5"/>
      </w:pPr>
      <w:r>
        <w:t xml:space="preserve">Myth 8: “Cannabis (CBD) is a safe alternative for social anxiety”</w:t>
      </w:r>
    </w:p>
    <w:p>
      <w:pPr>
        <w:pStyle w:val="FirstParagraph"/>
      </w:pPr>
      <w:r>
        <w:t xml:space="preserve">Evidence: initial studies exist, but insufficient for clinical recommendation; THC may worsen distress.</w:t>
      </w:r>
    </w:p>
    <w:bookmarkEnd w:id="966"/>
    <w:bookmarkEnd w:id="967"/>
    <w:bookmarkStart w:id="2980" w:name="Xc0daf5ff732616d1bf731fa9f9e3b355ec83aa3"/>
    <w:p>
      <w:pPr>
        <w:pStyle w:val="Heading3"/>
      </w:pPr>
      <w:r>
        <w:t xml:space="preserve">11. Sources</w:t>
      </w:r>
    </w:p>
    <w:p>
      <w:pPr>
        <w:pStyle w:val="Compact"/>
        <w:numPr>
          <w:ilvl w:val="0"/>
          <w:numId w:val="1456"/>
        </w:numPr>
      </w:pPr>
      <w:r>
        <w:t xml:space="preserve">WHO. ICD-11. 6B04 Social anxiety disorder. 2024.</w:t>
      </w:r>
    </w:p>
    <w:p>
      <w:pPr>
        <w:pStyle w:val="Compact"/>
        <w:numPr>
          <w:ilvl w:val="0"/>
          <w:numId w:val="1456"/>
        </w:numPr>
      </w:pPr>
      <w:r>
        <w:t xml:space="preserve">APA. DSM-5-TR. 2022.</w:t>
      </w:r>
    </w:p>
    <w:p>
      <w:pPr>
        <w:pStyle w:val="Compact"/>
        <w:numPr>
          <w:ilvl w:val="0"/>
          <w:numId w:val="1456"/>
        </w:numPr>
      </w:pPr>
      <w:r>
        <w:t xml:space="preserve">NICE CG159. Social anxiety disorder: recognition, assessment and treatment. 2013.</w:t>
      </w:r>
    </w:p>
    <w:p>
      <w:pPr>
        <w:pStyle w:val="Compact"/>
        <w:numPr>
          <w:ilvl w:val="0"/>
          <w:numId w:val="1456"/>
        </w:numPr>
      </w:pPr>
      <w:r>
        <w:t xml:space="preserve">Katzman M.A. et al. CANMAT 2014. BMC Psychiatry 2014;14(Suppl 1):S1.</w:t>
      </w:r>
    </w:p>
    <w:p>
      <w:pPr>
        <w:pStyle w:val="Compact"/>
        <w:numPr>
          <w:ilvl w:val="0"/>
          <w:numId w:val="145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56"/>
        </w:numPr>
      </w:pPr>
      <w:r>
        <w:t xml:space="preserve">Clark D.M., Ehlers A., McManus F. et al. Cognitive therapy versus fluoxetine in generalized social phobia: a randomized placebo-controlled trial. J Consult Clin Psychol 2003;71(6):1058–1067.</w:t>
      </w:r>
    </w:p>
    <w:p>
      <w:pPr>
        <w:pStyle w:val="Compact"/>
        <w:numPr>
          <w:ilvl w:val="0"/>
          <w:numId w:val="1456"/>
        </w:numPr>
      </w:pPr>
      <w:r>
        <w:t xml:space="preserve">Liebowitz M.R. Social phobia. Mod Probl Pharmacopsychiatry 1987;22:141–173.</w:t>
      </w:r>
    </w:p>
    <w:p>
      <w:pPr>
        <w:pStyle w:val="Compact"/>
        <w:numPr>
          <w:ilvl w:val="0"/>
          <w:numId w:val="1456"/>
        </w:numPr>
      </w:pPr>
      <w:r>
        <w:t xml:space="preserve">Heimberg R.G., Becker R.E. Cognitive-Behavioral Group Therapy for Social Phobia. New York: Guilford Press, 2002.</w:t>
      </w:r>
    </w:p>
    <w:p>
      <w:pPr>
        <w:pStyle w:val="Compact"/>
        <w:numPr>
          <w:ilvl w:val="0"/>
          <w:numId w:val="1456"/>
        </w:numPr>
      </w:pPr>
      <w:r>
        <w:t xml:space="preserve">Kagan J., Reznick J.S., Snidman N. Biological bases of childhood shyness. Science 1988;240(4849):167–171.</w:t>
      </w:r>
    </w:p>
    <w:p>
      <w:pPr>
        <w:pStyle w:val="Compact"/>
        <w:numPr>
          <w:ilvl w:val="0"/>
          <w:numId w:val="1456"/>
        </w:numPr>
      </w:pPr>
      <w:r>
        <w:t xml:space="preserve">Wells A. Metacognitive Therapy for Anxiety and Depression. New York: Guilford Press, 2009.</w:t>
      </w:r>
    </w:p>
    <w:p>
      <w:pPr>
        <w:pStyle w:val="Compact"/>
        <w:numPr>
          <w:ilvl w:val="0"/>
          <w:numId w:val="1456"/>
        </w:numPr>
      </w:pPr>
      <w:r>
        <w:t xml:space="preserve">Andersson G., Cuijpers P., Carlbring P. et al. Guided internet-based vs. face-to-face cognitive behaviour therapy for psychiatric and somatic disorders: a systematic review and meta-analysis. World Psychiatry 2014;13(3):288–295.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68" w:name="m336b05-separation-anxiety-disorder"/>
            <w:r>
              <w:t xml:space="preserve">6B05 SEPARATION ANXIETY DISORDER</w:t>
            </w:r>
            <w:bookmarkEnd w:id="968"/>
          </w:p>
          <w:p>
            <w:pPr>
              <w:pStyle w:val="Compact"/>
              <w:ind w:firstLine="0" w:left="0"/>
            </w:pPr>
            <w:r>
              <w:rPr>
                <w:lang w:val="en"/>
              </w:rPr>
              <w:t xml:space="preserve">Separation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Separation anxiety disorder of childhood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Separation Anxiety Disorder</w:t>
            </w:r>
          </w:p>
        </w:tc>
      </w:tr>
    </w:tbl>
    <w:bookmarkStart w:id="969" w:name="Xcfecfba1dc57eeee277a7a29f5b2c10278b72a0"/>
    <w:p>
      <w:pPr>
        <w:pStyle w:val="Heading3"/>
      </w:pPr>
      <w:r>
        <w:t xml:space="preserve">1. Definition and nosology</w:t>
      </w:r>
    </w:p>
    <w:p>
      <w:pPr>
        <w:pStyle w:val="FirstParagraph"/>
      </w:pPr>
      <w:r>
        <w:t xml:space="preserve">Separation anxiety disorder (ICD-11:</w:t>
      </w:r>
      <w:r>
        <w:t xml:space="preserve"> </w:t>
      </w:r>
      <w:r>
        <w:t xml:space="preserve">6B05</w:t>
      </w:r>
      <w:r>
        <w:t xml:space="preserve">; DSM-5-TR: F93.0) — developmentally inappropriate excessive fear and anxiety related to separation from an attachment figure (typically parent) or home. First diagnosable in adults in DSM-5 (limited to childhood in DSM-IV).</w:t>
      </w:r>
    </w:p>
    <w:bookmarkEnd w:id="969"/>
    <w:bookmarkStart w:id="970" w:name="X074e8018577e55a3d3c296890e74c6e20a01d1f"/>
    <w:p>
      <w:pPr>
        <w:pStyle w:val="Heading3"/>
      </w:pPr>
      <w:r>
        <w:t xml:space="preserve">2. History</w:t>
      </w:r>
    </w:p>
    <w:p>
      <w:pPr>
        <w:pStyle w:val="Compact"/>
        <w:numPr>
          <w:ilvl w:val="0"/>
          <w:numId w:val="1457"/>
        </w:numPr>
      </w:pPr>
      <w:r>
        <w:t xml:space="preserve">Bowlby J. (1969–1980) — attachment theory.</w:t>
      </w:r>
    </w:p>
    <w:p>
      <w:pPr>
        <w:pStyle w:val="Compact"/>
        <w:numPr>
          <w:ilvl w:val="0"/>
          <w:numId w:val="1457"/>
        </w:numPr>
      </w:pPr>
      <w:r>
        <w:t xml:space="preserve">DSM-III (1980) — As a childhood disorder.</w:t>
      </w:r>
    </w:p>
    <w:p>
      <w:pPr>
        <w:pStyle w:val="Compact"/>
        <w:numPr>
          <w:ilvl w:val="0"/>
          <w:numId w:val="1457"/>
        </w:numPr>
      </w:pPr>
      <w:r>
        <w:t xml:space="preserve">DSM-5 (2013) — age restriction removed; diagnosis possible in adults as well.</w:t>
      </w:r>
    </w:p>
    <w:bookmarkEnd w:id="970"/>
    <w:bookmarkStart w:id="971" w:name="Xad68e4b48fdeb10f7d07eeedc46c9e683a869f7"/>
    <w:p>
      <w:pPr>
        <w:pStyle w:val="Heading3"/>
      </w:pPr>
      <w:r>
        <w:t xml:space="preserve">3. Epidemiology</w:t>
      </w:r>
    </w:p>
    <w:p>
      <w:pPr>
        <w:pStyle w:val="Compact"/>
        <w:numPr>
          <w:ilvl w:val="0"/>
          <w:numId w:val="1458"/>
        </w:numPr>
      </w:pPr>
      <w:r>
        <w:t xml:space="preserve">Prevalence in children: ~4%; in adolescents ~1.6%; in adults ~1.9% (Kessler R.C. NCS-R).</w:t>
      </w:r>
    </w:p>
    <w:p>
      <w:pPr>
        <w:pStyle w:val="Compact"/>
        <w:numPr>
          <w:ilvl w:val="0"/>
          <w:numId w:val="1458"/>
        </w:numPr>
      </w:pPr>
      <w:r>
        <w:t xml:space="preserve">Sex: relatively higher in females.</w:t>
      </w:r>
    </w:p>
    <w:p>
      <w:pPr>
        <w:pStyle w:val="Compact"/>
        <w:numPr>
          <w:ilvl w:val="0"/>
          <w:numId w:val="1458"/>
        </w:numPr>
      </w:pPr>
      <w:r>
        <w:t xml:space="preserve">Onset: typical childhood (6–9 years); may recur or persist in adult form.</w:t>
      </w:r>
    </w:p>
    <w:p>
      <w:pPr>
        <w:pStyle w:val="Compact"/>
        <w:numPr>
          <w:ilvl w:val="0"/>
          <w:numId w:val="1458"/>
        </w:numPr>
      </w:pPr>
      <w:r>
        <w:t xml:space="preserve">Comorbidity: specific phobia, panic, GAD, MDD, school avoidance.</w:t>
      </w:r>
    </w:p>
    <w:bookmarkEnd w:id="971"/>
    <w:bookmarkStart w:id="972" w:name="Xe453730415ae4aac27335aa0e77565cbdce47e5"/>
    <w:p>
      <w:pPr>
        <w:pStyle w:val="Heading3"/>
      </w:pPr>
      <w:r>
        <w:t xml:space="preserve">4. Aetiology and pathogenesis</w:t>
      </w:r>
    </w:p>
    <w:p>
      <w:pPr>
        <w:pStyle w:val="Compact"/>
        <w:numPr>
          <w:ilvl w:val="0"/>
          <w:numId w:val="1459"/>
        </w:numPr>
      </w:pPr>
      <w:r>
        <w:t xml:space="preserve">Heritability ~40%.</w:t>
      </w:r>
    </w:p>
    <w:p>
      <w:pPr>
        <w:pStyle w:val="Compact"/>
        <w:numPr>
          <w:ilvl w:val="0"/>
          <w:numId w:val="1459"/>
        </w:numPr>
      </w:pPr>
      <w:r>
        <w:t xml:space="preserve">Attachment styles (insecure attachment), parental overprotection.</w:t>
      </w:r>
    </w:p>
    <w:p>
      <w:pPr>
        <w:pStyle w:val="Compact"/>
        <w:numPr>
          <w:ilvl w:val="0"/>
          <w:numId w:val="1459"/>
        </w:numPr>
      </w:pPr>
      <w:r>
        <w:t xml:space="preserve">History of loss or illness in relatives.</w:t>
      </w:r>
    </w:p>
    <w:p>
      <w:pPr>
        <w:pStyle w:val="Compact"/>
        <w:numPr>
          <w:ilvl w:val="0"/>
          <w:numId w:val="1459"/>
        </w:numPr>
      </w:pPr>
      <w:r>
        <w:t xml:space="preserve">Stressful events (moving, school change, parental separation).</w:t>
      </w:r>
    </w:p>
    <w:bookmarkEnd w:id="972"/>
    <w:bookmarkStart w:id="973" w:name="X75bb83801f3a0088bb8d36845e0e431f176806f"/>
    <w:p>
      <w:pPr>
        <w:pStyle w:val="Heading3"/>
      </w:pPr>
      <w:r>
        <w:t xml:space="preserve">5. Clinical features</w:t>
      </w:r>
    </w:p>
    <w:p>
      <w:pPr>
        <w:pStyle w:val="Compact"/>
        <w:numPr>
          <w:ilvl w:val="0"/>
          <w:numId w:val="1460"/>
        </w:numPr>
      </w:pPr>
      <w:r>
        <w:t xml:space="preserve">Excessive worry about harm or loss to the attachment figure.</w:t>
      </w:r>
    </w:p>
    <w:p>
      <w:pPr>
        <w:pStyle w:val="Compact"/>
        <w:numPr>
          <w:ilvl w:val="0"/>
          <w:numId w:val="1460"/>
        </w:numPr>
      </w:pPr>
      <w:r>
        <w:t xml:space="preserve">Avoidance of leaving home or separating from attachment figure.</w:t>
      </w:r>
    </w:p>
    <w:p>
      <w:pPr>
        <w:pStyle w:val="Compact"/>
        <w:numPr>
          <w:ilvl w:val="0"/>
          <w:numId w:val="1460"/>
        </w:numPr>
      </w:pPr>
      <w:r>
        <w:t xml:space="preserve">Fear of being alone.</w:t>
      </w:r>
    </w:p>
    <w:p>
      <w:pPr>
        <w:pStyle w:val="Compact"/>
        <w:numPr>
          <w:ilvl w:val="0"/>
          <w:numId w:val="1460"/>
        </w:numPr>
      </w:pPr>
      <w:r>
        <w:t xml:space="preserve">Persistent reluctance or refusal to sleep away from home or to go to sleep without the attachment figure nearby (own bedroom, unfamiliar house).</w:t>
      </w:r>
    </w:p>
    <w:p>
      <w:pPr>
        <w:pStyle w:val="Compact"/>
        <w:numPr>
          <w:ilvl w:val="0"/>
          <w:numId w:val="1460"/>
        </w:numPr>
      </w:pPr>
      <w:r>
        <w:t xml:space="preserve">Nightmares about separation.</w:t>
      </w:r>
    </w:p>
    <w:p>
      <w:pPr>
        <w:pStyle w:val="Compact"/>
        <w:numPr>
          <w:ilvl w:val="0"/>
          <w:numId w:val="1460"/>
        </w:numPr>
      </w:pPr>
      <w:r>
        <w:t xml:space="preserve">Somatic complaints in anticipation of separation (abdominal pain, headache, nausea).</w:t>
      </w:r>
    </w:p>
    <w:p>
      <w:pPr>
        <w:pStyle w:val="Compact"/>
        <w:numPr>
          <w:ilvl w:val="0"/>
          <w:numId w:val="1460"/>
        </w:numPr>
      </w:pPr>
      <w:r>
        <w:t xml:space="preserve">In children — school avoidance.</w:t>
      </w:r>
    </w:p>
    <w:p>
      <w:pPr>
        <w:pStyle w:val="Compact"/>
        <w:numPr>
          <w:ilvl w:val="0"/>
          <w:numId w:val="1460"/>
        </w:numPr>
      </w:pPr>
      <w:r>
        <w:t xml:space="preserve">In adults — fear of separation from partner or children, excessive checking behaviors.</w:t>
      </w:r>
    </w:p>
    <w:bookmarkEnd w:id="973"/>
    <w:bookmarkStart w:id="978" w:name="X0cf3e2f25154b98048cc3014b42dc88cf95fc9c"/>
    <w:p>
      <w:pPr>
        <w:pStyle w:val="Heading3"/>
      </w:pPr>
      <w:r>
        <w:t xml:space="preserve">6. Diagnosis</w:t>
      </w:r>
    </w:p>
    <w:bookmarkStart w:id="974" w:name="unified-diagnostic-criteria-8"/>
    <w:p>
      <w:pPr>
        <w:pStyle w:val="Heading4"/>
      </w:pPr>
      <w:r>
        <w:t xml:space="preserve">6.1 Unified diagnostic criteria</w:t>
      </w:r>
    </w:p>
    <w:p>
      <w:pPr>
        <w:pStyle w:val="FirstParagraph"/>
      </w:pPr>
      <w:r>
        <w:t xml:space="preserve">A. ≥ 3 of the following symptoms:</w:t>
      </w:r>
    </w:p>
    <w:p>
      <w:pPr>
        <w:pStyle w:val="Compact"/>
        <w:numPr>
          <w:ilvl w:val="0"/>
          <w:numId w:val="1461"/>
        </w:numPr>
      </w:pPr>
      <w:r>
        <w:t xml:space="preserve">Excessive anxiety about separation from the attachment figure or anticipation thereof;</w:t>
      </w:r>
    </w:p>
    <w:p>
      <w:pPr>
        <w:pStyle w:val="Compact"/>
        <w:numPr>
          <w:ilvl w:val="0"/>
          <w:numId w:val="1461"/>
        </w:numPr>
      </w:pPr>
      <w:r>
        <w:t xml:space="preserve">Persistent worry about loss or harm to the attachment figure;</w:t>
      </w:r>
    </w:p>
    <w:p>
      <w:pPr>
        <w:pStyle w:val="Compact"/>
        <w:numPr>
          <w:ilvl w:val="0"/>
          <w:numId w:val="1461"/>
        </w:numPr>
      </w:pPr>
      <w:r>
        <w:t xml:space="preserve">Fear of an event that would cause separation from the attachment figure;</w:t>
      </w:r>
    </w:p>
    <w:p>
      <w:pPr>
        <w:pStyle w:val="Compact"/>
        <w:numPr>
          <w:ilvl w:val="0"/>
          <w:numId w:val="1461"/>
        </w:numPr>
      </w:pPr>
      <w:r>
        <w:t xml:space="preserve">Avoidance of home, school, or work due to fear of separation;</w:t>
      </w:r>
    </w:p>
    <w:p>
      <w:pPr>
        <w:pStyle w:val="Compact"/>
        <w:numPr>
          <w:ilvl w:val="0"/>
          <w:numId w:val="1461"/>
        </w:numPr>
      </w:pPr>
      <w:r>
        <w:t xml:space="preserve">Fear of being alone without the attachment figure;</w:t>
      </w:r>
    </w:p>
    <w:p>
      <w:pPr>
        <w:pStyle w:val="Compact"/>
        <w:numPr>
          <w:ilvl w:val="0"/>
          <w:numId w:val="1461"/>
        </w:numPr>
      </w:pPr>
      <w:r>
        <w:t xml:space="preserve">Reluctance to go to sleep without the attachment figure nearby;</w:t>
      </w:r>
    </w:p>
    <w:p>
      <w:pPr>
        <w:pStyle w:val="Compact"/>
        <w:numPr>
          <w:ilvl w:val="0"/>
          <w:numId w:val="1461"/>
        </w:numPr>
      </w:pPr>
      <w:r>
        <w:t xml:space="preserve">Separation nightmares;</w:t>
      </w:r>
    </w:p>
    <w:p>
      <w:pPr>
        <w:pStyle w:val="Compact"/>
        <w:numPr>
          <w:ilvl w:val="0"/>
          <w:numId w:val="1461"/>
        </w:numPr>
      </w:pPr>
      <w:r>
        <w:t xml:space="preserve">Somatic complaints in anticipation of separation.</w:t>
      </w:r>
    </w:p>
    <w:p>
      <w:pPr>
        <w:pStyle w:val="FirstParagraph"/>
      </w:pPr>
      <w:r>
        <w:t xml:space="preserve">B. Duration: children/adolescents ≥ 4 weeks; adults ≥ 6 months.</w:t>
      </w:r>
    </w:p>
    <w:p>
      <w:pPr>
        <w:pStyle w:val="BodyText"/>
      </w:pPr>
      <w:r>
        <w:t xml:space="preserve">C. Significant distress or functional impairment.</w:t>
      </w:r>
    </w:p>
    <w:p>
      <w:pPr>
        <w:pStyle w:val="BodyText"/>
      </w:pPr>
      <w:r>
        <w:t xml:space="preserve">D. Not better explained by another mental disorder.</w:t>
      </w:r>
    </w:p>
    <w:bookmarkEnd w:id="974"/>
    <w:bookmarkStart w:id="975" w:name="differences-between-sources-41"/>
    <w:p>
      <w:pPr>
        <w:pStyle w:val="Heading4"/>
      </w:pPr>
      <w:r>
        <w:t xml:space="preserve">6.2 Differences between sources</w:t>
      </w:r>
    </w:p>
    <w:p>
      <w:pPr>
        <w:pStyle w:val="Compact"/>
        <w:numPr>
          <w:ilvl w:val="0"/>
          <w:numId w:val="1462"/>
        </w:numPr>
      </w:pPr>
      <w:r>
        <w:t xml:space="preserve">DSM-5-TR — duration ≥6 months in adults; ≥4 weeks in children.</w:t>
      </w:r>
    </w:p>
    <w:p>
      <w:pPr>
        <w:pStyle w:val="Compact"/>
        <w:numPr>
          <w:ilvl w:val="0"/>
          <w:numId w:val="1462"/>
        </w:numPr>
      </w:pPr>
      <w:r>
        <w:t xml:space="preserve">ICD-11 — a different duration: “at least several months”; there is no DSM-5-TR split into 4 weeks for children and 6 months for adults, and no separate age qualifier.</w:t>
      </w:r>
    </w:p>
    <w:bookmarkEnd w:id="975"/>
    <w:bookmarkStart w:id="976" w:name="diagnostic-algorithm-25"/>
    <w:p>
      <w:pPr>
        <w:pStyle w:val="Heading4"/>
      </w:pPr>
      <w:r>
        <w:t xml:space="preserve">6.3 Diagnostic algorithm</w:t>
      </w:r>
    </w:p>
    <w:p>
      <w:pPr>
        <w:pStyle w:val="Compact"/>
        <w:numPr>
          <w:ilvl w:val="0"/>
          <w:numId w:val="1463"/>
        </w:numPr>
      </w:pPr>
      <w:r>
        <w:t xml:space="preserve">Clinical interview (also with parent in children).</w:t>
      </w:r>
    </w:p>
    <w:p>
      <w:pPr>
        <w:pStyle w:val="Compact"/>
        <w:numPr>
          <w:ilvl w:val="0"/>
          <w:numId w:val="1463"/>
        </w:numPr>
      </w:pPr>
      <w:r>
        <w:t xml:space="preserve">Standardized interview (K-SADS for children, SCID-5 for adults).</w:t>
      </w:r>
    </w:p>
    <w:p>
      <w:pPr>
        <w:pStyle w:val="Compact"/>
        <w:numPr>
          <w:ilvl w:val="0"/>
          <w:numId w:val="1463"/>
        </w:numPr>
      </w:pPr>
      <w:r>
        <w:t xml:space="preserve">Scale — SAAS (Separation Anxiety Assessment Scale).</w:t>
      </w:r>
    </w:p>
    <w:p>
      <w:pPr>
        <w:pStyle w:val="Compact"/>
        <w:numPr>
          <w:ilvl w:val="0"/>
          <w:numId w:val="1463"/>
        </w:numPr>
      </w:pPr>
      <w:r>
        <w:t xml:space="preserve">Comorbidity screening.</w:t>
      </w:r>
    </w:p>
    <w:bookmarkEnd w:id="976"/>
    <w:bookmarkStart w:id="977" w:name="differential-diagnosis-2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domains of worry.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evaluation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Agoraphobia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Avoidance of situations with difficult escape.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Attack is unexpected.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Selective mutism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Failure to speak in specific contexts.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 (school avoidance)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Antisocial behavior component.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Avoidant personality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pattern across all relationships.</w:t>
            </w:r>
          </w:p>
        </w:tc>
      </w:tr>
    </w:tbl>
    <w:bookmarkEnd w:id="977"/>
    <w:bookmarkEnd w:id="978"/>
    <w:bookmarkStart w:id="979" w:name="Xbb1add4df10daea3b1f7613a18e758d185a3d67"/>
    <w:p>
      <w:pPr>
        <w:pStyle w:val="Heading3"/>
      </w:pPr>
      <w:r>
        <w:t xml:space="preserve">7. Examination and assessment</w:t>
      </w:r>
    </w:p>
    <w:p>
      <w:pPr>
        <w:pStyle w:val="Compact"/>
        <w:numPr>
          <w:ilvl w:val="0"/>
          <w:numId w:val="1464"/>
        </w:numPr>
      </w:pPr>
      <w:r>
        <w:t xml:space="preserve">SAAS, K-SADS, MASC (Multidimensional Anxiety Scale for Children).</w:t>
      </w:r>
    </w:p>
    <w:p>
      <w:pPr>
        <w:pStyle w:val="Compact"/>
        <w:numPr>
          <w:ilvl w:val="0"/>
          <w:numId w:val="1464"/>
        </w:numPr>
      </w:pPr>
      <w:r>
        <w:t xml:space="preserve">Comorbidity (depression, other anxiety).</w:t>
      </w:r>
    </w:p>
    <w:bookmarkEnd w:id="979"/>
    <w:bookmarkStart w:id="982" w:name="X44680ab79a9a0444319eddb43171c0279e8bb17"/>
    <w:p>
      <w:pPr>
        <w:pStyle w:val="Heading3"/>
      </w:pPr>
      <w:r>
        <w:t xml:space="preserve">8. Treatment</w:t>
      </w:r>
    </w:p>
    <w:p>
      <w:pPr>
        <w:pStyle w:val="Compact"/>
        <w:numPr>
          <w:ilvl w:val="0"/>
          <w:numId w:val="1465"/>
        </w:numPr>
      </w:pPr>
      <w:r>
        <w:t xml:space="preserve">CBT (Coping Cat, FRIENDS programs for children; standard CBT for adults) — exposure-based, parental involvement critical in children. First-line.</w:t>
      </w:r>
    </w:p>
    <w:p>
      <w:pPr>
        <w:pStyle w:val="Compact"/>
        <w:numPr>
          <w:ilvl w:val="0"/>
          <w:numId w:val="1465"/>
        </w:numPr>
      </w:pPr>
      <w:r>
        <w:t xml:space="preserve">SSRIs — in moderate-to-severe cases or when CBT fails; sertraline, fluoxetine (in children).</w:t>
      </w:r>
    </w:p>
    <w:p>
      <w:pPr>
        <w:pStyle w:val="Compact"/>
        <w:numPr>
          <w:ilvl w:val="0"/>
          <w:numId w:val="1465"/>
        </w:numPr>
      </w:pPr>
      <w:r>
        <w:t xml:space="preserve">School return programs (school refusal) — graded exposure.</w:t>
      </w:r>
    </w:p>
    <w:p>
      <w:pPr>
        <w:pStyle w:val="Compact"/>
        <w:numPr>
          <w:ilvl w:val="0"/>
          <w:numId w:val="1465"/>
        </w:numPr>
      </w:pPr>
      <w:r>
        <w:t xml:space="preserve">Family involvement — parental psychoeducation, avoidance of frequent phone calls/visits (accommodation strengthens symptoms).</w:t>
      </w:r>
    </w:p>
    <w:bookmarkStart w:id="980" w:name="treatment-methods-25"/>
    <w:p>
      <w:pPr>
        <w:pStyle w:val="Heading4"/>
      </w:pPr>
      <w:r>
        <w:t xml:space="preserve">8.1 Treatment methods</w:t>
      </w:r>
    </w:p>
    <w:p>
      <w:pPr>
        <w:pStyle w:val="Compact"/>
        <w:numPr>
          <w:ilvl w:val="0"/>
          <w:numId w:val="1466"/>
        </w:numPr>
      </w:pPr>
      <w:r>
        <w:t xml:space="preserve">“Coping Cat” program — Kendall (Kendall P.C.) — Manualized CBT for children aged 7–17 years – 16 sessions, psychoeducation + relaxation + exposure + reward system (FEAR plan).</w:t>
      </w:r>
    </w:p>
    <w:p>
      <w:pPr>
        <w:pStyle w:val="Compact"/>
        <w:numPr>
          <w:ilvl w:val="0"/>
          <w:numId w:val="1466"/>
        </w:numPr>
      </w:pPr>
      <w:r>
        <w:t xml:space="preserve">FRIENDS Program — Barrett (Barrett P.M.) — In Australia, developed group CBT for child and adolescent anxiety disorders.</w:t>
      </w:r>
    </w:p>
    <w:p>
      <w:pPr>
        <w:pStyle w:val="Compact"/>
        <w:numPr>
          <w:ilvl w:val="0"/>
          <w:numId w:val="1466"/>
        </w:numPr>
      </w:pPr>
      <w:r>
        <w:t xml:space="preserve">Stepped School Return — Structured exposure — child gradually returns to school environment; coordination of parent and school staff.</w:t>
      </w:r>
    </w:p>
    <w:p>
      <w:pPr>
        <w:pStyle w:val="Compact"/>
        <w:numPr>
          <w:ilvl w:val="0"/>
          <w:numId w:val="1466"/>
        </w:numPr>
      </w:pPr>
      <w:r>
        <w:t xml:space="preserve">Parental Accommodation Reduction — SPACE (Supportive Parenting for Anxious Childhood Emotions — Lebowitz E.) program — modifying parental accommodation of child's anxiety.</w:t>
      </w:r>
    </w:p>
    <w:bookmarkEnd w:id="980"/>
    <w:bookmarkStart w:id="981" w:name="differences-between-sources-42"/>
    <w:p>
      <w:pPr>
        <w:pStyle w:val="Heading4"/>
      </w:pPr>
      <w:r>
        <w:t xml:space="preserve">8.2 Differences between sources</w:t>
      </w:r>
    </w:p>
    <w:p>
      <w:pPr>
        <w:pStyle w:val="Compact"/>
        <w:numPr>
          <w:ilvl w:val="0"/>
          <w:numId w:val="1467"/>
        </w:numPr>
      </w:pPr>
      <w:r>
        <w:t xml:space="preserve">AACAP Practice Parameter (Connolly S.D., Bernstein G.A. 2007) — CBT and SSRIs effective in children.</w:t>
      </w:r>
    </w:p>
    <w:p>
      <w:pPr>
        <w:pStyle w:val="Compact"/>
        <w:numPr>
          <w:ilvl w:val="0"/>
          <w:numId w:val="1467"/>
        </w:numPr>
      </w:pPr>
      <w:r>
        <w:t xml:space="preserve">NICE — general guidelines for childhood anxiety (CBT first-line).</w:t>
      </w:r>
    </w:p>
    <w:p>
      <w:pPr>
        <w:pStyle w:val="Compact"/>
        <w:numPr>
          <w:ilvl w:val="0"/>
          <w:numId w:val="1467"/>
        </w:numPr>
      </w:pPr>
      <w:r>
        <w:t xml:space="preserve">Walkup J.T. et al. NEJM 2008 (CAMS — Child/Adolescent Anxiety Multimodal Study) — CBT + sertraline combination superior to monotherapy.</w:t>
      </w:r>
    </w:p>
    <w:bookmarkEnd w:id="981"/>
    <w:bookmarkEnd w:id="982"/>
    <w:bookmarkStart w:id="983" w:name="X0a8f348a7fd95e85284a56b845b79ee8a1747ce"/>
    <w:p>
      <w:pPr>
        <w:pStyle w:val="Heading3"/>
      </w:pPr>
      <w:r>
        <w:t xml:space="preserve">9. Prognosis</w:t>
      </w:r>
    </w:p>
    <w:p>
      <w:pPr>
        <w:pStyle w:val="Compact"/>
        <w:numPr>
          <w:ilvl w:val="0"/>
          <w:numId w:val="1468"/>
        </w:numPr>
      </w:pPr>
      <w:r>
        <w:t xml:space="preserve">Remission in most children with early CBT.</w:t>
      </w:r>
    </w:p>
    <w:p>
      <w:pPr>
        <w:pStyle w:val="Compact"/>
        <w:numPr>
          <w:ilvl w:val="0"/>
          <w:numId w:val="1468"/>
        </w:numPr>
      </w:pPr>
      <w:r>
        <w:t xml:space="preserve">Without treatment, continuation in adulthood leads to risk of other anxiety disorders and depression.</w:t>
      </w:r>
    </w:p>
    <w:bookmarkEnd w:id="983"/>
    <w:bookmarkStart w:id="990" w:name="X81b1695836bb01faf3c4985ea003dd26bfc12e2"/>
    <w:p>
      <w:pPr>
        <w:pStyle w:val="Heading3"/>
      </w:pPr>
      <w:r>
        <w:t xml:space="preserve">10. Myths and misconceptions</w:t>
      </w:r>
    </w:p>
    <w:bookmarkStart w:id="984" w:name="X24fb4bda3d073ea8b44fe35da95f96230bbf4c1"/>
    <w:p>
      <w:pPr>
        <w:pStyle w:val="Heading5"/>
      </w:pPr>
      <w:r>
        <w:t xml:space="preserve">Myth 1: “Separation anxiety occurs only in childhood”</w:t>
      </w:r>
    </w:p>
    <w:p>
      <w:pPr>
        <w:pStyle w:val="FirstParagraph"/>
      </w:pPr>
      <w:r>
        <w:t xml:space="preserve">Evidence: DSM-5 — separation anxiety disorder also diagnosed in adults — prevalence ~1.9%.</w:t>
      </w:r>
    </w:p>
    <w:bookmarkEnd w:id="984"/>
    <w:bookmarkStart w:id="985" w:name="X7366e0bee359f0db9386d851d8ed00a163f1b0b"/>
    <w:p>
      <w:pPr>
        <w:pStyle w:val="Heading5"/>
      </w:pPr>
      <w:r>
        <w:t xml:space="preserve">Myth 2: “The parent must give in to every demand to ‘calm’ the child”</w:t>
      </w:r>
    </w:p>
    <w:p>
      <w:pPr>
        <w:pStyle w:val="FirstParagraph"/>
      </w:pPr>
      <w:r>
        <w:t xml:space="preserve">Evidence: Accommodation strengthens the symptoms; the SPACE program or parent training is recommended.</w:t>
      </w:r>
    </w:p>
    <w:bookmarkEnd w:id="985"/>
    <w:bookmarkStart w:id="986" w:name="X2ee75fe96f188843b36fe61bdb3c59e45ffc179"/>
    <w:p>
      <w:pPr>
        <w:pStyle w:val="Heading5"/>
      </w:pPr>
      <w:r>
        <w:t xml:space="preserve">Myth 3: “Separation anxiety is a result of poor parenting”</w:t>
      </w:r>
    </w:p>
    <w:p>
      <w:pPr>
        <w:pStyle w:val="FirstParagraph"/>
      </w:pPr>
      <w:r>
        <w:t xml:space="preserve">Evidence: heritability ~40%; attachment and environment modulator. “Bad upbringing” explanation stigmatizing and incorrect.</w:t>
      </w:r>
    </w:p>
    <w:bookmarkEnd w:id="986"/>
    <w:bookmarkStart w:id="987" w:name="X6ceba88aefbe7bf771d4c9071a1411386084fc7"/>
    <w:p>
      <w:pPr>
        <w:pStyle w:val="Heading5"/>
      </w:pPr>
      <w:r>
        <w:t xml:space="preserve">Myth 4: “Leaving a child alone to ‘get used to it’ — this harsh approach cures them”</w:t>
      </w:r>
    </w:p>
    <w:p>
      <w:pPr>
        <w:pStyle w:val="FirstParagraph"/>
      </w:pPr>
      <w:r>
        <w:t xml:space="preserve">Evidence: “Flooding” or uncontrolled exposure can be traumatic; graded, structured exposure recommended.</w:t>
      </w:r>
    </w:p>
    <w:bookmarkEnd w:id="987"/>
    <w:bookmarkStart w:id="988" w:name="Xa31a6ee2f3fa5fdfeb9ceba8e04b60a90d4716d"/>
    <w:p>
      <w:pPr>
        <w:pStyle w:val="Heading5"/>
      </w:pPr>
      <w:r>
        <w:t xml:space="preserve">Myth 5: “Recovery is only possible with medication”</w:t>
      </w:r>
    </w:p>
    <w:p>
      <w:pPr>
        <w:pStyle w:val="FirstParagraph"/>
      </w:pPr>
      <w:r>
        <w:t xml:space="preserve">Evidence: CBT first-line; SSRIs for moderate-severe cases or in combination.</w:t>
      </w:r>
    </w:p>
    <w:bookmarkEnd w:id="988"/>
    <w:bookmarkStart w:id="989" w:name="X140bd31600edc36c606e6f8eefa4d7c4a80f364"/>
    <w:p>
      <w:pPr>
        <w:pStyle w:val="Heading5"/>
      </w:pPr>
      <w:r>
        <w:t xml:space="preserve">Myth 6: “School refusal is a personality weakness and requires discipline”</w:t>
      </w:r>
    </w:p>
    <w:p>
      <w:pPr>
        <w:pStyle w:val="FirstParagraph"/>
      </w:pPr>
      <w:r>
        <w:t xml:space="preserve">Evidence: School avoidance is a clinical anxiety symptom; punishment-based approach exacerbates the disorder.</w:t>
      </w:r>
    </w:p>
    <w:bookmarkEnd w:id="989"/>
    <w:bookmarkEnd w:id="990"/>
    <w:bookmarkStart w:id="2979" w:name="X425cec726a7ce7396b082cf216cf3a6602c37ec"/>
    <w:p>
      <w:pPr>
        <w:pStyle w:val="Heading3"/>
      </w:pPr>
      <w:r>
        <w:t xml:space="preserve">11. Sources</w:t>
      </w:r>
    </w:p>
    <w:p>
      <w:pPr>
        <w:pStyle w:val="Compact"/>
        <w:numPr>
          <w:ilvl w:val="0"/>
          <w:numId w:val="1469"/>
        </w:numPr>
      </w:pPr>
      <w:r>
        <w:t xml:space="preserve">WHO. ICD-11. 6B05 Separation anxiety disorder. 2024.</w:t>
      </w:r>
    </w:p>
    <w:p>
      <w:pPr>
        <w:pStyle w:val="Compact"/>
        <w:numPr>
          <w:ilvl w:val="0"/>
          <w:numId w:val="1469"/>
        </w:numPr>
      </w:pPr>
      <w:r>
        <w:t xml:space="preserve">APA. DSM-5-TR. 2022.</w:t>
      </w:r>
    </w:p>
    <w:p>
      <w:pPr>
        <w:pStyle w:val="Compact"/>
        <w:numPr>
          <w:ilvl w:val="0"/>
          <w:numId w:val="1469"/>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469"/>
        </w:numPr>
      </w:pPr>
      <w:r>
        <w:t xml:space="preserve">Walkup J.T. et al. CAMS: Cognitive behavioral therapy, sertraline, or a combination in childhood anxiety. NEJM 2008;359(26):2753–2766.</w:t>
      </w:r>
    </w:p>
    <w:p>
      <w:pPr>
        <w:pStyle w:val="Compact"/>
        <w:numPr>
          <w:ilvl w:val="0"/>
          <w:numId w:val="1469"/>
        </w:numPr>
      </w:pPr>
      <w:r>
        <w:t xml:space="preserve">Kendall P.C. Treating anxiety disorders in children: results of a randomized clinical trial. J Consult Clin Psychol 1994;62(1):100–110.</w:t>
      </w:r>
    </w:p>
    <w:p>
      <w:pPr>
        <w:pStyle w:val="Compact"/>
        <w:numPr>
          <w:ilvl w:val="0"/>
          <w:numId w:val="1469"/>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p>
      <w:pPr>
        <w:pStyle w:val="Compact"/>
        <w:numPr>
          <w:ilvl w:val="0"/>
          <w:numId w:val="1469"/>
        </w:numPr>
      </w:pPr>
      <w:r>
        <w:t xml:space="preserve">Barrett P.M., Turner C. Prevention of anxiety symptoms in primary school children. Br J Clin Psychol 2001;40(4):399–410.</w:t>
      </w:r>
    </w:p>
    <w:p>
      <w:pPr>
        <w:pStyle w:val="Compact"/>
        <w:numPr>
          <w:ilvl w:val="0"/>
          <w:numId w:val="1469"/>
        </w:numPr>
      </w:pPr>
      <w:r>
        <w:t xml:space="preserve">Kessler R.C., Berglund P., Demler O. et al. Lifetime prevalence and age-of-onset distributions of DSM-IV disorders in the National Comorbidity Survey Replication. Arch Gen Psychiatry 2005;62(6):593–602.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991" w:name="m346b06-selective-mutism"/>
            <w:r>
              <w:t xml:space="preserve">6B06 SELECTIVE MUTISM</w:t>
            </w:r>
            <w:bookmarkEnd w:id="991"/>
          </w:p>
          <w:p>
            <w:pPr>
              <w:pStyle w:val="Compact"/>
              <w:ind w:firstLine="0" w:left="0"/>
            </w:pPr>
            <w:r>
              <w:rPr>
                <w:lang w:val="en"/>
              </w:rPr>
              <w:t xml:space="preserve">Selective mutism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Elective mutism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Selective Mutism</w:t>
            </w:r>
          </w:p>
        </w:tc>
      </w:tr>
    </w:tbl>
    <w:bookmarkStart w:id="992" w:name="Xec0f954611bd83c0b549afc82950369cfe7fa24"/>
    <w:p>
      <w:pPr>
        <w:pStyle w:val="Heading3"/>
      </w:pPr>
      <w:r>
        <w:t xml:space="preserve">1. Definition and nosology</w:t>
      </w:r>
    </w:p>
    <w:p>
      <w:pPr>
        <w:pStyle w:val="FirstParagraph"/>
      </w:pPr>
      <w:r>
        <w:t xml:space="preserve">Selective mutism (ICD-11:</w:t>
      </w:r>
      <w:r>
        <w:t xml:space="preserve"> </w:t>
      </w:r>
      <w:r>
        <w:t xml:space="preserve">6B06</w:t>
      </w:r>
      <w:r>
        <w:t xml:space="preserve">; DSM-5-TR: F94.0) — consistent failure to speak in specific social situations (e.g., school) despite mastery of language, with normal speech in other contexts (e.g., home). A typical childhood anxiety disorder, sometimes misperceived as “extreme shyness.”</w:t>
      </w:r>
    </w:p>
    <w:bookmarkEnd w:id="992"/>
    <w:bookmarkStart w:id="993" w:name="X4b1a3b1ef6c9fca324b9f41b969a77a2b9f0ff5"/>
    <w:p>
      <w:pPr>
        <w:pStyle w:val="Heading3"/>
      </w:pPr>
      <w:r>
        <w:t xml:space="preserve">2. History</w:t>
      </w:r>
    </w:p>
    <w:p>
      <w:pPr>
        <w:pStyle w:val="Compact"/>
        <w:numPr>
          <w:ilvl w:val="0"/>
          <w:numId w:val="1470"/>
        </w:numPr>
      </w:pPr>
      <w:r>
        <w:t xml:space="preserve">Kussmaul A. (1877) — “aphasia voluntaria”.</w:t>
      </w:r>
    </w:p>
    <w:p>
      <w:pPr>
        <w:pStyle w:val="Compact"/>
        <w:numPr>
          <w:ilvl w:val="0"/>
          <w:numId w:val="1470"/>
        </w:numPr>
      </w:pPr>
      <w:r>
        <w:t xml:space="preserve">Tramer M. (1934) — “elective mutism” — patient's voluntary choice expression.</w:t>
      </w:r>
    </w:p>
    <w:p>
      <w:pPr>
        <w:pStyle w:val="Compact"/>
        <w:numPr>
          <w:ilvl w:val="0"/>
          <w:numId w:val="1470"/>
        </w:numPr>
      </w:pPr>
      <w:r>
        <w:t xml:space="preserve">DSM-IV (1994) — Replaced with the term ‘selective’ (not voluntary, due to social anxiety).</w:t>
      </w:r>
    </w:p>
    <w:p>
      <w:pPr>
        <w:pStyle w:val="Compact"/>
        <w:numPr>
          <w:ilvl w:val="0"/>
          <w:numId w:val="1470"/>
        </w:numPr>
      </w:pPr>
      <w:r>
        <w:t xml:space="preserve">DSM-5 (2013) — moved to the anxiety disorders category.</w:t>
      </w:r>
    </w:p>
    <w:bookmarkEnd w:id="993"/>
    <w:bookmarkStart w:id="994" w:name="Xaed82eb249c2013630e91b55667682b199e3966"/>
    <w:p>
      <w:pPr>
        <w:pStyle w:val="Heading3"/>
      </w:pPr>
      <w:r>
        <w:t xml:space="preserve">3. Epidemiology</w:t>
      </w:r>
    </w:p>
    <w:p>
      <w:pPr>
        <w:pStyle w:val="Compact"/>
        <w:numPr>
          <w:ilvl w:val="0"/>
          <w:numId w:val="1471"/>
        </w:numPr>
      </w:pPr>
      <w:r>
        <w:t xml:space="preserve">Prevalence: 0.7–1% in school-aged children (Bergman R.L. et al. JAACAP 2002).</w:t>
      </w:r>
    </w:p>
    <w:p>
      <w:pPr>
        <w:pStyle w:val="Compact"/>
        <w:numPr>
          <w:ilvl w:val="0"/>
          <w:numId w:val="1471"/>
        </w:numPr>
      </w:pPr>
      <w:r>
        <w:t xml:space="preserve">Sex: relatively higher in girls (1.5–2:1).</w:t>
      </w:r>
    </w:p>
    <w:p>
      <w:pPr>
        <w:pStyle w:val="Compact"/>
        <w:numPr>
          <w:ilvl w:val="0"/>
          <w:numId w:val="1471"/>
        </w:numPr>
      </w:pPr>
      <w:r>
        <w:t xml:space="preserve">Onset: 2–5 years; typically detected at school entry.</w:t>
      </w:r>
    </w:p>
    <w:p>
      <w:pPr>
        <w:pStyle w:val="Compact"/>
        <w:numPr>
          <w:ilvl w:val="0"/>
          <w:numId w:val="1471"/>
        </w:numPr>
      </w:pPr>
      <w:r>
        <w:t xml:space="preserve">Comorbidity: social anxiety disorder ~70%, GAD, other anxiety, speech or language disorder.</w:t>
      </w:r>
    </w:p>
    <w:bookmarkEnd w:id="994"/>
    <w:bookmarkStart w:id="995" w:name="X77b3ddcfa009595514ce1e3bae215c8e451f6f8"/>
    <w:p>
      <w:pPr>
        <w:pStyle w:val="Heading3"/>
      </w:pPr>
      <w:r>
        <w:t xml:space="preserve">4. Aetiology and pathogenesis</w:t>
      </w:r>
    </w:p>
    <w:p>
      <w:pPr>
        <w:pStyle w:val="Compact"/>
        <w:numPr>
          <w:ilvl w:val="0"/>
          <w:numId w:val="1472"/>
        </w:numPr>
      </w:pPr>
      <w:r>
        <w:t xml:space="preserve">Heritability — anxiety in family history prevalent (~70% families have anxiety disorder).</w:t>
      </w:r>
    </w:p>
    <w:p>
      <w:pPr>
        <w:pStyle w:val="Compact"/>
        <w:numPr>
          <w:ilvl w:val="0"/>
          <w:numId w:val="1472"/>
        </w:numPr>
      </w:pPr>
      <w:r>
        <w:t xml:space="preserve">Behavioral inhibition (Kagan) — temperamental predisposition is a key factor.</w:t>
      </w:r>
    </w:p>
    <w:p>
      <w:pPr>
        <w:pStyle w:val="Compact"/>
        <w:numPr>
          <w:ilvl w:val="0"/>
          <w:numId w:val="1472"/>
        </w:numPr>
      </w:pPr>
      <w:r>
        <w:t xml:space="preserve">Comorbid developmental speech and language disorders (especially in bilingual environment) — risk factor.</w:t>
      </w:r>
    </w:p>
    <w:p>
      <w:pPr>
        <w:pStyle w:val="Compact"/>
        <w:numPr>
          <w:ilvl w:val="0"/>
          <w:numId w:val="1472"/>
        </w:numPr>
      </w:pPr>
      <w:r>
        <w:t xml:space="preserve">Environment — in bilingual families, sometimes mistakenly perceived as a language switch.</w:t>
      </w:r>
    </w:p>
    <w:bookmarkEnd w:id="995"/>
    <w:bookmarkStart w:id="996" w:name="X750d2b3e61eb9024e4a8c1aeec9de275b0fe4ec"/>
    <w:p>
      <w:pPr>
        <w:pStyle w:val="Heading3"/>
      </w:pPr>
      <w:r>
        <w:t xml:space="preserve">5. Clinical features</w:t>
      </w:r>
    </w:p>
    <w:p>
      <w:pPr>
        <w:pStyle w:val="Compact"/>
        <w:numPr>
          <w:ilvl w:val="0"/>
          <w:numId w:val="1473"/>
        </w:numPr>
      </w:pPr>
      <w:r>
        <w:t xml:space="preserve">Failure to speak in specific social situations (school, public places).</w:t>
      </w:r>
    </w:p>
    <w:p>
      <w:pPr>
        <w:pStyle w:val="Compact"/>
        <w:numPr>
          <w:ilvl w:val="0"/>
          <w:numId w:val="1473"/>
        </w:numPr>
      </w:pPr>
      <w:r>
        <w:t xml:space="preserve">Normal speech at home with close ones.</w:t>
      </w:r>
    </w:p>
    <w:p>
      <w:pPr>
        <w:pStyle w:val="Compact"/>
        <w:numPr>
          <w:ilvl w:val="0"/>
          <w:numId w:val="1473"/>
        </w:numPr>
      </w:pPr>
      <w:r>
        <w:t xml:space="preserve">Sometimes the use of whispering or gestures.</w:t>
      </w:r>
    </w:p>
    <w:p>
      <w:pPr>
        <w:pStyle w:val="Compact"/>
        <w:numPr>
          <w:ilvl w:val="0"/>
          <w:numId w:val="1473"/>
        </w:numPr>
      </w:pPr>
      <w:r>
        <w:t xml:space="preserve">Academic and social impairment (answering questions, peer relationships).</w:t>
      </w:r>
    </w:p>
    <w:p>
      <w:pPr>
        <w:pStyle w:val="Compact"/>
        <w:numPr>
          <w:ilvl w:val="0"/>
          <w:numId w:val="1473"/>
        </w:numPr>
      </w:pPr>
      <w:r>
        <w:t xml:space="preserve">Comorbid shyness, social withdrawal, somatic complaints.</w:t>
      </w:r>
    </w:p>
    <w:bookmarkEnd w:id="996"/>
    <w:bookmarkStart w:id="1001" w:name="Xc7dc6140491b1586fb3e7a715f7f1f5769b8acd"/>
    <w:p>
      <w:pPr>
        <w:pStyle w:val="Heading3"/>
      </w:pPr>
      <w:r>
        <w:t xml:space="preserve">6. Diagnosis</w:t>
      </w:r>
    </w:p>
    <w:bookmarkStart w:id="997" w:name="unified-diagnostic-criteria-9"/>
    <w:p>
      <w:pPr>
        <w:pStyle w:val="Heading4"/>
      </w:pPr>
      <w:r>
        <w:t xml:space="preserve">6.1 Unified diagnostic criteria</w:t>
      </w:r>
    </w:p>
    <w:p>
      <w:pPr>
        <w:pStyle w:val="FirstParagraph"/>
      </w:pPr>
      <w:r>
        <w:t xml:space="preserve">A. Persistent not speaking in specific social situations (where speaking is expected), speech normal in other situations.</w:t>
      </w:r>
    </w:p>
    <w:p>
      <w:pPr>
        <w:pStyle w:val="BodyText"/>
      </w:pPr>
      <w:r>
        <w:t xml:space="preserve">B. Significant impairment in academic, occupational, or social communication.</w:t>
      </w:r>
    </w:p>
    <w:p>
      <w:pPr>
        <w:pStyle w:val="BodyText"/>
      </w:pPr>
      <w:r>
        <w:t xml:space="preserve">C. Duration ≥ 1 month (excluding the first month of school).</w:t>
      </w:r>
    </w:p>
    <w:p>
      <w:pPr>
        <w:pStyle w:val="BodyText"/>
      </w:pPr>
      <w:r>
        <w:t xml:space="preserve">D. Does not result from not learning a language or not being comfortable in that language.</w:t>
      </w:r>
    </w:p>
    <w:p>
      <w:pPr>
        <w:pStyle w:val="BodyText"/>
      </w:pPr>
      <w:r>
        <w:t xml:space="preserve">E. Not better explained by a communication disorder (e.g., a fluency disorder), autism spectrum disorder, schizophrenia, or another psychotic disorder.</w:t>
      </w:r>
    </w:p>
    <w:bookmarkEnd w:id="997"/>
    <w:bookmarkStart w:id="998" w:name="differences-between-sources-43"/>
    <w:p>
      <w:pPr>
        <w:pStyle w:val="Heading4"/>
      </w:pPr>
      <w:r>
        <w:t xml:space="preserve">6.2 Differences between sources</w:t>
      </w:r>
    </w:p>
    <w:p>
      <w:pPr>
        <w:pStyle w:val="Compact"/>
        <w:numPr>
          <w:ilvl w:val="0"/>
          <w:numId w:val="1474"/>
        </w:numPr>
      </w:pPr>
      <w:r>
        <w:t xml:space="preserve">DSM-5-TR / ICD-11 — in the anxiety disorders category; ‘selective’ — not voluntary choice, but situation-specific anxiety response.</w:t>
      </w:r>
    </w:p>
    <w:bookmarkEnd w:id="998"/>
    <w:bookmarkStart w:id="999" w:name="diagnostic-algorithm-26"/>
    <w:p>
      <w:pPr>
        <w:pStyle w:val="Heading4"/>
      </w:pPr>
      <w:r>
        <w:t xml:space="preserve">6.3 Diagnostic algorithm</w:t>
      </w:r>
    </w:p>
    <w:p>
      <w:pPr>
        <w:pStyle w:val="Compact"/>
        <w:numPr>
          <w:ilvl w:val="0"/>
          <w:numId w:val="1475"/>
        </w:numPr>
      </w:pPr>
      <w:r>
        <w:t xml:space="preserve">Parent, teacher interview.</w:t>
      </w:r>
    </w:p>
    <w:p>
      <w:pPr>
        <w:pStyle w:val="Compact"/>
        <w:numPr>
          <w:ilvl w:val="0"/>
          <w:numId w:val="1475"/>
        </w:numPr>
      </w:pPr>
      <w:r>
        <w:t xml:space="preserve">Home video recordings of speech — diagnostic confirmation.</w:t>
      </w:r>
    </w:p>
    <w:p>
      <w:pPr>
        <w:pStyle w:val="Compact"/>
        <w:numPr>
          <w:ilvl w:val="0"/>
          <w:numId w:val="1475"/>
        </w:numPr>
      </w:pPr>
      <w:r>
        <w:t xml:space="preserve">SMQ (Selective Mutism Questionnaire).</w:t>
      </w:r>
    </w:p>
    <w:p>
      <w:pPr>
        <w:pStyle w:val="Compact"/>
        <w:numPr>
          <w:ilvl w:val="0"/>
          <w:numId w:val="1475"/>
        </w:numPr>
      </w:pPr>
      <w:r>
        <w:t xml:space="preserve">Speech-language assessment (SLT) — communication disorder exclusion.</w:t>
      </w:r>
    </w:p>
    <w:p>
      <w:pPr>
        <w:pStyle w:val="Compact"/>
        <w:numPr>
          <w:ilvl w:val="0"/>
          <w:numId w:val="1475"/>
        </w:numPr>
      </w:pPr>
      <w:r>
        <w:t xml:space="preserve">Hearing test.</w:t>
      </w:r>
    </w:p>
    <w:p>
      <w:pPr>
        <w:pStyle w:val="Compact"/>
        <w:numPr>
          <w:ilvl w:val="0"/>
          <w:numId w:val="1475"/>
        </w:numPr>
      </w:pPr>
      <w:r>
        <w:t xml:space="preserve">Comorbid anxiety, autism, language disorder screening.</w:t>
      </w:r>
    </w:p>
    <w:bookmarkEnd w:id="999"/>
    <w:bookmarkStart w:id="1000" w:name="differential-diagnosis-2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Developmental language disorder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Language is poor in all contexts.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Social-communication deficit in all contexts.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Bilingual environment transient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During adaptation to a new language — typically months.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Hearing impairment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Audiometry.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Comorbidity is common — the patient speaks but fears social evaluation.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Mutism in trauma context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traumatic event.</w:t>
            </w:r>
          </w:p>
        </w:tc>
      </w:tr>
    </w:tbl>
    <w:bookmarkEnd w:id="1000"/>
    <w:bookmarkEnd w:id="1001"/>
    <w:bookmarkStart w:id="1002" w:name="X14ba23e03f8f965a48e31395c10a504299783bb"/>
    <w:p>
      <w:pPr>
        <w:pStyle w:val="Heading3"/>
      </w:pPr>
      <w:r>
        <w:t xml:space="preserve">7. Examination and assessment</w:t>
      </w:r>
    </w:p>
    <w:p>
      <w:pPr>
        <w:pStyle w:val="Compact"/>
        <w:numPr>
          <w:ilvl w:val="0"/>
          <w:numId w:val="1476"/>
        </w:numPr>
      </w:pPr>
      <w:r>
        <w:t xml:space="preserve">SMQ — gold standard; SAS (School Anxiety Scale).</w:t>
      </w:r>
    </w:p>
    <w:p>
      <w:pPr>
        <w:pStyle w:val="Compact"/>
        <w:numPr>
          <w:ilvl w:val="0"/>
          <w:numId w:val="1476"/>
        </w:numPr>
      </w:pPr>
      <w:r>
        <w:t xml:space="preserve">Speech-language assessment.</w:t>
      </w:r>
    </w:p>
    <w:p>
      <w:pPr>
        <w:pStyle w:val="Compact"/>
        <w:numPr>
          <w:ilvl w:val="0"/>
          <w:numId w:val="1476"/>
        </w:numPr>
      </w:pPr>
      <w:r>
        <w:t xml:space="preserve">Audiometry.</w:t>
      </w:r>
    </w:p>
    <w:bookmarkEnd w:id="1002"/>
    <w:bookmarkStart w:id="1005" w:name="X907fd0050f802bfe613e1daeb7fc288fc4e9e50"/>
    <w:p>
      <w:pPr>
        <w:pStyle w:val="Heading3"/>
      </w:pPr>
      <w:r>
        <w:t xml:space="preserve">8. Treatment</w:t>
      </w:r>
    </w:p>
    <w:p>
      <w:pPr>
        <w:pStyle w:val="Compact"/>
        <w:numPr>
          <w:ilvl w:val="0"/>
          <w:numId w:val="1477"/>
        </w:numPr>
      </w:pPr>
      <w:r>
        <w:t xml:space="preserve">Behavioral approach as first-line treatment — graded exposure, fading-in technique (gradual introduction of a familiar person into the environment).</w:t>
      </w:r>
    </w:p>
    <w:p>
      <w:pPr>
        <w:pStyle w:val="Compact"/>
        <w:numPr>
          <w:ilvl w:val="0"/>
          <w:numId w:val="1477"/>
        </w:numPr>
      </w:pPr>
      <w:r>
        <w:t xml:space="preserve">Integrated Behavioral Therapy (Bergman R.L.) — manualized, with family + school involvement.</w:t>
      </w:r>
    </w:p>
    <w:p>
      <w:pPr>
        <w:pStyle w:val="Compact"/>
        <w:numPr>
          <w:ilvl w:val="0"/>
          <w:numId w:val="1477"/>
        </w:numPr>
      </w:pPr>
      <w:r>
        <w:t xml:space="preserve">School-based intervention — gradual increase in communication demands, teacher coordination.</w:t>
      </w:r>
    </w:p>
    <w:p>
      <w:pPr>
        <w:pStyle w:val="Compact"/>
        <w:numPr>
          <w:ilvl w:val="0"/>
          <w:numId w:val="1477"/>
        </w:numPr>
      </w:pPr>
      <w:r>
        <w:t xml:space="preserve">SSRI (fluoxetine, sertraline) – in moderate to severe or non-responsive to behavioral intervention cases. Black B. et al. JAACAP 1994 RCT.</w:t>
      </w:r>
    </w:p>
    <w:p>
      <w:pPr>
        <w:pStyle w:val="Compact"/>
        <w:numPr>
          <w:ilvl w:val="0"/>
          <w:numId w:val="1477"/>
        </w:numPr>
      </w:pPr>
      <w:r>
        <w:t xml:space="preserve">Reducing accommodation — stopping the parent from speaking for the child.</w:t>
      </w:r>
    </w:p>
    <w:bookmarkStart w:id="1003" w:name="treatment-methods-26"/>
    <w:p>
      <w:pPr>
        <w:pStyle w:val="Heading4"/>
      </w:pPr>
      <w:r>
        <w:t xml:space="preserve">8.1 Treatment methods</w:t>
      </w:r>
    </w:p>
    <w:p>
      <w:pPr>
        <w:pStyle w:val="Compact"/>
        <w:numPr>
          <w:ilvl w:val="0"/>
          <w:numId w:val="1478"/>
        </w:numPr>
      </w:pPr>
      <w:r>
        <w:t xml:space="preserve">Gradual Introduction (Fading-In) Technique — The patient converses with a comfortable person; gradually a stranger is introduced into this context; then the patient transitions to speaking with a stranger.</w:t>
      </w:r>
    </w:p>
    <w:p>
      <w:pPr>
        <w:pStyle w:val="Compact"/>
        <w:numPr>
          <w:ilvl w:val="0"/>
          <w:numId w:val="1478"/>
        </w:numPr>
      </w:pPr>
      <w:r>
        <w:t xml:space="preserve">Integrated Behavioral Therapy (IBT) — Bergman (Bergman R.L.) — Staged exposure, positive reinforcement, systematic desensitization; 20 sessions. Evidence: Bergman R.L. et al. JAACAP 2013 RCT.</w:t>
      </w:r>
    </w:p>
    <w:p>
      <w:pPr>
        <w:pStyle w:val="Compact"/>
        <w:numPr>
          <w:ilvl w:val="0"/>
          <w:numId w:val="1478"/>
        </w:numPr>
      </w:pPr>
      <w:r>
        <w:t xml:space="preserve">Selective Mutism Questionnaire (SMQ) — Bergman — 23 items; parent form.</w:t>
      </w:r>
    </w:p>
    <w:p>
      <w:pPr>
        <w:pStyle w:val="Compact"/>
        <w:numPr>
          <w:ilvl w:val="0"/>
          <w:numId w:val="1478"/>
        </w:numPr>
      </w:pPr>
      <w:r>
        <w:t xml:space="preserve">SSRI — Fluoxetine — Evidence base in pediatric selective mutism; Black B., Uhde T.W. JAACAP 1994 RCT.</w:t>
      </w:r>
    </w:p>
    <w:bookmarkEnd w:id="1003"/>
    <w:bookmarkStart w:id="1004" w:name="differences-between-sources-44"/>
    <w:p>
      <w:pPr>
        <w:pStyle w:val="Heading4"/>
      </w:pPr>
      <w:r>
        <w:t xml:space="preserve">8.2 Differences between sources</w:t>
      </w:r>
    </w:p>
    <w:p>
      <w:pPr>
        <w:pStyle w:val="Compact"/>
        <w:numPr>
          <w:ilvl w:val="0"/>
          <w:numId w:val="1479"/>
        </w:numPr>
      </w:pPr>
      <w:r>
        <w:t xml:space="preserve">AACAP — behavioral intervention first-line, SSRI adjunct.</w:t>
      </w:r>
    </w:p>
    <w:p>
      <w:pPr>
        <w:pStyle w:val="Compact"/>
        <w:numPr>
          <w:ilvl w:val="0"/>
          <w:numId w:val="1479"/>
        </w:numPr>
      </w:pPr>
      <w:r>
        <w:t xml:space="preserve">NICE — principles of anxiety disorders apply.</w:t>
      </w:r>
    </w:p>
    <w:bookmarkEnd w:id="1004"/>
    <w:bookmarkEnd w:id="1005"/>
    <w:bookmarkStart w:id="1006" w:name="Xa2a06c6bb08e9ac731c7013df0e902585d3908a"/>
    <w:p>
      <w:pPr>
        <w:pStyle w:val="Heading3"/>
      </w:pPr>
      <w:r>
        <w:t xml:space="preserve">9. Prognosis</w:t>
      </w:r>
    </w:p>
    <w:p>
      <w:pPr>
        <w:pStyle w:val="Compact"/>
        <w:numPr>
          <w:ilvl w:val="0"/>
          <w:numId w:val="1480"/>
        </w:numPr>
      </w:pPr>
      <w:r>
        <w:t xml:space="preserve">Speech recovers in most children with early intervention.</w:t>
      </w:r>
    </w:p>
    <w:p>
      <w:pPr>
        <w:pStyle w:val="Compact"/>
        <w:numPr>
          <w:ilvl w:val="0"/>
          <w:numId w:val="1480"/>
        </w:numPr>
      </w:pPr>
      <w:r>
        <w:t xml:space="preserve">Without treatment, chronicity and transition to social anxiety disorder.</w:t>
      </w:r>
    </w:p>
    <w:bookmarkEnd w:id="1006"/>
    <w:bookmarkStart w:id="1012" w:name="Xd82789edd8f56f76ddf852c08ddc7fa85dd5c63"/>
    <w:p>
      <w:pPr>
        <w:pStyle w:val="Heading3"/>
      </w:pPr>
      <w:r>
        <w:t xml:space="preserve">10. Myths and misconceptions</w:t>
      </w:r>
    </w:p>
    <w:bookmarkStart w:id="1007" w:name="X1c8a040bace54313d55006f0ed0ba301fd40b60"/>
    <w:p>
      <w:pPr>
        <w:pStyle w:val="Heading5"/>
      </w:pPr>
      <w:r>
        <w:t xml:space="preserve">Myth 1: “Selective mutism is the child's ‘stubbornness’”</w:t>
      </w:r>
    </w:p>
    <w:p>
      <w:pPr>
        <w:pStyle w:val="FirstParagraph"/>
      </w:pPr>
      <w:r>
        <w:t xml:space="preserve">Evidence: selective mutism is an anxiety disorder — the child CANNOT speak, the position ‘does not want to speak’ is incorrect.</w:t>
      </w:r>
    </w:p>
    <w:bookmarkEnd w:id="1007"/>
    <w:bookmarkStart w:id="1008" w:name="X2367deae20cac4ac957ee31aa9dbcd35ef86a1c"/>
    <w:p>
      <w:pPr>
        <w:pStyle w:val="Heading5"/>
      </w:pPr>
      <w:r>
        <w:t xml:space="preserve">Myth 2: “If a child does not speak, strong pressure is needed”</w:t>
      </w:r>
    </w:p>
    <w:p>
      <w:pPr>
        <w:pStyle w:val="FirstParagraph"/>
      </w:pPr>
      <w:r>
        <w:t xml:space="preserve">Evidence: pressure intensifies anxiety and mutism; stepped exposure recommended.</w:t>
      </w:r>
    </w:p>
    <w:bookmarkEnd w:id="1008"/>
    <w:bookmarkStart w:id="1009" w:name="X712f804ce3861ae74a3f728a7ebaf411f1d2c9d"/>
    <w:p>
      <w:pPr>
        <w:pStyle w:val="Heading5"/>
      </w:pPr>
      <w:r>
        <w:t xml:space="preserve">Myth 3: “It will resolve with age; no intervention is needed”</w:t>
      </w:r>
    </w:p>
    <w:p>
      <w:pPr>
        <w:pStyle w:val="FirstParagraph"/>
      </w:pPr>
      <w:r>
        <w:t xml:space="preserve">Evidence: Without early intervention, academic and social impairment persists; risk of transition to social anxiety disorder in adulthood.</w:t>
      </w:r>
    </w:p>
    <w:bookmarkEnd w:id="1009"/>
    <w:bookmarkStart w:id="1010" w:name="Xa0d2099663ac5337a2bbe3c426527dd9f07715f"/>
    <w:p>
      <w:pPr>
        <w:pStyle w:val="Heading5"/>
      </w:pPr>
      <w:r>
        <w:t xml:space="preserve">Myth 4: “Mutism in a bilingual child is normal”</w:t>
      </w:r>
    </w:p>
    <w:p>
      <w:pPr>
        <w:pStyle w:val="FirstParagraph"/>
      </w:pPr>
      <w:r>
        <w:t xml:space="preserve">Evidence: “Silent period” — normal for a few months when learning a new language; mutism lasting ≥ 6 months or occurring in both languages — consider selective mutism diagnosis.</w:t>
      </w:r>
    </w:p>
    <w:bookmarkEnd w:id="1010"/>
    <w:bookmarkStart w:id="1011" w:name="X75f0c58733aba63dd9c56f9064f4ec6a1f3c69d"/>
    <w:p>
      <w:pPr>
        <w:pStyle w:val="Heading5"/>
      </w:pPr>
      <w:r>
        <w:t xml:space="preserve">Myth 5: “Only deep psychoanalytic therapy is effective”</w:t>
      </w:r>
    </w:p>
    <w:p>
      <w:pPr>
        <w:pStyle w:val="FirstParagraph"/>
      </w:pPr>
      <w:r>
        <w:t xml:space="preserve">Evidence: Behavior-based and CBT approaches are first-line; psychoanalytic intervention lacks evidence base.</w:t>
      </w:r>
    </w:p>
    <w:bookmarkEnd w:id="1011"/>
    <w:bookmarkEnd w:id="1012"/>
    <w:bookmarkStart w:id="1013" w:name="Xc102144cf71118cd14b9ac6e44798c55169d1b5"/>
    <w:p>
      <w:pPr>
        <w:pStyle w:val="Heading3"/>
      </w:pPr>
      <w:r>
        <w:t xml:space="preserve">11. Sources</w:t>
      </w:r>
    </w:p>
    <w:p>
      <w:pPr>
        <w:pStyle w:val="Compact"/>
        <w:numPr>
          <w:ilvl w:val="0"/>
          <w:numId w:val="1481"/>
        </w:numPr>
      </w:pPr>
      <w:r>
        <w:t xml:space="preserve">WHO. ICD-11. 6B06 Selective mutism. 2024.</w:t>
      </w:r>
    </w:p>
    <w:p>
      <w:pPr>
        <w:pStyle w:val="Compact"/>
        <w:numPr>
          <w:ilvl w:val="0"/>
          <w:numId w:val="1481"/>
        </w:numPr>
      </w:pPr>
      <w:r>
        <w:t xml:space="preserve">APA. DSM-5-TR. 2022.</w:t>
      </w:r>
    </w:p>
    <w:p>
      <w:pPr>
        <w:pStyle w:val="Compact"/>
        <w:numPr>
          <w:ilvl w:val="0"/>
          <w:numId w:val="1481"/>
        </w:numPr>
      </w:pPr>
      <w:r>
        <w:t xml:space="preserve">Bergman R.L. et al. Prevalence and description of selective mutism in a school-based sample. J Am Acad Child Adolesc Psychiatry 2002;41(8):938–946.</w:t>
      </w:r>
    </w:p>
    <w:p>
      <w:pPr>
        <w:pStyle w:val="Compact"/>
        <w:numPr>
          <w:ilvl w:val="0"/>
          <w:numId w:val="1481"/>
        </w:numPr>
      </w:pPr>
      <w:r>
        <w:t xml:space="preserve">Bergman R.L., Gonzalez A., Piacentini J., Keller M.L. Integrated Behavior Therapy for Selective Mutism: a randomized controlled pilot study. Behav Res Ther 2013;51(10):680–689.</w:t>
      </w:r>
    </w:p>
    <w:p>
      <w:pPr>
        <w:pStyle w:val="Compact"/>
        <w:numPr>
          <w:ilvl w:val="0"/>
          <w:numId w:val="1481"/>
        </w:numPr>
      </w:pPr>
      <w:r>
        <w:t xml:space="preserve">Black B., Uhde T.W. Treatment of elective mutism with fluoxetine: a double-blind, placebo-controlled study. J Am Acad Child Adolesc Psychiatry 1994;33(7):1000–1006.</w:t>
      </w:r>
    </w:p>
    <w:bookmarkEnd w:id="1013"/>
    <w:bookmarkStart w:id="1014" w:name="m356b206b2z-obsessive-compulsive-ocd"/>
    <w:p>
      <w:pPr>
        <w:pageBreakBefore/>
        <w:pStyle w:val="Heading1"/>
      </w:pPr>
      <w:r>
        <w:t xml:space="preserve">6B20–6B2Z OBSESSIVE-COMPULSIVE (OCD)</w:t>
      </w:r>
    </w:p>
    <w:p>
      <w:pPr>
        <w:pStyle w:val="FirstParagraph"/>
      </w:pPr>
      <w:r>
        <w:t xml:space="preserve">Obsessive-compulsive or related disorders</w:t>
      </w:r>
    </w:p>
    <w:bookmarkEnd w:id="101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15" w:name="Xd494e87415fc3208a5aedeefc36873ce303458a"/>
            <w:r>
              <w:t xml:space="preserve">6B20 OBSESSIVE-COMPULSIVE DISORDER (OCD)</w:t>
            </w:r>
            <w:bookmarkEnd w:id="1015"/>
          </w:p>
          <w:p>
            <w:pPr>
              <w:pStyle w:val="Compact"/>
              <w:ind w:firstLine="0" w:left="0"/>
            </w:pPr>
            <w:r>
              <w:rPr>
                <w:lang w:val="en"/>
              </w:rPr>
              <w:t xml:space="preserve">Obsessive-compulsive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Obsessive-compulsive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Obsessive-Compulsive Disorder</w:t>
            </w:r>
          </w:p>
        </w:tc>
      </w:tr>
    </w:tbl>
    <w:bookmarkStart w:id="1016" w:name="Xb91b5f5b35a9a090031e0f2e4d0fbe37d63f53b"/>
    <w:p>
      <w:pPr>
        <w:pStyle w:val="Heading3"/>
      </w:pPr>
      <w:r>
        <w:t xml:space="preserve">1. Definition and nosology</w:t>
      </w:r>
    </w:p>
    <w:p>
      <w:pPr>
        <w:pStyle w:val="FirstParagraph"/>
      </w:pPr>
      <w:r>
        <w:t xml:space="preserve">Obsessive-Compulsive Disorder (OCD; ICD-11:</w:t>
      </w:r>
      <w:r>
        <w:t xml:space="preserve"> </w:t>
      </w:r>
      <w:r>
        <w:t xml:space="preserve">6B20</w:t>
      </w:r>
      <w:r>
        <w:t xml:space="preserve">; DSM-5-TR: F42.2) — a disorder characterized by recurrent, ego-dystonic obsessions (unwanted, intrusive thoughts, images, impulses) or compulsions (repetitive behaviors or mental acts). Usually both are present. The patient performs the compulsion to reduce anxiety or prevent a feared outcome.</w:t>
      </w:r>
    </w:p>
    <w:p>
      <w:pPr>
        <w:pStyle w:val="BodyText"/>
      </w:pPr>
      <w:r>
        <w:t xml:space="preserve">DSM-5 (2013) — OCD removed from anxiety disorders as a distinct category, moved to the “Obsessive-Compulsive and Related Disorders” category; ICD-11 followed a parallel step.</w:t>
      </w:r>
    </w:p>
    <w:bookmarkEnd w:id="1016"/>
    <w:bookmarkStart w:id="1017" w:name="X6335845251e9cebf315e609eef354ef2006d0df"/>
    <w:p>
      <w:pPr>
        <w:pStyle w:val="Heading3"/>
      </w:pPr>
      <w:r>
        <w:t xml:space="preserve">2. History</w:t>
      </w:r>
    </w:p>
    <w:p>
      <w:pPr>
        <w:pStyle w:val="Compact"/>
        <w:numPr>
          <w:ilvl w:val="0"/>
          <w:numId w:val="1482"/>
        </w:numPr>
      </w:pPr>
      <w:r>
        <w:t xml:space="preserve">Esquirol J.E.D. (1838) — “monomanie raisonnante”.</w:t>
      </w:r>
    </w:p>
    <w:p>
      <w:pPr>
        <w:pStyle w:val="Compact"/>
        <w:numPr>
          <w:ilvl w:val="0"/>
          <w:numId w:val="1482"/>
        </w:numPr>
      </w:pPr>
      <w:r>
        <w:t xml:space="preserve">Janet P. (1903) — ‘psychasthénie’.</w:t>
      </w:r>
    </w:p>
    <w:p>
      <w:pPr>
        <w:pStyle w:val="Compact"/>
        <w:numPr>
          <w:ilvl w:val="0"/>
          <w:numId w:val="1482"/>
        </w:numPr>
      </w:pPr>
      <w:r>
        <w:t xml:space="preserve">Freud (1909) — “Rat Man” case.</w:t>
      </w:r>
    </w:p>
    <w:p>
      <w:pPr>
        <w:pStyle w:val="Compact"/>
        <w:numPr>
          <w:ilvl w:val="0"/>
          <w:numId w:val="1482"/>
        </w:numPr>
      </w:pPr>
      <w:r>
        <w:t xml:space="preserve">Mowrer O.H. (1947) — two-factor learning theory (classical conditioning + operant avoidance); basis of ERP.</w:t>
      </w:r>
    </w:p>
    <w:p>
      <w:pPr>
        <w:pStyle w:val="Compact"/>
        <w:numPr>
          <w:ilvl w:val="0"/>
          <w:numId w:val="1482"/>
        </w:numPr>
      </w:pPr>
      <w:r>
        <w:t xml:space="preserve">Meyer V. (1966) — first clinical application of Exposure and Response Prevention (ERP).</w:t>
      </w:r>
    </w:p>
    <w:p>
      <w:pPr>
        <w:pStyle w:val="Compact"/>
        <w:numPr>
          <w:ilvl w:val="0"/>
          <w:numId w:val="1482"/>
        </w:numPr>
      </w:pPr>
      <w:r>
        <w:t xml:space="preserve">DSM-5 (2013) and ICD-11 (2019) — OCD separated from anxiety disorders.</w:t>
      </w:r>
    </w:p>
    <w:bookmarkEnd w:id="1017"/>
    <w:bookmarkStart w:id="1018" w:name="Xf8943b059012597d4a895d6b1ed94ad55f657d0"/>
    <w:p>
      <w:pPr>
        <w:pStyle w:val="Heading3"/>
      </w:pPr>
      <w:r>
        <w:t xml:space="preserve">3. Epidemiology</w:t>
      </w:r>
    </w:p>
    <w:p>
      <w:pPr>
        <w:pStyle w:val="Compact"/>
        <w:numPr>
          <w:ilvl w:val="0"/>
          <w:numId w:val="1483"/>
        </w:numPr>
      </w:pPr>
      <w:r>
        <w:t xml:space="preserve">Lifetime prevalence: 1.6–2.3% (Ruscio A.M. et al. Mol Psychiatry 2010).</w:t>
      </w:r>
    </w:p>
    <w:p>
      <w:pPr>
        <w:pStyle w:val="Compact"/>
        <w:numPr>
          <w:ilvl w:val="0"/>
          <w:numId w:val="1483"/>
        </w:numPr>
      </w:pPr>
      <w:r>
        <w:t xml:space="preserve">Sex: approximately equal; relatively more common in women in adulthood, early onset in childhood in men.</w:t>
      </w:r>
    </w:p>
    <w:p>
      <w:pPr>
        <w:pStyle w:val="Compact"/>
        <w:numPr>
          <w:ilvl w:val="0"/>
          <w:numId w:val="1483"/>
        </w:numPr>
      </w:pPr>
      <w:r>
        <w:t xml:space="preserve">Onset: bimodal — prepubertal (10–12 years, males) and early adulthood (20–25 years).</w:t>
      </w:r>
    </w:p>
    <w:p>
      <w:pPr>
        <w:pStyle w:val="Compact"/>
        <w:numPr>
          <w:ilvl w:val="0"/>
          <w:numId w:val="1483"/>
        </w:numPr>
      </w:pPr>
      <w:r>
        <w:t xml:space="preserve">Comorbidity: MDD ~60%, anxiety disorders, tic disorders, autism, hoarding, BDD.</w:t>
      </w:r>
    </w:p>
    <w:bookmarkEnd w:id="1018"/>
    <w:bookmarkStart w:id="1019" w:name="Xb84d37eb6444a88100e22e16441ff53a166d111"/>
    <w:p>
      <w:pPr>
        <w:pStyle w:val="Heading3"/>
      </w:pPr>
      <w:r>
        <w:t xml:space="preserve">4. Aetiology and pathogenesis</w:t>
      </w:r>
    </w:p>
    <w:p>
      <w:pPr>
        <w:pStyle w:val="Compact"/>
        <w:numPr>
          <w:ilvl w:val="0"/>
          <w:numId w:val="1484"/>
        </w:numPr>
      </w:pPr>
      <w:r>
        <w:t xml:space="preserve">Heritability 40–50% (Mataix-Cols D. et al. JAMA Psychiatry 2013).</w:t>
      </w:r>
    </w:p>
    <w:p>
      <w:pPr>
        <w:pStyle w:val="Compact"/>
        <w:numPr>
          <w:ilvl w:val="0"/>
          <w:numId w:val="1484"/>
        </w:numPr>
      </w:pPr>
      <w:r>
        <w:t xml:space="preserve">Neurobiological — hyperactivity of the cortico-striato-thalamo-cortical (CSTC) circuit (orbitofrontal, cingulate, caudate); serotonergic dysregulation (SSRI effect); glutamatergic dysregulation.</w:t>
      </w:r>
    </w:p>
    <w:p>
      <w:pPr>
        <w:pStyle w:val="Compact"/>
        <w:numPr>
          <w:ilvl w:val="0"/>
          <w:numId w:val="1484"/>
        </w:numPr>
      </w:pPr>
      <w:r>
        <w:t xml:space="preserve">Genetic research — SLC1A1 (glutamate transporter), serotonin genes.</w:t>
      </w:r>
    </w:p>
    <w:p>
      <w:pPr>
        <w:pStyle w:val="Compact"/>
        <w:numPr>
          <w:ilvl w:val="0"/>
          <w:numId w:val="1484"/>
        </w:numPr>
      </w:pPr>
      <w:r>
        <w:t xml:space="preserve">PANDAS — rare onset of OCD following streptococcal infection (NIMH 2017).</w:t>
      </w:r>
    </w:p>
    <w:p>
      <w:pPr>
        <w:pStyle w:val="Compact"/>
        <w:numPr>
          <w:ilvl w:val="0"/>
          <w:numId w:val="1484"/>
        </w:numPr>
      </w:pPr>
      <w:r>
        <w:t xml:space="preserve">Trauma, stress triggering factors.</w:t>
      </w:r>
    </w:p>
    <w:bookmarkEnd w:id="1019"/>
    <w:bookmarkStart w:id="1022" w:name="X04978fba127d5b81c40a2399305e0e4ee3d8bc8"/>
    <w:p>
      <w:pPr>
        <w:pStyle w:val="Heading3"/>
      </w:pPr>
      <w:r>
        <w:t xml:space="preserve">5. Clinical features</w:t>
      </w:r>
    </w:p>
    <w:bookmarkStart w:id="1020" w:name="typical-symptom-domains"/>
    <w:p>
      <w:pPr>
        <w:pStyle w:val="Heading4"/>
      </w:pPr>
      <w:r>
        <w:t xml:space="preserve">Typical symptom domains</w:t>
      </w:r>
    </w:p>
    <w:p>
      <w:pPr>
        <w:pStyle w:val="Compact"/>
        <w:numPr>
          <w:ilvl w:val="0"/>
          <w:numId w:val="1485"/>
        </w:numPr>
      </w:pPr>
      <w:r>
        <w:t xml:space="preserve">Contamination / cleanliness — most frequent; hand washing, disinfection compulsions.</w:t>
      </w:r>
    </w:p>
    <w:p>
      <w:pPr>
        <w:pStyle w:val="Compact"/>
        <w:numPr>
          <w:ilvl w:val="0"/>
          <w:numId w:val="1485"/>
        </w:numPr>
      </w:pPr>
      <w:r>
        <w:t xml:space="preserve">Doubting / checking — lock, plate, electrical devices.</w:t>
      </w:r>
    </w:p>
    <w:p>
      <w:pPr>
        <w:pStyle w:val="Compact"/>
        <w:numPr>
          <w:ilvl w:val="0"/>
          <w:numId w:val="1485"/>
        </w:numPr>
      </w:pPr>
      <w:r>
        <w:t xml:space="preserve">Symmetry / precision / ‘just right’ — related to orderliness.</w:t>
      </w:r>
    </w:p>
    <w:p>
      <w:pPr>
        <w:pStyle w:val="Compact"/>
        <w:numPr>
          <w:ilvl w:val="0"/>
          <w:numId w:val="1485"/>
        </w:numPr>
      </w:pPr>
      <w:r>
        <w:t xml:space="preserve">Aggressive / sexual / religious obsessions — ego-dystonic, causing distress.</w:t>
      </w:r>
    </w:p>
    <w:p>
      <w:pPr>
        <w:pStyle w:val="Compact"/>
        <w:numPr>
          <w:ilvl w:val="0"/>
          <w:numId w:val="1485"/>
        </w:numPr>
      </w:pPr>
      <w:r>
        <w:t xml:space="preserve">Hoarding — Separate category in ICD-11 (6B24).</w:t>
      </w:r>
    </w:p>
    <w:bookmarkEnd w:id="1020"/>
    <w:bookmarkStart w:id="1021" w:name="ego-dystonia"/>
    <w:p>
      <w:pPr>
        <w:pStyle w:val="Heading4"/>
      </w:pPr>
      <w:r>
        <w:t xml:space="preserve">Ego-dystonia</w:t>
      </w:r>
    </w:p>
    <w:p>
      <w:pPr>
        <w:pStyle w:val="FirstParagraph"/>
      </w:pPr>
      <w:r>
        <w:t xml:space="preserve">The patient accepts that obsessions are their own thoughts, but unwanted, irrational, or unacceptable (insight varies — DSM-5-TR insight qualifiers: good / poor / absent).</w:t>
      </w:r>
    </w:p>
    <w:bookmarkEnd w:id="1021"/>
    <w:bookmarkEnd w:id="1022"/>
    <w:bookmarkStart w:id="1027" w:name="Xb0fb99c07742d47d921497f08f30cc838b2ad9e"/>
    <w:p>
      <w:pPr>
        <w:pStyle w:val="Heading3"/>
      </w:pPr>
      <w:r>
        <w:t xml:space="preserve">6. Diagnosis</w:t>
      </w:r>
    </w:p>
    <w:bookmarkStart w:id="1023" w:name="unified-diagnostic-criteria-10"/>
    <w:p>
      <w:pPr>
        <w:pStyle w:val="Heading4"/>
      </w:pPr>
      <w:r>
        <w:t xml:space="preserve">6.1 Unified diagnostic criteria</w:t>
      </w:r>
    </w:p>
    <w:p>
      <w:pPr>
        <w:pStyle w:val="FirstParagraph"/>
      </w:pPr>
      <w:r>
        <w:t xml:space="preserve">A. Presence of obsession, compulsion, or both.</w:t>
      </w:r>
    </w:p>
    <w:p>
      <w:pPr>
        <w:pStyle w:val="Compact"/>
        <w:numPr>
          <w:ilvl w:val="0"/>
          <w:numId w:val="1486"/>
        </w:numPr>
      </w:pPr>
      <w:r>
        <w:t xml:space="preserve">Obsessions: repeated, persistent, unwanted thoughts/images/impulses; creates distress; patient attempts to suppress or neutralize with other thoughts/actions.</w:t>
      </w:r>
    </w:p>
    <w:p>
      <w:pPr>
        <w:pStyle w:val="Compact"/>
        <w:numPr>
          <w:ilvl w:val="0"/>
          <w:numId w:val="1486"/>
        </w:numPr>
      </w:pPr>
      <w:r>
        <w:t xml:space="preserve">Compulsions: Repetitive behavior (hand washing, checking, ordering) or mental act (counting, praying) performed as a response to an obsession or according to rigid rules; aimed at reducing anxiety, but either unrealistic or excessive.</w:t>
      </w:r>
    </w:p>
    <w:p>
      <w:pPr>
        <w:pStyle w:val="FirstParagraph"/>
      </w:pPr>
      <w:r>
        <w:t xml:space="preserve">B. Obsession/compulsions take &gt;1 hour per day or cause significant distress/functional impairment.</w:t>
      </w:r>
    </w:p>
    <w:p>
      <w:pPr>
        <w:pStyle w:val="BodyText"/>
      </w:pPr>
      <w:r>
        <w:t xml:space="preserve">C. Exclusion of substance or medical condition.</w:t>
      </w:r>
    </w:p>
    <w:p>
      <w:pPr>
        <w:pStyle w:val="BodyText"/>
      </w:pPr>
      <w:r>
        <w:t xml:space="preserve">D. Not better explained by another mental disorder.</w:t>
      </w:r>
    </w:p>
    <w:bookmarkEnd w:id="1023"/>
    <w:bookmarkStart w:id="1024" w:name="differences-between-sources-45"/>
    <w:p>
      <w:pPr>
        <w:pStyle w:val="Heading4"/>
      </w:pPr>
      <w:r>
        <w:t xml:space="preserve">6.2 Differences between sources</w:t>
      </w:r>
    </w:p>
    <w:p>
      <w:pPr>
        <w:pStyle w:val="Compact"/>
        <w:numPr>
          <w:ilvl w:val="0"/>
          <w:numId w:val="1487"/>
        </w:numPr>
      </w:pPr>
      <w:r>
        <w:t xml:space="preserve">DSM-5-TR — insight specifiers (good/fair — poor — absent/delusional); tic-related subtype.</w:t>
      </w:r>
    </w:p>
    <w:p>
      <w:pPr>
        <w:pStyle w:val="Compact"/>
        <w:numPr>
          <w:ilvl w:val="0"/>
          <w:numId w:val="1487"/>
        </w:numPr>
      </w:pPr>
      <w:r>
        <w:t xml:space="preserve">ICD-11 — parallel; hoarding (6B24), BDD (6B21), olfactory reference (6B22) separate categories.</w:t>
      </w:r>
    </w:p>
    <w:p>
      <w:pPr>
        <w:pStyle w:val="Compact"/>
        <w:numPr>
          <w:ilvl w:val="0"/>
          <w:numId w:val="1487"/>
        </w:numPr>
      </w:pPr>
      <w:r>
        <w:t xml:space="preserve">NICE CG31 (2005, 2019 surveillance) — diagnostics via clinical interview + Y-BOCS.</w:t>
      </w:r>
    </w:p>
    <w:bookmarkEnd w:id="1024"/>
    <w:bookmarkStart w:id="1025" w:name="diagnostic-algorithm-27"/>
    <w:p>
      <w:pPr>
        <w:pStyle w:val="Heading4"/>
      </w:pPr>
      <w:r>
        <w:t xml:space="preserve">6.3 Diagnostic algorithm</w:t>
      </w:r>
    </w:p>
    <w:p>
      <w:pPr>
        <w:pStyle w:val="Compact"/>
        <w:numPr>
          <w:ilvl w:val="0"/>
          <w:numId w:val="1488"/>
        </w:numPr>
      </w:pPr>
      <w:r>
        <w:t xml:space="preserve">Clinical interview.</w:t>
      </w:r>
    </w:p>
    <w:p>
      <w:pPr>
        <w:pStyle w:val="Compact"/>
        <w:numPr>
          <w:ilvl w:val="0"/>
          <w:numId w:val="1488"/>
        </w:numPr>
      </w:pPr>
      <w:r>
        <w:t xml:space="preserve">SCID-5, Y-BOCS (Yale-Brown Obsessive Compulsive Scale) — the gold standard severity scale; CY-BOCS for children.</w:t>
      </w:r>
    </w:p>
    <w:p>
      <w:pPr>
        <w:pStyle w:val="Compact"/>
        <w:numPr>
          <w:ilvl w:val="0"/>
          <w:numId w:val="1488"/>
        </w:numPr>
      </w:pPr>
      <w:r>
        <w:t xml:space="preserve">OCI-R (Obsessive Compulsive Inventory-Revised) — self-assessment.</w:t>
      </w:r>
    </w:p>
    <w:p>
      <w:pPr>
        <w:pStyle w:val="Compact"/>
        <w:numPr>
          <w:ilvl w:val="0"/>
          <w:numId w:val="1488"/>
        </w:numPr>
      </w:pPr>
      <w:r>
        <w:t xml:space="preserve">Comorbidity (depression, anxiety, tic, autism, BDD, hoarding).</w:t>
      </w:r>
    </w:p>
    <w:bookmarkEnd w:id="1025"/>
    <w:bookmarkStart w:id="1026" w:name="differential-diagnosis-2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Real-life worries, compulsions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Tic (8A05)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Motor/vocal; not goal-directed; premonitory urge.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Appearance-based obsessions.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Hoarding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Difficulty discarding objects.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Eating disorders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Eating behavior is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Trichotillomania, dermatillomania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Body-focused repetitive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Obsessive-Compulsive Personality Disorder (OCPD)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personality pattern, ego-syntonic; OCD is ego-dystonic.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 delusion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Insight at the delusion level; insight in OCD is variable.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Restricted-repetitive behavior; ego-syntonic.</w:t>
            </w:r>
          </w:p>
        </w:tc>
      </w:tr>
    </w:tbl>
    <w:bookmarkEnd w:id="1026"/>
    <w:bookmarkEnd w:id="1027"/>
    <w:bookmarkStart w:id="1028" w:name="X8b60d26d1efdd8424ac62256aae6c3285622ac4"/>
    <w:p>
      <w:pPr>
        <w:pStyle w:val="Heading3"/>
      </w:pPr>
      <w:r>
        <w:t xml:space="preserve">7. Examination and assessment</w:t>
      </w:r>
    </w:p>
    <w:p>
      <w:pPr>
        <w:pStyle w:val="Compact"/>
        <w:numPr>
          <w:ilvl w:val="0"/>
          <w:numId w:val="1489"/>
        </w:numPr>
      </w:pPr>
      <w:r>
        <w:t xml:space="preserve">Y-BOCS / CY-BOCS — gold standard.</w:t>
      </w:r>
    </w:p>
    <w:p>
      <w:pPr>
        <w:pStyle w:val="Compact"/>
        <w:numPr>
          <w:ilvl w:val="0"/>
          <w:numId w:val="1489"/>
        </w:numPr>
      </w:pPr>
      <w:r>
        <w:t xml:space="preserve">OCI-R — self-assessment.</w:t>
      </w:r>
    </w:p>
    <w:p>
      <w:pPr>
        <w:pStyle w:val="Compact"/>
        <w:numPr>
          <w:ilvl w:val="0"/>
          <w:numId w:val="1489"/>
        </w:numPr>
      </w:pPr>
      <w:r>
        <w:t xml:space="preserve">Comorbidity (depression, anxiety).</w:t>
      </w:r>
    </w:p>
    <w:bookmarkEnd w:id="1028"/>
    <w:bookmarkStart w:id="1032" w:name="X698f0564afb2b36cb9d32d19ef2545b4a255771"/>
    <w:p>
      <w:pPr>
        <w:pStyle w:val="Heading3"/>
      </w:pPr>
      <w:r>
        <w:t xml:space="preserve">8. Treatment</w:t>
      </w:r>
    </w:p>
    <w:bookmarkStart w:id="1029" w:name="general-principles-nice-cg31-apa-wfsbp"/>
    <w:p>
      <w:pPr>
        <w:pStyle w:val="Heading4"/>
      </w:pPr>
      <w:r>
        <w:t xml:space="preserve">8.1 General Principles (NICE CG31 · APA · WFSBP)</w:t>
      </w:r>
    </w:p>
    <w:p>
      <w:pPr>
        <w:pStyle w:val="Compact"/>
        <w:numPr>
          <w:ilvl w:val="0"/>
          <w:numId w:val="1490"/>
        </w:numPr>
      </w:pPr>
      <w:r>
        <w:t xml:space="preserve">First-line psychotherapy: ERP (Exposure and Response Prevention) — patient is exposed to feared object/situation and does not perform compulsion. 12–20 sessions. Evidence: Foa E.B. et al. RCTs; effect substantial.</w:t>
      </w:r>
    </w:p>
    <w:p>
      <w:pPr>
        <w:pStyle w:val="Compact"/>
        <w:numPr>
          <w:ilvl w:val="0"/>
          <w:numId w:val="1490"/>
        </w:numPr>
      </w:pPr>
      <w:r>
        <w:t xml:space="preserve">First-line pharmacotherapy: SSRIs at high dose — fluoxetine (40–80 mg), sertraline (200 mg), paroxetine (40–60 mg), fluvoxamine (200–300 mg), escitalopram (20–40 mg). In OCD a higher dose than the standard depression dose is required; effect 8–12 weeks (slower than in depression).</w:t>
      </w:r>
    </w:p>
    <w:p>
      <w:pPr>
        <w:pStyle w:val="Compact"/>
        <w:numPr>
          <w:ilvl w:val="0"/>
          <w:numId w:val="1490"/>
        </w:numPr>
      </w:pPr>
      <w:r>
        <w:t xml:space="preserve">Combination CBT/ERP + SRI — gives no advantage over ERP alone: in the Foa E.B. et al. Am J Psychiatry 2005 RCT (n=122, clomipramine) ERP and ERP+clomipramine did not differ, and both beat clomipramine alone (response 62–86% ERP, 70–79% combination, 42–48% clomipramine, 8–10% placebo). ERP is the strong component; pharmacotherapy is added when ERP is unavailable or comorbidity requires it.</w:t>
      </w:r>
    </w:p>
    <w:p>
      <w:pPr>
        <w:pStyle w:val="Compact"/>
        <w:numPr>
          <w:ilvl w:val="0"/>
          <w:numId w:val="1490"/>
        </w:numPr>
      </w:pPr>
      <w:r>
        <w:t xml:space="preserve">Clomipramine (TCA) — first-line alternative; in case of non-response to SSRI; anticholinergic and cardiac side effects.</w:t>
      </w:r>
    </w:p>
    <w:p>
      <w:pPr>
        <w:pStyle w:val="Compact"/>
        <w:numPr>
          <w:ilvl w:val="0"/>
          <w:numId w:val="1490"/>
        </w:numPr>
      </w:pPr>
      <w:r>
        <w:t xml:space="preserve">Augmentation (SSRI + low-dose atypical antipsychotic) — risperidone, aripiprazole; in refractory cases.</w:t>
      </w:r>
    </w:p>
    <w:p>
      <w:pPr>
        <w:pStyle w:val="Compact"/>
        <w:numPr>
          <w:ilvl w:val="0"/>
          <w:numId w:val="1490"/>
        </w:numPr>
      </w:pPr>
      <w:r>
        <w:t xml:space="preserve">Refractory severe OCD: Deep Brain Stimulation (DBS — ventral capsule/ventral striatum), neurosurgery (capsulotomy, cingulotomy); ECT ineffective; ketamine/esketamine rapid effect studies ongoing.</w:t>
      </w:r>
    </w:p>
    <w:p>
      <w:pPr>
        <w:pStyle w:val="Compact"/>
        <w:numPr>
          <w:ilvl w:val="0"/>
          <w:numId w:val="1490"/>
        </w:numPr>
      </w:pPr>
      <w:r>
        <w:t xml:space="preserve">Duration of treatment — long-term; ≥ 1–2 years after remission, lifelong in case of multiple relapses.</w:t>
      </w:r>
    </w:p>
    <w:bookmarkEnd w:id="1029"/>
    <w:bookmarkStart w:id="1030" w:name="treatment-methods-27"/>
    <w:p>
      <w:pPr>
        <w:pStyle w:val="Heading4"/>
      </w:pPr>
      <w:r>
        <w:t xml:space="preserve">8.2 Treatment methods</w:t>
      </w:r>
    </w:p>
    <w:p>
      <w:pPr>
        <w:pStyle w:val="Compact"/>
        <w:numPr>
          <w:ilvl w:val="0"/>
          <w:numId w:val="1491"/>
        </w:numPr>
      </w:pPr>
      <w:r>
        <w:t xml:space="preserve">Exposure and Response Prevention (ERP) — Meyer (Meyer V.), Foa (Foa E.B.) — The patient is exposed to feared object (e.g., “dirty” object) and does not perform compulsion (washing hands); anxiety gradually decreases (habituation). Standard course 12–20 sessions, 1–2 times per week; more intensive format (daily) is effective. Evidence: Foa E.B. et al. Am J Psychiatry 2005.</w:t>
      </w:r>
    </w:p>
    <w:p>
      <w:pPr>
        <w:pStyle w:val="Compact"/>
        <w:numPr>
          <w:ilvl w:val="0"/>
          <w:numId w:val="1491"/>
        </w:numPr>
      </w:pPr>
      <w:r>
        <w:t xml:space="preserve">CBT — cognitive component — Addition to ERP; re-evaluation of thoughts about obsession; targets “thought-action fusion” (TAF) and hyper-responsibility cognitions.</w:t>
      </w:r>
    </w:p>
    <w:p>
      <w:pPr>
        <w:pStyle w:val="Compact"/>
        <w:numPr>
          <w:ilvl w:val="0"/>
          <w:numId w:val="1491"/>
        </w:numPr>
      </w:pPr>
      <w:r>
        <w:t xml:space="preserve">Yale-Brown Obsessive-Compulsive Scale (Y-BOCS — Yale-Brown Obsessive Compulsive Scale) — Goodman (Goodman W.K.) — 10 items; 5 obsessions + 5 compulsions; gold standard; CY-BOCS in children.</w:t>
      </w:r>
    </w:p>
    <w:p>
      <w:pPr>
        <w:pStyle w:val="Compact"/>
        <w:numPr>
          <w:ilvl w:val="0"/>
          <w:numId w:val="1491"/>
        </w:numPr>
      </w:pPr>
      <w:r>
        <w:t xml:space="preserve">SSRI High Dose — In OCD significantly higher dose than standard depression dose is required; titration over 8–12 weeks; in case of non-response dose is increased to maximum.</w:t>
      </w:r>
    </w:p>
    <w:p>
      <w:pPr>
        <w:pStyle w:val="Compact"/>
        <w:numPr>
          <w:ilvl w:val="0"/>
          <w:numId w:val="1491"/>
        </w:numPr>
      </w:pPr>
      <w:r>
        <w:t xml:space="preserve">Clomipramine (TCA) — Evidence in OCD strong (CMI multicenter trial 1991); cardiac and anticholinergic side effects; second-line.</w:t>
      </w:r>
    </w:p>
    <w:p>
      <w:pPr>
        <w:pStyle w:val="Compact"/>
        <w:numPr>
          <w:ilvl w:val="0"/>
          <w:numId w:val="1491"/>
        </w:numPr>
      </w:pPr>
      <w:r>
        <w:t xml:space="preserve">Deep Brain Stimulation (DBS) — Surgical intervention for refractory severe OCD; target ventral capsule/ventral striatum. Greenberg B.D. et al. Mol Psychiatry 2010.</w:t>
      </w:r>
    </w:p>
    <w:bookmarkEnd w:id="1030"/>
    <w:bookmarkStart w:id="1031" w:name="differences-between-sources-46"/>
    <w:p>
      <w:pPr>
        <w:pStyle w:val="Heading4"/>
      </w:pPr>
      <w:r>
        <w:t xml:space="preserve">8.3 Differences between sources</w:t>
      </w:r>
    </w:p>
    <w:p>
      <w:pPr>
        <w:pStyle w:val="Compact"/>
        <w:numPr>
          <w:ilvl w:val="0"/>
          <w:numId w:val="1492"/>
        </w:numPr>
      </w:pPr>
      <w:r>
        <w:t xml:space="preserve">NICE CG31 (2005, 2019 surveillance) — stepped approach by severity; ERP first-line; SSRIs for moderate-severe.</w:t>
      </w:r>
    </w:p>
    <w:p>
      <w:pPr>
        <w:pStyle w:val="Compact"/>
        <w:numPr>
          <w:ilvl w:val="0"/>
          <w:numId w:val="1492"/>
        </w:numPr>
      </w:pPr>
      <w:r>
        <w:t xml:space="preserve">APA Practice Guideline for OCD (2007) — same; clomipramine strong based on evidence, but second-line due to side effects.</w:t>
      </w:r>
    </w:p>
    <w:p>
      <w:pPr>
        <w:pStyle w:val="Compact"/>
        <w:numPr>
          <w:ilvl w:val="0"/>
          <w:numId w:val="1492"/>
        </w:numPr>
      </w:pPr>
      <w:r>
        <w:t xml:space="preserve">WFSBP (Bandelow B. et al. 2008) — SSRI dose ranges and titration.</w:t>
      </w:r>
    </w:p>
    <w:p>
      <w:pPr>
        <w:pStyle w:val="Compact"/>
        <w:numPr>
          <w:ilvl w:val="0"/>
          <w:numId w:val="1492"/>
        </w:numPr>
      </w:pPr>
      <w:r>
        <w:t xml:space="preserve">NICE CG31 PANDAS — routine antibiotic prophylaxis not recommended.</w:t>
      </w:r>
    </w:p>
    <w:bookmarkEnd w:id="1031"/>
    <w:bookmarkEnd w:id="1032"/>
    <w:bookmarkStart w:id="1033" w:name="X7d78509b8fc2d96bd17161b2528cb7e2e4befcd"/>
    <w:p>
      <w:pPr>
        <w:pStyle w:val="Heading3"/>
      </w:pPr>
      <w:r>
        <w:t xml:space="preserve">9. Prognosis</w:t>
      </w:r>
    </w:p>
    <w:p>
      <w:pPr>
        <w:pStyle w:val="Compact"/>
        <w:numPr>
          <w:ilvl w:val="0"/>
          <w:numId w:val="1493"/>
        </w:numPr>
      </w:pPr>
      <w:r>
        <w:t xml:space="preserve">Chronic course, but significant improvement with adequate treatment.</w:t>
      </w:r>
    </w:p>
    <w:p>
      <w:pPr>
        <w:pStyle w:val="Compact"/>
        <w:numPr>
          <w:ilvl w:val="0"/>
          <w:numId w:val="1493"/>
        </w:numPr>
      </w:pPr>
      <w:r>
        <w:t xml:space="preserve">Comorbid depression, tics and autism are markers of poor prognosis.</w:t>
      </w:r>
    </w:p>
    <w:p>
      <w:pPr>
        <w:pStyle w:val="Compact"/>
        <w:numPr>
          <w:ilvl w:val="0"/>
          <w:numId w:val="1493"/>
        </w:numPr>
      </w:pPr>
      <w:r>
        <w:t xml:space="preserve">Early onset and poor insight — more difficult treatment.</w:t>
      </w:r>
    </w:p>
    <w:bookmarkEnd w:id="1033"/>
    <w:bookmarkStart w:id="1041" w:name="Xcb4a82d57f4475475a58c21f1c27e1bf0bfde27"/>
    <w:p>
      <w:pPr>
        <w:pStyle w:val="Heading3"/>
      </w:pPr>
      <w:r>
        <w:t xml:space="preserve">10. Myths and misconceptions</w:t>
      </w:r>
    </w:p>
    <w:bookmarkStart w:id="1034" w:name="Xbcbc7ad3fb57b53e39c2d274ac4cc6c8e3d160d"/>
    <w:p>
      <w:pPr>
        <w:pStyle w:val="Heading5"/>
      </w:pPr>
      <w:r>
        <w:t xml:space="preserve">Myth 1: “OCD is just a personality trait related to cleanliness and orderliness”</w:t>
      </w:r>
    </w:p>
    <w:p>
      <w:pPr>
        <w:pStyle w:val="FirstParagraph"/>
      </w:pPr>
      <w:r>
        <w:t xml:space="preserve">Evidence: Clinical OCD is ego-dystonic, causes distress and functional impairment; obsessive-compulsive personality disorder (OCPD) is ego-syntonic distinct disorder. Clinical diagnosis based on Y-BOCS severity and duration.</w:t>
      </w:r>
    </w:p>
    <w:bookmarkEnd w:id="1034"/>
    <w:bookmarkStart w:id="1035" w:name="X546e5d2497173dab7c730864b66694f2dfd492f"/>
    <w:p>
      <w:pPr>
        <w:pStyle w:val="Heading5"/>
      </w:pPr>
      <w:r>
        <w:t xml:space="preserve">Myth 2: “The patient can ‘voluntarily stop’ obsessions”</w:t>
      </w:r>
    </w:p>
    <w:p>
      <w:pPr>
        <w:pStyle w:val="FirstParagraph"/>
      </w:pPr>
      <w:r>
        <w:t xml:space="preserve">Evidence: OCD is dysregulation of CSTC circuit; not voluntarily controlled; ERP and SSRIs affect it at a neurobiological level.</w:t>
      </w:r>
    </w:p>
    <w:bookmarkEnd w:id="1035"/>
    <w:bookmarkStart w:id="1036" w:name="Xe155f764aae047c6c63a7371bc3024e6b661d24"/>
    <w:p>
      <w:pPr>
        <w:pStyle w:val="Heading5"/>
      </w:pPr>
      <w:r>
        <w:t xml:space="preserve">Myth 3: “SSRIs work in OCD at depression doses”</w:t>
      </w:r>
    </w:p>
    <w:p>
      <w:pPr>
        <w:pStyle w:val="FirstParagraph"/>
      </w:pPr>
      <w:r>
        <w:t xml:space="preserve">Evidence: In OCD, SSRIs require high doses (fluoxetine 60–80 mg, sertraline 200 mg); depression dose (e.g., fluoxetine 20 mg) often does not respond.</w:t>
      </w:r>
    </w:p>
    <w:bookmarkEnd w:id="1036"/>
    <w:bookmarkStart w:id="1037" w:name="X452ca00f3f059762ab47c317ada92e0cc29065c"/>
    <w:p>
      <w:pPr>
        <w:pStyle w:val="Heading5"/>
      </w:pPr>
      <w:r>
        <w:t xml:space="preserve">Myth 4: “ERP causes trauma because it keeps the patient in a feared situation”</w:t>
      </w:r>
    </w:p>
    <w:p>
      <w:pPr>
        <w:pStyle w:val="FirstParagraph"/>
      </w:pPr>
      <w:r>
        <w:t xml:space="preserve">Evidence: ERP is structured, stepwise, and conducted with patient consent; demonstrates long-term proven efficacy.</w:t>
      </w:r>
    </w:p>
    <w:bookmarkEnd w:id="1037"/>
    <w:bookmarkStart w:id="1038" w:name="Xd4333d0048a782234f21960f7ad3e49172e2c2d"/>
    <w:p>
      <w:pPr>
        <w:pStyle w:val="Heading5"/>
      </w:pPr>
      <w:r>
        <w:t xml:space="preserve">Myth 5: “PANDAS is the main cause of OCD, everyone should take antibiotics”</w:t>
      </w:r>
    </w:p>
    <w:p>
      <w:pPr>
        <w:pStyle w:val="FirstParagraph"/>
      </w:pPr>
      <w:r>
        <w:t xml:space="preserve">Evidence: NIMH 2017 — PANDAS is a rare event; routine antistreptolysin O tests and antibiotic prophylaxis are not recommended; only if a classic clinical picture is present.</w:t>
      </w:r>
    </w:p>
    <w:bookmarkEnd w:id="1038"/>
    <w:bookmarkStart w:id="1039" w:name="X17866b7bc5b5091c3d7be22fc107bcd5ff99540"/>
    <w:p>
      <w:pPr>
        <w:pStyle w:val="Heading5"/>
      </w:pPr>
      <w:r>
        <w:t xml:space="preserve">Myth 6: “Allowing compulsions to be performed calms symptoms”</w:t>
      </w:r>
    </w:p>
    <w:p>
      <w:pPr>
        <w:pStyle w:val="FirstParagraph"/>
      </w:pPr>
      <w:r>
        <w:t xml:space="preserve">Evidence: Permission (accommodation) for compulsions strengthens OCD; reducing family accommodation is a crucial treatment component.</w:t>
      </w:r>
    </w:p>
    <w:bookmarkEnd w:id="1039"/>
    <w:bookmarkStart w:id="1040" w:name="X9efd331e8736d75ec437da4e4b8e9ca04e388a0"/>
    <w:p>
      <w:pPr>
        <w:pStyle w:val="Heading5"/>
      </w:pPr>
      <w:r>
        <w:t xml:space="preserve">Myth 7: “Herbal preparations (St John's Wort, kava, omega-3) cure OCD”</w:t>
      </w:r>
    </w:p>
    <w:p>
      <w:pPr>
        <w:pStyle w:val="FirstParagraph"/>
      </w:pPr>
      <w:r>
        <w:t xml:space="preserve">Evidence: none have proven efficacy for OCD; St John's Wort carries risk of interaction with SSRIs.</w:t>
      </w:r>
    </w:p>
    <w:bookmarkEnd w:id="1040"/>
    <w:bookmarkEnd w:id="1041"/>
    <w:bookmarkStart w:id="2978" w:name="X8dfd5120512e11717e41214bb1e0600f1ec37c0"/>
    <w:p>
      <w:pPr>
        <w:pStyle w:val="Heading3"/>
      </w:pPr>
      <w:r>
        <w:t xml:space="preserve">11. Sources</w:t>
      </w:r>
    </w:p>
    <w:p>
      <w:pPr>
        <w:pStyle w:val="Compact"/>
        <w:numPr>
          <w:ilvl w:val="0"/>
          <w:numId w:val="1494"/>
        </w:numPr>
      </w:pPr>
      <w:r>
        <w:t xml:space="preserve">WHO. ICD-11. 6B20 Obsessive-compulsive disorder. 2024.</w:t>
      </w:r>
    </w:p>
    <w:p>
      <w:pPr>
        <w:pStyle w:val="Compact"/>
        <w:numPr>
          <w:ilvl w:val="0"/>
          <w:numId w:val="1494"/>
        </w:numPr>
      </w:pPr>
      <w:r>
        <w:t xml:space="preserve">APA. DSM-5-TR. 2022.</w:t>
      </w:r>
    </w:p>
    <w:p>
      <w:pPr>
        <w:pStyle w:val="Compact"/>
        <w:numPr>
          <w:ilvl w:val="0"/>
          <w:numId w:val="1494"/>
        </w:numPr>
      </w:pPr>
      <w:r>
        <w:t xml:space="preserve">NICE CG31. Obsessive-compulsive disorder and body dysmorphic disorder. 2005, 2019 surveillance.</w:t>
      </w:r>
    </w:p>
    <w:p>
      <w:pPr>
        <w:pStyle w:val="Compact"/>
        <w:numPr>
          <w:ilvl w:val="0"/>
          <w:numId w:val="1494"/>
        </w:numPr>
      </w:pPr>
      <w:r>
        <w:t xml:space="preserve">APA. Practice Guideline for the Treatment of Patients with Obsessive-Compulsive Disorder. 2007.</w:t>
      </w:r>
    </w:p>
    <w:p>
      <w:pPr>
        <w:pStyle w:val="Compact"/>
        <w:numPr>
          <w:ilvl w:val="0"/>
          <w:numId w:val="1494"/>
        </w:numPr>
      </w:pPr>
      <w:r>
        <w:t xml:space="preserve">Bandelow B. et al. WFSBP guidelines for the pharmacological treatment of anxiety, obsessive-compulsive and post-traumatic stress disorders. World J Biol Psychiatry 2008;9(4):248–312.</w:t>
      </w:r>
    </w:p>
    <w:p>
      <w:pPr>
        <w:pStyle w:val="Compact"/>
        <w:numPr>
          <w:ilvl w:val="0"/>
          <w:numId w:val="1494"/>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494"/>
        </w:numPr>
      </w:pPr>
      <w:r>
        <w:t xml:space="preserve">Ruscio A.M., Stein D.J., Chiu W.T., Kessler R.C. The epidemiology of obsessive-compulsive disorder in the National Comorbidity Survey Replication. Mol Psychiatry 2010;15(1):53–63.</w:t>
      </w:r>
    </w:p>
    <w:p>
      <w:pPr>
        <w:pStyle w:val="Compact"/>
        <w:numPr>
          <w:ilvl w:val="0"/>
          <w:numId w:val="1494"/>
        </w:numPr>
      </w:pPr>
      <w:r>
        <w:t xml:space="preserve">Mataix-Cols D. et al. Familial risks of obsessive-compulsive disorder. JAMA Psychiatry 2013;70(7):709–717.</w:t>
      </w:r>
    </w:p>
    <w:p>
      <w:pPr>
        <w:pStyle w:val="Compact"/>
        <w:numPr>
          <w:ilvl w:val="0"/>
          <w:numId w:val="1494"/>
        </w:numPr>
      </w:pPr>
      <w:r>
        <w:t xml:space="preserve">Greenberg B.D. et al. Deep brain stimulation of the ventral internal capsule/ventral striatum for obsessive-compulsive disorder. Mol Psychiatry 2010;15(1):64–79.</w:t>
      </w:r>
    </w:p>
    <w:p>
      <w:pPr>
        <w:pStyle w:val="Compact"/>
        <w:numPr>
          <w:ilvl w:val="0"/>
          <w:numId w:val="1494"/>
        </w:numPr>
      </w:pPr>
      <w:r>
        <w:t xml:space="preserve">NIMH. PANDAS/PANS Information for Clinicians. 2017.</w:t>
      </w:r>
    </w:p>
    <w:p>
      <w:pPr>
        <w:pStyle w:val="Compact"/>
        <w:numPr>
          <w:ilvl w:val="0"/>
          <w:numId w:val="1494"/>
        </w:numPr>
      </w:pPr>
      <w:r>
        <w:t xml:space="preserve">Goodman W.K., Price L.H., Rasmussen S.A. et al. The Yale-Brown Obsessive Compulsive Scale. I. Development, use, and reliability. Arch Gen Psychiatry 1989;46(11):1006–1011.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42" w:name="m376b21-body-dysmorphic-disorder-bdd"/>
            <w:r>
              <w:t xml:space="preserve">6B21 BODY DYSMORPHIC DISORDER (BDD)</w:t>
            </w:r>
            <w:bookmarkEnd w:id="1042"/>
          </w:p>
          <w:p>
            <w:pPr>
              <w:pStyle w:val="Compact"/>
              <w:ind w:firstLine="0" w:left="0"/>
            </w:pPr>
            <w:r>
              <w:rPr>
                <w:lang w:val="en"/>
              </w:rPr>
              <w:t xml:space="preserve">Body dysmorphic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Hypochondriacal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Body Dysmorphic Disorder</w:t>
            </w:r>
          </w:p>
        </w:tc>
      </w:tr>
    </w:tbl>
    <w:bookmarkStart w:id="1043" w:name="X9387bf0ada91fdf57e636364707bbdf62888251"/>
    <w:p>
      <w:pPr>
        <w:pStyle w:val="Heading3"/>
      </w:pPr>
      <w:r>
        <w:t xml:space="preserve">1. Definition and nosology</w:t>
      </w:r>
    </w:p>
    <w:p>
      <w:pPr>
        <w:pStyle w:val="FirstParagraph"/>
      </w:pPr>
      <w:r>
        <w:t xml:space="preserve">Body Dysmorphic Disorder (BDD; ICD-11:</w:t>
      </w:r>
      <w:r>
        <w:t xml:space="preserve"> </w:t>
      </w:r>
      <w:r>
        <w:t xml:space="preserve">6B21</w:t>
      </w:r>
      <w:r>
        <w:t xml:space="preserve">; DSM-5-TR: F45.22) — obsessive preoccupation with an imagined or very slight defect in appearance; this preoccupation leads to repetitive behaviors (mirror checking, skin picking, seeking cosmetic procedures) or mental acts (comparing).</w:t>
      </w:r>
    </w:p>
    <w:bookmarkEnd w:id="1043"/>
    <w:bookmarkStart w:id="1044" w:name="X6ba7434bc724bc68257b4e26f5a007ce1d313de"/>
    <w:p>
      <w:pPr>
        <w:pStyle w:val="Heading3"/>
      </w:pPr>
      <w:r>
        <w:t xml:space="preserve">2. History</w:t>
      </w:r>
    </w:p>
    <w:p>
      <w:pPr>
        <w:pStyle w:val="Compact"/>
        <w:numPr>
          <w:ilvl w:val="0"/>
          <w:numId w:val="1495"/>
        </w:numPr>
      </w:pPr>
      <w:r>
        <w:t xml:space="preserve">Morselli E. (1891) — ‘dysmorphophobia’.</w:t>
      </w:r>
    </w:p>
    <w:p>
      <w:pPr>
        <w:pStyle w:val="Compact"/>
        <w:numPr>
          <w:ilvl w:val="0"/>
          <w:numId w:val="1495"/>
        </w:numPr>
      </w:pPr>
      <w:r>
        <w:t xml:space="preserve">DSM-III-R (1987) — ‘Body Dysmorphic Disorder’ within somatoform disorders.</w:t>
      </w:r>
    </w:p>
    <w:p>
      <w:pPr>
        <w:pStyle w:val="Compact"/>
        <w:numPr>
          <w:ilvl w:val="0"/>
          <w:numId w:val="1495"/>
        </w:numPr>
      </w:pPr>
      <w:r>
        <w:t xml:space="preserve">DSM-5 (2013) and ICD-11 — moved to the obsessive-compulsive spectrum category.</w:t>
      </w:r>
    </w:p>
    <w:bookmarkEnd w:id="1044"/>
    <w:bookmarkStart w:id="1045" w:name="X420e6b422e6f81c09666ec6f44d4afe1e5b6e2f"/>
    <w:p>
      <w:pPr>
        <w:pStyle w:val="Heading3"/>
      </w:pPr>
      <w:r>
        <w:t xml:space="preserve">3. Epidemiology</w:t>
      </w:r>
    </w:p>
    <w:p>
      <w:pPr>
        <w:pStyle w:val="Compact"/>
        <w:numPr>
          <w:ilvl w:val="0"/>
          <w:numId w:val="1496"/>
        </w:numPr>
      </w:pPr>
      <w:r>
        <w:t xml:space="preserve">Prevalence in general population: 1.7–2.4% (Buhlmann U. et al. Psychiatry Res 2010).</w:t>
      </w:r>
    </w:p>
    <w:p>
      <w:pPr>
        <w:pStyle w:val="Compact"/>
        <w:numPr>
          <w:ilvl w:val="0"/>
          <w:numId w:val="1496"/>
        </w:numPr>
      </w:pPr>
      <w:r>
        <w:t xml:space="preserve">9–15% in cosmetic dermatology and plastic surgery clinics.</w:t>
      </w:r>
    </w:p>
    <w:p>
      <w:pPr>
        <w:pStyle w:val="Compact"/>
        <w:numPr>
          <w:ilvl w:val="0"/>
          <w:numId w:val="1496"/>
        </w:numPr>
      </w:pPr>
      <w:r>
        <w:t xml:space="preserve">Sex: approximately equal.</w:t>
      </w:r>
    </w:p>
    <w:p>
      <w:pPr>
        <w:pStyle w:val="Compact"/>
        <w:numPr>
          <w:ilvl w:val="0"/>
          <w:numId w:val="1496"/>
        </w:numPr>
      </w:pPr>
      <w:r>
        <w:t xml:space="preserve">Onset: mean 15–16 years.</w:t>
      </w:r>
    </w:p>
    <w:p>
      <w:pPr>
        <w:pStyle w:val="Compact"/>
        <w:numPr>
          <w:ilvl w:val="0"/>
          <w:numId w:val="1496"/>
        </w:numPr>
      </w:pPr>
      <w:r>
        <w:t xml:space="preserve">Comorbidity: MDD ~75%, OCD ~30%, social anxiety ~37%, substance use.</w:t>
      </w:r>
    </w:p>
    <w:p>
      <w:pPr>
        <w:pStyle w:val="Compact"/>
        <w:numPr>
          <w:ilvl w:val="0"/>
          <w:numId w:val="1496"/>
        </w:numPr>
      </w:pPr>
      <w:r>
        <w:t xml:space="preserve">Suicide risk high: attempt ~24–28%, completion rate 45 times higher than population (based on reviews by Phillips K.A.).</w:t>
      </w:r>
    </w:p>
    <w:bookmarkEnd w:id="1045"/>
    <w:bookmarkStart w:id="1046" w:name="Xe8fe97720b2f5ed47b8138933c0f2b72b038449"/>
    <w:p>
      <w:pPr>
        <w:pStyle w:val="Heading3"/>
      </w:pPr>
      <w:r>
        <w:t xml:space="preserve">4. Aetiology and pathogenesis</w:t>
      </w:r>
    </w:p>
    <w:p>
      <w:pPr>
        <w:pStyle w:val="Compact"/>
        <w:numPr>
          <w:ilvl w:val="0"/>
          <w:numId w:val="1497"/>
        </w:numPr>
      </w:pPr>
      <w:r>
        <w:t xml:space="preserve">Genetic overlap with OCD.</w:t>
      </w:r>
    </w:p>
    <w:p>
      <w:pPr>
        <w:pStyle w:val="Compact"/>
        <w:numPr>
          <w:ilvl w:val="0"/>
          <w:numId w:val="1497"/>
        </w:numPr>
      </w:pPr>
      <w:r>
        <w:t xml:space="preserve">Neurobiological — orbitofrontal-striatal circuit hyperactivity (similar to OCD); impaired visual processing (Feusner J.D. et al. reviews — patient overfocuses on details, fails to integrate the global image).</w:t>
      </w:r>
    </w:p>
    <w:p>
      <w:pPr>
        <w:pStyle w:val="Compact"/>
        <w:numPr>
          <w:ilvl w:val="0"/>
          <w:numId w:val="1497"/>
        </w:numPr>
      </w:pPr>
      <w:r>
        <w:t xml:space="preserve">Social-cultural — idealized appearance in mass media.</w:t>
      </w:r>
    </w:p>
    <w:p>
      <w:pPr>
        <w:pStyle w:val="Compact"/>
        <w:numPr>
          <w:ilvl w:val="0"/>
          <w:numId w:val="1497"/>
        </w:numPr>
      </w:pPr>
      <w:r>
        <w:t xml:space="preserve">Childhood peer victimization (humiliation, “bullying”).</w:t>
      </w:r>
    </w:p>
    <w:bookmarkEnd w:id="1046"/>
    <w:bookmarkStart w:id="1047" w:name="Xc03cc315a839a01b172b4b0361added64d58c67"/>
    <w:p>
      <w:pPr>
        <w:pStyle w:val="Heading3"/>
      </w:pPr>
      <w:r>
        <w:t xml:space="preserve">5. Clinical features</w:t>
      </w:r>
    </w:p>
    <w:p>
      <w:pPr>
        <w:pStyle w:val="Compact"/>
        <w:numPr>
          <w:ilvl w:val="0"/>
          <w:numId w:val="1498"/>
        </w:numPr>
      </w:pPr>
      <w:r>
        <w:t xml:space="preserve">Obsessive focus on a specific part of appearance (face, skin, hair, nose, body shape).</w:t>
      </w:r>
    </w:p>
    <w:p>
      <w:pPr>
        <w:pStyle w:val="Compact"/>
        <w:numPr>
          <w:ilvl w:val="0"/>
          <w:numId w:val="1498"/>
        </w:numPr>
      </w:pPr>
      <w:r>
        <w:t xml:space="preserve">No actual defect or invisible/unimportant to others.</w:t>
      </w:r>
    </w:p>
    <w:p>
      <w:pPr>
        <w:pStyle w:val="Compact"/>
        <w:numPr>
          <w:ilvl w:val="0"/>
          <w:numId w:val="1498"/>
        </w:numPr>
      </w:pPr>
      <w:r>
        <w:t xml:space="preserve">Repeated behaviors: mirror checking, skin picking, comparison, seeking cosmetic procedures, clothing/makeup/camouflage.</w:t>
      </w:r>
    </w:p>
    <w:p>
      <w:pPr>
        <w:pStyle w:val="Compact"/>
        <w:numPr>
          <w:ilvl w:val="0"/>
          <w:numId w:val="1498"/>
        </w:numPr>
      </w:pPr>
      <w:r>
        <w:t xml:space="preserve">Cognitive actions: comparing oneself to others.</w:t>
      </w:r>
    </w:p>
    <w:p>
      <w:pPr>
        <w:pStyle w:val="Compact"/>
        <w:numPr>
          <w:ilvl w:val="0"/>
          <w:numId w:val="1498"/>
        </w:numPr>
      </w:pPr>
      <w:r>
        <w:t xml:space="preserve">Insight often poor; sometimes at delusional level.</w:t>
      </w:r>
    </w:p>
    <w:p>
      <w:pPr>
        <w:pStyle w:val="Compact"/>
        <w:numPr>
          <w:ilvl w:val="0"/>
          <w:numId w:val="1498"/>
        </w:numPr>
      </w:pPr>
      <w:r>
        <w:t xml:space="preserve">“Muscle dysmorphia” subtype — obsession with “insufficient muscle development” in males; leads to anabolic steroid use.</w:t>
      </w:r>
    </w:p>
    <w:p>
      <w:pPr>
        <w:pStyle w:val="Compact"/>
        <w:numPr>
          <w:ilvl w:val="0"/>
          <w:numId w:val="1498"/>
        </w:numPr>
      </w:pPr>
      <w:r>
        <w:t xml:space="preserve">High social isolation, academic and occupational disruption.</w:t>
      </w:r>
    </w:p>
    <w:bookmarkEnd w:id="1047"/>
    <w:bookmarkStart w:id="1052" w:name="Xd33e90c586e74ae7382d4d780e48cea0462d141"/>
    <w:p>
      <w:pPr>
        <w:pStyle w:val="Heading3"/>
      </w:pPr>
      <w:r>
        <w:t xml:space="preserve">6. Diagnosis</w:t>
      </w:r>
    </w:p>
    <w:bookmarkStart w:id="1048" w:name="unified-diagnostic-criteria-11"/>
    <w:p>
      <w:pPr>
        <w:pStyle w:val="Heading4"/>
      </w:pPr>
      <w:r>
        <w:t xml:space="preserve">6.1 Unified diagnostic criteria</w:t>
      </w:r>
    </w:p>
    <w:p>
      <w:pPr>
        <w:pStyle w:val="FirstParagraph"/>
      </w:pPr>
      <w:r>
        <w:t xml:space="preserve">A. Preoccupation with a perceived defect or flaw in appearance; not observable or appears slight to others.</w:t>
      </w:r>
    </w:p>
    <w:p>
      <w:pPr>
        <w:pStyle w:val="BodyText"/>
      </w:pPr>
      <w:r>
        <w:t xml:space="preserve">B. The patient has at any point performed a repetitive behavior (mirror checking, skin picking, excessive dressing) or mental act (comparison).</w:t>
      </w:r>
    </w:p>
    <w:p>
      <w:pPr>
        <w:pStyle w:val="BodyText"/>
      </w:pPr>
      <w:r>
        <w:t xml:space="preserve">C. The preoccupation causes clinically significant distress or functional impairment.</w:t>
      </w:r>
    </w:p>
    <w:p>
      <w:pPr>
        <w:pStyle w:val="BodyText"/>
      </w:pPr>
      <w:r>
        <w:t xml:space="preserve">D. There must be no body image preoccupation meeting eating disorder criteria (anorexia/bulimia).</w:t>
      </w:r>
    </w:p>
    <w:p>
      <w:pPr>
        <w:pStyle w:val="BodyText"/>
      </w:pPr>
      <w:r>
        <w:t xml:space="preserve">Qualifiers: with muscle dysmorphia; insight (good / moderate — poor / absent / delusional).</w:t>
      </w:r>
    </w:p>
    <w:bookmarkEnd w:id="1048"/>
    <w:bookmarkStart w:id="1049" w:name="differences-between-sources-47"/>
    <w:p>
      <w:pPr>
        <w:pStyle w:val="Heading4"/>
      </w:pPr>
      <w:r>
        <w:t xml:space="preserve">6.2 Differences between sources</w:t>
      </w:r>
    </w:p>
    <w:p>
      <w:pPr>
        <w:pStyle w:val="Compact"/>
        <w:numPr>
          <w:ilvl w:val="0"/>
          <w:numId w:val="1499"/>
        </w:numPr>
      </w:pPr>
      <w:r>
        <w:t xml:space="preserve">DSM-5-TR / ICD-11 — in the OCD spectrum category; muscle dysmorphia qualifier.</w:t>
      </w:r>
    </w:p>
    <w:p>
      <w:pPr>
        <w:pStyle w:val="Compact"/>
        <w:numPr>
          <w:ilvl w:val="0"/>
          <w:numId w:val="1499"/>
        </w:numPr>
      </w:pPr>
      <w:r>
        <w:t xml:space="preserve">NICE CG31 — BDD and OCD joint recommendations.</w:t>
      </w:r>
    </w:p>
    <w:bookmarkEnd w:id="1049"/>
    <w:bookmarkStart w:id="1050" w:name="diagnostic-algorithm-28"/>
    <w:p>
      <w:pPr>
        <w:pStyle w:val="Heading4"/>
      </w:pPr>
      <w:r>
        <w:t xml:space="preserve">6.3 Diagnostic algorithm</w:t>
      </w:r>
    </w:p>
    <w:p>
      <w:pPr>
        <w:pStyle w:val="Compact"/>
        <w:numPr>
          <w:ilvl w:val="0"/>
          <w:numId w:val="1500"/>
        </w:numPr>
      </w:pPr>
      <w:r>
        <w:t xml:space="preserve">Clinical interview (patient often does not speak openly due to shame).</w:t>
      </w:r>
    </w:p>
    <w:p>
      <w:pPr>
        <w:pStyle w:val="Compact"/>
        <w:numPr>
          <w:ilvl w:val="0"/>
          <w:numId w:val="1500"/>
        </w:numPr>
      </w:pPr>
      <w:r>
        <w:t xml:space="preserve">BDDQ (Body Dysmorphic Disorder Questionnaire) — screening.</w:t>
      </w:r>
    </w:p>
    <w:p>
      <w:pPr>
        <w:pStyle w:val="Compact"/>
        <w:numPr>
          <w:ilvl w:val="0"/>
          <w:numId w:val="1500"/>
        </w:numPr>
      </w:pPr>
      <w:r>
        <w:t xml:space="preserve">BDD-YBOCS — severity scale.</w:t>
      </w:r>
    </w:p>
    <w:p>
      <w:pPr>
        <w:pStyle w:val="Compact"/>
        <w:numPr>
          <w:ilvl w:val="0"/>
          <w:numId w:val="1500"/>
        </w:numPr>
      </w:pPr>
      <w:r>
        <w:t xml:space="preserve">Comorbidity (depression, OCD, social anxiety, suicide risk).</w:t>
      </w:r>
    </w:p>
    <w:p>
      <w:pPr>
        <w:pStyle w:val="Compact"/>
        <w:numPr>
          <w:ilvl w:val="0"/>
          <w:numId w:val="1500"/>
        </w:numPr>
      </w:pPr>
      <w:r>
        <w:t xml:space="preserve">History of anabolic steroid use or cosmetic procedure.</w:t>
      </w:r>
    </w:p>
    <w:bookmarkEnd w:id="1050"/>
    <w:bookmarkStart w:id="1051" w:name="differential-diagnosis-2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Obsessions are not limited to appearance.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Eating disorder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Weight and figure are primary; eating behavior is disrupted.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Insight absent; often variable in BDD.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evaluation broad; in BDD, focus on specific appearance part.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Trichotillomania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Hair pulling primary; appearance distress secondary.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Odour-based.</w:t>
            </w:r>
          </w:p>
        </w:tc>
      </w:tr>
    </w:tbl>
    <w:bookmarkEnd w:id="1051"/>
    <w:bookmarkEnd w:id="1052"/>
    <w:bookmarkStart w:id="1053" w:name="X0bf39e839f22854915cfdcbb5c0b502885f27fe"/>
    <w:p>
      <w:pPr>
        <w:pStyle w:val="Heading3"/>
      </w:pPr>
      <w:r>
        <w:t xml:space="preserve">7. Examination and assessment</w:t>
      </w:r>
    </w:p>
    <w:p>
      <w:pPr>
        <w:pStyle w:val="Compact"/>
        <w:numPr>
          <w:ilvl w:val="0"/>
          <w:numId w:val="1501"/>
        </w:numPr>
      </w:pPr>
      <w:r>
        <w:t xml:space="preserve">BDDQ — screening (Phillips K.A.).</w:t>
      </w:r>
    </w:p>
    <w:p>
      <w:pPr>
        <w:pStyle w:val="Compact"/>
        <w:numPr>
          <w:ilvl w:val="0"/>
          <w:numId w:val="1501"/>
        </w:numPr>
      </w:pPr>
      <w:r>
        <w:t xml:space="preserve">BDD-YBOCS — modified OCD scale, 12 items.</w:t>
      </w:r>
    </w:p>
    <w:p>
      <w:pPr>
        <w:pStyle w:val="Compact"/>
        <w:numPr>
          <w:ilvl w:val="0"/>
          <w:numId w:val="1501"/>
        </w:numPr>
      </w:pPr>
      <w:r>
        <w:t xml:space="preserve">C-SSRS — high suicide risk.</w:t>
      </w:r>
    </w:p>
    <w:bookmarkEnd w:id="1053"/>
    <w:bookmarkStart w:id="1056" w:name="X7ab68a22822f6e6f0cefeadfb6615ff217fc814"/>
    <w:p>
      <w:pPr>
        <w:pStyle w:val="Heading3"/>
      </w:pPr>
      <w:r>
        <w:t xml:space="preserve">8. Treatment</w:t>
      </w:r>
    </w:p>
    <w:p>
      <w:pPr>
        <w:pStyle w:val="Compact"/>
        <w:numPr>
          <w:ilvl w:val="0"/>
          <w:numId w:val="1502"/>
        </w:numPr>
      </w:pPr>
      <w:r>
        <w:t xml:space="preserve">First-line psychotherapy: CBT (adapted for BDD, Wilhelm S., Phillips K.A.) — cognitive restructuring + exposure + mirror retraining + behavioral experiments. 12–22 sessions.</w:t>
      </w:r>
    </w:p>
    <w:p>
      <w:pPr>
        <w:pStyle w:val="Compact"/>
        <w:numPr>
          <w:ilvl w:val="0"/>
          <w:numId w:val="1502"/>
        </w:numPr>
      </w:pPr>
      <w:r>
        <w:t xml:space="preserve">First-line pharmacotherapy: SSRIs at high dose — similar to OCD; fluoxetine (40–80 mg), escitalopram, sertraline.</w:t>
      </w:r>
    </w:p>
    <w:p>
      <w:pPr>
        <w:pStyle w:val="Compact"/>
        <w:numPr>
          <w:ilvl w:val="0"/>
          <w:numId w:val="1502"/>
        </w:numPr>
      </w:pPr>
      <w:r>
        <w:t xml:space="preserve">Clomipramine — alternative.</w:t>
      </w:r>
    </w:p>
    <w:p>
      <w:pPr>
        <w:pStyle w:val="Compact"/>
        <w:numPr>
          <w:ilvl w:val="0"/>
          <w:numId w:val="1502"/>
        </w:numPr>
      </w:pPr>
      <w:r>
        <w:t xml:space="preserve">Augmentation — atypical antipsychotic (especially insight at delusional level).</w:t>
      </w:r>
    </w:p>
    <w:p>
      <w:pPr>
        <w:pStyle w:val="Compact"/>
        <w:numPr>
          <w:ilvl w:val="0"/>
          <w:numId w:val="1502"/>
        </w:numPr>
      </w:pPr>
      <w:r>
        <w:t xml:space="preserve">Duration of treatment is long; ≥ 1–2 years after remission.</w:t>
      </w:r>
    </w:p>
    <w:p>
      <w:pPr>
        <w:pStyle w:val="Compact"/>
        <w:numPr>
          <w:ilvl w:val="0"/>
          <w:numId w:val="1502"/>
        </w:numPr>
      </w:pPr>
      <w:r>
        <w:t xml:space="preserve">Suicide risk monitoring.</w:t>
      </w:r>
    </w:p>
    <w:p>
      <w:pPr>
        <w:pStyle w:val="Compact"/>
        <w:numPr>
          <w:ilvl w:val="0"/>
          <w:numId w:val="1502"/>
        </w:numPr>
      </w:pPr>
      <w:r>
        <w:t xml:space="preserve">Prevention of cosmetic procedures — patient collaboration with dermatologist/plastic surgeon; evidence: surgical procedure does not improve BDD symptoms, often creates new focus (Crerand C.E. et al. Ann Plast Surg 2010;65(1):11–16).</w:t>
      </w:r>
    </w:p>
    <w:bookmarkStart w:id="1054" w:name="treatment-methods-28"/>
    <w:p>
      <w:pPr>
        <w:pStyle w:val="Heading4"/>
      </w:pPr>
      <w:r>
        <w:t xml:space="preserve">8.1 Treatment methods</w:t>
      </w:r>
    </w:p>
    <w:p>
      <w:pPr>
        <w:pStyle w:val="Compact"/>
        <w:numPr>
          <w:ilvl w:val="0"/>
          <w:numId w:val="1503"/>
        </w:numPr>
      </w:pPr>
      <w:r>
        <w:t xml:space="preserve">CBT for BDD — Wilhelm S., Phillips K.A — Manualized 22-session protocol — psychoeducation, cognitive restructuring, mirror retraining, behavioral experiments, ritual prevention (ERP), relapse prophylaxis.</w:t>
      </w:r>
    </w:p>
    <w:p>
      <w:pPr>
        <w:pStyle w:val="Compact"/>
        <w:numPr>
          <w:ilvl w:val="0"/>
          <w:numId w:val="1503"/>
        </w:numPr>
      </w:pPr>
      <w:r>
        <w:t xml:space="preserve">Body Dysmorphic Disorder Questionnaire (BDDQ) — Phillips (Phillips K.A.) — Screening.</w:t>
      </w:r>
    </w:p>
    <w:p>
      <w:pPr>
        <w:pStyle w:val="Compact"/>
        <w:numPr>
          <w:ilvl w:val="0"/>
          <w:numId w:val="1503"/>
        </w:numPr>
      </w:pPr>
      <w:r>
        <w:t xml:space="preserve">BDD-YBOCS — Adaptation of Y-BOCS for BDD.</w:t>
      </w:r>
    </w:p>
    <w:p>
      <w:pPr>
        <w:pStyle w:val="Compact"/>
        <w:numPr>
          <w:ilvl w:val="0"/>
          <w:numId w:val="1503"/>
        </w:numPr>
      </w:pPr>
      <w:r>
        <w:t xml:space="preserve">SSRI High Dose — Similar to OCD; response within 8–12 weeks.</w:t>
      </w:r>
    </w:p>
    <w:bookmarkEnd w:id="1054"/>
    <w:bookmarkStart w:id="1055" w:name="differences-between-sources-48"/>
    <w:p>
      <w:pPr>
        <w:pStyle w:val="Heading4"/>
      </w:pPr>
      <w:r>
        <w:t xml:space="preserve">8.2 Differences between sources</w:t>
      </w:r>
    </w:p>
    <w:p>
      <w:pPr>
        <w:pStyle w:val="Compact"/>
        <w:numPr>
          <w:ilvl w:val="0"/>
          <w:numId w:val="1504"/>
        </w:numPr>
      </w:pPr>
      <w:r>
        <w:t xml:space="preserve">NICE CG31 — CBT + high-dose SSRI first-line.</w:t>
      </w:r>
    </w:p>
    <w:p>
      <w:pPr>
        <w:pStyle w:val="Compact"/>
        <w:numPr>
          <w:ilvl w:val="0"/>
          <w:numId w:val="1504"/>
        </w:numPr>
      </w:pPr>
      <w:r>
        <w:t xml:space="preserve">Phillips K.A. studies — SSRIs effective in BDD; high dose, long-term.</w:t>
      </w:r>
    </w:p>
    <w:bookmarkEnd w:id="1055"/>
    <w:bookmarkEnd w:id="1056"/>
    <w:bookmarkStart w:id="1057" w:name="X2f4339ecde5debed9cf555ddcc526baf9f4c310"/>
    <w:p>
      <w:pPr>
        <w:pStyle w:val="Heading3"/>
      </w:pPr>
      <w:r>
        <w:t xml:space="preserve">9. Prognosis</w:t>
      </w:r>
    </w:p>
    <w:p>
      <w:pPr>
        <w:pStyle w:val="Compact"/>
        <w:numPr>
          <w:ilvl w:val="0"/>
          <w:numId w:val="1505"/>
        </w:numPr>
      </w:pPr>
      <w:r>
        <w:t xml:space="preserve">Chronic course.</w:t>
      </w:r>
    </w:p>
    <w:p>
      <w:pPr>
        <w:pStyle w:val="Compact"/>
        <w:numPr>
          <w:ilvl w:val="0"/>
          <w:numId w:val="1505"/>
        </w:numPr>
      </w:pPr>
      <w:r>
        <w:t xml:space="preserve">Significant improvement with adequate treatment; remission is possible but requires long-term maintenance.</w:t>
      </w:r>
    </w:p>
    <w:p>
      <w:pPr>
        <w:pStyle w:val="Compact"/>
        <w:numPr>
          <w:ilvl w:val="0"/>
          <w:numId w:val="1505"/>
        </w:numPr>
      </w:pPr>
      <w:r>
        <w:t xml:space="preserve">Suicide risk monitored.</w:t>
      </w:r>
    </w:p>
    <w:bookmarkEnd w:id="1057"/>
    <w:bookmarkStart w:id="1064" w:name="X9586e801b81285c7a94a592708779dac4f29450"/>
    <w:p>
      <w:pPr>
        <w:pStyle w:val="Heading3"/>
      </w:pPr>
      <w:r>
        <w:t xml:space="preserve">10. Myths and misconceptions</w:t>
      </w:r>
    </w:p>
    <w:bookmarkStart w:id="1058" w:name="Xd78194c096550461ea853578c7f86a8d52aa9df"/>
    <w:p>
      <w:pPr>
        <w:pStyle w:val="Heading5"/>
      </w:pPr>
      <w:r>
        <w:t xml:space="preserve">Myth 1: “BDD patients have a ‘real defect’, cosmetic surgery helps”</w:t>
      </w:r>
    </w:p>
    <w:p>
      <w:pPr>
        <w:pStyle w:val="FirstParagraph"/>
      </w:pPr>
      <w:r>
        <w:t xml:space="preserve">Evidence: Crerand C.E. Ann Plast Surg 2010 — cosmetic procedures do not improve BDD; most patients are dissatisfied with the result or develop a new focus. Surgeons are recommended to screen for BDD.</w:t>
      </w:r>
    </w:p>
    <w:bookmarkEnd w:id="1058"/>
    <w:bookmarkStart w:id="1059" w:name="X5a1918bbab2689a905b63cad42bc01054167578"/>
    <w:p>
      <w:pPr>
        <w:pStyle w:val="Heading5"/>
      </w:pPr>
      <w:r>
        <w:t xml:space="preserve">Myth 2: “A BDD patient should be ‘reassured’ by complimenting their appearance”</w:t>
      </w:r>
    </w:p>
    <w:p>
      <w:pPr>
        <w:pStyle w:val="FirstParagraph"/>
      </w:pPr>
      <w:r>
        <w:t xml:space="preserve">Evidence: praise or reassurance gives short-term relief but strengthens the obsession; reducing family accommodation is a treatment component.</w:t>
      </w:r>
    </w:p>
    <w:bookmarkEnd w:id="1059"/>
    <w:bookmarkStart w:id="1060" w:name="myth-3-bdd-is-common-self-doubt"/>
    <w:p>
      <w:pPr>
        <w:pStyle w:val="Heading5"/>
      </w:pPr>
      <w:r>
        <w:t xml:space="preserve">Myth 3: “BDD is common ‘self-doubt’”</w:t>
      </w:r>
    </w:p>
    <w:p>
      <w:pPr>
        <w:pStyle w:val="FirstParagraph"/>
      </w:pPr>
      <w:r>
        <w:t xml:space="preserve">Evidence: BDD is accompanied by functional impairment and high suicide risk (attempts 24–28%, 45 times higher than the general population); it is assessed as a clinical condition.</w:t>
      </w:r>
    </w:p>
    <w:bookmarkEnd w:id="1060"/>
    <w:bookmarkStart w:id="1061" w:name="X3be6c8a43d58ef36d132cb909dc4db56071a8c7"/>
    <w:p>
      <w:pPr>
        <w:pStyle w:val="Heading5"/>
      </w:pPr>
      <w:r>
        <w:t xml:space="preserve">Myth 4: “SSRIs are effective for BDD at depression doses”</w:t>
      </w:r>
    </w:p>
    <w:p>
      <w:pPr>
        <w:pStyle w:val="FirstParagraph"/>
      </w:pPr>
      <w:r>
        <w:t xml:space="preserve">Evidence: Similar to OCD — high dose required; response in 8–12 weeks.</w:t>
      </w:r>
    </w:p>
    <w:bookmarkEnd w:id="1061"/>
    <w:bookmarkStart w:id="1062" w:name="Xbf01cc0bb24c4a09a0e0d92d1f5bbb2eb0e7e7f"/>
    <w:p>
      <w:pPr>
        <w:pStyle w:val="Heading5"/>
      </w:pPr>
      <w:r>
        <w:t xml:space="preserve">Myth 5: “Muscle dysmorphia does not occur in men, it's just fitness motivation”</w:t>
      </w:r>
    </w:p>
    <w:p>
      <w:pPr>
        <w:pStyle w:val="FirstParagraph"/>
      </w:pPr>
      <w:r>
        <w:t xml:space="preserve">Evidence: Muscle dysmorphia is prevalent among men; it is accompanied by the use of anabolic steroids, compulsive exercise, social isolation, and depression; it is a qualifier in DSM-5-TR.</w:t>
      </w:r>
    </w:p>
    <w:bookmarkEnd w:id="1062"/>
    <w:bookmarkStart w:id="1063" w:name="X444f8276593d49e3f94f528609646165fc2e14f"/>
    <w:p>
      <w:pPr>
        <w:pStyle w:val="Heading5"/>
      </w:pPr>
      <w:r>
        <w:t xml:space="preserve">Myth 6: “Seeking sequential procedures from a plastic surgeon is normal”</w:t>
      </w:r>
    </w:p>
    <w:p>
      <w:pPr>
        <w:pStyle w:val="FirstParagraph"/>
      </w:pPr>
      <w:r>
        <w:t xml:space="preserve">Evidence: Sequential procedures are a sign of BDD; surgeon should screen for BDD and refer to psychiatry.</w:t>
      </w:r>
    </w:p>
    <w:bookmarkEnd w:id="1063"/>
    <w:bookmarkEnd w:id="1064"/>
    <w:bookmarkStart w:id="2977" w:name="Xcbbea41d366006c43e77f2e42a9d54a9fa7d166"/>
    <w:p>
      <w:pPr>
        <w:pStyle w:val="Heading3"/>
      </w:pPr>
      <w:r>
        <w:t xml:space="preserve">11. Sources</w:t>
      </w:r>
    </w:p>
    <w:p>
      <w:pPr>
        <w:pStyle w:val="Compact"/>
        <w:numPr>
          <w:ilvl w:val="0"/>
          <w:numId w:val="1506"/>
        </w:numPr>
      </w:pPr>
      <w:r>
        <w:t xml:space="preserve">WHO. ICD-11. 6B21 Body dysmorphic disorder. 2024.</w:t>
      </w:r>
    </w:p>
    <w:p>
      <w:pPr>
        <w:pStyle w:val="Compact"/>
        <w:numPr>
          <w:ilvl w:val="0"/>
          <w:numId w:val="1506"/>
        </w:numPr>
      </w:pPr>
      <w:r>
        <w:t xml:space="preserve">APA. DSM-5-TR. 2022.</w:t>
      </w:r>
    </w:p>
    <w:p>
      <w:pPr>
        <w:pStyle w:val="Compact"/>
        <w:numPr>
          <w:ilvl w:val="0"/>
          <w:numId w:val="1506"/>
        </w:numPr>
      </w:pPr>
      <w:r>
        <w:t xml:space="preserve">NICE CG31. 2005, 2019 surveillance.</w:t>
      </w:r>
    </w:p>
    <w:p>
      <w:pPr>
        <w:pStyle w:val="Compact"/>
        <w:numPr>
          <w:ilvl w:val="0"/>
          <w:numId w:val="1506"/>
        </w:numPr>
      </w:pPr>
      <w:r>
        <w:t xml:space="preserve">Phillips K.A. The Broken Mirror: Understanding and Treating Body Dysmorphic Disorder. Oxford Univ Press; 2005.</w:t>
      </w:r>
    </w:p>
    <w:p>
      <w:pPr>
        <w:pStyle w:val="Compact"/>
        <w:numPr>
          <w:ilvl w:val="0"/>
          <w:numId w:val="1506"/>
        </w:numPr>
      </w:pPr>
      <w:r>
        <w:t xml:space="preserve">Wilhelm S., Phillips K.A., Steketee G. Cognitive-Behavioral Therapy for Body Dysmorphic Disorder: A Treatment Manual. Guilford Press; 2013.</w:t>
      </w:r>
    </w:p>
    <w:p>
      <w:pPr>
        <w:pStyle w:val="Compact"/>
        <w:numPr>
          <w:ilvl w:val="0"/>
          <w:numId w:val="1506"/>
        </w:numPr>
      </w:pPr>
      <w:r>
        <w:t xml:space="preserve">Buhlmann U. et al. Updates on the prevalence of body dysmorphic disorder: a population-based survey. Psychiatry Res 2010;178(1):171–175.</w:t>
      </w:r>
    </w:p>
    <w:p>
      <w:pPr>
        <w:pStyle w:val="Compact"/>
        <w:numPr>
          <w:ilvl w:val="0"/>
          <w:numId w:val="1506"/>
        </w:numPr>
      </w:pPr>
      <w:r>
        <w:t xml:space="preserve">Crerand C.E., Menard W., Phillips K.A. Surgical and minimally invasive cosmetic procedures among persons with body dysmorphic disorder. Ann Plast Surg 2010;65(1):11–16.</w:t>
      </w:r>
    </w:p>
    <w:p>
      <w:pPr>
        <w:pStyle w:val="Compact"/>
        <w:numPr>
          <w:ilvl w:val="0"/>
          <w:numId w:val="1506"/>
        </w:numPr>
      </w:pPr>
      <w:r>
        <w:t xml:space="preserve">Feusner J.D., Townsend J., Bystritsky A., Bookheimer S. Visual information processing of faces in body dysmorphic disorder. Arch Gen Psychiatry 2007;64(12):1417–1425.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65" w:name="m386b22-olfactory-reference-disorder-ors"/>
            <w:r>
              <w:t xml:space="preserve">6B22 OLFACTORY REFERENCE DISORDER (ORS)</w:t>
            </w:r>
            <w:bookmarkEnd w:id="1065"/>
          </w:p>
          <w:p>
            <w:pPr>
              <w:pStyle w:val="Compact"/>
              <w:ind w:firstLine="0" w:left="0"/>
            </w:pPr>
            <w:r>
              <w:rPr>
                <w:lang w:val="en"/>
              </w:rPr>
              <w:t xml:space="preserve">Olfactory reference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somatoform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Specified Obsessive-Compulsive and Related Disorder (Olfactory Reference Syndrome)</w:t>
            </w:r>
          </w:p>
        </w:tc>
      </w:tr>
    </w:tbl>
    <w:bookmarkStart w:id="1066" w:name="X194693118876316f3b8687af5675b43920bcd80"/>
    <w:p>
      <w:pPr>
        <w:pStyle w:val="Heading3"/>
      </w:pPr>
      <w:r>
        <w:t xml:space="preserve">1. Definition and nosology</w:t>
      </w:r>
    </w:p>
    <w:p>
      <w:pPr>
        <w:pStyle w:val="FirstParagraph"/>
      </w:pPr>
      <w:r>
        <w:t xml:space="preserve">Olfactory Reference Disorder (ORS) (ICD-11:</w:t>
      </w:r>
      <w:r>
        <w:t xml:space="preserve"> </w:t>
      </w:r>
      <w:r>
        <w:t xml:space="preserve">6B22</w:t>
      </w:r>
      <w:r>
        <w:t xml:space="preserve">; DSM-5-TR: F42.8 Other Specified Obsessive-Compulsive and Related Disorder) — disorder characterized by obsessive belief about a non-existent or grossly over-appraised unpleasant odour emanating from the patient's body. Patient believes others condemn or embarrass him/her, exhibits compulsive washing, deodorant use, social avoidance behavior.</w:t>
      </w:r>
    </w:p>
    <w:bookmarkEnd w:id="1066"/>
    <w:bookmarkStart w:id="1067" w:name="X9a3e9665ab8765899002bffbac8d6a78d629d95"/>
    <w:p>
      <w:pPr>
        <w:pStyle w:val="Heading3"/>
      </w:pPr>
      <w:r>
        <w:t xml:space="preserve">2. History</w:t>
      </w:r>
    </w:p>
    <w:p>
      <w:pPr>
        <w:pStyle w:val="Compact"/>
        <w:numPr>
          <w:ilvl w:val="0"/>
          <w:numId w:val="1507"/>
        </w:numPr>
      </w:pPr>
      <w:r>
        <w:t xml:space="preserve">Pryse-Phillips W. (1971) — term ‘olfactory reference syndrome’.</w:t>
      </w:r>
    </w:p>
    <w:p>
      <w:pPr>
        <w:pStyle w:val="Compact"/>
        <w:numPr>
          <w:ilvl w:val="0"/>
          <w:numId w:val="1507"/>
        </w:numPr>
      </w:pPr>
      <w:r>
        <w:t xml:space="preserve">DSM-IV — No separate category (Delusional Disorder as a somatic subtype).</w:t>
      </w:r>
    </w:p>
    <w:p>
      <w:pPr>
        <w:pStyle w:val="Compact"/>
        <w:numPr>
          <w:ilvl w:val="0"/>
          <w:numId w:val="1507"/>
        </w:numPr>
      </w:pPr>
      <w:r>
        <w:t xml:space="preserve">DSM-5 (2013) — OCD spectrum noted as a related disorder; but no separate code assigned.</w:t>
      </w:r>
    </w:p>
    <w:p>
      <w:pPr>
        <w:pStyle w:val="Compact"/>
        <w:numPr>
          <w:ilvl w:val="0"/>
          <w:numId w:val="1507"/>
        </w:numPr>
      </w:pPr>
      <w:r>
        <w:t xml:space="preserve">ICD-11 (2019) — first formal diagnostic category (</w:t>
      </w:r>
      <w:r>
        <w:t xml:space="preserve">6B22</w:t>
      </w:r>
      <w:r>
        <w:t xml:space="preserve">).</w:t>
      </w:r>
    </w:p>
    <w:bookmarkEnd w:id="1067"/>
    <w:bookmarkStart w:id="1068" w:name="Xd0a3c118a54a412fc0d05474e676d4479bdd8e8"/>
    <w:p>
      <w:pPr>
        <w:pStyle w:val="Heading3"/>
      </w:pPr>
      <w:r>
        <w:t xml:space="preserve">3. Epidemiology</w:t>
      </w:r>
    </w:p>
    <w:p>
      <w:pPr>
        <w:pStyle w:val="Compact"/>
        <w:numPr>
          <w:ilvl w:val="0"/>
          <w:numId w:val="1508"/>
        </w:numPr>
      </w:pPr>
      <w:r>
        <w:t xml:space="preserve">Prevalence: precise epidemiological data limited; based on clinical and review reports, considered rare but underdiagnosed (Phillips K.A., Menard W. Gen Hosp Psychiatry 2011).</w:t>
      </w:r>
    </w:p>
    <w:p>
      <w:pPr>
        <w:pStyle w:val="Compact"/>
        <w:numPr>
          <w:ilvl w:val="0"/>
          <w:numId w:val="1508"/>
        </w:numPr>
      </w:pPr>
      <w:r>
        <w:t xml:space="preserve">Onset: early adulthood (mean 20–25 years).</w:t>
      </w:r>
    </w:p>
    <w:p>
      <w:pPr>
        <w:pStyle w:val="Compact"/>
        <w:numPr>
          <w:ilvl w:val="0"/>
          <w:numId w:val="1508"/>
        </w:numPr>
      </w:pPr>
      <w:r>
        <w:t xml:space="preserve">Sex: approximately equal.</w:t>
      </w:r>
    </w:p>
    <w:p>
      <w:pPr>
        <w:pStyle w:val="Compact"/>
        <w:numPr>
          <w:ilvl w:val="0"/>
          <w:numId w:val="1508"/>
        </w:numPr>
      </w:pPr>
      <w:r>
        <w:t xml:space="preserve">Comorbidity: MDD, social anxiety, OCD, BDD, high suicide risk (suicidal ideation ~68%, attempts ~32% — Phillips K.A., Menard W. Gen Hosp Psychiatry 2011, n=20).</w:t>
      </w:r>
    </w:p>
    <w:bookmarkEnd w:id="1068"/>
    <w:bookmarkStart w:id="1069" w:name="X67d51446f63b5416098d5380c90abd8dc11ca7c"/>
    <w:p>
      <w:pPr>
        <w:pStyle w:val="Heading3"/>
      </w:pPr>
      <w:r>
        <w:t xml:space="preserve">4. Aetiology and pathogenesis</w:t>
      </w:r>
    </w:p>
    <w:p>
      <w:pPr>
        <w:pStyle w:val="Compact"/>
        <w:numPr>
          <w:ilvl w:val="0"/>
          <w:numId w:val="1509"/>
        </w:numPr>
      </w:pPr>
      <w:r>
        <w:t xml:space="preserve">Genetic and neurobiological overlap with OCD and BDD.</w:t>
      </w:r>
    </w:p>
    <w:p>
      <w:pPr>
        <w:pStyle w:val="Compact"/>
        <w:numPr>
          <w:ilvl w:val="0"/>
          <w:numId w:val="1509"/>
        </w:numPr>
      </w:pPr>
      <w:r>
        <w:t xml:space="preserve">Insight is variable — sometimes at delusional level.</w:t>
      </w:r>
    </w:p>
    <w:p>
      <w:pPr>
        <w:pStyle w:val="Compact"/>
        <w:numPr>
          <w:ilvl w:val="0"/>
          <w:numId w:val="1509"/>
        </w:numPr>
      </w:pPr>
      <w:r>
        <w:t xml:space="preserve">Social-cultural factors — social stigma regarding body odor.</w:t>
      </w:r>
    </w:p>
    <w:bookmarkEnd w:id="1069"/>
    <w:bookmarkStart w:id="1070" w:name="X89e53cf78d9832334a36d61b40e649bc290c114"/>
    <w:p>
      <w:pPr>
        <w:pStyle w:val="Heading3"/>
      </w:pPr>
      <w:r>
        <w:t xml:space="preserve">5. Clinical features</w:t>
      </w:r>
    </w:p>
    <w:p>
      <w:pPr>
        <w:pStyle w:val="Compact"/>
        <w:numPr>
          <w:ilvl w:val="0"/>
          <w:numId w:val="1510"/>
        </w:numPr>
      </w:pPr>
      <w:r>
        <w:t xml:space="preserve">Obsessive preoccupation with body odor (mouth, feet, armpits, genitals, general body) or breath odor.</w:t>
      </w:r>
    </w:p>
    <w:p>
      <w:pPr>
        <w:pStyle w:val="Compact"/>
        <w:numPr>
          <w:ilvl w:val="0"/>
          <w:numId w:val="1510"/>
        </w:numPr>
      </w:pPr>
      <w:r>
        <w:t xml:space="preserve">‘Misreading’ others' reactions (referential ideas) — coughing, scratching nose, opening a window interpreted as ‘result of smell’.</w:t>
      </w:r>
    </w:p>
    <w:p>
      <w:pPr>
        <w:pStyle w:val="Compact"/>
        <w:numPr>
          <w:ilvl w:val="0"/>
          <w:numId w:val="1510"/>
        </w:numPr>
      </w:pPr>
      <w:r>
        <w:t xml:space="preserve">Compulsive behaviors — frequent washing, changing clothes, deodorant, perfume, oral hygiene, gum chewing, vigorous tooth brushing.</w:t>
      </w:r>
    </w:p>
    <w:p>
      <w:pPr>
        <w:pStyle w:val="Compact"/>
        <w:numPr>
          <w:ilvl w:val="0"/>
          <w:numId w:val="1510"/>
        </w:numPr>
      </w:pPr>
      <w:r>
        <w:t xml:space="preserve">Social avoidance — avoidance of work and school, social isolation.</w:t>
      </w:r>
    </w:p>
    <w:p>
      <w:pPr>
        <w:pStyle w:val="Compact"/>
        <w:numPr>
          <w:ilvl w:val="0"/>
          <w:numId w:val="1510"/>
        </w:numPr>
      </w:pPr>
      <w:r>
        <w:t xml:space="preserve">Compensatory behaviors — maintaining distance from others.</w:t>
      </w:r>
    </w:p>
    <w:bookmarkEnd w:id="1070"/>
    <w:bookmarkStart w:id="1075" w:name="Xe3e52f50f576477e1a69396c000536a4d5368e0"/>
    <w:p>
      <w:pPr>
        <w:pStyle w:val="Heading3"/>
      </w:pPr>
      <w:r>
        <w:t xml:space="preserve">6. Diagnosis</w:t>
      </w:r>
    </w:p>
    <w:bookmarkStart w:id="1071" w:name="unified-diagnostic-criteria-icd-11"/>
    <w:p>
      <w:pPr>
        <w:pStyle w:val="Heading4"/>
      </w:pPr>
      <w:r>
        <w:t xml:space="preserve">6.1 Unified diagnostic criteria (ICD-11)</w:t>
      </w:r>
    </w:p>
    <w:p>
      <w:pPr>
        <w:pStyle w:val="FirstParagraph"/>
      </w:pPr>
      <w:r>
        <w:t xml:space="preserve">A. Persistent preoccupation that one's body emits an unpleasant odor or that there is a foul odor in the breath — which is either unnoticeable or minor to others.</w:t>
      </w:r>
    </w:p>
    <w:p>
      <w:pPr>
        <w:pStyle w:val="BodyText"/>
      </w:pPr>
      <w:r>
        <w:t xml:space="preserve">B. The patient performs repetitive behaviors (washing, odor masking, skin checking) or mental acts (self-comparison with others) in response to obsession.</w:t>
      </w:r>
    </w:p>
    <w:p>
      <w:pPr>
        <w:pStyle w:val="BodyText"/>
      </w:pPr>
      <w:r>
        <w:t xml:space="preserve">C. The preoccupation causes clinically significant distress or functional impairment.</w:t>
      </w:r>
    </w:p>
    <w:p>
      <w:pPr>
        <w:pStyle w:val="BodyText"/>
      </w:pPr>
      <w:r>
        <w:t xml:space="preserve">D. Exclusion of substance or medical condition (real halitosis, hyperhidrosis, trimethylaminuria, metabolic diseases of odor substances).</w:t>
      </w:r>
    </w:p>
    <w:p>
      <w:pPr>
        <w:pStyle w:val="BodyText"/>
      </w:pPr>
      <w:r>
        <w:t xml:space="preserve">Insight qualifier: good / moderate — poor / absent level.</w:t>
      </w:r>
    </w:p>
    <w:bookmarkEnd w:id="1071"/>
    <w:bookmarkStart w:id="1072" w:name="differences-between-sources-49"/>
    <w:p>
      <w:pPr>
        <w:pStyle w:val="Heading4"/>
      </w:pPr>
      <w:r>
        <w:t xml:space="preserve">6.2 Differences between sources</w:t>
      </w:r>
    </w:p>
    <w:p>
      <w:pPr>
        <w:pStyle w:val="Compact"/>
        <w:numPr>
          <w:ilvl w:val="0"/>
          <w:numId w:val="1511"/>
        </w:numPr>
      </w:pPr>
      <w:r>
        <w:t xml:space="preserve">ICD-11 — official status as a separate category.</w:t>
      </w:r>
    </w:p>
    <w:p>
      <w:pPr>
        <w:pStyle w:val="Compact"/>
        <w:numPr>
          <w:ilvl w:val="0"/>
          <w:numId w:val="1511"/>
        </w:numPr>
      </w:pPr>
      <w:r>
        <w:t xml:space="preserve">DSM-5-TR — within ‘Other specified obsessive-compulsive and related disorder’.</w:t>
      </w:r>
    </w:p>
    <w:bookmarkEnd w:id="1072"/>
    <w:bookmarkStart w:id="1073" w:name="diagnostic-algorithm-29"/>
    <w:p>
      <w:pPr>
        <w:pStyle w:val="Heading4"/>
      </w:pPr>
      <w:r>
        <w:t xml:space="preserve">6.3 Diagnostic algorithm</w:t>
      </w:r>
    </w:p>
    <w:p>
      <w:pPr>
        <w:pStyle w:val="Compact"/>
        <w:numPr>
          <w:ilvl w:val="0"/>
          <w:numId w:val="1512"/>
        </w:numPr>
      </w:pPr>
      <w:r>
        <w:t xml:space="preserve">Clinical interview.</w:t>
      </w:r>
    </w:p>
    <w:p>
      <w:pPr>
        <w:pStyle w:val="Compact"/>
        <w:numPr>
          <w:ilvl w:val="0"/>
          <w:numId w:val="1512"/>
        </w:numPr>
      </w:pPr>
      <w:r>
        <w:t xml:space="preserve">Medical and otolaryngological examination — excluding genuine halitosis, sinusitis, hyperhidrosis, gastrointestinal diseases.</w:t>
      </w:r>
    </w:p>
    <w:p>
      <w:pPr>
        <w:pStyle w:val="Compact"/>
        <w:numPr>
          <w:ilvl w:val="0"/>
          <w:numId w:val="1512"/>
        </w:numPr>
      </w:pPr>
      <w:r>
        <w:t xml:space="preserve">Trimethylaminuria (TMAU) — urine trimethylamine test (rare genetic metabolic disorder, ‘fish odor syndrome’).</w:t>
      </w:r>
    </w:p>
    <w:p>
      <w:pPr>
        <w:pStyle w:val="Compact"/>
        <w:numPr>
          <w:ilvl w:val="0"/>
          <w:numId w:val="1512"/>
        </w:numPr>
      </w:pPr>
      <w:r>
        <w:t xml:space="preserve">Insight level assessment.</w:t>
      </w:r>
    </w:p>
    <w:p>
      <w:pPr>
        <w:pStyle w:val="Compact"/>
        <w:numPr>
          <w:ilvl w:val="0"/>
          <w:numId w:val="1512"/>
        </w:numPr>
      </w:pPr>
      <w:r>
        <w:t xml:space="preserve">Comorbidity and suicide risk (high!).</w:t>
      </w:r>
    </w:p>
    <w:bookmarkEnd w:id="1073"/>
    <w:bookmarkStart w:id="1074" w:name="differential-diagnosis-3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Genuine halitosis / hyperhidrosis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Objectively confirmed.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Appearance-based.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obsessions.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 (6A24) — somatic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Insight absent; clinical manifestations overlap.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anxiety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social evaluation broad.</w:t>
            </w:r>
          </w:p>
        </w:tc>
      </w:tr>
    </w:tbl>
    <w:bookmarkEnd w:id="1074"/>
    <w:bookmarkEnd w:id="1075"/>
    <w:bookmarkStart w:id="1076" w:name="X1d0cf18bf819bbebc9b7e2921a0bfab0d3b69ec"/>
    <w:p>
      <w:pPr>
        <w:pStyle w:val="Heading3"/>
      </w:pPr>
      <w:r>
        <w:t xml:space="preserve">7. Examination and assessment</w:t>
      </w:r>
    </w:p>
    <w:p>
      <w:pPr>
        <w:pStyle w:val="Compact"/>
        <w:numPr>
          <w:ilvl w:val="0"/>
          <w:numId w:val="1513"/>
        </w:numPr>
      </w:pPr>
      <w:r>
        <w:t xml:space="preserve">Medical examination — dental, ENT, gastrointestinal.</w:t>
      </w:r>
    </w:p>
    <w:p>
      <w:pPr>
        <w:pStyle w:val="Compact"/>
        <w:numPr>
          <w:ilvl w:val="0"/>
          <w:numId w:val="1513"/>
        </w:numPr>
      </w:pPr>
      <w:r>
        <w:t xml:space="preserve">TMAU test (urinary trimethylamine).</w:t>
      </w:r>
    </w:p>
    <w:p>
      <w:pPr>
        <w:pStyle w:val="Compact"/>
        <w:numPr>
          <w:ilvl w:val="0"/>
          <w:numId w:val="1513"/>
        </w:numPr>
      </w:pPr>
      <w:r>
        <w:t xml:space="preserve">Scale — not specific; adapted use of Y-BOCS.</w:t>
      </w:r>
    </w:p>
    <w:p>
      <w:pPr>
        <w:pStyle w:val="Compact"/>
        <w:numPr>
          <w:ilvl w:val="0"/>
          <w:numId w:val="1513"/>
        </w:numPr>
      </w:pPr>
      <w:r>
        <w:t xml:space="preserve">C-SSRS (high suicide risk).</w:t>
      </w:r>
    </w:p>
    <w:bookmarkEnd w:id="1076"/>
    <w:bookmarkStart w:id="1078" w:name="X7042f08b44c7c3df16b82c0d1bb6cb9c3d37af0"/>
    <w:p>
      <w:pPr>
        <w:pStyle w:val="Heading3"/>
      </w:pPr>
      <w:r>
        <w:t xml:space="preserve">8. Treatment</w:t>
      </w:r>
    </w:p>
    <w:p>
      <w:pPr>
        <w:pStyle w:val="Compact"/>
        <w:numPr>
          <w:ilvl w:val="0"/>
          <w:numId w:val="1514"/>
        </w:numPr>
      </w:pPr>
      <w:r>
        <w:t xml:space="preserve">CBT — approach tailored to OCD/BDD; exposure (cessation of checking behavior, return to social situations), cognitive restructuring.</w:t>
      </w:r>
    </w:p>
    <w:p>
      <w:pPr>
        <w:pStyle w:val="Compact"/>
        <w:numPr>
          <w:ilvl w:val="0"/>
          <w:numId w:val="1514"/>
        </w:numPr>
      </w:pPr>
      <w:r>
        <w:t xml:space="preserve">SSRI high dose — similar to OCD.</w:t>
      </w:r>
    </w:p>
    <w:p>
      <w:pPr>
        <w:pStyle w:val="Compact"/>
        <w:numPr>
          <w:ilvl w:val="0"/>
          <w:numId w:val="1514"/>
        </w:numPr>
      </w:pPr>
      <w:r>
        <w:t xml:space="preserve">Augmentation — atypical antipsychotic (insight at delusional level).</w:t>
      </w:r>
    </w:p>
    <w:p>
      <w:pPr>
        <w:pStyle w:val="Compact"/>
        <w:numPr>
          <w:ilvl w:val="0"/>
          <w:numId w:val="1514"/>
        </w:numPr>
      </w:pPr>
      <w:r>
        <w:t xml:space="preserve">Social rehabilitation.</w:t>
      </w:r>
    </w:p>
    <w:p>
      <w:pPr>
        <w:pStyle w:val="Compact"/>
        <w:numPr>
          <w:ilvl w:val="0"/>
          <w:numId w:val="1514"/>
        </w:numPr>
      </w:pPr>
      <w:r>
        <w:t xml:space="preserve">Suicide risk monitoring.</w:t>
      </w:r>
    </w:p>
    <w:bookmarkStart w:id="1077" w:name="treatment-methods-29"/>
    <w:p>
      <w:pPr>
        <w:pStyle w:val="Heading4"/>
      </w:pPr>
      <w:r>
        <w:t xml:space="preserve">8.1 Treatment methods</w:t>
      </w:r>
    </w:p>
    <w:p>
      <w:pPr>
        <w:pStyle w:val="Compact"/>
        <w:numPr>
          <w:ilvl w:val="0"/>
          <w:numId w:val="1515"/>
        </w:numPr>
      </w:pPr>
      <w:r>
        <w:t xml:space="preserve">CBT (adapted for OCD/BDD) — Exposure + Response Prevention + Cognitive Restructuring.</w:t>
      </w:r>
    </w:p>
    <w:p>
      <w:pPr>
        <w:pStyle w:val="Compact"/>
        <w:numPr>
          <w:ilvl w:val="0"/>
          <w:numId w:val="1515"/>
        </w:numPr>
      </w:pPr>
      <w:r>
        <w:t xml:space="preserve">SSRI High Dose — Similar to OCD; 8–12 weeks.</w:t>
      </w:r>
    </w:p>
    <w:bookmarkEnd w:id="1077"/>
    <w:bookmarkEnd w:id="1078"/>
    <w:bookmarkStart w:id="1079" w:name="Xca7aba0da1ad1acdbf8834df1a69e7d38dfd864"/>
    <w:p>
      <w:pPr>
        <w:pStyle w:val="Heading3"/>
      </w:pPr>
      <w:r>
        <w:t xml:space="preserve">9. Prognosis</w:t>
      </w:r>
    </w:p>
    <w:p>
      <w:pPr>
        <w:pStyle w:val="FirstParagraph"/>
      </w:pPr>
      <w:r>
        <w:t xml:space="preserve">Evidence base is limited. Improvement with SSRIs + CBT; suicide risk monitored.</w:t>
      </w:r>
    </w:p>
    <w:bookmarkEnd w:id="1079"/>
    <w:bookmarkStart w:id="1084" w:name="Xeb975a013d5d19a6b371b0075f9e1e9354851f9"/>
    <w:p>
      <w:pPr>
        <w:pStyle w:val="Heading3"/>
      </w:pPr>
      <w:r>
        <w:t xml:space="preserve">10. Myths and misconceptions</w:t>
      </w:r>
    </w:p>
    <w:bookmarkStart w:id="1080" w:name="X579940331f36e352573a09d218f51e93dbd301d"/>
    <w:p>
      <w:pPr>
        <w:pStyle w:val="Heading5"/>
      </w:pPr>
      <w:r>
        <w:t xml:space="preserve">Myth 1: “The patient may genuinely smell bad — a psychiatric diagnosis cannot be made without prior medical examination”</w:t>
      </w:r>
    </w:p>
    <w:p>
      <w:pPr>
        <w:pStyle w:val="FirstParagraph"/>
      </w:pPr>
      <w:r>
        <w:t xml:space="preserve">Evidence: correct — medical causes (halitosis, hyperhidrosis, TMAU) must be definitively excluded; but if no medical cause and obsessive preoccupation persists, clinical condition is olfactory reference disorder.</w:t>
      </w:r>
    </w:p>
    <w:bookmarkEnd w:id="1080"/>
    <w:bookmarkStart w:id="1081" w:name="X1afcef985b348fb0548f2fb30b9216e509beae4"/>
    <w:p>
      <w:pPr>
        <w:pStyle w:val="Heading5"/>
      </w:pPr>
      <w:r>
        <w:t xml:space="preserve">Myth 2: “Frequent washing and deodorant use will solve the problem”</w:t>
      </w:r>
    </w:p>
    <w:p>
      <w:pPr>
        <w:pStyle w:val="FirstParagraph"/>
      </w:pPr>
      <w:r>
        <w:t xml:space="preserve">Evidence: Compulsive behaviors provide short-term relief but intensify the disorder; skin irritation, social impairment increase.</w:t>
      </w:r>
    </w:p>
    <w:bookmarkEnd w:id="1081"/>
    <w:bookmarkStart w:id="1082" w:name="X4c4f039742b4788b77aa4a64ade66d711423697"/>
    <w:p>
      <w:pPr>
        <w:pStyle w:val="Heading5"/>
      </w:pPr>
      <w:r>
        <w:t xml:space="preserve">Myth 3: “The patient has a simple self-esteem problem”</w:t>
      </w:r>
    </w:p>
    <w:p>
      <w:pPr>
        <w:pStyle w:val="FirstParagraph"/>
      </w:pPr>
      <w:r>
        <w:t xml:space="preserve">Evidence: Clinical impairment; suicide risk is high (suicidal ideation ~68%, attempts ~32%); medical intervention required.</w:t>
      </w:r>
    </w:p>
    <w:bookmarkEnd w:id="1082"/>
    <w:bookmarkStart w:id="1083" w:name="Xeb528bb5af8fd766b96c8759c5f01e91a0d92f0"/>
    <w:p>
      <w:pPr>
        <w:pStyle w:val="Heading5"/>
      </w:pPr>
      <w:r>
        <w:t xml:space="preserve">Myth 4: “Only an antipsychotic is effective because it is a delusion”</w:t>
      </w:r>
    </w:p>
    <w:p>
      <w:pPr>
        <w:pStyle w:val="FirstParagraph"/>
      </w:pPr>
      <w:r>
        <w:t xml:space="preserve">Evidence: insight variable; SSRI high dose + CBT first line; antipsychotic augmentation only at delusional level.</w:t>
      </w:r>
    </w:p>
    <w:bookmarkEnd w:id="1083"/>
    <w:bookmarkEnd w:id="1084"/>
    <w:bookmarkStart w:id="2976" w:name="X00a00b5e2aaa2ed89dfb517329a01bb2e2e95d5"/>
    <w:p>
      <w:pPr>
        <w:pStyle w:val="Heading3"/>
      </w:pPr>
      <w:r>
        <w:t xml:space="preserve">11. Sources</w:t>
      </w:r>
    </w:p>
    <w:p>
      <w:pPr>
        <w:pStyle w:val="Compact"/>
        <w:numPr>
          <w:ilvl w:val="0"/>
          <w:numId w:val="1516"/>
        </w:numPr>
      </w:pPr>
      <w:r>
        <w:t xml:space="preserve">WHO. ICD-11. 6B22 Olfactory reference disorder. 2024.</w:t>
      </w:r>
    </w:p>
    <w:p>
      <w:pPr>
        <w:pStyle w:val="Compact"/>
        <w:numPr>
          <w:ilvl w:val="0"/>
          <w:numId w:val="1516"/>
        </w:numPr>
      </w:pPr>
      <w:r>
        <w:t xml:space="preserve">APA. DSM-5-TR. 2022.</w:t>
      </w:r>
    </w:p>
    <w:p>
      <w:pPr>
        <w:pStyle w:val="Compact"/>
        <w:numPr>
          <w:ilvl w:val="0"/>
          <w:numId w:val="1516"/>
        </w:numPr>
      </w:pPr>
      <w:r>
        <w:t xml:space="preserve">Phillips K.A., Menard W. Olfactory reference syndrome: demographic and clinical features of imagined body odor. Gen Hosp Psychiatry 2011;33(4):398–406.</w:t>
      </w:r>
    </w:p>
    <w:p>
      <w:pPr>
        <w:pStyle w:val="Compact"/>
        <w:numPr>
          <w:ilvl w:val="0"/>
          <w:numId w:val="1516"/>
        </w:numPr>
      </w:pPr>
      <w:r>
        <w:t xml:space="preserve">Pryse-Phillips W. An olfactory reference syndrome. Acta Psychiatr Scand 1971;47(4):484–509.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085" w:name="m396b23-hypochondriasis"/>
            <w:r>
              <w:t xml:space="preserve">6B23 HYPOCHONDRIASIS</w:t>
            </w:r>
            <w:bookmarkEnd w:id="1085"/>
          </w:p>
          <w:p>
            <w:pPr>
              <w:pStyle w:val="Compact"/>
              <w:ind w:firstLine="0" w:left="0"/>
            </w:pPr>
            <w:r>
              <w:rPr>
                <w:lang w:val="en"/>
              </w:rPr>
              <w:t xml:space="preserve">Hypochondriasis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Hypochondriacal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Illness Anxiety Disorder</w:t>
            </w:r>
          </w:p>
        </w:tc>
      </w:tr>
    </w:tbl>
    <w:bookmarkStart w:id="1086" w:name="X280d8fabaf9016fa31e0fb6990a307b723e75a3"/>
    <w:p>
      <w:pPr>
        <w:pStyle w:val="Heading3"/>
      </w:pPr>
      <w:r>
        <w:t xml:space="preserve">1. Definition and nosology</w:t>
      </w:r>
    </w:p>
    <w:p>
      <w:pPr>
        <w:pStyle w:val="FirstParagraph"/>
      </w:pPr>
      <w:r>
        <w:t xml:space="preserve">Hypochondriasis (ICD-11:</w:t>
      </w:r>
      <w:r>
        <w:t xml:space="preserve"> </w:t>
      </w:r>
      <w:r>
        <w:t xml:space="preserve">6B23</w:t>
      </w:r>
      <w:r>
        <w:t xml:space="preserve">; DSM-5-TR: F45.21 Illness Anxiety Disorder — new name, separated from somatic symptom disorder) — persistent preoccupation and anxiety about having or developing a serious medical illness. The patient either checks repeatedly — clinic visits, internet searches, advice from friends — or, conversely, avoids medical care altogether.</w:t>
      </w:r>
    </w:p>
    <w:p>
      <w:pPr>
        <w:pStyle w:val="BodyText"/>
      </w:pPr>
      <w:r>
        <w:t xml:space="preserve">DSM-5 (2013) — hypochondriasis diagnosis split into two new categories:</w:t>
      </w:r>
    </w:p>
    <w:p>
      <w:pPr>
        <w:pStyle w:val="Compact"/>
        <w:numPr>
          <w:ilvl w:val="0"/>
          <w:numId w:val="1517"/>
        </w:numPr>
      </w:pPr>
      <w:r>
        <w:t xml:space="preserve">Somatic Symptom Disorder (F45.1) — somatic complaints present;</w:t>
      </w:r>
    </w:p>
    <w:p>
      <w:pPr>
        <w:pStyle w:val="Compact"/>
        <w:numPr>
          <w:ilvl w:val="0"/>
          <w:numId w:val="1517"/>
        </w:numPr>
      </w:pPr>
      <w:r>
        <w:t xml:space="preserve">Illness Anxiety Disorder (F45.21) — somatic symptoms minimal or absent, anxiety dominant.</w:t>
      </w:r>
    </w:p>
    <w:p>
      <w:pPr>
        <w:pStyle w:val="FirstParagraph"/>
      </w:pPr>
      <w:r>
        <w:t xml:space="preserve">ICD-11 (2019) — hypochondriasis included within the OCD spectrum (separated from somatoform disorders) — this conceptual transition reflects the evidence base (shared neurobiology and treatment response similar to OCD).</w:t>
      </w:r>
    </w:p>
    <w:bookmarkEnd w:id="1086"/>
    <w:bookmarkStart w:id="1087" w:name="Xf6ccd8605aee8e2615bf558927776275e8d9f15"/>
    <w:p>
      <w:pPr>
        <w:pStyle w:val="Heading3"/>
      </w:pPr>
      <w:r>
        <w:t xml:space="preserve">2. History</w:t>
      </w:r>
    </w:p>
    <w:p>
      <w:pPr>
        <w:pStyle w:val="Compact"/>
        <w:numPr>
          <w:ilvl w:val="0"/>
          <w:numId w:val="1518"/>
        </w:numPr>
      </w:pPr>
      <w:r>
        <w:t xml:space="preserve">Greek medicine — “hypochondrium” (below the ribs) — ancient humoral theory.</w:t>
      </w:r>
    </w:p>
    <w:p>
      <w:pPr>
        <w:pStyle w:val="Compact"/>
        <w:numPr>
          <w:ilvl w:val="0"/>
          <w:numId w:val="1518"/>
        </w:numPr>
      </w:pPr>
      <w:r>
        <w:t xml:space="preserve">DSM-III (1980) — In the category of somatoform disorders.</w:t>
      </w:r>
    </w:p>
    <w:p>
      <w:pPr>
        <w:pStyle w:val="Compact"/>
        <w:numPr>
          <w:ilvl w:val="0"/>
          <w:numId w:val="1518"/>
        </w:numPr>
      </w:pPr>
      <w:r>
        <w:t xml:space="preserve">DSM-5 (2013) — separation of illness anxiety disorder and somatic symptom disorder.</w:t>
      </w:r>
    </w:p>
    <w:p>
      <w:pPr>
        <w:pStyle w:val="Compact"/>
        <w:numPr>
          <w:ilvl w:val="0"/>
          <w:numId w:val="1518"/>
        </w:numPr>
      </w:pPr>
      <w:r>
        <w:t xml:space="preserve">ICD-11 (2019) — transition to the spectrum category of OCD.</w:t>
      </w:r>
    </w:p>
    <w:bookmarkEnd w:id="1087"/>
    <w:bookmarkStart w:id="1088" w:name="X354a5dd892cfcf36fd3a0dbcbb847c96d472f00"/>
    <w:p>
      <w:pPr>
        <w:pStyle w:val="Heading3"/>
      </w:pPr>
      <w:r>
        <w:t xml:space="preserve">3. Epidemiology</w:t>
      </w:r>
    </w:p>
    <w:p>
      <w:pPr>
        <w:pStyle w:val="Compact"/>
        <w:numPr>
          <w:ilvl w:val="0"/>
          <w:numId w:val="1519"/>
        </w:numPr>
      </w:pPr>
      <w:r>
        <w:t xml:space="preserve">Lifetime prevalence: 1–6% (Bleichhardt G., Hiller W. Br J Health Psychol 2007).</w:t>
      </w:r>
    </w:p>
    <w:p>
      <w:pPr>
        <w:pStyle w:val="Compact"/>
        <w:numPr>
          <w:ilvl w:val="0"/>
          <w:numId w:val="1519"/>
        </w:numPr>
      </w:pPr>
      <w:r>
        <w:t xml:space="preserve">In primary care patients: ~3–10%.</w:t>
      </w:r>
    </w:p>
    <w:p>
      <w:pPr>
        <w:pStyle w:val="Compact"/>
        <w:numPr>
          <w:ilvl w:val="0"/>
          <w:numId w:val="1519"/>
        </w:numPr>
      </w:pPr>
      <w:r>
        <w:t xml:space="preserve">Sex: approximately equal.</w:t>
      </w:r>
    </w:p>
    <w:p>
      <w:pPr>
        <w:pStyle w:val="Compact"/>
        <w:numPr>
          <w:ilvl w:val="0"/>
          <w:numId w:val="1519"/>
        </w:numPr>
      </w:pPr>
      <w:r>
        <w:t xml:space="preserve">Onset: early to middle adulthood.</w:t>
      </w:r>
    </w:p>
    <w:p>
      <w:pPr>
        <w:pStyle w:val="Compact"/>
        <w:numPr>
          <w:ilvl w:val="0"/>
          <w:numId w:val="1519"/>
        </w:numPr>
      </w:pPr>
      <w:r>
        <w:t xml:space="preserve">Comorbidity: MDD, GAD, OCD, panic disorder.</w:t>
      </w:r>
    </w:p>
    <w:bookmarkEnd w:id="1088"/>
    <w:bookmarkStart w:id="1089" w:name="X7d23709860c6914928fc8b913117a57c8384e9e"/>
    <w:p>
      <w:pPr>
        <w:pStyle w:val="Heading3"/>
      </w:pPr>
      <w:r>
        <w:t xml:space="preserve">4. Aetiology and pathogenesis</w:t>
      </w:r>
    </w:p>
    <w:p>
      <w:pPr>
        <w:pStyle w:val="Compact"/>
        <w:numPr>
          <w:ilvl w:val="0"/>
          <w:numId w:val="1520"/>
        </w:numPr>
      </w:pPr>
      <w:r>
        <w:t xml:space="preserve">Genetic overlap with OCD and anxiety disorders.</w:t>
      </w:r>
    </w:p>
    <w:p>
      <w:pPr>
        <w:pStyle w:val="Compact"/>
        <w:numPr>
          <w:ilvl w:val="0"/>
          <w:numId w:val="1520"/>
        </w:numPr>
      </w:pPr>
      <w:r>
        <w:t xml:space="preserve">Experience with childhood trauma or medical illnesses.</w:t>
      </w:r>
    </w:p>
    <w:p>
      <w:pPr>
        <w:pStyle w:val="Compact"/>
        <w:numPr>
          <w:ilvl w:val="0"/>
          <w:numId w:val="1520"/>
        </w:numPr>
      </w:pPr>
      <w:r>
        <w:t xml:space="preserve">Cognitive — catastrophizing of bodily sensations; selective attention; “medical information seeking” (cyberchondria).</w:t>
      </w:r>
    </w:p>
    <w:p>
      <w:pPr>
        <w:pStyle w:val="Compact"/>
        <w:numPr>
          <w:ilvl w:val="0"/>
          <w:numId w:val="1520"/>
        </w:numPr>
      </w:pPr>
      <w:r>
        <w:t xml:space="preserve">Modeling — high familial vulnerability to illness.</w:t>
      </w:r>
    </w:p>
    <w:bookmarkEnd w:id="1089"/>
    <w:bookmarkStart w:id="1090" w:name="X011f2d8a2dcece637a873447c3c9c6317a1d69e"/>
    <w:p>
      <w:pPr>
        <w:pStyle w:val="Heading3"/>
      </w:pPr>
      <w:r>
        <w:t xml:space="preserve">5. Clinical features</w:t>
      </w:r>
    </w:p>
    <w:p>
      <w:pPr>
        <w:pStyle w:val="Compact"/>
        <w:numPr>
          <w:ilvl w:val="0"/>
          <w:numId w:val="1521"/>
        </w:numPr>
      </w:pPr>
      <w:r>
        <w:t xml:space="preserve">Fear of developing a serious illness (cancer, heart attack, various chronic diseases).</w:t>
      </w:r>
    </w:p>
    <w:p>
      <w:pPr>
        <w:pStyle w:val="Compact"/>
        <w:numPr>
          <w:ilvl w:val="0"/>
          <w:numId w:val="1521"/>
        </w:numPr>
      </w:pPr>
      <w:r>
        <w:t xml:space="preserve">Interpretation of normal bodily sensations (palpitations, headache, sluggish bowel) as markers of serious illness.</w:t>
      </w:r>
    </w:p>
    <w:p>
      <w:pPr>
        <w:pStyle w:val="Compact"/>
        <w:numPr>
          <w:ilvl w:val="0"/>
          <w:numId w:val="1521"/>
        </w:numPr>
      </w:pPr>
      <w:r>
        <w:t xml:space="preserve">Behavioral models (two polar):</w:t>
      </w:r>
    </w:p>
    <w:p>
      <w:pPr>
        <w:pStyle w:val="Compact"/>
        <w:numPr>
          <w:ilvl w:val="1"/>
          <w:numId w:val="1522"/>
        </w:numPr>
      </w:pPr>
      <w:r>
        <w:t xml:space="preserve">Care-seeking — repeated medical check-ups, multiple doctor consultations (‘doctor shopping’), internet searches (cyberchondria), body checks.</w:t>
      </w:r>
    </w:p>
    <w:p>
      <w:pPr>
        <w:pStyle w:val="Compact"/>
        <w:numPr>
          <w:ilvl w:val="1"/>
          <w:numId w:val="1522"/>
        </w:numPr>
      </w:pPr>
      <w:r>
        <w:t xml:space="preserve">Care-avoiding — avoidance of medical check-ups (fear of hearing proof), avoidance of hospitals, medical equipment.</w:t>
      </w:r>
    </w:p>
    <w:p>
      <w:pPr>
        <w:pStyle w:val="Compact"/>
        <w:numPr>
          <w:ilvl w:val="0"/>
          <w:numId w:val="1521"/>
        </w:numPr>
      </w:pPr>
      <w:r>
        <w:t xml:space="preserve">Medical reassurance provides temporary relief, then anxiety returns.</w:t>
      </w:r>
    </w:p>
    <w:p>
      <w:pPr>
        <w:pStyle w:val="Compact"/>
        <w:numPr>
          <w:ilvl w:val="0"/>
          <w:numId w:val="1521"/>
        </w:numPr>
      </w:pPr>
      <w:r>
        <w:t xml:space="preserve">Functional impairment — absenteeism from work, social isolation.</w:t>
      </w:r>
    </w:p>
    <w:bookmarkEnd w:id="1090"/>
    <w:bookmarkStart w:id="1095" w:name="Xa7e517c6be701c672bc8d2c9c7fa851fa1c5f54"/>
    <w:p>
      <w:pPr>
        <w:pStyle w:val="Heading3"/>
      </w:pPr>
      <w:r>
        <w:t xml:space="preserve">6. Diagnosis</w:t>
      </w:r>
    </w:p>
    <w:bookmarkStart w:id="1091" w:name="unified-diagnostic-criteria-12"/>
    <w:p>
      <w:pPr>
        <w:pStyle w:val="Heading4"/>
      </w:pPr>
      <w:r>
        <w:t xml:space="preserve">6.1 Unified diagnostic criteria</w:t>
      </w:r>
    </w:p>
    <w:p>
      <w:pPr>
        <w:pStyle w:val="FirstParagraph"/>
      </w:pPr>
      <w:r>
        <w:t xml:space="preserve">A. Preoccupation with having or developing a serious illness.</w:t>
      </w:r>
    </w:p>
    <w:p>
      <w:pPr>
        <w:pStyle w:val="BodyText"/>
      </w:pPr>
      <w:r>
        <w:t xml:space="preserve">B. Somatic symptoms minimal or absent; if present, preoccupation disproportionate to severity.</w:t>
      </w:r>
    </w:p>
    <w:p>
      <w:pPr>
        <w:pStyle w:val="BodyText"/>
      </w:pPr>
      <w:r>
        <w:t xml:space="preserve">C. High anxiety about health.</w:t>
      </w:r>
    </w:p>
    <w:p>
      <w:pPr>
        <w:pStyle w:val="BodyText"/>
      </w:pPr>
      <w:r>
        <w:t xml:space="preserve">D. The patient exhibits excessive health-related behaviors (checking) or illness avoidance.</w:t>
      </w:r>
    </w:p>
    <w:p>
      <w:pPr>
        <w:pStyle w:val="BodyText"/>
      </w:pPr>
      <w:r>
        <w:t xml:space="preserve">E. Duration ≥ 6 months (DSM-5-TR); typical content of the illness may change over time.</w:t>
      </w:r>
    </w:p>
    <w:p>
      <w:pPr>
        <w:pStyle w:val="BodyText"/>
      </w:pPr>
      <w:r>
        <w:t xml:space="preserve">F. Not better explained by another mental disorder (MDD, panic, GAD, OCD, BDD, somatic delusions).</w:t>
      </w:r>
    </w:p>
    <w:bookmarkEnd w:id="1091"/>
    <w:bookmarkStart w:id="1092" w:name="differences-between-sources-50"/>
    <w:p>
      <w:pPr>
        <w:pStyle w:val="Heading4"/>
      </w:pPr>
      <w:r>
        <w:t xml:space="preserve">6.2 Differences between sources</w:t>
      </w:r>
    </w:p>
    <w:p>
      <w:pPr>
        <w:pStyle w:val="Compact"/>
        <w:numPr>
          <w:ilvl w:val="0"/>
          <w:numId w:val="1523"/>
        </w:numPr>
      </w:pPr>
      <w:r>
        <w:t xml:space="preserve">DSM-5-TR — Illness Anxiety Disorder (F45.21); care-seeking and care-avoiding subtypes.</w:t>
      </w:r>
    </w:p>
    <w:p>
      <w:pPr>
        <w:pStyle w:val="Compact"/>
        <w:numPr>
          <w:ilvl w:val="0"/>
          <w:numId w:val="1523"/>
        </w:numPr>
      </w:pPr>
      <w:r>
        <w:t xml:space="preserve">ICD-11 — within the OCD spectrum category (6B23); new placement distinct from classic somatoform location.</w:t>
      </w:r>
    </w:p>
    <w:bookmarkEnd w:id="1092"/>
    <w:bookmarkStart w:id="1093" w:name="diagnostic-algorithm-30"/>
    <w:p>
      <w:pPr>
        <w:pStyle w:val="Heading4"/>
      </w:pPr>
      <w:r>
        <w:t xml:space="preserve">6.3 Diagnostic algorithm</w:t>
      </w:r>
    </w:p>
    <w:p>
      <w:pPr>
        <w:pStyle w:val="Compact"/>
        <w:numPr>
          <w:ilvl w:val="0"/>
          <w:numId w:val="1524"/>
        </w:numPr>
      </w:pPr>
      <w:r>
        <w:t xml:space="preserve">Clinical interview.</w:t>
      </w:r>
    </w:p>
    <w:p>
      <w:pPr>
        <w:pStyle w:val="Compact"/>
        <w:numPr>
          <w:ilvl w:val="0"/>
          <w:numId w:val="1524"/>
        </w:numPr>
      </w:pPr>
      <w:r>
        <w:t xml:space="preserve">Medical evaluation — exclusion of genuine illness (however excessive testing should be avoided).</w:t>
      </w:r>
    </w:p>
    <w:p>
      <w:pPr>
        <w:pStyle w:val="Compact"/>
        <w:numPr>
          <w:ilvl w:val="0"/>
          <w:numId w:val="1524"/>
        </w:numPr>
      </w:pPr>
      <w:r>
        <w:t xml:space="preserve">Scale — Whiteley Index, SHAI (Short Health Anxiety Inventory).</w:t>
      </w:r>
    </w:p>
    <w:p>
      <w:pPr>
        <w:pStyle w:val="Compact"/>
        <w:numPr>
          <w:ilvl w:val="0"/>
          <w:numId w:val="1524"/>
        </w:numPr>
      </w:pPr>
      <w:r>
        <w:t xml:space="preserve">Comorbidity screening.</w:t>
      </w:r>
    </w:p>
    <w:bookmarkEnd w:id="1093"/>
    <w:bookmarkStart w:id="1094" w:name="differential-diagnosis-3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Somatic complaints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and laboratory confirmation.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obsessions; illness not restricted.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areas of worry.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‘heart attack’ during an attack.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 (6A24) — somatic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Insight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depressive disorder — somatic focus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component predominates.</w:t>
            </w:r>
          </w:p>
        </w:tc>
      </w:tr>
    </w:tbl>
    <w:bookmarkEnd w:id="1094"/>
    <w:bookmarkEnd w:id="1095"/>
    <w:bookmarkStart w:id="1096" w:name="X994a25a37b9f72f1a48dc9e410de5e83fc4571d"/>
    <w:p>
      <w:pPr>
        <w:pStyle w:val="Heading3"/>
      </w:pPr>
      <w:r>
        <w:t xml:space="preserve">7. Examination and assessment</w:t>
      </w:r>
    </w:p>
    <w:p>
      <w:pPr>
        <w:pStyle w:val="Compact"/>
        <w:numPr>
          <w:ilvl w:val="0"/>
          <w:numId w:val="1525"/>
        </w:numPr>
      </w:pPr>
      <w:r>
        <w:t xml:space="preserve">Whiteley Index (14 items), SHAI.</w:t>
      </w:r>
    </w:p>
    <w:p>
      <w:pPr>
        <w:pStyle w:val="Compact"/>
        <w:numPr>
          <w:ilvl w:val="0"/>
          <w:numId w:val="1525"/>
        </w:numPr>
      </w:pPr>
      <w:r>
        <w:t xml:space="preserve">Medical examination — once complete, not repeated.</w:t>
      </w:r>
    </w:p>
    <w:p>
      <w:pPr>
        <w:pStyle w:val="Compact"/>
        <w:numPr>
          <w:ilvl w:val="0"/>
          <w:numId w:val="1525"/>
        </w:numPr>
      </w:pPr>
      <w:r>
        <w:t xml:space="preserve">PHQ-9, GAD-7 comorbidity.</w:t>
      </w:r>
    </w:p>
    <w:bookmarkEnd w:id="1096"/>
    <w:bookmarkStart w:id="1099" w:name="X57c9076ec678e364f135cb36b5282f89629c9d9"/>
    <w:p>
      <w:pPr>
        <w:pStyle w:val="Heading3"/>
      </w:pPr>
      <w:r>
        <w:t xml:space="preserve">8. Treatment</w:t>
      </w:r>
    </w:p>
    <w:p>
      <w:pPr>
        <w:pStyle w:val="Compact"/>
        <w:numPr>
          <w:ilvl w:val="0"/>
          <w:numId w:val="1526"/>
        </w:numPr>
      </w:pPr>
      <w:r>
        <w:t xml:space="preserve">CBT first-line — cognitive restructuring (catastrophizing), prevention of body checking and reassurance seeking (exposure + ritual prevention), attention training. Effect: Cooper K. et al. Behav Res Ther 2017 meta-analysis.</w:t>
      </w:r>
    </w:p>
    <w:p>
      <w:pPr>
        <w:pStyle w:val="Compact"/>
        <w:numPr>
          <w:ilvl w:val="0"/>
          <w:numId w:val="1526"/>
        </w:numPr>
      </w:pPr>
      <w:r>
        <w:t xml:space="preserve">SSRIs — for moderate-to-severe cases or comorbid depression/GAD.</w:t>
      </w:r>
    </w:p>
    <w:p>
      <w:pPr>
        <w:pStyle w:val="Compact"/>
        <w:numPr>
          <w:ilvl w:val="0"/>
          <w:numId w:val="1526"/>
        </w:numPr>
      </w:pPr>
      <w:r>
        <w:t xml:space="preserve">Single physician model (single physician) — patient works only with one primary care physician; avoids multiple checks and “doctor shopping”.</w:t>
      </w:r>
    </w:p>
    <w:p>
      <w:pPr>
        <w:pStyle w:val="Compact"/>
        <w:numPr>
          <w:ilvl w:val="0"/>
          <w:numId w:val="1526"/>
        </w:numPr>
      </w:pPr>
      <w:r>
        <w:t xml:space="preserve">Reassurance limit — clinician does not provide excessive proof in response to anxiety; short, consistent message.</w:t>
      </w:r>
    </w:p>
    <w:p>
      <w:pPr>
        <w:pStyle w:val="Compact"/>
        <w:numPr>
          <w:ilvl w:val="0"/>
          <w:numId w:val="1526"/>
        </w:numPr>
      </w:pPr>
      <w:r>
        <w:t xml:space="preserve">Mindfulness-based approach adjunct.</w:t>
      </w:r>
    </w:p>
    <w:bookmarkStart w:id="1097" w:name="treatment-methods-30"/>
    <w:p>
      <w:pPr>
        <w:pStyle w:val="Heading4"/>
      </w:pPr>
      <w:r>
        <w:t xml:space="preserve">8.1 Treatment methods</w:t>
      </w:r>
    </w:p>
    <w:p>
      <w:pPr>
        <w:pStyle w:val="Compact"/>
        <w:numPr>
          <w:ilvl w:val="0"/>
          <w:numId w:val="1527"/>
        </w:numPr>
      </w:pPr>
      <w:r>
        <w:t xml:space="preserve">CBT for hypochondriasis — Salkovskis P., Warwick H — Cognitive model — “catastrophization” of bodily sensations central. Intervention: psychoeducation, exploration of alternative explanations, behavioral experiments of body checking and reassurance seeking, exposure. 12–16 sessions.</w:t>
      </w:r>
    </w:p>
    <w:p>
      <w:pPr>
        <w:pStyle w:val="Compact"/>
        <w:numPr>
          <w:ilvl w:val="0"/>
          <w:numId w:val="1527"/>
        </w:numPr>
      </w:pPr>
      <w:r>
        <w:t xml:space="preserve">Whiteley Index (Whiteley Index) — 14-item Illness Concern Scale — gold standard screening.</w:t>
      </w:r>
    </w:p>
    <w:p>
      <w:pPr>
        <w:pStyle w:val="Compact"/>
        <w:numPr>
          <w:ilvl w:val="0"/>
          <w:numId w:val="1527"/>
        </w:numPr>
      </w:pPr>
      <w:r>
        <w:t xml:space="preserve">Short Health Anxiety Inventory (SHAI) – Salkovskis — 18 items; clinical and population research.</w:t>
      </w:r>
    </w:p>
    <w:p>
      <w:pPr>
        <w:pStyle w:val="Compact"/>
        <w:numPr>
          <w:ilvl w:val="0"/>
          <w:numId w:val="1527"/>
        </w:numPr>
      </w:pPr>
      <w:r>
        <w:t xml:space="preserve">Single Physician Model (single physician approach) — The patient works only with one physician; all complaints are managed via that physician; multiple checks and contradictory opinions are prevented.</w:t>
      </w:r>
    </w:p>
    <w:bookmarkEnd w:id="1097"/>
    <w:bookmarkStart w:id="1098" w:name="differences-between-sources-51"/>
    <w:p>
      <w:pPr>
        <w:pStyle w:val="Heading4"/>
      </w:pPr>
      <w:r>
        <w:t xml:space="preserve">8.2 Differences between sources</w:t>
      </w:r>
    </w:p>
    <w:p>
      <w:pPr>
        <w:pStyle w:val="Compact"/>
        <w:numPr>
          <w:ilvl w:val="0"/>
          <w:numId w:val="1528"/>
        </w:numPr>
      </w:pPr>
      <w:r>
        <w:t xml:space="preserve">Cooper K. et al. Behav Res Ther 2017 meta-analysis — CBT significant effect; medium effect size.</w:t>
      </w:r>
    </w:p>
    <w:p>
      <w:pPr>
        <w:pStyle w:val="Compact"/>
        <w:numPr>
          <w:ilvl w:val="0"/>
          <w:numId w:val="1528"/>
        </w:numPr>
      </w:pPr>
      <w:r>
        <w:t xml:space="preserve">Greeven A. et al. Am J Psychiatry 2007 RCT — CBT and paroxetine both superior to placebo.</w:t>
      </w:r>
    </w:p>
    <w:bookmarkEnd w:id="1098"/>
    <w:bookmarkEnd w:id="1099"/>
    <w:bookmarkStart w:id="1100" w:name="X361a5d87ca24ca50fc9b01da754271cef07d0a1"/>
    <w:p>
      <w:pPr>
        <w:pStyle w:val="Heading3"/>
      </w:pPr>
      <w:r>
        <w:t xml:space="preserve">9. Prognosis</w:t>
      </w:r>
    </w:p>
    <w:p>
      <w:pPr>
        <w:pStyle w:val="Compact"/>
        <w:numPr>
          <w:ilvl w:val="0"/>
          <w:numId w:val="1529"/>
        </w:numPr>
      </w:pPr>
      <w:r>
        <w:t xml:space="preserve">CBT or SSRIs result in significant improvement in most patients.</w:t>
      </w:r>
    </w:p>
    <w:p>
      <w:pPr>
        <w:pStyle w:val="Compact"/>
        <w:numPr>
          <w:ilvl w:val="0"/>
          <w:numId w:val="1529"/>
        </w:numPr>
      </w:pPr>
      <w:r>
        <w:t xml:space="preserve">Chronic without treatment; persistent use of medical resources.</w:t>
      </w:r>
    </w:p>
    <w:bookmarkEnd w:id="1100"/>
    <w:bookmarkStart w:id="1107" w:name="X9c25f9295768e0462c766450d7be4febc50a943"/>
    <w:p>
      <w:pPr>
        <w:pStyle w:val="Heading3"/>
      </w:pPr>
      <w:r>
        <w:t xml:space="preserve">10. Myths and misconceptions</w:t>
      </w:r>
    </w:p>
    <w:bookmarkStart w:id="1101" w:name="X8579293c55d6ed8bbddadcde652e95356cea80a"/>
    <w:p>
      <w:pPr>
        <w:pStyle w:val="Heading5"/>
      </w:pPr>
      <w:r>
        <w:t xml:space="preserve">Myth 1: “The patient is ‘faking’ illness, playing games”</w:t>
      </w:r>
    </w:p>
    <w:p>
      <w:pPr>
        <w:pStyle w:val="FirstParagraph"/>
      </w:pPr>
      <w:r>
        <w:t xml:space="preserve">Evidence: hypochondriasis is a clinical psychiatric disorder; patient’s concern is genuine; not ‘play’ or simulation. Differs from factitious disorder (6D50).</w:t>
      </w:r>
    </w:p>
    <w:bookmarkEnd w:id="1101"/>
    <w:bookmarkStart w:id="1102" w:name="X0f41deec7b9ecb541281b0a5b33164950d2725d"/>
    <w:p>
      <w:pPr>
        <w:pStyle w:val="Heading5"/>
      </w:pPr>
      <w:r>
        <w:t xml:space="preserve">Myth 2: “The more medical tests performed, the more the patient will be reassured”</w:t>
      </w:r>
    </w:p>
    <w:p>
      <w:pPr>
        <w:pStyle w:val="FirstParagraph"/>
      </w:pPr>
      <w:r>
        <w:t xml:space="preserve">Evidence: repeated checking gives short-term relief, then anxiety returns; ‘checking dependency’ develops. Single clinician model and check restriction recommended.</w:t>
      </w:r>
    </w:p>
    <w:bookmarkEnd w:id="1102"/>
    <w:bookmarkStart w:id="1103" w:name="X41b21d7181bb5d6959d8f085df9164d9f6fed52"/>
    <w:p>
      <w:pPr>
        <w:pStyle w:val="Heading5"/>
      </w:pPr>
      <w:r>
        <w:t xml:space="preserve">Myth 3: “Reassurance (‘you are healthy’) is a treatment tool”</w:t>
      </w:r>
    </w:p>
    <w:p>
      <w:pPr>
        <w:pStyle w:val="FirstParagraph"/>
      </w:pPr>
      <w:r>
        <w:t xml:space="preserve">Evidence: repeated reassurance reinforces disorder — patient continues seeking proof. Structured clinician response: one-time assessment, then brief standard message.</w:t>
      </w:r>
    </w:p>
    <w:bookmarkEnd w:id="1103"/>
    <w:bookmarkStart w:id="1104" w:name="Xf5f81fa1bf97c8fbc614450b76c7d1e19dfb54f"/>
    <w:p>
      <w:pPr>
        <w:pStyle w:val="Heading5"/>
      </w:pPr>
      <w:r>
        <w:t xml:space="preserve">Myth 4: “Internet search helps the patient's self-education”</w:t>
      </w:r>
    </w:p>
    <w:p>
      <w:pPr>
        <w:pStyle w:val="FirstParagraph"/>
      </w:pPr>
      <w:r>
        <w:t xml:space="preserve">Evidence: “Cyberchondria” — internet searches increase anxiety, enhance catastrophizing; limitation or structuring recommended.</w:t>
      </w:r>
    </w:p>
    <w:bookmarkEnd w:id="1104"/>
    <w:bookmarkStart w:id="1105" w:name="Xd6cdeba4e070852a18f6f0cab0ee0ba1314720a"/>
    <w:p>
      <w:pPr>
        <w:pStyle w:val="Heading5"/>
      </w:pPr>
      <w:r>
        <w:t xml:space="preserve">Myth 5: “Hypochondriasis only occurs in elderly patients”</w:t>
      </w:r>
    </w:p>
    <w:p>
      <w:pPr>
        <w:pStyle w:val="FirstParagraph"/>
      </w:pPr>
      <w:r>
        <w:t xml:space="preserve">Evidence: onset early-middle adulthood; age range wide.</w:t>
      </w:r>
    </w:p>
    <w:bookmarkEnd w:id="1105"/>
    <w:bookmarkStart w:id="1106" w:name="X46f4abb5e6fc2c9ae04420c4a51be7eb6c7e1df"/>
    <w:p>
      <w:pPr>
        <w:pStyle w:val="Heading5"/>
      </w:pPr>
      <w:r>
        <w:t xml:space="preserve">Myth 6: “Only antidepressants are effective; therapy is useless”</w:t>
      </w:r>
    </w:p>
    <w:p>
      <w:pPr>
        <w:pStyle w:val="FirstParagraph"/>
      </w:pPr>
      <w:r>
        <w:t xml:space="preserve">Evidence: Greeven 2007 — CBT and paroxetine both superior to placebo; CBT first-line (long-term effect comparable to SSRIs).</w:t>
      </w:r>
    </w:p>
    <w:bookmarkEnd w:id="1106"/>
    <w:bookmarkEnd w:id="1107"/>
    <w:bookmarkStart w:id="2975" w:name="Xd75ece3b7274d17ae005e93af265d78e8747af4"/>
    <w:p>
      <w:pPr>
        <w:pStyle w:val="Heading3"/>
      </w:pPr>
      <w:r>
        <w:t xml:space="preserve">11. Sources</w:t>
      </w:r>
    </w:p>
    <w:p>
      <w:pPr>
        <w:pStyle w:val="Compact"/>
        <w:numPr>
          <w:ilvl w:val="0"/>
          <w:numId w:val="1530"/>
        </w:numPr>
      </w:pPr>
      <w:r>
        <w:t xml:space="preserve">WHO. ICD-11. 6B23 Hypochondriasis. 2024.</w:t>
      </w:r>
    </w:p>
    <w:p>
      <w:pPr>
        <w:pStyle w:val="Compact"/>
        <w:numPr>
          <w:ilvl w:val="0"/>
          <w:numId w:val="1530"/>
        </w:numPr>
      </w:pPr>
      <w:r>
        <w:t xml:space="preserve">APA. DSM-5-TR. 2022.</w:t>
      </w:r>
    </w:p>
    <w:p>
      <w:pPr>
        <w:pStyle w:val="Compact"/>
        <w:numPr>
          <w:ilvl w:val="0"/>
          <w:numId w:val="1530"/>
        </w:numPr>
      </w:pPr>
      <w:r>
        <w:t xml:space="preserve">Cooper K. et al. Cognitive behaviour therapy for health anxiety: a systematic review and meta-analysis. Behav Res Ther 2017;90:8–20.</w:t>
      </w:r>
    </w:p>
    <w:p>
      <w:pPr>
        <w:pStyle w:val="Compact"/>
        <w:numPr>
          <w:ilvl w:val="0"/>
          <w:numId w:val="1530"/>
        </w:numPr>
      </w:pPr>
      <w:r>
        <w:t xml:space="preserve">Greeven A. et al. Cognitive behavior therapy and paroxetine in the treatment of hypochondriasis: a randomized controlled trial. Am J Psychiatry 2007;164(1):91–99.</w:t>
      </w:r>
    </w:p>
    <w:p>
      <w:pPr>
        <w:pStyle w:val="Compact"/>
        <w:numPr>
          <w:ilvl w:val="0"/>
          <w:numId w:val="1530"/>
        </w:numPr>
      </w:pPr>
      <w:r>
        <w:t xml:space="preserve">Salkovskis P.M., Rimes K.A., Warwick H.M. The Health Anxiety Inventory: development and validation of scales for the measurement of health anxiety and hypochondriasis. Psychol Med 2002;32(5):843–853.</w:t>
      </w:r>
    </w:p>
    <w:p>
      <w:pPr>
        <w:pStyle w:val="Compact"/>
        <w:numPr>
          <w:ilvl w:val="0"/>
          <w:numId w:val="1530"/>
        </w:numPr>
      </w:pPr>
      <w:r>
        <w:t xml:space="preserve">Bleichhardt G., Hiller W. Hypochondriasis and health anxiety in the German population. Br J Health Psychol 2007;12(Pt 4):511–523.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08" w:name="m406b24-hoarding-disorder"/>
            <w:r>
              <w:t xml:space="preserve">6B24 HOARDING DISORDER</w:t>
            </w:r>
            <w:bookmarkEnd w:id="1108"/>
          </w:p>
          <w:p>
            <w:pPr>
              <w:pStyle w:val="Compact"/>
              <w:ind w:firstLine="0" w:left="0"/>
            </w:pPr>
            <w:r>
              <w:rPr>
                <w:lang w:val="en"/>
              </w:rPr>
              <w:t xml:space="preserve">Hoarding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habit and impulse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Hoarding Disorder</w:t>
            </w:r>
          </w:p>
        </w:tc>
      </w:tr>
    </w:tbl>
    <w:bookmarkStart w:id="1109" w:name="Xd187f9f697dee281530d1a5a688e4d1c0c6b088"/>
    <w:p>
      <w:pPr>
        <w:pStyle w:val="Heading3"/>
      </w:pPr>
      <w:r>
        <w:t xml:space="preserve">1. Definition and nosology</w:t>
      </w:r>
    </w:p>
    <w:p>
      <w:pPr>
        <w:pStyle w:val="FirstParagraph"/>
      </w:pPr>
      <w:r>
        <w:t xml:space="preserve">Hoarding disorder (ICD-11:</w:t>
      </w:r>
      <w:r>
        <w:t xml:space="preserve"> </w:t>
      </w:r>
      <w:r>
        <w:t xml:space="preserve">6B24</w:t>
      </w:r>
      <w:r>
        <w:t xml:space="preserve">; DSM-5-TR: F42.3 Hoarding Disorder) — a persistent need to acquire or save possessions and persistent difficulty discarding them, leading to clutter of living spaces (to the extent that rooms cannot be used for their intended purpose). Categorized under the OCD spectrum.</w:t>
      </w:r>
    </w:p>
    <w:bookmarkEnd w:id="1109"/>
    <w:bookmarkStart w:id="1110" w:name="Xaf97bf105526cdb92d76a93ba407ee93d2d2478"/>
    <w:p>
      <w:pPr>
        <w:pStyle w:val="Heading3"/>
      </w:pPr>
      <w:r>
        <w:t xml:space="preserve">2. History</w:t>
      </w:r>
    </w:p>
    <w:p>
      <w:pPr>
        <w:pStyle w:val="Compact"/>
        <w:numPr>
          <w:ilvl w:val="0"/>
          <w:numId w:val="1531"/>
        </w:numPr>
      </w:pPr>
      <w:r>
        <w:t xml:space="preserve">Frost R.O., Hartl T.L. (1996) — cognitive-behavioral model of hoarding.</w:t>
      </w:r>
    </w:p>
    <w:p>
      <w:pPr>
        <w:pStyle w:val="Compact"/>
        <w:numPr>
          <w:ilvl w:val="0"/>
          <w:numId w:val="1531"/>
        </w:numPr>
      </w:pPr>
      <w:r>
        <w:t xml:space="preserve">DSM-IV — Was noted as a subtype of OCD.</w:t>
      </w:r>
    </w:p>
    <w:p>
      <w:pPr>
        <w:pStyle w:val="Compact"/>
        <w:numPr>
          <w:ilvl w:val="0"/>
          <w:numId w:val="1531"/>
        </w:numPr>
      </w:pPr>
      <w:r>
        <w:t xml:space="preserve">DSM-5 (2013) and ICD-11 — formally established as a distinct diagnostic category (evidence base — distinct clinical manifestations, course, treatment response).</w:t>
      </w:r>
    </w:p>
    <w:bookmarkEnd w:id="1110"/>
    <w:bookmarkStart w:id="1111" w:name="X471065e77d09714be815ed01922487019f44df9"/>
    <w:p>
      <w:pPr>
        <w:pStyle w:val="Heading3"/>
      </w:pPr>
      <w:r>
        <w:t xml:space="preserve">3. Epidemiology</w:t>
      </w:r>
    </w:p>
    <w:p>
      <w:pPr>
        <w:pStyle w:val="Compact"/>
        <w:numPr>
          <w:ilvl w:val="0"/>
          <w:numId w:val="1532"/>
        </w:numPr>
      </w:pPr>
      <w:r>
        <w:t xml:space="preserve">Lifetime prevalence: 2–6% (Samuels J.F. et al. Behav Res Ther 2008).</w:t>
      </w:r>
    </w:p>
    <w:p>
      <w:pPr>
        <w:pStyle w:val="Compact"/>
        <w:numPr>
          <w:ilvl w:val="0"/>
          <w:numId w:val="1532"/>
        </w:numPr>
      </w:pPr>
      <w:r>
        <w:t xml:space="preserve">In older adults, prevalence is higher (~6%).</w:t>
      </w:r>
    </w:p>
    <w:p>
      <w:pPr>
        <w:pStyle w:val="Compact"/>
        <w:numPr>
          <w:ilvl w:val="0"/>
          <w:numId w:val="1532"/>
        </w:numPr>
      </w:pPr>
      <w:r>
        <w:t xml:space="preserve">Sex: approximately equal; women predominate in clinical samples.</w:t>
      </w:r>
    </w:p>
    <w:p>
      <w:pPr>
        <w:pStyle w:val="Compact"/>
        <w:numPr>
          <w:ilvl w:val="0"/>
          <w:numId w:val="1532"/>
        </w:numPr>
      </w:pPr>
      <w:r>
        <w:t xml:space="preserve">Onset: adolescence (mean 11–15 years); severity increases with age.</w:t>
      </w:r>
    </w:p>
    <w:p>
      <w:pPr>
        <w:pStyle w:val="Compact"/>
        <w:numPr>
          <w:ilvl w:val="0"/>
          <w:numId w:val="1532"/>
        </w:numPr>
      </w:pPr>
      <w:r>
        <w:t xml:space="preserve">Comorbidity: MDD ~50%, OCD ~20%, GAD, social anxiety, ADHD.</w:t>
      </w:r>
    </w:p>
    <w:bookmarkEnd w:id="1111"/>
    <w:bookmarkStart w:id="1112" w:name="Xa91d358f63b18d017f6aca2e54bf7079129fa22"/>
    <w:p>
      <w:pPr>
        <w:pStyle w:val="Heading3"/>
      </w:pPr>
      <w:r>
        <w:t xml:space="preserve">4. Aetiology and pathogenesis</w:t>
      </w:r>
    </w:p>
    <w:p>
      <w:pPr>
        <w:pStyle w:val="Compact"/>
        <w:numPr>
          <w:ilvl w:val="0"/>
          <w:numId w:val="1533"/>
        </w:numPr>
      </w:pPr>
      <w:r>
        <w:t xml:space="preserve">Heritability 50%.</w:t>
      </w:r>
    </w:p>
    <w:p>
      <w:pPr>
        <w:pStyle w:val="Compact"/>
        <w:numPr>
          <w:ilvl w:val="0"/>
          <w:numId w:val="1533"/>
        </w:numPr>
      </w:pPr>
      <w:r>
        <w:t xml:space="preserve">Neurobiological — frontostriatal circuit disruption; activation patterns distinct from OCD (Tolin D.F. et al. reviews).</w:t>
      </w:r>
    </w:p>
    <w:p>
      <w:pPr>
        <w:pStyle w:val="Compact"/>
        <w:numPr>
          <w:ilvl w:val="0"/>
          <w:numId w:val="1533"/>
        </w:numPr>
      </w:pPr>
      <w:r>
        <w:t xml:space="preserve">Cognitive deficits — categorization, decision-making, attention (Frost &amp; Hartl model).</w:t>
      </w:r>
    </w:p>
    <w:p>
      <w:pPr>
        <w:pStyle w:val="Compact"/>
        <w:numPr>
          <w:ilvl w:val="0"/>
          <w:numId w:val="1533"/>
        </w:numPr>
      </w:pPr>
      <w:r>
        <w:t xml:space="preserve">Emotional attachment to objects; loss trauma.</w:t>
      </w:r>
    </w:p>
    <w:p>
      <w:pPr>
        <w:pStyle w:val="Compact"/>
        <w:numPr>
          <w:ilvl w:val="0"/>
          <w:numId w:val="1533"/>
        </w:numPr>
      </w:pPr>
      <w:r>
        <w:t xml:space="preserve">In older adults — trigger for cognitive decline.</w:t>
      </w:r>
    </w:p>
    <w:bookmarkEnd w:id="1112"/>
    <w:bookmarkStart w:id="1113" w:name="X333e35601840675a29b86d0d2fed9771c0d89f4"/>
    <w:p>
      <w:pPr>
        <w:pStyle w:val="Heading3"/>
      </w:pPr>
      <w:r>
        <w:t xml:space="preserve">5. Clinical features</w:t>
      </w:r>
    </w:p>
    <w:p>
      <w:pPr>
        <w:pStyle w:val="Compact"/>
        <w:numPr>
          <w:ilvl w:val="0"/>
          <w:numId w:val="1534"/>
        </w:numPr>
      </w:pPr>
      <w:r>
        <w:t xml:space="preserve">Persistent difficulty acquiring objects (purchasing, obtaining free, gift) or storing them.</w:t>
      </w:r>
    </w:p>
    <w:p>
      <w:pPr>
        <w:pStyle w:val="Compact"/>
        <w:numPr>
          <w:ilvl w:val="0"/>
          <w:numId w:val="1534"/>
        </w:numPr>
      </w:pPr>
      <w:r>
        <w:t xml:space="preserve">The thought of discarding or releasing objects causes significant distress.</w:t>
      </w:r>
    </w:p>
    <w:p>
      <w:pPr>
        <w:pStyle w:val="Compact"/>
        <w:numPr>
          <w:ilvl w:val="0"/>
          <w:numId w:val="1534"/>
        </w:numPr>
      </w:pPr>
      <w:r>
        <w:t xml:space="preserve">Hoarding items and occupying the living space — rooms cannot be used for their intended functional purposes (the bedroom for sleeping, the kitchen for eating, etc.).</w:t>
      </w:r>
    </w:p>
    <w:p>
      <w:pPr>
        <w:pStyle w:val="Compact"/>
        <w:numPr>
          <w:ilvl w:val="0"/>
          <w:numId w:val="1534"/>
        </w:numPr>
      </w:pPr>
      <w:r>
        <w:t xml:space="preserve">Sometimes “animal hoarding” — the mass keeping of animals.</w:t>
      </w:r>
    </w:p>
    <w:p>
      <w:pPr>
        <w:pStyle w:val="Compact"/>
        <w:numPr>
          <w:ilvl w:val="0"/>
          <w:numId w:val="1534"/>
        </w:numPr>
      </w:pPr>
      <w:r>
        <w:t xml:space="preserve">Insight often poor — patient does not accept the problem.</w:t>
      </w:r>
    </w:p>
    <w:p>
      <w:pPr>
        <w:pStyle w:val="Compact"/>
        <w:numPr>
          <w:ilvl w:val="0"/>
          <w:numId w:val="1534"/>
        </w:numPr>
      </w:pPr>
      <w:r>
        <w:t xml:space="preserve">Health and safety risks — fire, infections, falls, social isolation, eviction.</w:t>
      </w:r>
    </w:p>
    <w:bookmarkEnd w:id="1113"/>
    <w:bookmarkStart w:id="1118" w:name="X0bf9eb39bb38f484673227d7ede0100a129f9c7"/>
    <w:p>
      <w:pPr>
        <w:pStyle w:val="Heading3"/>
      </w:pPr>
      <w:r>
        <w:t xml:space="preserve">6. Diagnosis</w:t>
      </w:r>
    </w:p>
    <w:bookmarkStart w:id="1114" w:name="unified-diagnostic-criteria-13"/>
    <w:p>
      <w:pPr>
        <w:pStyle w:val="Heading4"/>
      </w:pPr>
      <w:r>
        <w:t xml:space="preserve">6.1 Unified diagnostic criteria</w:t>
      </w:r>
    </w:p>
    <w:p>
      <w:pPr>
        <w:pStyle w:val="FirstParagraph"/>
      </w:pPr>
      <w:r>
        <w:t xml:space="preserve">A. Persistent difficulty discarding or parting with acquired items, regardless of value.</w:t>
      </w:r>
    </w:p>
    <w:p>
      <w:pPr>
        <w:pStyle w:val="BodyText"/>
      </w:pPr>
      <w:r>
        <w:t xml:space="preserve">B. This difficulty arises from a persistent need to keep items and distress associated with discarding.</w:t>
      </w:r>
    </w:p>
    <w:p>
      <w:pPr>
        <w:pStyle w:val="BodyText"/>
      </w:pPr>
      <w:r>
        <w:t xml:space="preserve">C. Hoarding clogs the living area and significantly disrupts purposeful use of rooms.</w:t>
      </w:r>
    </w:p>
    <w:p>
      <w:pPr>
        <w:pStyle w:val="BodyText"/>
      </w:pPr>
      <w:r>
        <w:t xml:space="preserve">D. Significant distress or functional impairment (including dangerous environment to self, family, others).</w:t>
      </w:r>
    </w:p>
    <w:p>
      <w:pPr>
        <w:pStyle w:val="BodyText"/>
      </w:pPr>
      <w:r>
        <w:t xml:space="preserve">E. Excluding medical conditions (brain injury, dementia).</w:t>
      </w:r>
    </w:p>
    <w:p>
      <w:pPr>
        <w:pStyle w:val="BodyText"/>
      </w:pPr>
      <w:r>
        <w:t xml:space="preserve">F. Not better explained by another mental disorder (OCD ‘obsessions’, MDD ‘lack of energy’, psychotic disorder delusions, autism ‘restricted interests’).</w:t>
      </w:r>
    </w:p>
    <w:p>
      <w:pPr>
        <w:pStyle w:val="BodyText"/>
      </w:pPr>
      <w:r>
        <w:t xml:space="preserve">Qualifier: with excessive acquisition; insight (good / moderate — poor / absent).</w:t>
      </w:r>
    </w:p>
    <w:bookmarkEnd w:id="1114"/>
    <w:bookmarkStart w:id="1115" w:name="differences-between-sources-52"/>
    <w:p>
      <w:pPr>
        <w:pStyle w:val="Heading4"/>
      </w:pPr>
      <w:r>
        <w:t xml:space="preserve">6.2 Differences between sources</w:t>
      </w:r>
    </w:p>
    <w:p>
      <w:pPr>
        <w:pStyle w:val="Compact"/>
        <w:numPr>
          <w:ilvl w:val="0"/>
          <w:numId w:val="1535"/>
        </w:numPr>
      </w:pPr>
      <w:r>
        <w:t xml:space="preserve">DSM-5-TR / ICD-11 — separate category; insight qualifier.</w:t>
      </w:r>
    </w:p>
    <w:p>
      <w:pPr>
        <w:pStyle w:val="Compact"/>
        <w:numPr>
          <w:ilvl w:val="0"/>
          <w:numId w:val="1535"/>
        </w:numPr>
      </w:pPr>
      <w:r>
        <w:t xml:space="preserve">“Animal hoarding” — although not a separate specifier, it is a clinically recognized variant; collaboration with veterinary and public health authorities is required.</w:t>
      </w:r>
    </w:p>
    <w:bookmarkEnd w:id="1115"/>
    <w:bookmarkStart w:id="1116" w:name="diagnostic-algorithm-31"/>
    <w:p>
      <w:pPr>
        <w:pStyle w:val="Heading4"/>
      </w:pPr>
      <w:r>
        <w:t xml:space="preserve">6.3 Diagnostic algorithm</w:t>
      </w:r>
    </w:p>
    <w:p>
      <w:pPr>
        <w:pStyle w:val="Compact"/>
        <w:numPr>
          <w:ilvl w:val="0"/>
          <w:numId w:val="1536"/>
        </w:numPr>
      </w:pPr>
      <w:r>
        <w:t xml:space="preserve">Clinical interview.</w:t>
      </w:r>
    </w:p>
    <w:p>
      <w:pPr>
        <w:pStyle w:val="Compact"/>
        <w:numPr>
          <w:ilvl w:val="0"/>
          <w:numId w:val="1536"/>
        </w:numPr>
      </w:pPr>
      <w:r>
        <w:t xml:space="preserve">Home visit or photographic evidence — condition of living space (Clutter Image Rating).</w:t>
      </w:r>
    </w:p>
    <w:p>
      <w:pPr>
        <w:pStyle w:val="Compact"/>
        <w:numPr>
          <w:ilvl w:val="0"/>
          <w:numId w:val="1536"/>
        </w:numPr>
      </w:pPr>
      <w:r>
        <w:t xml:space="preserve">Scale — Saving Inventory-Revised (SI-R).</w:t>
      </w:r>
    </w:p>
    <w:p>
      <w:pPr>
        <w:pStyle w:val="Compact"/>
        <w:numPr>
          <w:ilvl w:val="0"/>
          <w:numId w:val="1536"/>
        </w:numPr>
      </w:pPr>
      <w:r>
        <w:t xml:space="preserve">Comorbidity and cognitive assessment (dementia exclusion in elderly — MMSE/MoCA).</w:t>
      </w:r>
    </w:p>
    <w:p>
      <w:pPr>
        <w:pStyle w:val="Compact"/>
        <w:numPr>
          <w:ilvl w:val="0"/>
          <w:numId w:val="1536"/>
        </w:numPr>
      </w:pPr>
      <w:r>
        <w:t xml:space="preserve">Safety and health risk assessment.</w:t>
      </w:r>
    </w:p>
    <w:bookmarkEnd w:id="1116"/>
    <w:bookmarkStart w:id="1117" w:name="differential-diagnosis-3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Classic obsessions (cleanliness, symmetry); hoarding items with emotional value.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cleaning due to “lack of energy”; no active acquisition of items.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Cognitive decline dominant; later developed accumulation.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Limited interests and attachment to objects; social-communicative deficit also present.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 delusion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 content (danger, meaning).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Diogenes syndrome (in the elderly)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Self-care impairment + hoarding; social isolation; dementia comorbid is common.</w:t>
            </w:r>
          </w:p>
        </w:tc>
      </w:tr>
    </w:tbl>
    <w:bookmarkEnd w:id="1117"/>
    <w:bookmarkEnd w:id="1118"/>
    <w:bookmarkStart w:id="1119" w:name="X9e77b445b4d314181b545f8ab553f3f5ac9741f"/>
    <w:p>
      <w:pPr>
        <w:pStyle w:val="Heading3"/>
      </w:pPr>
      <w:r>
        <w:t xml:space="preserve">7. Examination and assessment</w:t>
      </w:r>
    </w:p>
    <w:p>
      <w:pPr>
        <w:pStyle w:val="Compact"/>
        <w:numPr>
          <w:ilvl w:val="0"/>
          <w:numId w:val="1537"/>
        </w:numPr>
      </w:pPr>
      <w:r>
        <w:t xml:space="preserve">SI-R (Saving Inventory-Revised), CIR (Clutter Image Rating).</w:t>
      </w:r>
    </w:p>
    <w:p>
      <w:pPr>
        <w:pStyle w:val="Compact"/>
        <w:numPr>
          <w:ilvl w:val="0"/>
          <w:numId w:val="1537"/>
        </w:numPr>
      </w:pPr>
      <w:r>
        <w:t xml:space="preserve">Medical and cognitive examination (MMSE/MoCA for elderly).</w:t>
      </w:r>
    </w:p>
    <w:p>
      <w:pPr>
        <w:pStyle w:val="Compact"/>
        <w:numPr>
          <w:ilvl w:val="0"/>
          <w:numId w:val="1537"/>
        </w:numPr>
      </w:pPr>
      <w:r>
        <w:t xml:space="preserve">Safety assessment.</w:t>
      </w:r>
    </w:p>
    <w:bookmarkEnd w:id="1119"/>
    <w:bookmarkStart w:id="1122" w:name="X3da4340bdf36b90eafb63643a975a58095dfe36"/>
    <w:p>
      <w:pPr>
        <w:pStyle w:val="Heading3"/>
      </w:pPr>
      <w:r>
        <w:t xml:space="preserve">8. Treatment</w:t>
      </w:r>
    </w:p>
    <w:p>
      <w:pPr>
        <w:pStyle w:val="Compact"/>
        <w:numPr>
          <w:ilvl w:val="0"/>
          <w:numId w:val="1538"/>
        </w:numPr>
      </w:pPr>
      <w:r>
        <w:t xml:space="preserve">CBT for hoarding (Frost R.O., Tolin D.F., Steketee G.) — first-line; manualized 26-session protocol — motivation enhancement, cognitive restructuring, decision-making training, sorting and discarding exercises, home visits. Evidence: Tolin D.F. et al. Depress Anxiety 2015 meta-analysis (12 samples, n=232) — symptoms decrease significantly, yet over half of patients still have difficulties after treatment.</w:t>
      </w:r>
    </w:p>
    <w:p>
      <w:pPr>
        <w:pStyle w:val="Compact"/>
        <w:numPr>
          <w:ilvl w:val="0"/>
          <w:numId w:val="1538"/>
        </w:numPr>
      </w:pPr>
      <w:r>
        <w:t xml:space="preserve">SSRIs — evidence base is limited; SSRIs effective in OCD give a weaker response in hoarding. Adjunctive role.</w:t>
      </w:r>
    </w:p>
    <w:p>
      <w:pPr>
        <w:pStyle w:val="Compact"/>
        <w:numPr>
          <w:ilvl w:val="0"/>
          <w:numId w:val="1538"/>
        </w:numPr>
      </w:pPr>
      <w:r>
        <w:t xml:space="preserve">Cognitive remediation — attention, categorization, decision-making training.</w:t>
      </w:r>
    </w:p>
    <w:p>
      <w:pPr>
        <w:pStyle w:val="Compact"/>
        <w:numPr>
          <w:ilvl w:val="0"/>
          <w:numId w:val="1538"/>
        </w:numPr>
      </w:pPr>
      <w:r>
        <w:t xml:space="preserve">Buoyancy approach — supporting the patient's internal motivation; risk of re-cluttering after a forced clear-out.</w:t>
      </w:r>
    </w:p>
    <w:p>
      <w:pPr>
        <w:pStyle w:val="Compact"/>
        <w:numPr>
          <w:ilvl w:val="0"/>
          <w:numId w:val="1538"/>
        </w:numPr>
      </w:pPr>
      <w:r>
        <w:t xml:space="preserve">Community intervention — public health, social service, fire safety.</w:t>
      </w:r>
    </w:p>
    <w:p>
      <w:pPr>
        <w:pStyle w:val="Compact"/>
        <w:numPr>
          <w:ilvl w:val="0"/>
          <w:numId w:val="1538"/>
        </w:numPr>
      </w:pPr>
      <w:r>
        <w:t xml:space="preserve">In older adults — dementia screening and comorbid intervention.</w:t>
      </w:r>
    </w:p>
    <w:bookmarkStart w:id="1120" w:name="treatment-methods-31"/>
    <w:p>
      <w:pPr>
        <w:pStyle w:val="Heading4"/>
      </w:pPr>
      <w:r>
        <w:t xml:space="preserve">8.1 Treatment methods</w:t>
      </w:r>
    </w:p>
    <w:p>
      <w:pPr>
        <w:pStyle w:val="Compact"/>
        <w:numPr>
          <w:ilvl w:val="0"/>
          <w:numId w:val="1539"/>
        </w:numPr>
      </w:pPr>
      <w:r>
        <w:t xml:space="preserve">CBT for hoarding disorder (Hoarding) — Steketee (Steketee G.), Frost (Frost R.O.) — Manualized 26 sessions — motivational interview, decision-making training, sorting exercise, home visits, cognitive restructuring. IOCDF.</w:t>
      </w:r>
    </w:p>
    <w:p>
      <w:pPr>
        <w:pStyle w:val="Compact"/>
        <w:numPr>
          <w:ilvl w:val="0"/>
          <w:numId w:val="1539"/>
        </w:numPr>
      </w:pPr>
      <w:r>
        <w:t xml:space="preserve">Saving Inventory-Revised (SI-R) — Frost (Frost R.O.) — 23 items; three subscales (acquisition, difficulty discarding, clutter).</w:t>
      </w:r>
    </w:p>
    <w:p>
      <w:pPr>
        <w:pStyle w:val="Compact"/>
        <w:numPr>
          <w:ilvl w:val="0"/>
          <w:numId w:val="1539"/>
        </w:numPr>
      </w:pPr>
      <w:r>
        <w:t xml:space="preserve">Clutter Image Rating (CIR) — 9-point scale; photo-based assessment of room clutter level.</w:t>
      </w:r>
    </w:p>
    <w:p>
      <w:pPr>
        <w:pStyle w:val="Compact"/>
        <w:numPr>
          <w:ilvl w:val="0"/>
          <w:numId w:val="1539"/>
        </w:numPr>
      </w:pPr>
      <w:r>
        <w:t xml:space="preserve">Group CBT — Cost-effective format; long-term support.</w:t>
      </w:r>
    </w:p>
    <w:bookmarkEnd w:id="1120"/>
    <w:bookmarkStart w:id="1121" w:name="differences-between-sources-53"/>
    <w:p>
      <w:pPr>
        <w:pStyle w:val="Heading4"/>
      </w:pPr>
      <w:r>
        <w:t xml:space="preserve">8.2 Differences between sources</w:t>
      </w:r>
    </w:p>
    <w:p>
      <w:pPr>
        <w:pStyle w:val="Compact"/>
        <w:numPr>
          <w:ilvl w:val="0"/>
          <w:numId w:val="1540"/>
        </w:numPr>
      </w:pPr>
      <w:r>
        <w:t xml:space="preserve">Tolin D.F. et al. RCTs — CBT is effective; SSRIs limited.</w:t>
      </w:r>
    </w:p>
    <w:p>
      <w:pPr>
        <w:pStyle w:val="Compact"/>
        <w:numPr>
          <w:ilvl w:val="0"/>
          <w:numId w:val="1540"/>
        </w:numPr>
      </w:pPr>
      <w:r>
        <w:t xml:space="preserve">Saxena S. reviews — response to SSRIs is weaker than that observed in OCD.</w:t>
      </w:r>
    </w:p>
    <w:bookmarkEnd w:id="1121"/>
    <w:bookmarkEnd w:id="1122"/>
    <w:bookmarkStart w:id="1123" w:name="X03a16e1d0575b2c9e533df7c6db3b9d95ca0974"/>
    <w:p>
      <w:pPr>
        <w:pStyle w:val="Heading3"/>
      </w:pPr>
      <w:r>
        <w:t xml:space="preserve">9. Prognosis</w:t>
      </w:r>
    </w:p>
    <w:p>
      <w:pPr>
        <w:pStyle w:val="Compact"/>
        <w:numPr>
          <w:ilvl w:val="0"/>
          <w:numId w:val="1541"/>
        </w:numPr>
      </w:pPr>
      <w:r>
        <w:t xml:space="preserve">Chronic course, severity increases with age.</w:t>
      </w:r>
    </w:p>
    <w:p>
      <w:pPr>
        <w:pStyle w:val="Compact"/>
        <w:numPr>
          <w:ilvl w:val="0"/>
          <w:numId w:val="1541"/>
        </w:numPr>
      </w:pPr>
      <w:r>
        <w:t xml:space="preserve">Significant improvement with CBT, but full remission rare.</w:t>
      </w:r>
    </w:p>
    <w:p>
      <w:pPr>
        <w:pStyle w:val="Compact"/>
        <w:numPr>
          <w:ilvl w:val="0"/>
          <w:numId w:val="1541"/>
        </w:numPr>
      </w:pPr>
      <w:r>
        <w:t xml:space="preserve">Comorbid dementia indicates a poor prognosis.</w:t>
      </w:r>
    </w:p>
    <w:bookmarkEnd w:id="1123"/>
    <w:bookmarkStart w:id="1130" w:name="X931d06f00bf03f3b2594d7e874615774fd4b747"/>
    <w:p>
      <w:pPr>
        <w:pStyle w:val="Heading3"/>
      </w:pPr>
      <w:r>
        <w:t xml:space="preserve">10. Myths and misconceptions</w:t>
      </w:r>
    </w:p>
    <w:bookmarkStart w:id="1124" w:name="X9ec2c604a69adaf1f560c29e29cdef5c7611888"/>
    <w:p>
      <w:pPr>
        <w:pStyle w:val="Heading5"/>
      </w:pPr>
      <w:r>
        <w:t xml:space="preserve">Myth 1: “Hoarding is just a ‘collector’ personality trait or laziness”</w:t>
      </w:r>
    </w:p>
    <w:p>
      <w:pPr>
        <w:pStyle w:val="FirstParagraph"/>
      </w:pPr>
      <w:r>
        <w:t xml:space="preserve">Evidence: Hoarding is a clinical disorder — Frost &amp; Hartl cognitive-behavioral model; distinct neurobiology model; functional impairment and health risk. Unlike collectionism, items are not systematized and congest the living area.</w:t>
      </w:r>
    </w:p>
    <w:bookmarkEnd w:id="1124"/>
    <w:bookmarkStart w:id="1125" w:name="X4464b5742c1199ceb52faae016b0bdb4beea8f9"/>
    <w:p>
      <w:pPr>
        <w:pStyle w:val="Heading5"/>
      </w:pPr>
      <w:r>
        <w:t xml:space="preserve">Myth 2: “Forcibly cleaning the patient's home ends the problem”</w:t>
      </w:r>
    </w:p>
    <w:p>
      <w:pPr>
        <w:pStyle w:val="FirstParagraph"/>
      </w:pPr>
      <w:r>
        <w:t xml:space="preserve">Evidence: A forced clear-out without the patient's consent leads to severe distress, trauma, and re-cluttering within 12 months. Gradual sorting involving patient participation is recommended.</w:t>
      </w:r>
    </w:p>
    <w:bookmarkEnd w:id="1125"/>
    <w:bookmarkStart w:id="1126" w:name="X4312f013ec3b5205ec8240bcc5984b22f13b986"/>
    <w:p>
      <w:pPr>
        <w:pStyle w:val="Heading5"/>
      </w:pPr>
      <w:r>
        <w:t xml:space="preserve">Myth 3: “Hoarding is a subtype of typical OCD; SSRIs are sufficient”</w:t>
      </w:r>
    </w:p>
    <w:p>
      <w:pPr>
        <w:pStyle w:val="FirstParagraph"/>
      </w:pPr>
      <w:r>
        <w:t xml:space="preserve">Evidence: DSM-5 and ICD-11 — separate category; response to SSRIs is poor compared to OCD; CBT manualized protocol is first-line.</w:t>
      </w:r>
    </w:p>
    <w:bookmarkEnd w:id="1126"/>
    <w:bookmarkStart w:id="1127" w:name="Xf35b15c1f9dd53f7ceb1ee9c5f15811792d367f"/>
    <w:p>
      <w:pPr>
        <w:pStyle w:val="Heading5"/>
      </w:pPr>
      <w:r>
        <w:t xml:space="preserve">Myth 4: “Keeping many animals ‘with good intentions’ is good for the animals”</w:t>
      </w:r>
    </w:p>
    <w:p>
      <w:pPr>
        <w:pStyle w:val="FirstParagraph"/>
      </w:pPr>
      <w:r>
        <w:t xml:space="preserve">Evidence: “Animal hoarding” — results in animals receiving poor hygiene, food, and medical care; high animal mortality, survivors in severe condition; requires intervention from veterinary and public health authorities.</w:t>
      </w:r>
    </w:p>
    <w:bookmarkEnd w:id="1127"/>
    <w:bookmarkStart w:id="1128" w:name="Xe913630cca4e58b7cbe72ffbd13fb31a19c8a1e"/>
    <w:p>
      <w:pPr>
        <w:pStyle w:val="Heading5"/>
      </w:pPr>
      <w:r>
        <w:t xml:space="preserve">Myth 5: “Hoarding in the elderly is ‘normal aging’”</w:t>
      </w:r>
    </w:p>
    <w:p>
      <w:pPr>
        <w:pStyle w:val="FirstParagraph"/>
      </w:pPr>
      <w:r>
        <w:t xml:space="preserve">Evidence: In elderly individuals, this may be a marker for frontotemporal dementia in particular; cognitive assessment is required.</w:t>
      </w:r>
    </w:p>
    <w:bookmarkEnd w:id="1128"/>
    <w:bookmarkStart w:id="1129" w:name="X2ffda9e2de6b54056bda89d197b9a852d15e184"/>
    <w:p>
      <w:pPr>
        <w:pStyle w:val="Heading5"/>
      </w:pPr>
      <w:r>
        <w:t xml:space="preserve">Myth 6: “Once cleaned, the problem is solved”</w:t>
      </w:r>
    </w:p>
    <w:p>
      <w:pPr>
        <w:pStyle w:val="FirstParagraph"/>
      </w:pPr>
      <w:r>
        <w:t xml:space="preserve">Evidence: Hoarding is a chronic disorder; long-term treatment and community support are required.</w:t>
      </w:r>
    </w:p>
    <w:bookmarkEnd w:id="1129"/>
    <w:bookmarkEnd w:id="1130"/>
    <w:bookmarkStart w:id="2974" w:name="X9cb202e0a6021db38e8065e2517df03cd42ce0a"/>
    <w:p>
      <w:pPr>
        <w:pStyle w:val="Heading3"/>
      </w:pPr>
      <w:r>
        <w:t xml:space="preserve">11. Sources</w:t>
      </w:r>
    </w:p>
    <w:p>
      <w:pPr>
        <w:pStyle w:val="Compact"/>
        <w:numPr>
          <w:ilvl w:val="0"/>
          <w:numId w:val="1542"/>
        </w:numPr>
      </w:pPr>
      <w:r>
        <w:t xml:space="preserve">WHO. ICD-11. 6B24 Hoarding disorder. 2024.</w:t>
      </w:r>
    </w:p>
    <w:p>
      <w:pPr>
        <w:pStyle w:val="Compact"/>
        <w:numPr>
          <w:ilvl w:val="0"/>
          <w:numId w:val="1542"/>
        </w:numPr>
      </w:pPr>
      <w:r>
        <w:t xml:space="preserve">APA. DSM-5-TR. 2022.</w:t>
      </w:r>
    </w:p>
    <w:p>
      <w:pPr>
        <w:pStyle w:val="Compact"/>
        <w:numPr>
          <w:ilvl w:val="0"/>
          <w:numId w:val="1542"/>
        </w:numPr>
      </w:pPr>
      <w:r>
        <w:t xml:space="preserve">Frost R.O., Hartl T.L. A cognitive-behavioral model of compulsive hoarding. Behav Res Ther 1996;34(4):341–350.</w:t>
      </w:r>
    </w:p>
    <w:p>
      <w:pPr>
        <w:pStyle w:val="Compact"/>
        <w:numPr>
          <w:ilvl w:val="0"/>
          <w:numId w:val="1542"/>
        </w:numPr>
      </w:pPr>
      <w:r>
        <w:t xml:space="preserve">Steketee G., Frost R.O. Treatment for Hoarding Disorder: Therapist Guide. Oxford Univ Press; 2014.</w:t>
      </w:r>
    </w:p>
    <w:p>
      <w:pPr>
        <w:pStyle w:val="Compact"/>
        <w:numPr>
          <w:ilvl w:val="0"/>
          <w:numId w:val="1542"/>
        </w:numPr>
      </w:pPr>
      <w:r>
        <w:t xml:space="preserve">Tolin D.F., Frost R.O., Steketee G. et al. Cognitive behavioral therapy for hoarding disorder: a meta-analysis. Depress Anxiety 2015;32(3):158–166.</w:t>
      </w:r>
    </w:p>
    <w:p>
      <w:pPr>
        <w:pStyle w:val="Compact"/>
        <w:numPr>
          <w:ilvl w:val="0"/>
          <w:numId w:val="1542"/>
        </w:numPr>
      </w:pPr>
      <w:r>
        <w:t xml:space="preserve">Samuels J.F. et al. Prevalence and correlates of hoarding behavior in a community-based sample. Behav Res Ther 2008;46(7):836–844.</w:t>
      </w:r>
    </w:p>
    <w:p>
      <w:pPr>
        <w:pStyle w:val="Compact"/>
        <w:numPr>
          <w:ilvl w:val="0"/>
          <w:numId w:val="1542"/>
        </w:numPr>
      </w:pPr>
      <w:r>
        <w:t xml:space="preserve">Saxena S. Pharmacotherapy of compulsive hoarding. J Clin Psychol 2011;67(5):477–484.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31" w:name="Xa29e0e13ec29396096579059a782b7d463ac579"/>
            <w:r>
              <w:t xml:space="preserve">6B25 BODY-FOCUSED REPETITIVE BEHAVIOUR DISORDERS</w:t>
            </w:r>
            <w:bookmarkEnd w:id="1131"/>
          </w:p>
          <w:p>
            <w:pPr>
              <w:pStyle w:val="Compact"/>
              <w:ind w:firstLine="0" w:left="0"/>
            </w:pPr>
            <w:r>
              <w:rPr>
                <w:lang w:val="en"/>
              </w:rPr>
              <w:t xml:space="preserve">Body-focused repetitive behaviour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Trichotillomania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Trichotillomania (Hair-Pulling Disorder)</w:t>
            </w:r>
          </w:p>
        </w:tc>
      </w:tr>
    </w:tbl>
    <w:bookmarkStart w:id="1132" w:name="X8754c5c77ac677ba39246224d35390f1e95952c"/>
    <w:p>
      <w:pPr>
        <w:pStyle w:val="Heading3"/>
      </w:pPr>
      <w:r>
        <w:t xml:space="preserve">1. Definition and nosology</w:t>
      </w:r>
    </w:p>
    <w:p>
      <w:pPr>
        <w:pStyle w:val="FirstParagraph"/>
      </w:pPr>
      <w:r>
        <w:t xml:space="preserve">Body-focused repetitive behaviour disorders (ICD-11:</w:t>
      </w:r>
      <w:r>
        <w:t xml:space="preserve"> </w:t>
      </w:r>
      <w:r>
        <w:t xml:space="preserve">6B25</w:t>
      </w:r>
      <w:r>
        <w:t xml:space="preserve">) — a group of disorders characterized by the patient's repetitive interference with their own body (hair, skin, nails). Main subtypes:</w:t>
      </w:r>
    </w:p>
    <w:p>
      <w:pPr>
        <w:pStyle w:val="Compact"/>
        <w:numPr>
          <w:ilvl w:val="0"/>
          <w:numId w:val="1543"/>
        </w:numPr>
      </w:pPr>
      <w:r>
        <w:t xml:space="preserve">6B25.0</w:t>
      </w:r>
      <w:r>
        <w:t xml:space="preserve"> </w:t>
      </w:r>
      <w:r>
        <w:t xml:space="preserve">Trichotillomania (hair-pulling disorder);</w:t>
      </w:r>
    </w:p>
    <w:p>
      <w:pPr>
        <w:pStyle w:val="Compact"/>
        <w:numPr>
          <w:ilvl w:val="0"/>
          <w:numId w:val="1543"/>
        </w:numPr>
      </w:pPr>
      <w:r>
        <w:t xml:space="preserve">6B25.1</w:t>
      </w:r>
      <w:r>
        <w:t xml:space="preserve"> </w:t>
      </w:r>
      <w:r>
        <w:t xml:space="preserve">— Excoriation / Dermatillomania (skin-picking disorder);</w:t>
      </w:r>
    </w:p>
    <w:p>
      <w:pPr>
        <w:pStyle w:val="Compact"/>
        <w:numPr>
          <w:ilvl w:val="0"/>
          <w:numId w:val="1543"/>
        </w:numPr>
      </w:pPr>
      <w:r>
        <w:t xml:space="preserve">6B25.Y</w:t>
      </w:r>
      <w:r>
        <w:t xml:space="preserve"> </w:t>
      </w:r>
      <w:r>
        <w:t xml:space="preserve">Other specified (nail biting — onychophagia, lip biting, cheek biting).</w:t>
      </w:r>
    </w:p>
    <w:p>
      <w:pPr>
        <w:pStyle w:val="FirstParagraph"/>
      </w:pPr>
      <w:r>
        <w:t xml:space="preserve">DSM-5-TR — Trichotillomania (F63.3) and Excoriation (L98.1) coded separately, but within the OCD spectrum category.</w:t>
      </w:r>
    </w:p>
    <w:bookmarkEnd w:id="1132"/>
    <w:bookmarkStart w:id="1133" w:name="X821212ab4eaff0d8fb9b485219edbb1ec483741"/>
    <w:p>
      <w:pPr>
        <w:pStyle w:val="Heading3"/>
      </w:pPr>
      <w:r>
        <w:t xml:space="preserve">2. History</w:t>
      </w:r>
    </w:p>
    <w:p>
      <w:pPr>
        <w:pStyle w:val="Compact"/>
        <w:numPr>
          <w:ilvl w:val="0"/>
          <w:numId w:val="1544"/>
        </w:numPr>
      </w:pPr>
      <w:r>
        <w:t xml:space="preserve">Hallopeau F.H. (1889) — term “trichotillomania”.</w:t>
      </w:r>
    </w:p>
    <w:p>
      <w:pPr>
        <w:pStyle w:val="Compact"/>
        <w:numPr>
          <w:ilvl w:val="0"/>
          <w:numId w:val="1544"/>
        </w:numPr>
      </w:pPr>
      <w:r>
        <w:t xml:space="preserve">DSM-III-R (1987) — Trichotillomania as an impulse control disorder.</w:t>
      </w:r>
    </w:p>
    <w:p>
      <w:pPr>
        <w:pStyle w:val="Compact"/>
        <w:numPr>
          <w:ilvl w:val="0"/>
          <w:numId w:val="1544"/>
        </w:numPr>
      </w:pPr>
      <w:r>
        <w:t xml:space="preserve">DSM-5 (2013) — moved to the OCD spectrum category; excoriation added as a separate diagnosis.</w:t>
      </w:r>
    </w:p>
    <w:p>
      <w:pPr>
        <w:pStyle w:val="Compact"/>
        <w:numPr>
          <w:ilvl w:val="0"/>
          <w:numId w:val="1544"/>
        </w:numPr>
      </w:pPr>
      <w:r>
        <w:t xml:space="preserve">ICD-11 (2019) — as a joint category (6B25 umbrella).</w:t>
      </w:r>
    </w:p>
    <w:bookmarkEnd w:id="1133"/>
    <w:bookmarkStart w:id="1134" w:name="X2181f1d2d4b5c8898e7c8b5a124c881d5fb7de5"/>
    <w:p>
      <w:pPr>
        <w:pStyle w:val="Heading3"/>
      </w:pPr>
      <w:r>
        <w:t xml:space="preserve">3. Epidemiology</w:t>
      </w:r>
    </w:p>
    <w:p>
      <w:pPr>
        <w:pStyle w:val="Compact"/>
        <w:numPr>
          <w:ilvl w:val="0"/>
          <w:numId w:val="1545"/>
        </w:numPr>
      </w:pPr>
      <w:r>
        <w:t xml:space="preserve">Lifetime prevalence of trichotillomania: 0.5–2%; in clinical form, females 4:1.</w:t>
      </w:r>
    </w:p>
    <w:p>
      <w:pPr>
        <w:pStyle w:val="Compact"/>
        <w:numPr>
          <w:ilvl w:val="0"/>
          <w:numId w:val="1545"/>
        </w:numPr>
      </w:pPr>
      <w:r>
        <w:t xml:space="preserve">Excoriation: 1.4–5.4%; higher in females.</w:t>
      </w:r>
    </w:p>
    <w:p>
      <w:pPr>
        <w:pStyle w:val="Compact"/>
        <w:numPr>
          <w:ilvl w:val="0"/>
          <w:numId w:val="1545"/>
        </w:numPr>
      </w:pPr>
      <w:r>
        <w:t xml:space="preserve">Onset: adolescence (10–13 years).</w:t>
      </w:r>
    </w:p>
    <w:p>
      <w:pPr>
        <w:pStyle w:val="Compact"/>
        <w:numPr>
          <w:ilvl w:val="0"/>
          <w:numId w:val="1545"/>
        </w:numPr>
      </w:pPr>
      <w:r>
        <w:t xml:space="preserve">Comorbidity: MDD, anxiety, OCD, BDD, ADHD.</w:t>
      </w:r>
    </w:p>
    <w:bookmarkEnd w:id="1134"/>
    <w:bookmarkStart w:id="1135" w:name="X6373174b8c2b2d1703f2d0fc63bd0bc6195e111"/>
    <w:p>
      <w:pPr>
        <w:pStyle w:val="Heading3"/>
      </w:pPr>
      <w:r>
        <w:t xml:space="preserve">4. Aetiology and pathogenesis</w:t>
      </w:r>
    </w:p>
    <w:p>
      <w:pPr>
        <w:pStyle w:val="Compact"/>
        <w:numPr>
          <w:ilvl w:val="0"/>
          <w:numId w:val="1546"/>
        </w:numPr>
      </w:pPr>
      <w:r>
        <w:t xml:space="preserve">Heritability 30–40%; family history prevalent.</w:t>
      </w:r>
    </w:p>
    <w:p>
      <w:pPr>
        <w:pStyle w:val="Compact"/>
        <w:numPr>
          <w:ilvl w:val="0"/>
          <w:numId w:val="1546"/>
        </w:numPr>
      </w:pPr>
      <w:r>
        <w:t xml:space="preserve">Genetic — SAPAP3 (SLITRK1) — hypergrooming phenotype in mice.</w:t>
      </w:r>
    </w:p>
    <w:p>
      <w:pPr>
        <w:pStyle w:val="Compact"/>
        <w:numPr>
          <w:ilvl w:val="0"/>
          <w:numId w:val="1546"/>
        </w:numPr>
      </w:pPr>
      <w:r>
        <w:t xml:space="preserve">Neurobiological — OCD-like cortico-striato-thalamo-cortical dysregulation, but with a different profile.</w:t>
      </w:r>
    </w:p>
    <w:p>
      <w:pPr>
        <w:pStyle w:val="Compact"/>
        <w:numPr>
          <w:ilvl w:val="0"/>
          <w:numId w:val="1546"/>
        </w:numPr>
      </w:pPr>
      <w:r>
        <w:t xml:space="preserve">Behavioral mechanisms: stress response, ‘automatic’ (unconscious) and ‘focused’ (purposeful, with intense attention) subtypes.</w:t>
      </w:r>
    </w:p>
    <w:bookmarkEnd w:id="1135"/>
    <w:bookmarkStart w:id="1139" w:name="X0c8cfe439451b1dfffc2d3363a9da5c6eac5090"/>
    <w:p>
      <w:pPr>
        <w:pStyle w:val="Heading3"/>
      </w:pPr>
      <w:r>
        <w:t xml:space="preserve">5. Clinical features</w:t>
      </w:r>
    </w:p>
    <w:bookmarkStart w:id="1136" w:name="trichotillomania-6b25.0"/>
    <w:p>
      <w:pPr>
        <w:pStyle w:val="Heading4"/>
      </w:pPr>
      <w:r>
        <w:t xml:space="preserve">Trichotillomania (6B25.0)</w:t>
      </w:r>
    </w:p>
    <w:p>
      <w:pPr>
        <w:pStyle w:val="Compact"/>
        <w:numPr>
          <w:ilvl w:val="0"/>
          <w:numId w:val="1547"/>
        </w:numPr>
      </w:pPr>
      <w:r>
        <w:t xml:space="preserve">Hair pulling — usually from head, eyebrows, eyelashes; sometimes from other body parts.</w:t>
      </w:r>
    </w:p>
    <w:p>
      <w:pPr>
        <w:pStyle w:val="Compact"/>
        <w:numPr>
          <w:ilvl w:val="0"/>
          <w:numId w:val="1547"/>
        </w:numPr>
      </w:pPr>
      <w:r>
        <w:t xml:space="preserve">Visible hair loss.</w:t>
      </w:r>
    </w:p>
    <w:p>
      <w:pPr>
        <w:pStyle w:val="Compact"/>
        <w:numPr>
          <w:ilvl w:val="0"/>
          <w:numId w:val="1547"/>
        </w:numPr>
      </w:pPr>
      <w:r>
        <w:t xml:space="preserve">“Pre-pulling tension” or “post-pulling relief” — may not be present in all patients.</w:t>
      </w:r>
    </w:p>
    <w:p>
      <w:pPr>
        <w:pStyle w:val="Compact"/>
        <w:numPr>
          <w:ilvl w:val="0"/>
          <w:numId w:val="1547"/>
        </w:numPr>
      </w:pPr>
      <w:r>
        <w:t xml:space="preserve">Trichophagia (eating of pulled hair) — in 10–20% of patients; ‘trichobezoar’ — gastrointestinal obstruction may require surgery.</w:t>
      </w:r>
    </w:p>
    <w:bookmarkEnd w:id="1136"/>
    <w:bookmarkStart w:id="1137" w:name="excoriation-dermatillomania-6b25.1"/>
    <w:p>
      <w:pPr>
        <w:pStyle w:val="Heading4"/>
      </w:pPr>
      <w:r>
        <w:t xml:space="preserve">Excoriation / Dermatillomania (6B25.1)</w:t>
      </w:r>
    </w:p>
    <w:p>
      <w:pPr>
        <w:pStyle w:val="Compact"/>
        <w:numPr>
          <w:ilvl w:val="0"/>
          <w:numId w:val="1548"/>
        </w:numPr>
      </w:pPr>
      <w:r>
        <w:t xml:space="preserve">Skin picking — face, arm, damaged skin areas (“acne”, insect bite site).</w:t>
      </w:r>
    </w:p>
    <w:p>
      <w:pPr>
        <w:pStyle w:val="Compact"/>
        <w:numPr>
          <w:ilvl w:val="0"/>
          <w:numId w:val="1548"/>
        </w:numPr>
      </w:pPr>
      <w:r>
        <w:t xml:space="preserve">Injury, crust, scars.</w:t>
      </w:r>
    </w:p>
    <w:p>
      <w:pPr>
        <w:pStyle w:val="Compact"/>
        <w:numPr>
          <w:ilvl w:val="0"/>
          <w:numId w:val="1548"/>
        </w:numPr>
      </w:pPr>
      <w:r>
        <w:t xml:space="preserve">Infection, scarring, cosmetic outcomes.</w:t>
      </w:r>
    </w:p>
    <w:bookmarkEnd w:id="1137"/>
    <w:bookmarkStart w:id="1138" w:name="general-characteristics"/>
    <w:p>
      <w:pPr>
        <w:pStyle w:val="Heading4"/>
      </w:pPr>
      <w:r>
        <w:t xml:space="preserve">General characteristics</w:t>
      </w:r>
    </w:p>
    <w:p>
      <w:pPr>
        <w:pStyle w:val="Compact"/>
        <w:numPr>
          <w:ilvl w:val="0"/>
          <w:numId w:val="1549"/>
        </w:numPr>
      </w:pPr>
      <w:r>
        <w:t xml:space="preserve">The patient makes repeated unsuccessful attempts to stop the behavior.</w:t>
      </w:r>
    </w:p>
    <w:p>
      <w:pPr>
        <w:pStyle w:val="Compact"/>
        <w:numPr>
          <w:ilvl w:val="0"/>
          <w:numId w:val="1549"/>
        </w:numPr>
      </w:pPr>
      <w:r>
        <w:t xml:space="preserve">Social isolation due to shame (wearing a wig, covering mouth/hands).</w:t>
      </w:r>
    </w:p>
    <w:bookmarkEnd w:id="1138"/>
    <w:bookmarkEnd w:id="1139"/>
    <w:bookmarkStart w:id="1144" w:name="X5e3a519408e600a42947390581f5f59321ae575"/>
    <w:p>
      <w:pPr>
        <w:pStyle w:val="Heading3"/>
      </w:pPr>
      <w:r>
        <w:t xml:space="preserve">6. Diagnosis</w:t>
      </w:r>
    </w:p>
    <w:bookmarkStart w:id="1140" w:name="unified-diagnostic-criteria-14"/>
    <w:p>
      <w:pPr>
        <w:pStyle w:val="Heading4"/>
      </w:pPr>
      <w:r>
        <w:t xml:space="preserve">6.1 Unified diagnostic criteria</w:t>
      </w:r>
    </w:p>
    <w:p>
      <w:pPr>
        <w:pStyle w:val="FirstParagraph"/>
      </w:pPr>
      <w:r>
        <w:t xml:space="preserve">A. Hair pulling (in trichotillomania) or skin picking (in excoriation) — visible hair loss or skin damage.</w:t>
      </w:r>
    </w:p>
    <w:p>
      <w:pPr>
        <w:pStyle w:val="BodyText"/>
      </w:pPr>
      <w:r>
        <w:t xml:space="preserve">B. The patient makes repeated attempts to stop or reduce the behavior.</w:t>
      </w:r>
    </w:p>
    <w:p>
      <w:pPr>
        <w:pStyle w:val="BodyText"/>
      </w:pPr>
      <w:r>
        <w:t xml:space="preserve">C. Behavior causes clinically significant distress or functional impairment</w:t>
      </w:r>
    </w:p>
    <w:p>
      <w:pPr>
        <w:pStyle w:val="BodyText"/>
      </w:pPr>
      <w:r>
        <w:t xml:space="preserve">D. Exclusion of medical condition (alopecia areata, dermatological illness) or another mental disorder (e.g., appearance-motivated behavior in BDD; delusional content in a psychotic episode; substance-induced).</w:t>
      </w:r>
    </w:p>
    <w:bookmarkEnd w:id="1140"/>
    <w:bookmarkStart w:id="1141" w:name="differences-between-sources-54"/>
    <w:p>
      <w:pPr>
        <w:pStyle w:val="Heading4"/>
      </w:pPr>
      <w:r>
        <w:t xml:space="preserve">6.2 Differences between sources</w:t>
      </w:r>
    </w:p>
    <w:p>
      <w:pPr>
        <w:pStyle w:val="Compact"/>
        <w:numPr>
          <w:ilvl w:val="0"/>
          <w:numId w:val="1550"/>
        </w:numPr>
      </w:pPr>
      <w:r>
        <w:t xml:space="preserve">DSM-5-TR — Trichotillomania (F63.3) and Excoriation (L98.1) separate.</w:t>
      </w:r>
    </w:p>
    <w:p>
      <w:pPr>
        <w:pStyle w:val="Compact"/>
        <w:numPr>
          <w:ilvl w:val="0"/>
          <w:numId w:val="1550"/>
        </w:numPr>
      </w:pPr>
      <w:r>
        <w:t xml:space="preserve">ICD-11 — under the common 6B25 umbrella; subspecifiers.</w:t>
      </w:r>
    </w:p>
    <w:bookmarkEnd w:id="1141"/>
    <w:bookmarkStart w:id="1142" w:name="diagnostic-algorithm-32"/>
    <w:p>
      <w:pPr>
        <w:pStyle w:val="Heading4"/>
      </w:pPr>
      <w:r>
        <w:t xml:space="preserve">6.3 Diagnostic algorithm</w:t>
      </w:r>
    </w:p>
    <w:p>
      <w:pPr>
        <w:pStyle w:val="Compact"/>
        <w:numPr>
          <w:ilvl w:val="0"/>
          <w:numId w:val="1551"/>
        </w:numPr>
      </w:pPr>
      <w:r>
        <w:t xml:space="preserve">Clinical interview (patient often does not speak openly due to shame).</w:t>
      </w:r>
    </w:p>
    <w:p>
      <w:pPr>
        <w:pStyle w:val="Compact"/>
        <w:numPr>
          <w:ilvl w:val="0"/>
          <w:numId w:val="1551"/>
        </w:numPr>
      </w:pPr>
      <w:r>
        <w:t xml:space="preserve">Dermatological examination — exclusion of other causes of hair loss and skin lesions (alopecia areata, tinea capitis, eczema).</w:t>
      </w:r>
    </w:p>
    <w:p>
      <w:pPr>
        <w:pStyle w:val="Compact"/>
        <w:numPr>
          <w:ilvl w:val="0"/>
          <w:numId w:val="1551"/>
        </w:numPr>
      </w:pPr>
      <w:r>
        <w:t xml:space="preserve">Scale — Massachusetts General Hospital Hairpulling Scale (MGH-HPS), Skin Picking Scale.</w:t>
      </w:r>
    </w:p>
    <w:p>
      <w:pPr>
        <w:pStyle w:val="Compact"/>
        <w:numPr>
          <w:ilvl w:val="0"/>
          <w:numId w:val="1551"/>
        </w:numPr>
      </w:pPr>
      <w:r>
        <w:t xml:space="preserve">Comorbidity screening.</w:t>
      </w:r>
    </w:p>
    <w:p>
      <w:pPr>
        <w:pStyle w:val="Compact"/>
        <w:numPr>
          <w:ilvl w:val="0"/>
          <w:numId w:val="1551"/>
        </w:numPr>
      </w:pPr>
      <w:r>
        <w:t xml:space="preserve">Trichophagia screening — if gastrointestinal symptoms present.</w:t>
      </w:r>
    </w:p>
    <w:bookmarkEnd w:id="1142"/>
    <w:bookmarkStart w:id="1143" w:name="differential-diagnosis-3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Autoimmune; clear borders, “exclamation mark hairs”; no hair-pulling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Fungal infection; KOH examination.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Appearance-based obsession; skin picking for cosmetic purposes.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obsessions; hair and skin behavior not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Stereotyped movement disorder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Rhythmic repetitive motor; no specific interference with body.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Motivation for seeking medical proof.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delusion (sense of parasites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 content.</w:t>
            </w:r>
          </w:p>
        </w:tc>
      </w:tr>
    </w:tbl>
    <w:bookmarkEnd w:id="1143"/>
    <w:bookmarkEnd w:id="1144"/>
    <w:bookmarkStart w:id="1145" w:name="Xa2b6c8000491fcaeb2d623c4085edb0e478f13b"/>
    <w:p>
      <w:pPr>
        <w:pStyle w:val="Heading3"/>
      </w:pPr>
      <w:r>
        <w:t xml:space="preserve">7. Examination and assessment</w:t>
      </w:r>
    </w:p>
    <w:p>
      <w:pPr>
        <w:pStyle w:val="Compact"/>
        <w:numPr>
          <w:ilvl w:val="0"/>
          <w:numId w:val="1552"/>
        </w:numPr>
      </w:pPr>
      <w:r>
        <w:t xml:space="preserve">MGH-HPS (trichotillomania), Skin Picking Scale-Revised.</w:t>
      </w:r>
    </w:p>
    <w:p>
      <w:pPr>
        <w:pStyle w:val="Compact"/>
        <w:numPr>
          <w:ilvl w:val="0"/>
          <w:numId w:val="1552"/>
        </w:numPr>
      </w:pPr>
      <w:r>
        <w:t xml:space="preserve">Dermatological examination.</w:t>
      </w:r>
    </w:p>
    <w:p>
      <w:pPr>
        <w:pStyle w:val="Compact"/>
        <w:numPr>
          <w:ilvl w:val="0"/>
          <w:numId w:val="1552"/>
        </w:numPr>
      </w:pPr>
      <w:r>
        <w:t xml:space="preserve">Abdominal ultrasound in case of trichophagia.</w:t>
      </w:r>
    </w:p>
    <w:bookmarkEnd w:id="1145"/>
    <w:bookmarkStart w:id="1148" w:name="Xdcdd5fdcbc3b2927d3aaea0e69f72ce01fbed78"/>
    <w:p>
      <w:pPr>
        <w:pStyle w:val="Heading3"/>
      </w:pPr>
      <w:r>
        <w:t xml:space="preserve">8. Treatment</w:t>
      </w:r>
    </w:p>
    <w:p>
      <w:pPr>
        <w:pStyle w:val="Compact"/>
        <w:numPr>
          <w:ilvl w:val="0"/>
          <w:numId w:val="1553"/>
        </w:numPr>
      </w:pPr>
      <w:r>
        <w:t xml:space="preserve">Habit Reversal Training (HRT) first-line — awareness training, competing response (e.g., fist clenching), motivation, social support. Evidence: Bloch M.H. et al. Biol Psychiatry 2007 meta-analysis.</w:t>
      </w:r>
    </w:p>
    <w:p>
      <w:pPr>
        <w:pStyle w:val="Compact"/>
        <w:numPr>
          <w:ilvl w:val="0"/>
          <w:numId w:val="1553"/>
        </w:numPr>
      </w:pPr>
      <w:r>
        <w:t xml:space="preserve">ACT (Acceptance and Commitment Therapy) — targets emotional component.</w:t>
      </w:r>
    </w:p>
    <w:p>
      <w:pPr>
        <w:pStyle w:val="Compact"/>
        <w:numPr>
          <w:ilvl w:val="0"/>
          <w:numId w:val="1553"/>
        </w:numPr>
      </w:pPr>
      <w:r>
        <w:t xml:space="preserve">Comprehensive Behavioral Treatment (ComB, Mansueto) — HRT + multimodal behavioral intervention.</w:t>
      </w:r>
    </w:p>
    <w:p>
      <w:pPr>
        <w:pStyle w:val="Compact"/>
        <w:numPr>
          <w:ilvl w:val="0"/>
          <w:numId w:val="1553"/>
        </w:numPr>
      </w:pPr>
      <w:r>
        <w:t xml:space="preserve">N-acetylcysteine (NAC) — evidence base developing; Grant J.E. et al. Arch Gen Psychiatry 2009 RCT — efficacy in trichotillomania.</w:t>
      </w:r>
    </w:p>
    <w:p>
      <w:pPr>
        <w:pStyle w:val="Compact"/>
        <w:numPr>
          <w:ilvl w:val="0"/>
          <w:numId w:val="1553"/>
        </w:numPr>
      </w:pPr>
      <w:r>
        <w:t xml:space="preserve">SSRI — evidence base is limited; SSRIs effective in OCD give a weak response in trichotillomania; clomipramine is relatively superior.</w:t>
      </w:r>
    </w:p>
    <w:p>
      <w:pPr>
        <w:pStyle w:val="Compact"/>
        <w:numPr>
          <w:ilvl w:val="0"/>
          <w:numId w:val="1553"/>
        </w:numPr>
      </w:pPr>
      <w:r>
        <w:t xml:space="preserve">Atypical antipsychotic adjunct — in refractory cases.</w:t>
      </w:r>
    </w:p>
    <w:p>
      <w:pPr>
        <w:pStyle w:val="Compact"/>
        <w:numPr>
          <w:ilvl w:val="0"/>
          <w:numId w:val="1553"/>
        </w:numPr>
      </w:pPr>
      <w:r>
        <w:t xml:space="preserve">Dermatological care — management of injuries and infections.</w:t>
      </w:r>
    </w:p>
    <w:bookmarkStart w:id="1146" w:name="treatment-methods-32"/>
    <w:p>
      <w:pPr>
        <w:pStyle w:val="Heading4"/>
      </w:pPr>
      <w:r>
        <w:t xml:space="preserve">8.1 Treatment methods</w:t>
      </w:r>
    </w:p>
    <w:p>
      <w:pPr>
        <w:pStyle w:val="Compact"/>
        <w:numPr>
          <w:ilvl w:val="0"/>
          <w:numId w:val="1554"/>
        </w:numPr>
      </w:pPr>
      <w:r>
        <w:t xml:space="preserve">Habit Reversal Training (HRT — Habit Reversal Training) — Azrin (Azrin N.H.), Nunn (Nunn R.G.) — Five core components — awareness training, competing response, motivation, social support, generalization. Gold standard in body-focused repetitive behaviors.</w:t>
      </w:r>
    </w:p>
    <w:p>
      <w:pPr>
        <w:pStyle w:val="Compact"/>
        <w:numPr>
          <w:ilvl w:val="0"/>
          <w:numId w:val="1554"/>
        </w:numPr>
      </w:pPr>
      <w:r>
        <w:t xml:space="preserve">Comprehensive Behavioral Treatment (ComB) — Mansueto (Mansueto C.S.) — SCAMP model — individualized approach based on Sensor, Cognitive, Affective, Motor, Place modalities.</w:t>
      </w:r>
    </w:p>
    <w:p>
      <w:pPr>
        <w:pStyle w:val="Compact"/>
        <w:numPr>
          <w:ilvl w:val="0"/>
          <w:numId w:val="1554"/>
        </w:numPr>
      </w:pPr>
      <w:r>
        <w:t xml:space="preserve">Acceptance and Commitment Therapy (ACT) — Focus on the emotional component; Woods D.W. et al. Behav Res Ther 2006 RCT.</w:t>
      </w:r>
    </w:p>
    <w:p>
      <w:pPr>
        <w:pStyle w:val="Compact"/>
        <w:numPr>
          <w:ilvl w:val="0"/>
          <w:numId w:val="1554"/>
        </w:numPr>
      </w:pPr>
      <w:r>
        <w:t xml:space="preserve">NAC — N-acetylcysteine — Glutamatergic modulator; 1200–2400 mg/day; Grant J.E. Arch Gen Psychiatry 2009.</w:t>
      </w:r>
    </w:p>
    <w:p>
      <w:pPr>
        <w:pStyle w:val="Compact"/>
        <w:numPr>
          <w:ilvl w:val="0"/>
          <w:numId w:val="1554"/>
        </w:numPr>
      </w:pPr>
      <w:r>
        <w:t xml:space="preserve">Massachusetts General Hospital Hairpulling Scale (MGH-HPS) — 7 items; frequency, intensity.</w:t>
      </w:r>
    </w:p>
    <w:bookmarkEnd w:id="1146"/>
    <w:bookmarkStart w:id="1147" w:name="differences-between-sources-55"/>
    <w:p>
      <w:pPr>
        <w:pStyle w:val="Heading4"/>
      </w:pPr>
      <w:r>
        <w:t xml:space="preserve">8.2 Differences between sources</w:t>
      </w:r>
    </w:p>
    <w:p>
      <w:pPr>
        <w:pStyle w:val="Compact"/>
        <w:numPr>
          <w:ilvl w:val="0"/>
          <w:numId w:val="1555"/>
        </w:numPr>
      </w:pPr>
      <w:r>
        <w:t xml:space="preserve">Bloch M.H. Biol Psychiatry 2007 meta-analysis — HRT most evidence-based for trichotillomania.</w:t>
      </w:r>
    </w:p>
    <w:p>
      <w:pPr>
        <w:pStyle w:val="Compact"/>
        <w:numPr>
          <w:ilvl w:val="0"/>
          <w:numId w:val="1555"/>
        </w:numPr>
      </w:pPr>
      <w:r>
        <w:t xml:space="preserve">Grant J.E. Arch Gen Psychiatry 2009 — NAC 1200–2400 mg/day efficacy.</w:t>
      </w:r>
    </w:p>
    <w:bookmarkEnd w:id="1147"/>
    <w:bookmarkEnd w:id="1148"/>
    <w:bookmarkStart w:id="1149" w:name="Xf2232fa1635a731fdd70e28e46077f9ad8b938d"/>
    <w:p>
      <w:pPr>
        <w:pStyle w:val="Heading3"/>
      </w:pPr>
      <w:r>
        <w:t xml:space="preserve">9. Prognosis</w:t>
      </w:r>
    </w:p>
    <w:p>
      <w:pPr>
        <w:pStyle w:val="Compact"/>
        <w:numPr>
          <w:ilvl w:val="0"/>
          <w:numId w:val="1556"/>
        </w:numPr>
      </w:pPr>
      <w:r>
        <w:t xml:space="preserve">Chronic course, “waxing and waning”.</w:t>
      </w:r>
    </w:p>
    <w:p>
      <w:pPr>
        <w:pStyle w:val="Compact"/>
        <w:numPr>
          <w:ilvl w:val="0"/>
          <w:numId w:val="1556"/>
        </w:numPr>
      </w:pPr>
      <w:r>
        <w:t xml:space="preserve">Significant improvement with HRT; treatment of comorbidity is essential.</w:t>
      </w:r>
    </w:p>
    <w:bookmarkEnd w:id="1149"/>
    <w:bookmarkStart w:id="1156" w:name="X31bec2da2881317361345d3e6cfe4adf3dfcb0a"/>
    <w:p>
      <w:pPr>
        <w:pStyle w:val="Heading3"/>
      </w:pPr>
      <w:r>
        <w:t xml:space="preserve">10. Myths and misconceptions</w:t>
      </w:r>
    </w:p>
    <w:bookmarkStart w:id="1150" w:name="X58f3d7ec3fa19168b612f7405b381ef4c7c73a1"/>
    <w:p>
      <w:pPr>
        <w:pStyle w:val="Heading5"/>
      </w:pPr>
      <w:r>
        <w:t xml:space="preserve">Myth 1: “Hair pulling and skin picking are ‘bad habits’, not serious disorders”</w:t>
      </w:r>
    </w:p>
    <w:p>
      <w:pPr>
        <w:pStyle w:val="FirstParagraph"/>
      </w:pPr>
      <w:r>
        <w:t xml:space="preserve">Evidence: Clinical impairment; risks of functional impairment, social isolation, infection, and trichobezoar (surgical).</w:t>
      </w:r>
    </w:p>
    <w:bookmarkEnd w:id="1150"/>
    <w:bookmarkStart w:id="1151" w:name="myth-2-the-patient-can-stop-voluntarily"/>
    <w:p>
      <w:pPr>
        <w:pStyle w:val="Heading5"/>
      </w:pPr>
      <w:r>
        <w:t xml:space="preserve">Myth 2: “The patient can stop voluntarily”</w:t>
      </w:r>
    </w:p>
    <w:p>
      <w:pPr>
        <w:pStyle w:val="FirstParagraph"/>
      </w:pPr>
      <w:r>
        <w:t xml:space="preserve">Evidence: The patient repeatedly tries and fails — this is the main symptom of the disorder; HRT or pharmacotherapy is required.</w:t>
      </w:r>
    </w:p>
    <w:bookmarkEnd w:id="1151"/>
    <w:bookmarkStart w:id="1152" w:name="X725407b9bd908e2cc9cf9d193f5df655d076895"/>
    <w:p>
      <w:pPr>
        <w:pStyle w:val="Heading5"/>
      </w:pPr>
      <w:r>
        <w:t xml:space="preserve">Myth 3: “SSRIs are effective for trichotillomania (like OCD)”</w:t>
      </w:r>
    </w:p>
    <w:p>
      <w:pPr>
        <w:pStyle w:val="FirstParagraph"/>
      </w:pPr>
      <w:r>
        <w:t xml:space="preserve">Evidence: Response to SSRIs is weaker than in OCD; HRT is first-line; NAC adjunct; clomipramine relatively superior over SSRIs.</w:t>
      </w:r>
    </w:p>
    <w:bookmarkEnd w:id="1152"/>
    <w:bookmarkStart w:id="1153" w:name="X1a2d66d3979e10f38c776f04d47a166fa3713a6"/>
    <w:p>
      <w:pPr>
        <w:pStyle w:val="Heading5"/>
      </w:pPr>
      <w:r>
        <w:t xml:space="preserve">Myth 4: “Hiding hair (wig, makeup) is the solution”</w:t>
      </w:r>
    </w:p>
    <w:p>
      <w:pPr>
        <w:pStyle w:val="FirstParagraph"/>
      </w:pPr>
      <w:r>
        <w:t xml:space="preserve">Evidence: Cosmetic camouflage short-term; primary behavioral intervention required.</w:t>
      </w:r>
    </w:p>
    <w:bookmarkEnd w:id="1153"/>
    <w:bookmarkStart w:id="1154" w:name="Xe27fe259b46bb28a7fc9120f2d03c8550c5f449"/>
    <w:p>
      <w:pPr>
        <w:pStyle w:val="Heading5"/>
      </w:pPr>
      <w:r>
        <w:t xml:space="preserve">Myth 5: “Only hypnosis or deep psychoanalytic therapy resolves the underlying behavioral cause”</w:t>
      </w:r>
    </w:p>
    <w:p>
      <w:pPr>
        <w:pStyle w:val="FirstParagraph"/>
      </w:pPr>
      <w:r>
        <w:t xml:space="preserve">Evidence: Evidence base is limited; HRT-based behavioral approaches are superior.</w:t>
      </w:r>
    </w:p>
    <w:bookmarkEnd w:id="1154"/>
    <w:bookmarkStart w:id="1155" w:name="Xcd8bba441b97b6227d49aee10c18e916f1eb3ce"/>
    <w:p>
      <w:pPr>
        <w:pStyle w:val="Heading5"/>
      </w:pPr>
      <w:r>
        <w:t xml:space="preserve">Myth 6: “Skin picking is a response to ‘acne’ or a cosmetic problem”</w:t>
      </w:r>
    </w:p>
    <w:p>
      <w:pPr>
        <w:pStyle w:val="FirstParagraph"/>
      </w:pPr>
      <w:r>
        <w:t xml:space="preserve">Evidence: Clinical impairment — patient cannot prevent behavior, creates scar and infection on skin; clinical intervention required.</w:t>
      </w:r>
    </w:p>
    <w:bookmarkEnd w:id="1155"/>
    <w:bookmarkEnd w:id="1156"/>
    <w:bookmarkStart w:id="1157" w:name="Xa1c9e48e184f9558deb5e6e3d3d89e1a087ed8e"/>
    <w:p>
      <w:pPr>
        <w:pStyle w:val="Heading3"/>
      </w:pPr>
      <w:r>
        <w:t xml:space="preserve">11. Sources</w:t>
      </w:r>
    </w:p>
    <w:p>
      <w:pPr>
        <w:pStyle w:val="Compact"/>
        <w:numPr>
          <w:ilvl w:val="0"/>
          <w:numId w:val="1557"/>
        </w:numPr>
      </w:pPr>
      <w:r>
        <w:t xml:space="preserve">WHO. ICD-11. 6B25 Body-focused repetitive behaviour disorders. 2024.</w:t>
      </w:r>
    </w:p>
    <w:p>
      <w:pPr>
        <w:pStyle w:val="Compact"/>
        <w:numPr>
          <w:ilvl w:val="0"/>
          <w:numId w:val="1557"/>
        </w:numPr>
      </w:pPr>
      <w:r>
        <w:t xml:space="preserve">APA. DSM-5-TR. 2022.</w:t>
      </w:r>
    </w:p>
    <w:p>
      <w:pPr>
        <w:pStyle w:val="Compact"/>
        <w:numPr>
          <w:ilvl w:val="0"/>
          <w:numId w:val="1557"/>
        </w:numPr>
      </w:pPr>
      <w:r>
        <w:t xml:space="preserve">Bloch M.H. et al. Systematic review: pharmacological and behavioral treatment for trichotillomania. Biol Psychiatry 2007;62(8):839–846.</w:t>
      </w:r>
    </w:p>
    <w:p>
      <w:pPr>
        <w:pStyle w:val="Compact"/>
        <w:numPr>
          <w:ilvl w:val="0"/>
          <w:numId w:val="1557"/>
        </w:numPr>
      </w:pPr>
      <w:r>
        <w:t xml:space="preserve">Grant J.E. et al. N-acetylcysteine, a glutamate modulator, in the treatment of trichotillomania: a double-blind, placebo-controlled study. Arch Gen Psychiatry 2009;66(7):756–763.</w:t>
      </w:r>
    </w:p>
    <w:p>
      <w:pPr>
        <w:pStyle w:val="Compact"/>
        <w:numPr>
          <w:ilvl w:val="0"/>
          <w:numId w:val="1557"/>
        </w:numPr>
      </w:pPr>
      <w:r>
        <w:t xml:space="preserve">Woods D.W., Wetterneck C.T., Flessner C.A. A controlled evaluation of acceptance and commitment therapy plus habit reversal for trichotillomania. Behav Res Ther 2006;44(5):639–656.</w:t>
      </w:r>
    </w:p>
    <w:p>
      <w:pPr>
        <w:pStyle w:val="Compact"/>
        <w:numPr>
          <w:ilvl w:val="0"/>
          <w:numId w:val="1557"/>
        </w:numPr>
      </w:pPr>
      <w:r>
        <w:t xml:space="preserve">Mansueto C.S., Goldfinger Golomb R., Thomas A.M., Stemberger R.M.T. A comprehensive model for behavioral treatment of trichotillomania. Cogn Behav Pract 1999;6(1):23–43.</w:t>
      </w:r>
    </w:p>
    <w:p>
      <w:pPr>
        <w:pStyle w:val="Compact"/>
        <w:numPr>
          <w:ilvl w:val="0"/>
          <w:numId w:val="1557"/>
        </w:numPr>
      </w:pPr>
      <w:r>
        <w:t xml:space="preserve">Azrin N.H., Nunn R.G. Habit-reversal: a method of eliminating nervous habits and tics. Behav Res Ther 1973;11(4):619–628.</w:t>
      </w:r>
    </w:p>
    <w:bookmarkEnd w:id="1157"/>
    <w:bookmarkStart w:id="1158" w:name="m426b406b4z-stress-related"/>
    <w:p>
      <w:pPr>
        <w:pageBreakBefore/>
        <w:pStyle w:val="Heading1"/>
      </w:pPr>
      <w:r>
        <w:t xml:space="preserve">6B40–6B4Z STRESS-RELATED</w:t>
      </w:r>
    </w:p>
    <w:p>
      <w:pPr>
        <w:pStyle w:val="FirstParagraph"/>
      </w:pPr>
      <w:r>
        <w:t xml:space="preserve">Disorders specifically associated with stress</w:t>
      </w:r>
    </w:p>
    <w:bookmarkEnd w:id="11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59" w:name="X60f804acbac431a6b14ba901b1af722137dfa34"/>
            <w:r>
              <w:t xml:space="preserve">6B40 POST TRAUMATIC STRESS DISORDER (PTSD)</w:t>
            </w:r>
            <w:bookmarkEnd w:id="1159"/>
          </w:p>
          <w:p>
            <w:pPr>
              <w:pStyle w:val="Compact"/>
              <w:ind w:firstLine="0" w:left="0"/>
            </w:pPr>
            <w:r>
              <w:rPr>
                <w:lang w:val="en"/>
              </w:rPr>
              <w:t xml:space="preserve">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Posttraumatic Stress Disorder</w:t>
            </w:r>
          </w:p>
        </w:tc>
      </w:tr>
    </w:tbl>
    <w:bookmarkStart w:id="1160" w:name="X6c99961e56e2e3607c3eabb1064fdd40177df8a"/>
    <w:p>
      <w:pPr>
        <w:pStyle w:val="Heading3"/>
      </w:pPr>
      <w:r>
        <w:t xml:space="preserve">1. Definition and nosology</w:t>
      </w:r>
    </w:p>
    <w:p>
      <w:pPr>
        <w:pStyle w:val="FirstParagraph"/>
      </w:pPr>
      <w:r>
        <w:t xml:space="preserve">Posttraumatic Stress Disorder (PTSD; ICD-11:</w:t>
      </w:r>
      <w:r>
        <w:t xml:space="preserve"> </w:t>
      </w:r>
      <w:r>
        <w:t xml:space="preserve">6B40</w:t>
      </w:r>
      <w:r>
        <w:t xml:space="preserve">; DSM-5-TR: F43.10) — a disorder developing after direct or witnessed exposure to actual or threatened death, serious injury, or sexual violence, characterized by three main symptom domains: Re-experiencing (intrusions), Avoidance, persistent apprehension (ICD-11) / Cognitive-emotional changes and hyperarousal (DSM-5-TR).</w:t>
      </w:r>
    </w:p>
    <w:bookmarkEnd w:id="1160"/>
    <w:bookmarkStart w:id="1161" w:name="X648006aaedd25c711f355017f18b8194529b3bd"/>
    <w:p>
      <w:pPr>
        <w:pStyle w:val="Heading3"/>
      </w:pPr>
      <w:r>
        <w:t xml:space="preserve">2. History</w:t>
      </w:r>
    </w:p>
    <w:p>
      <w:pPr>
        <w:pStyle w:val="Compact"/>
        <w:numPr>
          <w:ilvl w:val="0"/>
          <w:numId w:val="1558"/>
        </w:numPr>
      </w:pPr>
      <w:r>
        <w:t xml:space="preserve">“Shell shock” (World War I), “combat fatigue” (World War II).</w:t>
      </w:r>
    </w:p>
    <w:p>
      <w:pPr>
        <w:pStyle w:val="Compact"/>
        <w:numPr>
          <w:ilvl w:val="0"/>
          <w:numId w:val="1558"/>
        </w:numPr>
      </w:pPr>
      <w:r>
        <w:t xml:space="preserve">DSM-III (1980) — “Posttraumatic Stress Disorder” — based on Vietnam veteran studies.</w:t>
      </w:r>
    </w:p>
    <w:p>
      <w:pPr>
        <w:pStyle w:val="Compact"/>
        <w:numPr>
          <w:ilvl w:val="0"/>
          <w:numId w:val="1558"/>
        </w:numPr>
      </w:pPr>
      <w:r>
        <w:t xml:space="preserve">DSM-5 (2013) — separated from anxiety disorders and moved to the “Trauma- and Stressor-Related Disorders” category; Criterion A narrowed (only specific trauma types).</w:t>
      </w:r>
    </w:p>
    <w:p>
      <w:pPr>
        <w:pStyle w:val="Compact"/>
        <w:numPr>
          <w:ilvl w:val="0"/>
          <w:numId w:val="1558"/>
        </w:numPr>
      </w:pPr>
      <w:r>
        <w:t xml:space="preserve">ICD-11 (2019) — a more compact diagnostic concept; Complex PTSD (6B41) official recognition as a distinct category.</w:t>
      </w:r>
    </w:p>
    <w:bookmarkEnd w:id="1161"/>
    <w:bookmarkStart w:id="1162" w:name="Xd5d6f5cdd88f462f136476b0fdb804aa24bad4a"/>
    <w:p>
      <w:pPr>
        <w:pStyle w:val="Heading3"/>
      </w:pPr>
      <w:r>
        <w:t xml:space="preserve">3. Epidemiology</w:t>
      </w:r>
    </w:p>
    <w:p>
      <w:pPr>
        <w:pStyle w:val="Compact"/>
        <w:numPr>
          <w:ilvl w:val="0"/>
          <w:numId w:val="1559"/>
        </w:numPr>
      </w:pPr>
      <w:r>
        <w:t xml:space="preserve">Lifetime prevalence: 3.9% (WHO World Mental Health), in USA ~6.8%.</w:t>
      </w:r>
    </w:p>
    <w:p>
      <w:pPr>
        <w:pStyle w:val="Compact"/>
        <w:numPr>
          <w:ilvl w:val="0"/>
          <w:numId w:val="1559"/>
        </w:numPr>
      </w:pPr>
      <w:r>
        <w:t xml:space="preserve">Sex: 2 times higher in females (due to risk of sexual violence exposure).</w:t>
      </w:r>
    </w:p>
    <w:p>
      <w:pPr>
        <w:pStyle w:val="Compact"/>
        <w:numPr>
          <w:ilvl w:val="0"/>
          <w:numId w:val="1559"/>
        </w:numPr>
      </w:pPr>
      <w:r>
        <w:t xml:space="preserve">Risk by trauma type: sexual violence ~50% PTSD, physical assault ~25%, accident ~10%, natural disaster ~5%.</w:t>
      </w:r>
    </w:p>
    <w:p>
      <w:pPr>
        <w:pStyle w:val="Compact"/>
        <w:numPr>
          <w:ilvl w:val="0"/>
          <w:numId w:val="1559"/>
        </w:numPr>
      </w:pPr>
      <w:r>
        <w:t xml:space="preserve">Comorbidity: MDD ~50%, GAD, panic, substance use, BPD, complex PTSD.</w:t>
      </w:r>
    </w:p>
    <w:p>
      <w:pPr>
        <w:pStyle w:val="Compact"/>
        <w:numPr>
          <w:ilvl w:val="0"/>
          <w:numId w:val="1559"/>
        </w:numPr>
      </w:pPr>
      <w:r>
        <w:t xml:space="preserve">Suicide risk significantly high.</w:t>
      </w:r>
    </w:p>
    <w:bookmarkEnd w:id="1162"/>
    <w:bookmarkStart w:id="1163" w:name="X9e0dcb913587adf823bf4e0dd7a875f7039bd00"/>
    <w:p>
      <w:pPr>
        <w:pStyle w:val="Heading3"/>
      </w:pPr>
      <w:r>
        <w:t xml:space="preserve">4. Aetiology and pathogenesis</w:t>
      </w:r>
    </w:p>
    <w:p>
      <w:pPr>
        <w:pStyle w:val="Compact"/>
        <w:numPr>
          <w:ilvl w:val="0"/>
          <w:numId w:val="1560"/>
        </w:numPr>
      </w:pPr>
      <w:r>
        <w:t xml:space="preserve">Heritability 30–40%.</w:t>
      </w:r>
    </w:p>
    <w:p>
      <w:pPr>
        <w:pStyle w:val="Compact"/>
        <w:numPr>
          <w:ilvl w:val="0"/>
          <w:numId w:val="1560"/>
        </w:numPr>
      </w:pPr>
      <w:r>
        <w:t xml:space="preserve">Neurobiological — amygdala hyperreactivity, impaired prefrontal-amygdala regulation, hippocampal volume reduction, HPA axis dysregulation (paradoxically low cortisol).</w:t>
      </w:r>
    </w:p>
    <w:p>
      <w:pPr>
        <w:pStyle w:val="Compact"/>
        <w:numPr>
          <w:ilvl w:val="0"/>
          <w:numId w:val="1560"/>
        </w:numPr>
      </w:pPr>
      <w:r>
        <w:t xml:space="preserve">Trauma characteristics — severity, duration, perpetrated by others (intentional), occurrence in childhood.</w:t>
      </w:r>
    </w:p>
    <w:p>
      <w:pPr>
        <w:pStyle w:val="Compact"/>
        <w:numPr>
          <w:ilvl w:val="0"/>
          <w:numId w:val="1560"/>
        </w:numPr>
      </w:pPr>
      <w:r>
        <w:t xml:space="preserve">Risk factors — previous trauma, previous psychiatric history, lack of social support, female gender, peritraumatic dissociation.</w:t>
      </w:r>
    </w:p>
    <w:p>
      <w:pPr>
        <w:pStyle w:val="Compact"/>
        <w:numPr>
          <w:ilvl w:val="0"/>
          <w:numId w:val="1560"/>
        </w:numPr>
      </w:pPr>
      <w:r>
        <w:t xml:space="preserve">Protective – social support, post-traumatic meaning seeking.</w:t>
      </w:r>
    </w:p>
    <w:bookmarkEnd w:id="1163"/>
    <w:bookmarkStart w:id="1167" w:name="Xa56010ae1c78aa51734ce861fcaa9b1935e087b"/>
    <w:p>
      <w:pPr>
        <w:pStyle w:val="Heading3"/>
      </w:pPr>
      <w:r>
        <w:t xml:space="preserve">5. Clinical features</w:t>
      </w:r>
    </w:p>
    <w:bookmarkStart w:id="1164" w:name="three-main-domains-icd-11"/>
    <w:p>
      <w:pPr>
        <w:pStyle w:val="Heading4"/>
      </w:pPr>
      <w:r>
        <w:t xml:space="preserve">Three main domains (ICD-11)</w:t>
      </w:r>
    </w:p>
    <w:p>
      <w:pPr>
        <w:pStyle w:val="Compact"/>
        <w:numPr>
          <w:ilvl w:val="0"/>
          <w:numId w:val="1561"/>
        </w:numPr>
      </w:pPr>
      <w:r>
        <w:t xml:space="preserve">Re-experiencing — intrusive memories, flashbacks, nightmares; acute distress and somatic reactions with triggers.</w:t>
      </w:r>
    </w:p>
    <w:p>
      <w:pPr>
        <w:pStyle w:val="Compact"/>
        <w:numPr>
          <w:ilvl w:val="0"/>
          <w:numId w:val="1561"/>
        </w:numPr>
      </w:pPr>
      <w:r>
        <w:t xml:space="preserve">Avoidance — avoidance of thoughts, feelings, reminders, situations related to trauma.</w:t>
      </w:r>
    </w:p>
    <w:p>
      <w:pPr>
        <w:pStyle w:val="Compact"/>
        <w:numPr>
          <w:ilvl w:val="0"/>
          <w:numId w:val="1561"/>
        </w:numPr>
      </w:pPr>
      <w:r>
        <w:t xml:space="preserve">Persistent sense of threat (hyperarousal) — hypervigilance, easily startled, sleep disturbance, irritability.</w:t>
      </w:r>
    </w:p>
    <w:bookmarkEnd w:id="1164"/>
    <w:bookmarkStart w:id="1165" w:name="X5e199ddb8a4e038a9a1beb53b0b7f5e02bcf0e2"/>
    <w:p>
      <w:pPr>
        <w:pStyle w:val="Heading4"/>
      </w:pPr>
      <w:r>
        <w:t xml:space="preserve">DSM-5-TR additional domain — cognitive-mood changes</w:t>
      </w:r>
    </w:p>
    <w:p>
      <w:pPr>
        <w:pStyle w:val="Compact"/>
        <w:numPr>
          <w:ilvl w:val="0"/>
          <w:numId w:val="1562"/>
        </w:numPr>
      </w:pPr>
      <w:r>
        <w:t xml:space="preserve">Negative beliefs (about self, others, the world).</w:t>
      </w:r>
    </w:p>
    <w:p>
      <w:pPr>
        <w:pStyle w:val="Compact"/>
        <w:numPr>
          <w:ilvl w:val="0"/>
          <w:numId w:val="1562"/>
        </w:numPr>
      </w:pPr>
      <w:r>
        <w:t xml:space="preserve">Anhedonia, social isolation.</w:t>
      </w:r>
    </w:p>
    <w:p>
      <w:pPr>
        <w:pStyle w:val="Compact"/>
        <w:numPr>
          <w:ilvl w:val="0"/>
          <w:numId w:val="1562"/>
        </w:numPr>
      </w:pPr>
      <w:r>
        <w:t xml:space="preserve">Numbing of feelings, persistent negative mood.</w:t>
      </w:r>
    </w:p>
    <w:bookmarkEnd w:id="1165"/>
    <w:bookmarkStart w:id="1166" w:name="duration"/>
    <w:p>
      <w:pPr>
        <w:pStyle w:val="Heading4"/>
      </w:pPr>
      <w:r>
        <w:t xml:space="preserve">Duration</w:t>
      </w:r>
    </w:p>
    <w:p>
      <w:pPr>
        <w:pStyle w:val="FirstParagraph"/>
      </w:pPr>
      <w:r>
        <w:t xml:space="preserve">Symptoms ≥ 1 month; the onset may be delayed after the trauma (delayed onset &gt; 6 months).</w:t>
      </w:r>
    </w:p>
    <w:bookmarkEnd w:id="1166"/>
    <w:bookmarkEnd w:id="1167"/>
    <w:bookmarkStart w:id="1172" w:name="X00e70b2d91b6787c57003baa0fd96d286af595a"/>
    <w:p>
      <w:pPr>
        <w:pStyle w:val="Heading3"/>
      </w:pPr>
      <w:r>
        <w:t xml:space="preserve">6. Diagnosis</w:t>
      </w:r>
    </w:p>
    <w:bookmarkStart w:id="1168" w:name="unified-diagnostic-criteria-15"/>
    <w:p>
      <w:pPr>
        <w:pStyle w:val="Heading4"/>
      </w:pPr>
      <w:r>
        <w:t xml:space="preserve">6.1 Unified diagnostic criteria</w:t>
      </w:r>
    </w:p>
    <w:p>
      <w:pPr>
        <w:pStyle w:val="FirstParagraph"/>
      </w:pPr>
      <w:r>
        <w:t xml:space="preserve">A. Exposure to traumatic event (personal, witnessing, information about death/injury of close ones, repeated exposure to traumatic information in occupational context).</w:t>
      </w:r>
    </w:p>
    <w:p>
      <w:pPr>
        <w:pStyle w:val="BodyText"/>
      </w:pPr>
      <w:r>
        <w:t xml:space="preserve">B. Re-experiencing (intrusive memories, flashbacks, nightmares).</w:t>
      </w:r>
    </w:p>
    <w:p>
      <w:pPr>
        <w:pStyle w:val="BodyText"/>
      </w:pPr>
      <w:r>
        <w:t xml:space="preserve">C. Avoidance of trauma reminders.</w:t>
      </w:r>
    </w:p>
    <w:p>
      <w:pPr>
        <w:pStyle w:val="BodyText"/>
      </w:pPr>
      <w:r>
        <w:t xml:space="preserve">D. ICD-11: persistent sense of threat; DSM-5-TR: cognitive-mood alterations + hyperarousal.</w:t>
      </w:r>
    </w:p>
    <w:p>
      <w:pPr>
        <w:pStyle w:val="BodyText"/>
      </w:pPr>
      <w:r>
        <w:t xml:space="preserve">E. Duration ≥ 1 month.</w:t>
      </w:r>
    </w:p>
    <w:p>
      <w:pPr>
        <w:pStyle w:val="BodyText"/>
      </w:pPr>
      <w:r>
        <w:t xml:space="preserve">F. Significant distress or functional impairment.</w:t>
      </w:r>
    </w:p>
    <w:p>
      <w:pPr>
        <w:pStyle w:val="BodyText"/>
      </w:pPr>
      <w:r>
        <w:t xml:space="preserve">G. Exclusion of substance or medical condition.</w:t>
      </w:r>
    </w:p>
    <w:bookmarkEnd w:id="1168"/>
    <w:bookmarkStart w:id="1169" w:name="differences-between-sources-56"/>
    <w:p>
      <w:pPr>
        <w:pStyle w:val="Heading4"/>
      </w:pPr>
      <w:r>
        <w:t xml:space="preserve">6.2 Differences between sources</w:t>
      </w:r>
    </w:p>
    <w:p>
      <w:pPr>
        <w:pStyle w:val="Compact"/>
        <w:numPr>
          <w:ilvl w:val="0"/>
          <w:numId w:val="1563"/>
        </w:numPr>
      </w:pPr>
      <w:r>
        <w:t xml:space="preserve">DSM-5-TR: 4 symptom domains (intrusions, avoidance, cognitive-mood, hyperarousal); dissociative subtype qualifier (depersonalization/derealization); delayed onset.</w:t>
      </w:r>
    </w:p>
    <w:p>
      <w:pPr>
        <w:pStyle w:val="Compact"/>
        <w:numPr>
          <w:ilvl w:val="0"/>
          <w:numId w:val="1563"/>
        </w:numPr>
      </w:pPr>
      <w:r>
        <w:t xml:space="preserve">ICD-11 (6B40): 3 symptom domains (more compact); complex PTSD as a separate category (6B41).</w:t>
      </w:r>
    </w:p>
    <w:p>
      <w:pPr>
        <w:pStyle w:val="Compact"/>
        <w:numPr>
          <w:ilvl w:val="0"/>
          <w:numId w:val="1563"/>
        </w:numPr>
      </w:pPr>
      <w:r>
        <w:t xml:space="preserve">NICE NG116 (2018, Post-traumatic stress disorder): Diagnosis Structured Clinical Interview (CAPS-5).</w:t>
      </w:r>
    </w:p>
    <w:p>
      <w:pPr>
        <w:pStyle w:val="Compact"/>
        <w:numPr>
          <w:ilvl w:val="0"/>
          <w:numId w:val="1563"/>
        </w:numPr>
      </w:pPr>
      <w:r>
        <w:t xml:space="preserve">VA/DoD 2023: Gold standard diagnosis CAPS-5; PCL-5 screening in primary medical care.</w:t>
      </w:r>
    </w:p>
    <w:bookmarkEnd w:id="1169"/>
    <w:bookmarkStart w:id="1170" w:name="diagnostic-algorithm-33"/>
    <w:p>
      <w:pPr>
        <w:pStyle w:val="Heading4"/>
      </w:pPr>
      <w:r>
        <w:t xml:space="preserve">6.3 Diagnostic algorithm</w:t>
      </w:r>
    </w:p>
    <w:p>
      <w:pPr>
        <w:pStyle w:val="Compact"/>
        <w:numPr>
          <w:ilvl w:val="0"/>
          <w:numId w:val="1564"/>
        </w:numPr>
      </w:pPr>
      <w:r>
        <w:t xml:space="preserve">Clinical interview + trauma history.</w:t>
      </w:r>
    </w:p>
    <w:p>
      <w:pPr>
        <w:pStyle w:val="Compact"/>
        <w:numPr>
          <w:ilvl w:val="0"/>
          <w:numId w:val="1564"/>
        </w:numPr>
      </w:pPr>
      <w:r>
        <w:t xml:space="preserve">CAPS-5 (Clinician-Administered PTSD Scale) — gold standard structured interview.</w:t>
      </w:r>
    </w:p>
    <w:p>
      <w:pPr>
        <w:pStyle w:val="Compact"/>
        <w:numPr>
          <w:ilvl w:val="0"/>
          <w:numId w:val="1564"/>
        </w:numPr>
      </w:pPr>
      <w:r>
        <w:t xml:space="preserve">PCL-5 (PTSD Checklist) — self-assessment screening, 20 items.</w:t>
      </w:r>
    </w:p>
    <w:p>
      <w:pPr>
        <w:pStyle w:val="Compact"/>
        <w:numPr>
          <w:ilvl w:val="0"/>
          <w:numId w:val="1564"/>
        </w:numPr>
      </w:pPr>
      <w:r>
        <w:t xml:space="preserve">Comorbidity (MDD, GAD, substance, BPD, complex PTSD).</w:t>
      </w:r>
    </w:p>
    <w:p>
      <w:pPr>
        <w:pStyle w:val="Compact"/>
        <w:numPr>
          <w:ilvl w:val="0"/>
          <w:numId w:val="1564"/>
        </w:numPr>
      </w:pPr>
      <w:r>
        <w:t xml:space="preserve">Suicide risk (C-SSRS).</w:t>
      </w:r>
    </w:p>
    <w:p>
      <w:pPr>
        <w:pStyle w:val="Compact"/>
        <w:numPr>
          <w:ilvl w:val="0"/>
          <w:numId w:val="1564"/>
        </w:numPr>
      </w:pPr>
      <w:r>
        <w:t xml:space="preserve">Except for medical and traumatic brain injury (TBI).</w:t>
      </w:r>
    </w:p>
    <w:bookmarkEnd w:id="1170"/>
    <w:bookmarkStart w:id="1171" w:name="differential-diagnosis-3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stress disorder (similar to 6B40,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Between 3 days and 1 month.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Complex PTSD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Self-organization disturbance (affect, self, relationships).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not meet trauma criterion 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no intrusions and avoidance.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disorder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Attack is unexpected.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personality pattern; impulsivity and relationships.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disorders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Dissociation dominant; dissociative subtype may be a qualifier in PTSD.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Traumatic brain injury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Neurological findings; cognitive deficit.</w:t>
            </w:r>
          </w:p>
        </w:tc>
      </w:tr>
    </w:tbl>
    <w:bookmarkEnd w:id="1171"/>
    <w:bookmarkEnd w:id="1172"/>
    <w:bookmarkStart w:id="1173" w:name="X3f13e27a235ea67a51930215ee7b4057b904c21"/>
    <w:p>
      <w:pPr>
        <w:pStyle w:val="Heading3"/>
      </w:pPr>
      <w:r>
        <w:t xml:space="preserve">7. Examination and assessment</w:t>
      </w:r>
    </w:p>
    <w:p>
      <w:pPr>
        <w:pStyle w:val="Compact"/>
        <w:numPr>
          <w:ilvl w:val="0"/>
          <w:numId w:val="1565"/>
        </w:numPr>
      </w:pPr>
      <w:r>
        <w:t xml:space="preserve">CAPS-5 — gold standard.</w:t>
      </w:r>
    </w:p>
    <w:p>
      <w:pPr>
        <w:pStyle w:val="Compact"/>
        <w:numPr>
          <w:ilvl w:val="0"/>
          <w:numId w:val="1565"/>
        </w:numPr>
      </w:pPr>
      <w:r>
        <w:t xml:space="preserve">PCL-5 (20 items) — screening.</w:t>
      </w:r>
    </w:p>
    <w:p>
      <w:pPr>
        <w:pStyle w:val="Compact"/>
        <w:numPr>
          <w:ilvl w:val="0"/>
          <w:numId w:val="1565"/>
        </w:numPr>
      </w:pPr>
      <w:r>
        <w:t xml:space="preserve">PHQ-9, GAD-7, C-SSRS — comorbidity.</w:t>
      </w:r>
    </w:p>
    <w:p>
      <w:pPr>
        <w:pStyle w:val="Compact"/>
        <w:numPr>
          <w:ilvl w:val="0"/>
          <w:numId w:val="1565"/>
        </w:numPr>
      </w:pPr>
      <w:r>
        <w:t xml:space="preserve">Trauma history (LEC-5 — Life Events Checklist).</w:t>
      </w:r>
    </w:p>
    <w:bookmarkEnd w:id="1173"/>
    <w:bookmarkStart w:id="1177" w:name="X32fc9e7ab3f9d59dc0915c2b492e7d78ec558b2"/>
    <w:p>
      <w:pPr>
        <w:pStyle w:val="Heading3"/>
      </w:pPr>
      <w:r>
        <w:t xml:space="preserve">8. Treatment</w:t>
      </w:r>
    </w:p>
    <w:bookmarkStart w:id="1174" w:name="X78be3b3d69b6181504442577573b3010d5727b4"/>
    <w:p>
      <w:pPr>
        <w:pStyle w:val="Heading4"/>
      </w:pPr>
      <w:r>
        <w:t xml:space="preserve">8.1 General Principles (VA/DoD 2023 · APA 2017 · NICE NG116 Consensus)</w:t>
      </w:r>
    </w:p>
    <w:p>
      <w:pPr>
        <w:pStyle w:val="Compact"/>
        <w:numPr>
          <w:ilvl w:val="0"/>
          <w:numId w:val="1566"/>
        </w:numPr>
      </w:pPr>
      <w:r>
        <w:t xml:space="preserve">First-line: trauma-focused psychotherapy — individual format:</w:t>
      </w:r>
    </w:p>
    <w:p>
      <w:pPr>
        <w:pStyle w:val="Compact"/>
        <w:numPr>
          <w:ilvl w:val="1"/>
          <w:numId w:val="1567"/>
        </w:numPr>
      </w:pPr>
      <w:r>
        <w:t xml:space="preserve">Prolonged Exposure (PE, Foa E.B.) — in vivo and imaginal exposure to traumatic memory.</w:t>
      </w:r>
    </w:p>
    <w:p>
      <w:pPr>
        <w:pStyle w:val="Compact"/>
        <w:numPr>
          <w:ilvl w:val="1"/>
          <w:numId w:val="1567"/>
        </w:numPr>
      </w:pPr>
      <w:r>
        <w:t xml:space="preserve">Cognitive Processing Therapy (CPT, Resick P.A.) — cognitive restructuring; 12 sessions.</w:t>
      </w:r>
    </w:p>
    <w:p>
      <w:pPr>
        <w:pStyle w:val="Compact"/>
        <w:numPr>
          <w:ilvl w:val="1"/>
          <w:numId w:val="1567"/>
        </w:numPr>
      </w:pPr>
      <w:r>
        <w:t xml:space="preserve">EMDR (Eye Movement Desensitization and Reprocessing, Shapiro F.) — bilateral stimulation + traumatic memory processing.</w:t>
      </w:r>
    </w:p>
    <w:p>
      <w:pPr>
        <w:pStyle w:val="Compact"/>
        <w:numPr>
          <w:ilvl w:val="1"/>
          <w:numId w:val="1567"/>
        </w:numPr>
      </w:pPr>
      <w:r>
        <w:t xml:space="preserve">Trauma-Focused CBT (TF-CBT, Cohen J.) — in children and adolescents.</w:t>
      </w:r>
    </w:p>
    <w:p>
      <w:pPr>
        <w:pStyle w:val="Compact"/>
        <w:numPr>
          <w:ilvl w:val="0"/>
          <w:numId w:val="1566"/>
        </w:numPr>
      </w:pPr>
      <w:r>
        <w:t xml:space="preserve">First-line pharmacotherapy: SSRI (sertraline and paroxetine — FDA approval for PTSD), SNRI (venlafaxine).</w:t>
      </w:r>
    </w:p>
    <w:p>
      <w:pPr>
        <w:pStyle w:val="Compact"/>
        <w:numPr>
          <w:ilvl w:val="0"/>
          <w:numId w:val="1566"/>
        </w:numPr>
      </w:pPr>
      <w:r>
        <w:t xml:space="preserve">Second-line: mirtazapine, nefazodone (risk of hepatotoxicity — use with caution).</w:t>
      </w:r>
    </w:p>
    <w:p>
      <w:pPr>
        <w:pStyle w:val="Compact"/>
        <w:numPr>
          <w:ilvl w:val="0"/>
          <w:numId w:val="1566"/>
        </w:numPr>
      </w:pPr>
      <w:r>
        <w:t xml:space="preserve">For nightmares — prazosin (α1 antagonist) — evidence base is controversial (Raskind 2003 positive, 2018 PACT trial neutral); individual response.</w:t>
      </w:r>
    </w:p>
    <w:p>
      <w:pPr>
        <w:pStyle w:val="Compact"/>
        <w:numPr>
          <w:ilvl w:val="0"/>
          <w:numId w:val="1566"/>
        </w:numPr>
      </w:pPr>
      <w:r>
        <w:t xml:space="preserve">Adjunct — atypical antipsychotic (in refractory cases); benzodiazepines are contraindicated long-term (worsens PTSD course).</w:t>
      </w:r>
    </w:p>
    <w:p>
      <w:pPr>
        <w:pStyle w:val="Compact"/>
        <w:numPr>
          <w:ilvl w:val="0"/>
          <w:numId w:val="1566"/>
        </w:numPr>
      </w:pPr>
      <w:r>
        <w:t xml:space="preserve">ECT — in refractory severe comorbid depression.</w:t>
      </w:r>
    </w:p>
    <w:p>
      <w:pPr>
        <w:pStyle w:val="Compact"/>
        <w:numPr>
          <w:ilvl w:val="0"/>
          <w:numId w:val="1566"/>
        </w:numPr>
      </w:pPr>
      <w:r>
        <w:t xml:space="preserve">Treatment duration — psychotherapy 12–16 sessions; pharmacotherapy ≥ 12 months after remission.</w:t>
      </w:r>
    </w:p>
    <w:bookmarkEnd w:id="1174"/>
    <w:bookmarkStart w:id="1175" w:name="treatment-methods-33"/>
    <w:p>
      <w:pPr>
        <w:pStyle w:val="Heading4"/>
      </w:pPr>
      <w:r>
        <w:t xml:space="preserve">8.2 Treatment methods</w:t>
      </w:r>
    </w:p>
    <w:p>
      <w:pPr>
        <w:pStyle w:val="Compact"/>
        <w:numPr>
          <w:ilvl w:val="0"/>
          <w:numId w:val="1568"/>
        </w:numPr>
      </w:pPr>
      <w:r>
        <w:t xml:space="preserve">Prolonged Exposure (PE) — Foa (Foa E.B.) — Imaginal exposure to traumatic memory (repeated, sequential description) + in vivo exposure (to avoided situations). 10–15 sessions. Evidence: Foa E.B. et al. RCTs; gold-standard effect in meta-analyses.</w:t>
      </w:r>
    </w:p>
    <w:p>
      <w:pPr>
        <w:pStyle w:val="Compact"/>
        <w:numPr>
          <w:ilvl w:val="0"/>
          <w:numId w:val="1568"/>
        </w:numPr>
      </w:pPr>
      <w:r>
        <w:t xml:space="preserve">Cognitive Processing Therapy (CPT) — Resick (Resick P.A.) — Cognitive restructuring — “stuck points” about trauma (safety, trust, power, self-esteem, intimacy). 12 sessions. Resick P.A. et al. RCTs.</w:t>
      </w:r>
    </w:p>
    <w:p>
      <w:pPr>
        <w:pStyle w:val="Compact"/>
        <w:numPr>
          <w:ilvl w:val="0"/>
          <w:numId w:val="1568"/>
        </w:numPr>
      </w:pPr>
      <w:r>
        <w:t xml:space="preserve">Eye Movement Desensitization and Reprocessing (EMDR) — Shapiro (Shapiro F.) — Reprocessing traumatic memory with bilateral stimulation (eye movement, auditory, or tactile). 8-phase protocol. Evidence: Bisson J.I. et al. Cochrane 2013 — comparable effect to CBT.</w:t>
      </w:r>
    </w:p>
    <w:p>
      <w:pPr>
        <w:pStyle w:val="Compact"/>
        <w:numPr>
          <w:ilvl w:val="0"/>
          <w:numId w:val="1568"/>
        </w:numPr>
      </w:pPr>
      <w:r>
        <w:t xml:space="preserve">Trauma-Focused Cognitive Behavioral Therapy (TF-CBT) — Cohen J., Mannarino A — for children and adolescents aged 3–18 years; PRACTICE protocol (Psychoeducation, Relaxation, Affective modulation, Cognitive coping, Trauma narrative, In vivo, Conjoint sessions, Enhancing safety).</w:t>
      </w:r>
    </w:p>
    <w:p>
      <w:pPr>
        <w:pStyle w:val="Compact"/>
        <w:numPr>
          <w:ilvl w:val="0"/>
          <w:numId w:val="1568"/>
        </w:numPr>
      </w:pPr>
      <w:r>
        <w:t xml:space="preserve">Clinician-Administered PTSD Scale (CAPS-5) — 30-item structured interview; gold standard.</w:t>
      </w:r>
    </w:p>
    <w:p>
      <w:pPr>
        <w:pStyle w:val="Compact"/>
        <w:numPr>
          <w:ilvl w:val="0"/>
          <w:numId w:val="1568"/>
        </w:numPr>
      </w:pPr>
      <w:r>
        <w:t xml:space="preserve">PTSD Checklist (PCL-5 — Posttraumatic Stress Disorder Checklist) — 20-item self-assessment; screening and monitoring.</w:t>
      </w:r>
    </w:p>
    <w:bookmarkEnd w:id="1175"/>
    <w:bookmarkStart w:id="1176" w:name="differences-between-sources-57"/>
    <w:p>
      <w:pPr>
        <w:pStyle w:val="Heading4"/>
      </w:pPr>
      <w:r>
        <w:t xml:space="preserve">8.3 Differences between sources</w:t>
      </w:r>
    </w:p>
    <w:p>
      <w:pPr>
        <w:pStyle w:val="Compact"/>
        <w:numPr>
          <w:ilvl w:val="0"/>
          <w:numId w:val="1569"/>
        </w:numPr>
      </w:pPr>
      <w:r>
        <w:t xml:space="preserve">VA/DoD 2023 Clinical Practice Guideline for the Management of Posttraumatic Stress Disorder and Acute Stress Disorder: trauma-focused psychotherapy first-line (strong recommendation); pharmacotherapy first-line alternative; combination psychotherapy + pharmacotherapy not routine recommendation; benzodiazepines contraindicated.</w:t>
      </w:r>
    </w:p>
    <w:p>
      <w:pPr>
        <w:pStyle w:val="Compact"/>
        <w:numPr>
          <w:ilvl w:val="0"/>
          <w:numId w:val="1569"/>
        </w:numPr>
      </w:pPr>
      <w:r>
        <w:t xml:space="preserve">APA 2017 PTSD Guideline: CPT, PE, cognitive therapy and trauma-focused CBT are strongly recommended; EMDR is conditionally recommended. VA/DoD 2023 and ISTSS 2018 place EMDR in the top tier alongside CPT and PE.</w:t>
      </w:r>
    </w:p>
    <w:p>
      <w:pPr>
        <w:pStyle w:val="Compact"/>
        <w:numPr>
          <w:ilvl w:val="0"/>
          <w:numId w:val="1569"/>
        </w:numPr>
      </w:pPr>
      <w:r>
        <w:t xml:space="preserve">NICE NG116 (2018): Trauma-focused CBT or EMDR; SSRIs second-line.</w:t>
      </w:r>
    </w:p>
    <w:p>
      <w:pPr>
        <w:pStyle w:val="Compact"/>
        <w:numPr>
          <w:ilvl w:val="0"/>
          <w:numId w:val="1569"/>
        </w:numPr>
      </w:pPr>
      <w:r>
        <w:t xml:space="preserve">ISTSS 2018: international recommendations.</w:t>
      </w:r>
    </w:p>
    <w:p>
      <w:pPr>
        <w:pStyle w:val="Compact"/>
        <w:numPr>
          <w:ilvl w:val="0"/>
          <w:numId w:val="1569"/>
        </w:numPr>
      </w:pPr>
      <w:r>
        <w:t xml:space="preserve">Critical Incident Stress Debriefing (CISD) — Cochrane (Rose S. et al. 2002) and NICE do not explicitly recommend; some studies show an increased PTSD risk.</w:t>
      </w:r>
    </w:p>
    <w:bookmarkEnd w:id="1176"/>
    <w:bookmarkEnd w:id="1177"/>
    <w:bookmarkStart w:id="1178" w:name="X428641823953438e1bcfec085d119cb42ef0ccc"/>
    <w:p>
      <w:pPr>
        <w:pStyle w:val="Heading3"/>
      </w:pPr>
      <w:r>
        <w:t xml:space="preserve">9. Prognosis</w:t>
      </w:r>
    </w:p>
    <w:p>
      <w:pPr>
        <w:pStyle w:val="Compact"/>
        <w:numPr>
          <w:ilvl w:val="0"/>
          <w:numId w:val="1570"/>
        </w:numPr>
      </w:pPr>
      <w:r>
        <w:t xml:space="preserve">Trauma-focused psychotherapy yields significant improvement in most patients.</w:t>
      </w:r>
    </w:p>
    <w:p>
      <w:pPr>
        <w:pStyle w:val="Compact"/>
        <w:numPr>
          <w:ilvl w:val="0"/>
          <w:numId w:val="1570"/>
        </w:numPr>
      </w:pPr>
      <w:r>
        <w:t xml:space="preserve">Chronicity without early intervention.</w:t>
      </w:r>
    </w:p>
    <w:p>
      <w:pPr>
        <w:pStyle w:val="Compact"/>
        <w:numPr>
          <w:ilvl w:val="0"/>
          <w:numId w:val="1570"/>
        </w:numPr>
      </w:pPr>
      <w:r>
        <w:t xml:space="preserve">Comorbid MDD, substance use poor prognosis markers.</w:t>
      </w:r>
    </w:p>
    <w:bookmarkEnd w:id="1178"/>
    <w:bookmarkStart w:id="1187" w:name="X409dd13aec777f6dfbcd24e5c6fd543da99d379"/>
    <w:p>
      <w:pPr>
        <w:pStyle w:val="Heading3"/>
      </w:pPr>
      <w:r>
        <w:t xml:space="preserve">10. Myths and misconceptions</w:t>
      </w:r>
    </w:p>
    <w:bookmarkStart w:id="1179" w:name="myth-1-ptsd-only-occurs-in-war-veterans"/>
    <w:p>
      <w:pPr>
        <w:pStyle w:val="Heading5"/>
      </w:pPr>
      <w:r>
        <w:t xml:space="preserve">Myth 1: “PTSD only occurs in war veterans”</w:t>
      </w:r>
    </w:p>
    <w:p>
      <w:pPr>
        <w:pStyle w:val="FirstParagraph"/>
      </w:pPr>
      <w:r>
        <w:t xml:space="preserve">Evidence: PTSD can develop following any traumatic event — sexual violence (~50% prevalence), physical assault, accidents, natural disasters, medical procedures. Prevalence among veterans is high, but it is also widespread in the general population.</w:t>
      </w:r>
    </w:p>
    <w:bookmarkEnd w:id="1179"/>
    <w:bookmarkStart w:id="1180" w:name="X75fd09261e005dc470016560a2df3f06eb2a275"/>
    <w:p>
      <w:pPr>
        <w:pStyle w:val="Heading5"/>
      </w:pPr>
      <w:r>
        <w:t xml:space="preserve">Myth 2: “CISD (Critical Incident Stress Debriefing) prevents PTSD after trauma”</w:t>
      </w:r>
    </w:p>
    <w:p>
      <w:pPr>
        <w:pStyle w:val="FirstParagraph"/>
      </w:pPr>
      <w:r>
        <w:t xml:space="preserve">Evidence: Cochrane (Rose S. et al. 2002) — CISD does not reduce PTSD risk, and in some studies increases it. NICE and VA/DoD do not explicitly recommend. Early intervention as “watchful waiting” and trauma-focused CBT only for symptomatic patients.</w:t>
      </w:r>
    </w:p>
    <w:bookmarkEnd w:id="1180"/>
    <w:bookmarkStart w:id="1181" w:name="Xe09fccfc0c4f74444c6f1bfec6b643abde8b831"/>
    <w:p>
      <w:pPr>
        <w:pStyle w:val="Heading5"/>
      </w:pPr>
      <w:r>
        <w:t xml:space="preserve">Myth 3: “The patient should not talk about trauma, ‘disclosure’ is harmful”</w:t>
      </w:r>
    </w:p>
    <w:p>
      <w:pPr>
        <w:pStyle w:val="FirstParagraph"/>
      </w:pPr>
      <w:r>
        <w:t xml:space="preserve">Evidence: Evidenced trauma-focused therapies (PE, CPT, EMDR) work specifically with traumatic memory; effective in appropriate structured form. Avoidance strengthens PTSD.</w:t>
      </w:r>
    </w:p>
    <w:bookmarkEnd w:id="1181"/>
    <w:bookmarkStart w:id="1182" w:name="X772a9fa94203412f8162f7ee3b8884d2735af82"/>
    <w:p>
      <w:pPr>
        <w:pStyle w:val="Heading5"/>
      </w:pPr>
      <w:r>
        <w:t xml:space="preserve">Myth 4: “Benzodiazepines are a good treatment for PTSD”</w:t>
      </w:r>
    </w:p>
    <w:p>
      <w:pPr>
        <w:pStyle w:val="FirstParagraph"/>
      </w:pPr>
      <w:r>
        <w:t xml:space="preserve">Evidence: VA/DoD 2023, APA, NICE — Benzodiazepines contraindicated; worsen PTSD course, impair cognitive processing, high addiction potential.</w:t>
      </w:r>
    </w:p>
    <w:bookmarkEnd w:id="1182"/>
    <w:bookmarkStart w:id="1183" w:name="X1f41c49b3037043601a63d06ea5dd47170846ba"/>
    <w:p>
      <w:pPr>
        <w:pStyle w:val="Heading5"/>
      </w:pPr>
      <w:r>
        <w:t xml:space="preserve">Myth 5: “Forgetting traumatic memories is the main goal”</w:t>
      </w:r>
    </w:p>
    <w:p>
      <w:pPr>
        <w:pStyle w:val="FirstParagraph"/>
      </w:pPr>
      <w:r>
        <w:t xml:space="preserve">Evidence: The goal is not forgetting but functioning with memory — emotional reaction decreases, but memory remains. The patient can talk about trauma without distress.</w:t>
      </w:r>
    </w:p>
    <w:bookmarkEnd w:id="1183"/>
    <w:bookmarkStart w:id="1184" w:name="myth-6-cannabis-cbd-cures-ptsd"/>
    <w:p>
      <w:pPr>
        <w:pStyle w:val="Heading5"/>
      </w:pPr>
      <w:r>
        <w:t xml:space="preserve">Myth 6: “Cannabis (CBD) cures PTSD”</w:t>
      </w:r>
    </w:p>
    <w:p>
      <w:pPr>
        <w:pStyle w:val="FirstParagraph"/>
      </w:pPr>
      <w:r>
        <w:t xml:space="preserve">Evidence: VA/DoD — Cannabis not recommended; preliminary research exists, but insufficient for clinical guidance; THC may worsen PTSD course.</w:t>
      </w:r>
    </w:p>
    <w:bookmarkEnd w:id="1184"/>
    <w:bookmarkStart w:id="1185" w:name="X59cd39c9e8632921ba1ff15b2363d9ead4af4cb"/>
    <w:p>
      <w:pPr>
        <w:pStyle w:val="Heading5"/>
      </w:pPr>
      <w:r>
        <w:t xml:space="preserve">Myth 7: “MDMA-based therapy is an official treatment”</w:t>
      </w:r>
    </w:p>
    <w:p>
      <w:pPr>
        <w:pStyle w:val="FirstParagraph"/>
      </w:pPr>
      <w:r>
        <w:t xml:space="preserve">Evidence: MDMA-assisted psychotherapy is in research phase; FDA 2024 approval request denied (further research required); not standard clinical practice.</w:t>
      </w:r>
    </w:p>
    <w:bookmarkEnd w:id="1185"/>
    <w:bookmarkStart w:id="1186" w:name="Xaf0a052c702a2aac243e9b092bfeeb081395c2d"/>
    <w:p>
      <w:pPr>
        <w:pStyle w:val="Heading5"/>
      </w:pPr>
      <w:r>
        <w:t xml:space="preserve">Myth 8: “EMDR has weak evidence — just a placebo effect”</w:t>
      </w:r>
    </w:p>
    <w:p>
      <w:pPr>
        <w:pStyle w:val="FirstParagraph"/>
      </w:pPr>
      <w:r>
        <w:t xml:space="preserve">Evidence: Bisson J.I. Cochrane 2013, VA/DoD 2023 and ISTSS 2018 — EMDR is strongly recommended, with efficacy comparable to CPT and PE. APA 2017 and 2025 are the exception, rating EMDR conditional.</w:t>
      </w:r>
    </w:p>
    <w:bookmarkEnd w:id="1186"/>
    <w:bookmarkEnd w:id="1187"/>
    <w:bookmarkStart w:id="2973" w:name="X21c758cef8f9e3a5b93c5fc11bd9f3312069963"/>
    <w:p>
      <w:pPr>
        <w:pStyle w:val="Heading3"/>
      </w:pPr>
      <w:r>
        <w:t xml:space="preserve">11. Sources</w:t>
      </w:r>
    </w:p>
    <w:p>
      <w:pPr>
        <w:pStyle w:val="Compact"/>
        <w:numPr>
          <w:ilvl w:val="0"/>
          <w:numId w:val="1571"/>
        </w:numPr>
      </w:pPr>
      <w:r>
        <w:t xml:space="preserve">WHO. ICD-11. 6B40 Post traumatic stress disorder. 2024.</w:t>
      </w:r>
    </w:p>
    <w:p>
      <w:pPr>
        <w:pStyle w:val="Compact"/>
        <w:numPr>
          <w:ilvl w:val="0"/>
          <w:numId w:val="1571"/>
        </w:numPr>
      </w:pPr>
      <w:r>
        <w:t xml:space="preserve">APA. DSM-5-TR. 2022.</w:t>
      </w:r>
    </w:p>
    <w:p>
      <w:pPr>
        <w:pStyle w:val="Compact"/>
        <w:numPr>
          <w:ilvl w:val="0"/>
          <w:numId w:val="1571"/>
        </w:numPr>
      </w:pPr>
      <w:r>
        <w:t xml:space="preserve">Department of Veterans Affairs / Department of Defense. Clinical Practice Guideline for the Management of Posttraumatic Stress Disorder and Acute Stress Disorder. 2023.</w:t>
      </w:r>
    </w:p>
    <w:p>
      <w:pPr>
        <w:pStyle w:val="Compact"/>
        <w:numPr>
          <w:ilvl w:val="0"/>
          <w:numId w:val="1571"/>
        </w:numPr>
      </w:pPr>
      <w:r>
        <w:t xml:space="preserve">APA. Clinical Practice Guideline for the Treatment of PTSD. 2017.</w:t>
      </w:r>
    </w:p>
    <w:p>
      <w:pPr>
        <w:pStyle w:val="Compact"/>
        <w:numPr>
          <w:ilvl w:val="0"/>
          <w:numId w:val="1571"/>
        </w:numPr>
      </w:pPr>
      <w:r>
        <w:t xml:space="preserve">NICE NG116. Post-traumatic stress disorder. 2018.</w:t>
      </w:r>
    </w:p>
    <w:p>
      <w:pPr>
        <w:pStyle w:val="Compact"/>
        <w:numPr>
          <w:ilvl w:val="0"/>
          <w:numId w:val="1571"/>
        </w:numPr>
      </w:pPr>
      <w:r>
        <w:t xml:space="preserve">Bisson J.I., Roberts N.P., Andrew M. et al. Psychological therapies for chronic post-traumatic stress disorder (PTSD) in adults. Cochrane Database Syst Rev 2013;(12):CD003388.</w:t>
      </w:r>
    </w:p>
    <w:p>
      <w:pPr>
        <w:pStyle w:val="Compact"/>
        <w:numPr>
          <w:ilvl w:val="0"/>
          <w:numId w:val="1571"/>
        </w:numPr>
      </w:pPr>
      <w:r>
        <w:t xml:space="preserve">Foa E.B., Hembree E.A., Rothbaum B.O. Prolonged Exposure Therapy for PTSD. Oxford Univ Press; 2007.</w:t>
      </w:r>
    </w:p>
    <w:p>
      <w:pPr>
        <w:pStyle w:val="Compact"/>
        <w:numPr>
          <w:ilvl w:val="0"/>
          <w:numId w:val="1571"/>
        </w:numPr>
      </w:pPr>
      <w:r>
        <w:t xml:space="preserve">Resick P.A., Monson C.M., Chard K.M. Cognitive Processing Therapy for PTSD: A Comprehensive Manual. Guilford Press; 2017.</w:t>
      </w:r>
    </w:p>
    <w:p>
      <w:pPr>
        <w:pStyle w:val="Compact"/>
        <w:numPr>
          <w:ilvl w:val="0"/>
          <w:numId w:val="1571"/>
        </w:numPr>
      </w:pPr>
      <w:r>
        <w:t xml:space="preserve">Rose S., Bisson J., Churchill R., Wessely S. Psychological debriefing for preventing post-traumatic stress disorder. Cochrane Database Syst Rev 2002;(2):CD000560.</w:t>
      </w:r>
    </w:p>
    <w:p>
      <w:pPr>
        <w:pStyle w:val="Compact"/>
        <w:numPr>
          <w:ilvl w:val="0"/>
          <w:numId w:val="1571"/>
        </w:numPr>
      </w:pPr>
      <w:r>
        <w:t xml:space="preserve">Shapiro F. Eye Movement Desensitization and Reprocessing (EMDR) Therapy: Basic Principles, Protocols, and Procedures. 3rd ed. New York: Guilford Press, 2018.</w:t>
      </w:r>
    </w:p>
    <w:p>
      <w:pPr>
        <w:pStyle w:val="Compact"/>
        <w:numPr>
          <w:ilvl w:val="0"/>
          <w:numId w:val="1571"/>
        </w:numPr>
      </w:pPr>
      <w:r>
        <w:t xml:space="preserve">Cohen J.A., Mannarino A.P., Deblinger E. Treating Trauma and Traumatic Grief in Children and Adolescents. 2nd ed. New York: Guilford Press, 2017.</w:t>
      </w:r>
    </w:p>
    <w:p>
      <w:pPr>
        <w:pStyle w:val="Compact"/>
        <w:numPr>
          <w:ilvl w:val="0"/>
          <w:numId w:val="1571"/>
        </w:numPr>
      </w:pPr>
      <w:r>
        <w:t xml:space="preserve">Raskind M.A., Peskind E.R., Chow B. et al. Trial of prazosin for post-traumatic stress disorder in military veterans. N Engl J Med 2018;378(6):507–517.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188" w:name="X652abc2ed782eea6cb0d1d2fe6bc5a3a721b2d4"/>
            <w:r>
              <w:t xml:space="preserve">6B41 COMPLEX POST TRAUMATIC STRESS DISORDER (cPTSD)</w:t>
            </w:r>
            <w:bookmarkEnd w:id="1188"/>
          </w:p>
          <w:p>
            <w:pPr>
              <w:pStyle w:val="Compact"/>
              <w:ind w:firstLine="0" w:left="0"/>
            </w:pPr>
            <w:r>
              <w:rPr>
                <w:lang w:val="en"/>
              </w:rPr>
              <w:t xml:space="preserve">Complex post 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Post-traumatic 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Posttraumatic Stress Disorder (no separate DSM-5-TR category)</w:t>
            </w:r>
          </w:p>
        </w:tc>
      </w:tr>
    </w:tbl>
    <w:bookmarkStart w:id="1189" w:name="Xc12a789385a110a5847556ab7690b1e1114f270"/>
    <w:p>
      <w:pPr>
        <w:pStyle w:val="Heading3"/>
      </w:pPr>
      <w:r>
        <w:t xml:space="preserve">1. Definition and nosology</w:t>
      </w:r>
    </w:p>
    <w:p>
      <w:pPr>
        <w:pStyle w:val="FirstParagraph"/>
      </w:pPr>
      <w:r>
        <w:t xml:space="preserve">Complex post-traumatic stress disorder (cPTSD; ICD-11:</w:t>
      </w:r>
      <w:r>
        <w:t xml:space="preserve"> </w:t>
      </w:r>
      <w:r>
        <w:t xml:space="preserve">6B41</w:t>
      </w:r>
      <w:r>
        <w:t xml:space="preserve">) — a disorder that develops in response to prolonged or repeated trauma from which escape is difficult or impossible (prolonged abuse, childhood physical or sexual violence, war, torture, human trafficking). It includes the three symptom domains of PTSD (re-experiencing, avoidance, persistent sense of threat). To these is added “disturbance of self-organization” (DSO): affect regulation impairment, negative self-esteem, difficulty in relationships.</w:t>
      </w:r>
    </w:p>
    <w:p>
      <w:pPr>
        <w:pStyle w:val="BodyText"/>
      </w:pPr>
      <w:r>
        <w:t xml:space="preserve">In ICD-11, added for the first time as an official diagnostic category; DSM-5-TR does not have a separate cPTSD category (the PTSD dissociative subtype qualifier covers some features).</w:t>
      </w:r>
    </w:p>
    <w:bookmarkEnd w:id="1189"/>
    <w:bookmarkStart w:id="1190" w:name="X73d097b68fff47862e017426374009d28137593"/>
    <w:p>
      <w:pPr>
        <w:pStyle w:val="Heading3"/>
      </w:pPr>
      <w:r>
        <w:t xml:space="preserve">2. History</w:t>
      </w:r>
    </w:p>
    <w:p>
      <w:pPr>
        <w:pStyle w:val="Compact"/>
        <w:numPr>
          <w:ilvl w:val="0"/>
          <w:numId w:val="1572"/>
        </w:numPr>
      </w:pPr>
      <w:r>
        <w:t xml:space="preserve">Herman J.L. (1992) — “Complex PTSD” concept (book “Trauma and Recovery”); “Disorder of Extreme Stress Not Otherwise Specified” (DESNOS) — not included in DSM-IV.</w:t>
      </w:r>
    </w:p>
    <w:p>
      <w:pPr>
        <w:pStyle w:val="Compact"/>
        <w:numPr>
          <w:ilvl w:val="0"/>
          <w:numId w:val="1572"/>
        </w:numPr>
      </w:pPr>
      <w:r>
        <w:t xml:space="preserve">ICD-11 (2019) — official code 6B41; based on evidence separating it from PTSD (based on reviews by Cloitre M. et al.).</w:t>
      </w:r>
    </w:p>
    <w:bookmarkEnd w:id="1190"/>
    <w:bookmarkStart w:id="1191" w:name="X42273fe716d01e830add71ee6a63145e576118a"/>
    <w:p>
      <w:pPr>
        <w:pStyle w:val="Heading3"/>
      </w:pPr>
      <w:r>
        <w:t xml:space="preserve">3. Epidemiology</w:t>
      </w:r>
    </w:p>
    <w:p>
      <w:pPr>
        <w:pStyle w:val="Compact"/>
        <w:numPr>
          <w:ilvl w:val="0"/>
          <w:numId w:val="1573"/>
        </w:numPr>
      </w:pPr>
      <w:r>
        <w:t xml:space="preserve">Prevalence: 1–8% among trauma-exposed patients in primary care (reviews by Brewin C.R. et al.).</w:t>
      </w:r>
    </w:p>
    <w:p>
      <w:pPr>
        <w:pStyle w:val="Compact"/>
        <w:numPr>
          <w:ilvl w:val="0"/>
          <w:numId w:val="1573"/>
        </w:numPr>
      </w:pPr>
      <w:r>
        <w:t xml:space="preserve">Particularly high in patients with a history of childhood abuse.</w:t>
      </w:r>
    </w:p>
    <w:p>
      <w:pPr>
        <w:pStyle w:val="Compact"/>
        <w:numPr>
          <w:ilvl w:val="0"/>
          <w:numId w:val="1573"/>
        </w:numPr>
      </w:pPr>
      <w:r>
        <w:t xml:space="preserve">Comorbidity: MDD, GAD, dissociative disorders, BPD (clinical overlap), substance use, eating disorders.</w:t>
      </w:r>
    </w:p>
    <w:bookmarkEnd w:id="1191"/>
    <w:bookmarkStart w:id="1192" w:name="X95f73b43ac674d4ca0ffd1c306e3e8be90506ac"/>
    <w:p>
      <w:pPr>
        <w:pStyle w:val="Heading3"/>
      </w:pPr>
      <w:r>
        <w:t xml:space="preserve">4. Aetiology and pathogenesis</w:t>
      </w:r>
    </w:p>
    <w:p>
      <w:pPr>
        <w:pStyle w:val="Compact"/>
        <w:numPr>
          <w:ilvl w:val="0"/>
          <w:numId w:val="1574"/>
        </w:numPr>
      </w:pPr>
      <w:r>
        <w:t xml:space="preserve">Trauma type — prolonged, repeated, perpetrated by others (interpersonal), difficult escape.</w:t>
      </w:r>
    </w:p>
    <w:p>
      <w:pPr>
        <w:pStyle w:val="Compact"/>
        <w:numPr>
          <w:ilvl w:val="0"/>
          <w:numId w:val="1574"/>
        </w:numPr>
      </w:pPr>
      <w:r>
        <w:t xml:space="preserve">Trauma occurring in childhood — broad impact on personality development.</w:t>
      </w:r>
    </w:p>
    <w:p>
      <w:pPr>
        <w:pStyle w:val="Compact"/>
        <w:numPr>
          <w:ilvl w:val="0"/>
          <w:numId w:val="1574"/>
        </w:numPr>
      </w:pPr>
      <w:r>
        <w:t xml:space="preserve">Neurobiological — similar to PTSD but with more widespread HPA dysregulation, dissociation, and impaired affect regulation.</w:t>
      </w:r>
    </w:p>
    <w:bookmarkEnd w:id="1192"/>
    <w:bookmarkStart w:id="1195" w:name="X7337ae2e52b0e8fd9e7f929c2ff363ec21d5dc5"/>
    <w:p>
      <w:pPr>
        <w:pStyle w:val="Heading3"/>
      </w:pPr>
      <w:r>
        <w:t xml:space="preserve">5. Clinical features</w:t>
      </w:r>
    </w:p>
    <w:bookmarkStart w:id="1193" w:name="ptsd-consists-of-three-primary-domains."/>
    <w:p>
      <w:pPr>
        <w:pStyle w:val="Heading4"/>
      </w:pPr>
      <w:r>
        <w:t xml:space="preserve">PTSD consists of three primary domains.</w:t>
      </w:r>
    </w:p>
    <w:p>
      <w:pPr>
        <w:pStyle w:val="Compact"/>
        <w:numPr>
          <w:ilvl w:val="0"/>
          <w:numId w:val="1575"/>
        </w:numPr>
      </w:pPr>
      <w:r>
        <w:t xml:space="preserve">Re-experiencing (intrusions).</w:t>
      </w:r>
    </w:p>
    <w:p>
      <w:pPr>
        <w:pStyle w:val="Compact"/>
        <w:numPr>
          <w:ilvl w:val="0"/>
          <w:numId w:val="1575"/>
        </w:numPr>
      </w:pPr>
      <w:r>
        <w:t xml:space="preserve">Avoidance.</w:t>
      </w:r>
    </w:p>
    <w:p>
      <w:pPr>
        <w:pStyle w:val="Compact"/>
        <w:numPr>
          <w:ilvl w:val="0"/>
          <w:numId w:val="1575"/>
        </w:numPr>
      </w:pPr>
      <w:r>
        <w:t xml:space="preserve">Persistent sense of threat.</w:t>
      </w:r>
    </w:p>
    <w:bookmarkEnd w:id="1193"/>
    <w:bookmarkStart w:id="1194" w:name="X99ab770e0bef015c3ee75a8e11dd3f284ca5bb0"/>
    <w:p>
      <w:pPr>
        <w:pStyle w:val="Heading4"/>
      </w:pPr>
      <w:r>
        <w:t xml:space="preserve">Self-Organization Disturbance (DSO) — core adjunct of cPTSD</w:t>
      </w:r>
    </w:p>
    <w:p>
      <w:pPr>
        <w:pStyle w:val="Compact"/>
        <w:numPr>
          <w:ilvl w:val="0"/>
          <w:numId w:val="1576"/>
        </w:numPr>
      </w:pPr>
      <w:r>
        <w:t xml:space="preserve">Affect Dysregulation — emotional variability, intense reactions, emotional flattening.</w:t>
      </w:r>
    </w:p>
    <w:p>
      <w:pPr>
        <w:pStyle w:val="Compact"/>
        <w:numPr>
          <w:ilvl w:val="0"/>
          <w:numId w:val="1576"/>
        </w:numPr>
      </w:pPr>
      <w:r>
        <w:t xml:space="preserve">Negative self-esteem — persistent feelings of shame, guilt, worthlessness.</w:t>
      </w:r>
    </w:p>
    <w:p>
      <w:pPr>
        <w:pStyle w:val="Compact"/>
        <w:numPr>
          <w:ilvl w:val="0"/>
          <w:numId w:val="1576"/>
        </w:numPr>
      </w:pPr>
      <w:r>
        <w:t xml:space="preserve">Difficulty in relationships — avoidance of close relationships, persistently impaired attachment.</w:t>
      </w:r>
    </w:p>
    <w:bookmarkEnd w:id="1194"/>
    <w:bookmarkEnd w:id="1195"/>
    <w:bookmarkStart w:id="1200" w:name="Xd81a49e7edea1d8baeef4476ee147e3011e5761"/>
    <w:p>
      <w:pPr>
        <w:pStyle w:val="Heading3"/>
      </w:pPr>
      <w:r>
        <w:t xml:space="preserve">6. Diagnosis</w:t>
      </w:r>
    </w:p>
    <w:bookmarkStart w:id="1196" w:name="unified-diagnostic-criteria-icd-11-1"/>
    <w:p>
      <w:pPr>
        <w:pStyle w:val="Heading4"/>
      </w:pPr>
      <w:r>
        <w:t xml:space="preserve">6.1 Unified diagnostic criteria (ICD-11)</w:t>
      </w:r>
    </w:p>
    <w:p>
      <w:pPr>
        <w:pStyle w:val="FirstParagraph"/>
      </w:pPr>
      <w:r>
        <w:t xml:space="preserve">A. Exposure to long-term or repeated trauma.</w:t>
      </w:r>
    </w:p>
    <w:p>
      <w:pPr>
        <w:pStyle w:val="BodyText"/>
      </w:pPr>
      <w:r>
        <w:t xml:space="preserve">B. PTSD has three main domains.</w:t>
      </w:r>
    </w:p>
    <w:p>
      <w:pPr>
        <w:pStyle w:val="BodyText"/>
      </w:pPr>
      <w:r>
        <w:t xml:space="preserve">C. Self-Organization Disturbance (DSO) three domains:</w:t>
      </w:r>
    </w:p>
    <w:p>
      <w:pPr>
        <w:pStyle w:val="Compact"/>
        <w:numPr>
          <w:ilvl w:val="0"/>
          <w:numId w:val="1577"/>
        </w:numPr>
      </w:pPr>
      <w:r>
        <w:t xml:space="preserve">Affect Dysregulation;</w:t>
      </w:r>
    </w:p>
    <w:p>
      <w:pPr>
        <w:pStyle w:val="Compact"/>
        <w:numPr>
          <w:ilvl w:val="0"/>
          <w:numId w:val="1577"/>
        </w:numPr>
      </w:pPr>
      <w:r>
        <w:t xml:space="preserve">Negative self-esteem;</w:t>
      </w:r>
    </w:p>
    <w:p>
      <w:pPr>
        <w:pStyle w:val="Compact"/>
        <w:numPr>
          <w:ilvl w:val="0"/>
          <w:numId w:val="1577"/>
        </w:numPr>
      </w:pPr>
      <w:r>
        <w:t xml:space="preserve">Difficulty in relationships.</w:t>
      </w:r>
    </w:p>
    <w:p>
      <w:pPr>
        <w:pStyle w:val="FirstParagraph"/>
      </w:pPr>
      <w:r>
        <w:t xml:space="preserve">D. Significant functional impairment.</w:t>
      </w:r>
    </w:p>
    <w:bookmarkEnd w:id="1196"/>
    <w:bookmarkStart w:id="1197" w:name="differences-between-sources-58"/>
    <w:p>
      <w:pPr>
        <w:pStyle w:val="Heading4"/>
      </w:pPr>
      <w:r>
        <w:t xml:space="preserve">6.2 Differences between sources</w:t>
      </w:r>
    </w:p>
    <w:p>
      <w:pPr>
        <w:pStyle w:val="Compact"/>
        <w:numPr>
          <w:ilvl w:val="0"/>
          <w:numId w:val="1578"/>
        </w:numPr>
      </w:pPr>
      <w:r>
        <w:t xml:space="preserve">ICD-11 — separate category; DSO requires additional criteria.</w:t>
      </w:r>
    </w:p>
    <w:p>
      <w:pPr>
        <w:pStyle w:val="Compact"/>
        <w:numPr>
          <w:ilvl w:val="0"/>
          <w:numId w:val="1578"/>
        </w:numPr>
      </w:pPr>
      <w:r>
        <w:t xml:space="preserve">DSM-5-TR — no separate cPTSD category; PTSD ‘with dissociative features’ qualifier covers some characteristics.</w:t>
      </w:r>
    </w:p>
    <w:p>
      <w:pPr>
        <w:pStyle w:val="Compact"/>
        <w:numPr>
          <w:ilvl w:val="0"/>
          <w:numId w:val="1578"/>
        </w:numPr>
      </w:pPr>
      <w:r>
        <w:t xml:space="preserve">ISTSS 2019 Complex PTSD Guidelines — recommends phased approach.</w:t>
      </w:r>
    </w:p>
    <w:bookmarkEnd w:id="1197"/>
    <w:bookmarkStart w:id="1198" w:name="diagnostic-algorithm-34"/>
    <w:p>
      <w:pPr>
        <w:pStyle w:val="Heading4"/>
      </w:pPr>
      <w:r>
        <w:t xml:space="preserve">6.3 Diagnostic algorithm</w:t>
      </w:r>
    </w:p>
    <w:p>
      <w:pPr>
        <w:pStyle w:val="Compact"/>
        <w:numPr>
          <w:ilvl w:val="0"/>
          <w:numId w:val="1579"/>
        </w:numPr>
      </w:pPr>
      <w:r>
        <w:t xml:space="preserve">Clinical interview + trauma history (long-term, repetitive).</w:t>
      </w:r>
    </w:p>
    <w:p>
      <w:pPr>
        <w:pStyle w:val="Compact"/>
        <w:numPr>
          <w:ilvl w:val="0"/>
          <w:numId w:val="1579"/>
        </w:numPr>
      </w:pPr>
      <w:r>
        <w:t xml:space="preserve">ITQ (International Trauma Questionnaire — Cloitre M.) — designed for differentiating PTSD and cPTSD.</w:t>
      </w:r>
    </w:p>
    <w:p>
      <w:pPr>
        <w:pStyle w:val="Compact"/>
        <w:numPr>
          <w:ilvl w:val="0"/>
          <w:numId w:val="1579"/>
        </w:numPr>
      </w:pPr>
      <w:r>
        <w:t xml:space="preserve">Comorbidity (especially BPD, dissociative disorders).</w:t>
      </w:r>
    </w:p>
    <w:p>
      <w:pPr>
        <w:pStyle w:val="Compact"/>
        <w:numPr>
          <w:ilvl w:val="0"/>
          <w:numId w:val="1579"/>
        </w:numPr>
      </w:pPr>
      <w:r>
        <w:t xml:space="preserve">Assessment of suicide and self-harm risk.</w:t>
      </w:r>
    </w:p>
    <w:bookmarkEnd w:id="1198"/>
    <w:bookmarkStart w:id="1199" w:name="differential-diagnosis-3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DSO component.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overlap significant; in BPD, impulsivity, identity disturbance, and chronic suicidality are dominant; in cPTSD, symptoms developed based on trauma.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disorders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Dissociation predominates.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no trauma and no DSO.</w:t>
            </w:r>
          </w:p>
        </w:tc>
      </w:tr>
    </w:tbl>
    <w:bookmarkEnd w:id="1199"/>
    <w:bookmarkEnd w:id="1200"/>
    <w:bookmarkStart w:id="1201" w:name="X343bcb59e2d72504b65640536a6aec7b39bf0f3"/>
    <w:p>
      <w:pPr>
        <w:pStyle w:val="Heading3"/>
      </w:pPr>
      <w:r>
        <w:t xml:space="preserve">7. Examination and assessment</w:t>
      </w:r>
    </w:p>
    <w:p>
      <w:pPr>
        <w:pStyle w:val="Compact"/>
        <w:numPr>
          <w:ilvl w:val="0"/>
          <w:numId w:val="1580"/>
        </w:numPr>
      </w:pPr>
      <w:r>
        <w:t xml:space="preserve">ITQ (International Trauma Questionnaire) — gold standard.</w:t>
      </w:r>
    </w:p>
    <w:p>
      <w:pPr>
        <w:pStyle w:val="Compact"/>
        <w:numPr>
          <w:ilvl w:val="0"/>
          <w:numId w:val="1580"/>
        </w:numPr>
      </w:pPr>
      <w:r>
        <w:t xml:space="preserve">PCL-5 + DSO additional scales.</w:t>
      </w:r>
    </w:p>
    <w:p>
      <w:pPr>
        <w:pStyle w:val="Compact"/>
        <w:numPr>
          <w:ilvl w:val="0"/>
          <w:numId w:val="1580"/>
        </w:numPr>
      </w:pPr>
      <w:r>
        <w:t xml:space="preserve">BPD screening (McLean Screening Instrument for BPD).</w:t>
      </w:r>
    </w:p>
    <w:p>
      <w:pPr>
        <w:pStyle w:val="Compact"/>
        <w:numPr>
          <w:ilvl w:val="0"/>
          <w:numId w:val="1580"/>
        </w:numPr>
      </w:pPr>
      <w:r>
        <w:t xml:space="preserve">Suicide and self-harm (C-SSRS).</w:t>
      </w:r>
    </w:p>
    <w:bookmarkEnd w:id="1201"/>
    <w:bookmarkStart w:id="1205" w:name="X646667d6980e2f45058ead7764e77aa99975d50"/>
    <w:p>
      <w:pPr>
        <w:pStyle w:val="Heading3"/>
      </w:pPr>
      <w:r>
        <w:t xml:space="preserve">8. Treatment</w:t>
      </w:r>
    </w:p>
    <w:bookmarkStart w:id="1202" w:name="general-principles-istss-2019"/>
    <w:p>
      <w:pPr>
        <w:pStyle w:val="Heading4"/>
      </w:pPr>
      <w:r>
        <w:t xml:space="preserve">8.1 General principles (ISTSS 2019)</w:t>
      </w:r>
    </w:p>
    <w:p>
      <w:pPr>
        <w:pStyle w:val="Compact"/>
        <w:numPr>
          <w:ilvl w:val="0"/>
          <w:numId w:val="1581"/>
        </w:numPr>
      </w:pPr>
      <w:r>
        <w:t xml:space="preserve">Phase-based approach:</w:t>
      </w:r>
    </w:p>
    <w:p>
      <w:pPr>
        <w:pStyle w:val="Compact"/>
        <w:numPr>
          <w:ilvl w:val="1"/>
          <w:numId w:val="1582"/>
        </w:numPr>
      </w:pPr>
      <w:r>
        <w:t xml:space="preserve">Phase 1 — stabilization — Safety, emotional regulation skills, coping strategies, psychoeducation.</w:t>
      </w:r>
    </w:p>
    <w:p>
      <w:pPr>
        <w:pStyle w:val="Compact"/>
        <w:numPr>
          <w:ilvl w:val="1"/>
          <w:numId w:val="1582"/>
        </w:numPr>
      </w:pPr>
      <w:r>
        <w:t xml:space="preserve">Phase 2 — processing of traumatic memories — Evidence-based methods for PTSD (PE, CPT, EMDR), but longer duration and more persistent.</w:t>
      </w:r>
    </w:p>
    <w:p>
      <w:pPr>
        <w:pStyle w:val="Compact"/>
        <w:numPr>
          <w:ilvl w:val="1"/>
          <w:numId w:val="1582"/>
        </w:numPr>
      </w:pPr>
      <w:r>
        <w:t xml:space="preserve">Phase 3 — reintegration — Restoration of relationships, improvement of quality of life.</w:t>
      </w:r>
    </w:p>
    <w:p>
      <w:pPr>
        <w:pStyle w:val="Compact"/>
        <w:numPr>
          <w:ilvl w:val="0"/>
          <w:numId w:val="1581"/>
        </w:numPr>
      </w:pPr>
      <w:r>
        <w:t xml:space="preserve">Skills Training in Affective and Interpersonal Regulation (STAIR — Cloitre M.) — a phase 1 intervention before processing traumatic memories.</w:t>
      </w:r>
    </w:p>
    <w:p>
      <w:pPr>
        <w:pStyle w:val="Compact"/>
        <w:numPr>
          <w:ilvl w:val="0"/>
          <w:numId w:val="1581"/>
        </w:numPr>
      </w:pPr>
      <w:r>
        <w:t xml:space="preserve">Trauma-focused CBT and EMDR — adapted format.</w:t>
      </w:r>
    </w:p>
    <w:p>
      <w:pPr>
        <w:pStyle w:val="Compact"/>
        <w:numPr>
          <w:ilvl w:val="0"/>
          <w:numId w:val="1581"/>
        </w:numPr>
      </w:pPr>
      <w:r>
        <w:t xml:space="preserve">DBT-PTSD (Bohus M.) — in comorbid BPD cases.</w:t>
      </w:r>
    </w:p>
    <w:p>
      <w:pPr>
        <w:pStyle w:val="Compact"/>
        <w:numPr>
          <w:ilvl w:val="0"/>
          <w:numId w:val="1581"/>
        </w:numPr>
      </w:pPr>
      <w:r>
        <w:t xml:space="preserve">SSRI adjunct — comorbid depression and anxiety.</w:t>
      </w:r>
    </w:p>
    <w:p>
      <w:pPr>
        <w:pStyle w:val="Compact"/>
        <w:numPr>
          <w:ilvl w:val="0"/>
          <w:numId w:val="1581"/>
        </w:numPr>
      </w:pPr>
      <w:r>
        <w:t xml:space="preserve">Duration of treatment is long (1–2 years or more).</w:t>
      </w:r>
    </w:p>
    <w:p>
      <w:pPr>
        <w:pStyle w:val="Compact"/>
        <w:numPr>
          <w:ilvl w:val="0"/>
          <w:numId w:val="1581"/>
        </w:numPr>
      </w:pPr>
      <w:r>
        <w:t xml:space="preserve">Clinician continuity and therapeutic alliance are critically important.</w:t>
      </w:r>
    </w:p>
    <w:bookmarkEnd w:id="1202"/>
    <w:bookmarkStart w:id="1203" w:name="treatment-methods-34"/>
    <w:p>
      <w:pPr>
        <w:pStyle w:val="Heading4"/>
      </w:pPr>
      <w:r>
        <w:t xml:space="preserve">8.2 Treatment methods</w:t>
      </w:r>
    </w:p>
    <w:p>
      <w:pPr>
        <w:pStyle w:val="Compact"/>
        <w:numPr>
          <w:ilvl w:val="0"/>
          <w:numId w:val="1583"/>
        </w:numPr>
      </w:pPr>
      <w:r>
        <w:t xml:space="preserve">Skills Training in Affective and Interpersonal Regulation (STAIR) — Cloitre M. — Phase 1 — emotional regulation and interpersonal skill development; then processing traumatic memories via Narrative Story Telling (NST). 16–24 sessions.</w:t>
      </w:r>
    </w:p>
    <w:p>
      <w:pPr>
        <w:pStyle w:val="Compact"/>
        <w:numPr>
          <w:ilvl w:val="0"/>
          <w:numId w:val="1583"/>
        </w:numPr>
      </w:pPr>
      <w:r>
        <w:t xml:space="preserve">Dialectical Behavior Therapy — PTSD (DBT-PTSD) — Bohus (Bohus M.), Linehan (Linehan M.) — DBT principles + trauma-focused components; especially in comorbid BPD cases.</w:t>
      </w:r>
    </w:p>
    <w:p>
      <w:pPr>
        <w:pStyle w:val="Compact"/>
        <w:numPr>
          <w:ilvl w:val="0"/>
          <w:numId w:val="1583"/>
        </w:numPr>
      </w:pPr>
      <w:r>
        <w:t xml:space="preserve">Narrative Exposure Therapy (NET) — Schauer M., Neuner F., Elbert T — The patient narrates life history in sequence, traumatic episodes are processed; effectiveness in refugees and torture victims.</w:t>
      </w:r>
    </w:p>
    <w:p>
      <w:pPr>
        <w:pStyle w:val="Compact"/>
        <w:numPr>
          <w:ilvl w:val="0"/>
          <w:numId w:val="1583"/>
        </w:numPr>
      </w:pPr>
      <w:r>
        <w:t xml:space="preserve">EMDR, CPT, PE — adapted — Within a longer, phased approach.</w:t>
      </w:r>
    </w:p>
    <w:p>
      <w:pPr>
        <w:pStyle w:val="Compact"/>
        <w:numPr>
          <w:ilvl w:val="0"/>
          <w:numId w:val="1583"/>
        </w:numPr>
      </w:pPr>
      <w:r>
        <w:t xml:space="preserve">International Trauma Questionnaire (ITQ) — Cloitre M. — Specific validated tool for distinguishing PTSD and cPTSD.</w:t>
      </w:r>
    </w:p>
    <w:bookmarkEnd w:id="1203"/>
    <w:bookmarkStart w:id="1204" w:name="differences-between-sources-59"/>
    <w:p>
      <w:pPr>
        <w:pStyle w:val="Heading4"/>
      </w:pPr>
      <w:r>
        <w:t xml:space="preserve">8.3 Differences between sources</w:t>
      </w:r>
    </w:p>
    <w:p>
      <w:pPr>
        <w:pStyle w:val="Compact"/>
        <w:numPr>
          <w:ilvl w:val="0"/>
          <w:numId w:val="1584"/>
        </w:numPr>
      </w:pPr>
      <w:r>
        <w:t xml:space="preserve">ISTSS 2019 Complex PTSD Guidelines — phased approach.</w:t>
      </w:r>
    </w:p>
    <w:p>
      <w:pPr>
        <w:pStyle w:val="Compact"/>
        <w:numPr>
          <w:ilvl w:val="0"/>
          <w:numId w:val="1584"/>
        </w:numPr>
      </w:pPr>
      <w:r>
        <w:t xml:space="preserve">Cloitre M. et al. reviews — STAIR + Narrative Exposure Therapy effective.</w:t>
      </w:r>
    </w:p>
    <w:p>
      <w:pPr>
        <w:pStyle w:val="Compact"/>
        <w:numPr>
          <w:ilvl w:val="0"/>
          <w:numId w:val="1584"/>
        </w:numPr>
      </w:pPr>
      <w:r>
        <w:t xml:space="preserve">Bohus M. DBT-PTSD — RCT evidence base is developing.</w:t>
      </w:r>
    </w:p>
    <w:bookmarkEnd w:id="1204"/>
    <w:bookmarkEnd w:id="1205"/>
    <w:bookmarkStart w:id="1206" w:name="X8ed15f3013d3347ae32f8c2766aa07ce7f6fdf4"/>
    <w:p>
      <w:pPr>
        <w:pStyle w:val="Heading3"/>
      </w:pPr>
      <w:r>
        <w:t xml:space="preserve">9. Prognosis</w:t>
      </w:r>
    </w:p>
    <w:p>
      <w:pPr>
        <w:pStyle w:val="Compact"/>
        <w:numPr>
          <w:ilvl w:val="0"/>
          <w:numId w:val="1585"/>
        </w:numPr>
      </w:pPr>
      <w:r>
        <w:t xml:space="preserve">Chronic course; but significant improvement with phased approach.</w:t>
      </w:r>
    </w:p>
    <w:p>
      <w:pPr>
        <w:pStyle w:val="Compact"/>
        <w:numPr>
          <w:ilvl w:val="0"/>
          <w:numId w:val="1585"/>
        </w:numPr>
      </w:pPr>
      <w:r>
        <w:t xml:space="preserve">Comorbid BPD, dissociative disorders, substance use poor prognosis.</w:t>
      </w:r>
    </w:p>
    <w:bookmarkEnd w:id="1206"/>
    <w:bookmarkStart w:id="1212" w:name="X35759a0f022201c6d2209e43030dd70f039c9a2"/>
    <w:p>
      <w:pPr>
        <w:pStyle w:val="Heading3"/>
      </w:pPr>
      <w:r>
        <w:t xml:space="preserve">10. Myths and misconceptions</w:t>
      </w:r>
    </w:p>
    <w:bookmarkStart w:id="1207" w:name="X2675f50ea87ca1e33b3821cf35fe311572b4278"/>
    <w:p>
      <w:pPr>
        <w:pStyle w:val="Heading5"/>
      </w:pPr>
      <w:r>
        <w:t xml:space="preserve">Myth 1: “Complex PTSD is just a new name for borderline personality disorder”</w:t>
      </w:r>
    </w:p>
    <w:p>
      <w:pPr>
        <w:pStyle w:val="FirstParagraph"/>
      </w:pPr>
      <w:r>
        <w:t xml:space="preserve">Evidence: Clinical overlap significant, but ICD-11 PTSD is trauma-based; BPD a separate personality disorder. ITQ and BPD scales differentiate; most cPTSD patients do not meet BPD criteria.</w:t>
      </w:r>
    </w:p>
    <w:bookmarkEnd w:id="1207"/>
    <w:bookmarkStart w:id="1208" w:name="X24ca87aad6750a451bb2d5efa70984874bc7723"/>
    <w:p>
      <w:pPr>
        <w:pStyle w:val="Heading5"/>
      </w:pPr>
      <w:r>
        <w:t xml:space="preserve">Myth 2: “After the trauma is ‘resolved,’ the patient normalizes”</w:t>
      </w:r>
    </w:p>
    <w:p>
      <w:pPr>
        <w:pStyle w:val="FirstParagraph"/>
      </w:pPr>
      <w:r>
        <w:t xml:space="preserve">Evidence: Long-term trauma affects personality development; ‘closure’ is insufficient; phased approach and long-term treatment are required.</w:t>
      </w:r>
    </w:p>
    <w:bookmarkEnd w:id="1208"/>
    <w:bookmarkStart w:id="1209" w:name="X99c23f83e81dcb95978875b751d2865442dc32d"/>
    <w:p>
      <w:pPr>
        <w:pStyle w:val="Heading5"/>
      </w:pPr>
      <w:r>
        <w:t xml:space="preserve">Myth 3: “Standard PTSD treatment (PE, CPT) is equally effective for cPTSD”</w:t>
      </w:r>
    </w:p>
    <w:p>
      <w:pPr>
        <w:pStyle w:val="FirstParagraph"/>
      </w:pPr>
      <w:r>
        <w:t xml:space="preserve">Evidence: ISTSS 2019 — phased approach in cPTSD; the patient must first be stabilised before trauma processing (phase 1); direct exposure may pose a risk of re-traumatization.</w:t>
      </w:r>
    </w:p>
    <w:bookmarkEnd w:id="1209"/>
    <w:bookmarkStart w:id="1210" w:name="X1b0403eaeb61be3ce97b1a8d0ba661c758fd76c"/>
    <w:p>
      <w:pPr>
        <w:pStyle w:val="Heading5"/>
      </w:pPr>
      <w:r>
        <w:t xml:space="preserve">Myth 4: “Only an antidepressant is sufficient for complex PTSD”</w:t>
      </w:r>
    </w:p>
    <w:p>
      <w:pPr>
        <w:pStyle w:val="FirstParagraph"/>
      </w:pPr>
      <w:r>
        <w:t xml:space="preserve">Evidence: Psychotherapy is first-line; pharmacotherapy in adjunct role.</w:t>
      </w:r>
    </w:p>
    <w:bookmarkEnd w:id="1210"/>
    <w:bookmarkStart w:id="1211" w:name="Xe71dba57ee3ee793aa814884018572c37fcc959"/>
    <w:p>
      <w:pPr>
        <w:pStyle w:val="Heading5"/>
      </w:pPr>
      <w:r>
        <w:t xml:space="preserve">Myth 5: “The patient must be made to talk about the trauma immediately”</w:t>
      </w:r>
    </w:p>
    <w:p>
      <w:pPr>
        <w:pStyle w:val="FirstParagraph"/>
      </w:pPr>
      <w:r>
        <w:t xml:space="preserve">Evidence: Trauma processing without Phase 1 stabilization can be harmful; trauma-informed care principles.</w:t>
      </w:r>
    </w:p>
    <w:bookmarkEnd w:id="1211"/>
    <w:bookmarkEnd w:id="1212"/>
    <w:bookmarkStart w:id="2972" w:name="X17efef02dfccfc0dac1f7112121d330f1e435d0"/>
    <w:p>
      <w:pPr>
        <w:pStyle w:val="Heading3"/>
      </w:pPr>
      <w:r>
        <w:t xml:space="preserve">11. Sources</w:t>
      </w:r>
    </w:p>
    <w:p>
      <w:pPr>
        <w:pStyle w:val="Compact"/>
        <w:numPr>
          <w:ilvl w:val="0"/>
          <w:numId w:val="1586"/>
        </w:numPr>
      </w:pPr>
      <w:r>
        <w:t xml:space="preserve">WHO. ICD-11. 6B41 Complex post traumatic stress disorder. 2024.</w:t>
      </w:r>
    </w:p>
    <w:p>
      <w:pPr>
        <w:pStyle w:val="Compact"/>
        <w:numPr>
          <w:ilvl w:val="0"/>
          <w:numId w:val="1586"/>
        </w:numPr>
      </w:pPr>
      <w:r>
        <w:t xml:space="preserve">Cloitre M., Garvert D.W., Brewin C.R. et al. Evidence for proposed ICD-11 PTSD and complex PTSD: a latent profile analysis. Eur J Psychotraumatol 2013;4:20706.</w:t>
      </w:r>
    </w:p>
    <w:p>
      <w:pPr>
        <w:pStyle w:val="Compact"/>
        <w:numPr>
          <w:ilvl w:val="0"/>
          <w:numId w:val="1586"/>
        </w:numPr>
      </w:pPr>
      <w:r>
        <w:t xml:space="preserve">ISTSS Complex PTSD Treatment Guidelines. International Society for Traumatic Stress Studies; 2019.</w:t>
      </w:r>
    </w:p>
    <w:p>
      <w:pPr>
        <w:pStyle w:val="Compact"/>
        <w:numPr>
          <w:ilvl w:val="0"/>
          <w:numId w:val="1586"/>
        </w:numPr>
      </w:pPr>
      <w:r>
        <w:t xml:space="preserve">Herman J.L. Trauma and Recovery. Basic Books; 1992.</w:t>
      </w:r>
    </w:p>
    <w:p>
      <w:pPr>
        <w:pStyle w:val="Compact"/>
        <w:numPr>
          <w:ilvl w:val="0"/>
          <w:numId w:val="1586"/>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586"/>
        </w:numPr>
      </w:pPr>
      <w:r>
        <w:t xml:space="preserve">Bohus M. et al. DBT-PTSD for posttraumatic stress disorder after childhood abuse: RCT. JAMA Psychiatry 2020;77(12):1235–1245.</w:t>
      </w:r>
    </w:p>
    <w:p>
      <w:pPr>
        <w:pStyle w:val="Compact"/>
        <w:numPr>
          <w:ilvl w:val="0"/>
          <w:numId w:val="1586"/>
        </w:numPr>
      </w:pPr>
      <w:r>
        <w:t xml:space="preserve">Schauer M., Neuner F., Elbert T. Narrative Exposure Therapy: A Short-Term Treatment for Traumatic Stress Disorders. 2nd ed. Göttingen: Hogrefe, 2011.</w:t>
      </w:r>
    </w:p>
    <w:p>
      <w:pPr>
        <w:pStyle w:val="Compact"/>
        <w:numPr>
          <w:ilvl w:val="0"/>
          <w:numId w:val="1586"/>
        </w:numPr>
      </w:pPr>
      <w:r>
        <w:t xml:space="preserve">Linehan M.M. DBT Skills Training Manual. 2nd ed. New York: Guilford Press, 2015.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13" w:name="m456b42-prolonged-grief-disorder"/>
            <w:r>
              <w:t xml:space="preserve">6B42 PROLONGED GRIEF DISORDER</w:t>
            </w:r>
            <w:bookmarkEnd w:id="1213"/>
          </w:p>
          <w:p>
            <w:pPr>
              <w:pStyle w:val="Compact"/>
              <w:ind w:firstLine="0" w:left="0"/>
            </w:pPr>
            <w:r>
              <w:rPr>
                <w:lang w:val="en"/>
              </w:rPr>
              <w:t xml:space="preserve">Prolonged grief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reactions to severe stress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Prolonged Grief Disorder</w:t>
            </w:r>
          </w:p>
        </w:tc>
      </w:tr>
    </w:tbl>
    <w:bookmarkStart w:id="1214" w:name="Xaffce36ce41f590677183930b4c88f318019f30"/>
    <w:p>
      <w:pPr>
        <w:pStyle w:val="Heading3"/>
      </w:pPr>
      <w:r>
        <w:t xml:space="preserve">1. Definition and nosology</w:t>
      </w:r>
    </w:p>
    <w:p>
      <w:pPr>
        <w:pStyle w:val="FirstParagraph"/>
      </w:pPr>
      <w:r>
        <w:t xml:space="preserve">Prolonged grief disorder (ICD-11:</w:t>
      </w:r>
      <w:r>
        <w:t xml:space="preserve"> </w:t>
      </w:r>
      <w:r>
        <w:t xml:space="preserve">6B42</w:t>
      </w:r>
      <w:r>
        <w:t xml:space="preserve">; DSM-5-TR: F43.81 — added in 2022) — a disorder of grief and preoccupation lasting longer than cultural and religious expectations following the loss of a close person, causing significant functional impairment.</w:t>
      </w:r>
    </w:p>
    <w:p>
      <w:pPr>
        <w:pStyle w:val="BodyText"/>
      </w:pPr>
      <w:r>
        <w:t xml:space="preserve">Difference from normal grief: duration, intensity, and functional burden; clinical diagnosis based on specific duration (ICD-11: ≥ 6 months; DSM-5-TR: ≥ 12 months adult, ≥ 6 months child) and symptom profile.</w:t>
      </w:r>
    </w:p>
    <w:bookmarkEnd w:id="1214"/>
    <w:bookmarkStart w:id="1215" w:name="X7efcbe47ec4f332056508fe48c619b47bd16e21"/>
    <w:p>
      <w:pPr>
        <w:pStyle w:val="Heading3"/>
      </w:pPr>
      <w:r>
        <w:t xml:space="preserve">2. History</w:t>
      </w:r>
    </w:p>
    <w:p>
      <w:pPr>
        <w:pStyle w:val="Compact"/>
        <w:numPr>
          <w:ilvl w:val="0"/>
          <w:numId w:val="1587"/>
        </w:numPr>
      </w:pPr>
      <w:r>
        <w:t xml:space="preserve">Lindemann E. (1944) — studies on acute grief dynamics.</w:t>
      </w:r>
    </w:p>
    <w:p>
      <w:pPr>
        <w:pStyle w:val="Compact"/>
        <w:numPr>
          <w:ilvl w:val="0"/>
          <w:numId w:val="1587"/>
        </w:numPr>
      </w:pPr>
      <w:r>
        <w:t xml:space="preserve">Bowlby J. (1980) — attachment and loss.</w:t>
      </w:r>
    </w:p>
    <w:p>
      <w:pPr>
        <w:pStyle w:val="Compact"/>
        <w:numPr>
          <w:ilvl w:val="0"/>
          <w:numId w:val="1587"/>
        </w:numPr>
      </w:pPr>
      <w:r>
        <w:t xml:space="preserve">Prigerson H.G. et al. (1995–2009) — “Complicated Grief” / “Prolonged Grief” concept; development of diagnostic criteria.</w:t>
      </w:r>
    </w:p>
    <w:p>
      <w:pPr>
        <w:pStyle w:val="Compact"/>
        <w:numPr>
          <w:ilvl w:val="0"/>
          <w:numId w:val="1587"/>
        </w:numPr>
      </w:pPr>
      <w:r>
        <w:t xml:space="preserve">ICD-11 (2019) — first official category.</w:t>
      </w:r>
    </w:p>
    <w:p>
      <w:pPr>
        <w:pStyle w:val="Compact"/>
        <w:numPr>
          <w:ilvl w:val="0"/>
          <w:numId w:val="1587"/>
        </w:numPr>
      </w:pPr>
      <w:r>
        <w:t xml:space="preserve">DSM-5-TR (2022) — ‘Prolonged Grief Disorder’ added as an official diagnosis.</w:t>
      </w:r>
    </w:p>
    <w:bookmarkEnd w:id="1215"/>
    <w:bookmarkStart w:id="1216" w:name="X455fc66c512b6c8455fcf25fb916c0a3f91d9ce"/>
    <w:p>
      <w:pPr>
        <w:pStyle w:val="Heading3"/>
      </w:pPr>
      <w:r>
        <w:t xml:space="preserve">3. Epidemiology</w:t>
      </w:r>
    </w:p>
    <w:p>
      <w:pPr>
        <w:pStyle w:val="Compact"/>
        <w:numPr>
          <w:ilvl w:val="0"/>
          <w:numId w:val="1588"/>
        </w:numPr>
      </w:pPr>
      <w:r>
        <w:t xml:space="preserve">Development after close loss: 7–10% in general population, 49% in case of sudden/violent death (Lundorff M. et al. J Affect Disord 2017 meta-analysis).</w:t>
      </w:r>
    </w:p>
    <w:p>
      <w:pPr>
        <w:pStyle w:val="Compact"/>
        <w:numPr>
          <w:ilvl w:val="0"/>
          <w:numId w:val="1588"/>
        </w:numPr>
      </w:pPr>
      <w:r>
        <w:t xml:space="preserve">Sex: higher in women.</w:t>
      </w:r>
    </w:p>
    <w:p>
      <w:pPr>
        <w:pStyle w:val="Compact"/>
        <w:numPr>
          <w:ilvl w:val="0"/>
          <w:numId w:val="1588"/>
        </w:numPr>
      </w:pPr>
      <w:r>
        <w:t xml:space="preserve">Risk factors: early age loss, sudden or violent death, child loss, anxious/ambivalent attachment.</w:t>
      </w:r>
    </w:p>
    <w:p>
      <w:pPr>
        <w:pStyle w:val="Compact"/>
        <w:numPr>
          <w:ilvl w:val="0"/>
          <w:numId w:val="1588"/>
        </w:numPr>
      </w:pPr>
      <w:r>
        <w:t xml:space="preserve">COVID-19 pandemic — significantly increased the prevalence of prolonged grief (Eisma M.C. et al.).</w:t>
      </w:r>
    </w:p>
    <w:bookmarkEnd w:id="1216"/>
    <w:bookmarkStart w:id="1217" w:name="Xdf9be06448b0a5a1d75762b757a066ea6a55086"/>
    <w:p>
      <w:pPr>
        <w:pStyle w:val="Heading3"/>
      </w:pPr>
      <w:r>
        <w:t xml:space="preserve">4. Aetiology and pathogenesis</w:t>
      </w:r>
    </w:p>
    <w:p>
      <w:pPr>
        <w:pStyle w:val="Compact"/>
        <w:numPr>
          <w:ilvl w:val="0"/>
          <w:numId w:val="1589"/>
        </w:numPr>
      </w:pPr>
      <w:r>
        <w:t xml:space="preserve">Attachment theory — impairment in cognitive processing of separation from a close attachment figure.</w:t>
      </w:r>
    </w:p>
    <w:p>
      <w:pPr>
        <w:pStyle w:val="Compact"/>
        <w:numPr>
          <w:ilvl w:val="0"/>
          <w:numId w:val="1589"/>
        </w:numPr>
      </w:pPr>
      <w:r>
        <w:t xml:space="preserve">Neurobiological — nostalgia-related activation of the reward circuit in response to the lost attachment (O'Connor M.F. fMRI studies).</w:t>
      </w:r>
    </w:p>
    <w:p>
      <w:pPr>
        <w:pStyle w:val="Compact"/>
        <w:numPr>
          <w:ilvl w:val="0"/>
          <w:numId w:val="1589"/>
        </w:numPr>
      </w:pPr>
      <w:r>
        <w:t xml:space="preserve">Cognitive — “stuck” thoughts, lack of healthy interpretation.</w:t>
      </w:r>
    </w:p>
    <w:bookmarkEnd w:id="1217"/>
    <w:bookmarkStart w:id="1218" w:name="X5624c5849ad8af1e425366630fae443999991ce"/>
    <w:p>
      <w:pPr>
        <w:pStyle w:val="Heading3"/>
      </w:pPr>
      <w:r>
        <w:t xml:space="preserve">5. Clinical features</w:t>
      </w:r>
    </w:p>
    <w:p>
      <w:pPr>
        <w:pStyle w:val="Compact"/>
        <w:numPr>
          <w:ilvl w:val="0"/>
          <w:numId w:val="1590"/>
        </w:numPr>
      </w:pPr>
      <w:r>
        <w:t xml:space="preserve">Persistent, intense ‘nostalgia’ or preoccupation with the lost person.</w:t>
      </w:r>
    </w:p>
    <w:p>
      <w:pPr>
        <w:pStyle w:val="Compact"/>
        <w:numPr>
          <w:ilvl w:val="0"/>
          <w:numId w:val="1590"/>
        </w:numPr>
      </w:pPr>
      <w:r>
        <w:t xml:space="preserve">Persistent symptoms from the following:</w:t>
      </w:r>
    </w:p>
    <w:p>
      <w:pPr>
        <w:pStyle w:val="Compact"/>
        <w:numPr>
          <w:ilvl w:val="1"/>
          <w:numId w:val="1591"/>
        </w:numPr>
      </w:pPr>
      <w:r>
        <w:t xml:space="preserve">Disturbance of the sense of self (“a part of me has died”)</w:t>
      </w:r>
    </w:p>
    <w:p>
      <w:pPr>
        <w:pStyle w:val="Compact"/>
        <w:numPr>
          <w:ilvl w:val="1"/>
          <w:numId w:val="1591"/>
        </w:numPr>
      </w:pPr>
      <w:r>
        <w:t xml:space="preserve">Difficulty accepting the loss;</w:t>
      </w:r>
    </w:p>
    <w:p>
      <w:pPr>
        <w:pStyle w:val="Compact"/>
        <w:numPr>
          <w:ilvl w:val="1"/>
          <w:numId w:val="1591"/>
        </w:numPr>
      </w:pPr>
      <w:r>
        <w:t xml:space="preserve">Emotional pain related to loss (grief, anger, guilt);</w:t>
      </w:r>
    </w:p>
    <w:p>
      <w:pPr>
        <w:pStyle w:val="Compact"/>
        <w:numPr>
          <w:ilvl w:val="1"/>
          <w:numId w:val="1591"/>
        </w:numPr>
      </w:pPr>
      <w:r>
        <w:t xml:space="preserve">Loss of meaning in life;</w:t>
      </w:r>
    </w:p>
    <w:p>
      <w:pPr>
        <w:pStyle w:val="Compact"/>
        <w:numPr>
          <w:ilvl w:val="1"/>
          <w:numId w:val="1591"/>
        </w:numPr>
      </w:pPr>
      <w:r>
        <w:t xml:space="preserve">Emotional numbing;</w:t>
      </w:r>
    </w:p>
    <w:p>
      <w:pPr>
        <w:pStyle w:val="Compact"/>
        <w:numPr>
          <w:ilvl w:val="1"/>
          <w:numId w:val="1591"/>
        </w:numPr>
      </w:pPr>
      <w:r>
        <w:t xml:space="preserve">Avoidance of social activities;</w:t>
      </w:r>
    </w:p>
    <w:p>
      <w:pPr>
        <w:pStyle w:val="Compact"/>
        <w:numPr>
          <w:ilvl w:val="1"/>
          <w:numId w:val="1591"/>
        </w:numPr>
      </w:pPr>
      <w:r>
        <w:t xml:space="preserve">Difficulty maintaining relationships.</w:t>
      </w:r>
    </w:p>
    <w:bookmarkEnd w:id="1218"/>
    <w:bookmarkStart w:id="1223" w:name="X8da8f4b096266845416ad2afa6b098d86ff70d4"/>
    <w:p>
      <w:pPr>
        <w:pStyle w:val="Heading3"/>
      </w:pPr>
      <w:r>
        <w:t xml:space="preserve">6. Diagnosis</w:t>
      </w:r>
    </w:p>
    <w:bookmarkStart w:id="1219" w:name="unified-diagnostic-criteria-16"/>
    <w:p>
      <w:pPr>
        <w:pStyle w:val="Heading4"/>
      </w:pPr>
      <w:r>
        <w:t xml:space="preserve">6.1 Unified diagnostic criteria</w:t>
      </w:r>
    </w:p>
    <w:p>
      <w:pPr>
        <w:pStyle w:val="FirstParagraph"/>
      </w:pPr>
      <w:r>
        <w:t xml:space="preserve">A. Death of a close person (partner, parent, child, sibling, close friend).</w:t>
      </w:r>
    </w:p>
    <w:p>
      <w:pPr>
        <w:pStyle w:val="BodyText"/>
      </w:pPr>
      <w:r>
        <w:t xml:space="preserve">B. Persistent and intense nostalgia or preoccupation with the lost person lasting ≥ 6 months (ICD-11) / ≥ 12 months (DSM-5-TR adult, ≥ 6 months child) after loss.</w:t>
      </w:r>
    </w:p>
    <w:p>
      <w:pPr>
        <w:pStyle w:val="BodyText"/>
      </w:pPr>
      <w:r>
        <w:t xml:space="preserve">C. ≥ 3 of the following symptoms:</w:t>
      </w:r>
    </w:p>
    <w:p>
      <w:pPr>
        <w:pStyle w:val="Compact"/>
        <w:numPr>
          <w:ilvl w:val="0"/>
          <w:numId w:val="1592"/>
        </w:numPr>
      </w:pPr>
      <w:r>
        <w:t xml:space="preserve">Disturbance of sense of self;</w:t>
      </w:r>
    </w:p>
    <w:p>
      <w:pPr>
        <w:pStyle w:val="Compact"/>
        <w:numPr>
          <w:ilvl w:val="0"/>
          <w:numId w:val="1592"/>
        </w:numPr>
      </w:pPr>
      <w:r>
        <w:t xml:space="preserve">Difficulty accepting loss;</w:t>
      </w:r>
    </w:p>
    <w:p>
      <w:pPr>
        <w:pStyle w:val="Compact"/>
        <w:numPr>
          <w:ilvl w:val="0"/>
          <w:numId w:val="1592"/>
        </w:numPr>
      </w:pPr>
      <w:r>
        <w:t xml:space="preserve">Avoidance of reminder stimuli;</w:t>
      </w:r>
    </w:p>
    <w:p>
      <w:pPr>
        <w:pStyle w:val="Compact"/>
        <w:numPr>
          <w:ilvl w:val="0"/>
          <w:numId w:val="1592"/>
        </w:numPr>
      </w:pPr>
      <w:r>
        <w:t xml:space="preserve">Intense emotional pain;</w:t>
      </w:r>
    </w:p>
    <w:p>
      <w:pPr>
        <w:pStyle w:val="Compact"/>
        <w:numPr>
          <w:ilvl w:val="0"/>
          <w:numId w:val="1592"/>
        </w:numPr>
      </w:pPr>
      <w:r>
        <w:t xml:space="preserve">Difficulty returning to social or other activities.</w:t>
      </w:r>
    </w:p>
    <w:p>
      <w:pPr>
        <w:pStyle w:val="Compact"/>
        <w:numPr>
          <w:ilvl w:val="0"/>
          <w:numId w:val="1592"/>
        </w:numPr>
      </w:pPr>
      <w:r>
        <w:t xml:space="preserve">Emotional numbing;</w:t>
      </w:r>
    </w:p>
    <w:p>
      <w:pPr>
        <w:pStyle w:val="Compact"/>
        <w:numPr>
          <w:ilvl w:val="0"/>
          <w:numId w:val="1592"/>
        </w:numPr>
      </w:pPr>
      <w:r>
        <w:t xml:space="preserve">Loss of meaning in life;</w:t>
      </w:r>
    </w:p>
    <w:p>
      <w:pPr>
        <w:pStyle w:val="Compact"/>
        <w:numPr>
          <w:ilvl w:val="0"/>
          <w:numId w:val="1592"/>
        </w:numPr>
      </w:pPr>
      <w:r>
        <w:t xml:space="preserve">Feelings of loneliness and isolation.</w:t>
      </w:r>
    </w:p>
    <w:p>
      <w:pPr>
        <w:pStyle w:val="FirstParagraph"/>
      </w:pPr>
      <w:r>
        <w:t xml:space="preserve">D. Duration and intensity significantly exceeding cultural, social, or religious norms.</w:t>
      </w:r>
    </w:p>
    <w:p>
      <w:pPr>
        <w:pStyle w:val="BodyText"/>
      </w:pPr>
      <w:r>
        <w:t xml:space="preserve">E. Significant functional impairment.</w:t>
      </w:r>
    </w:p>
    <w:bookmarkEnd w:id="1219"/>
    <w:bookmarkStart w:id="1220" w:name="differences-between-sources-60"/>
    <w:p>
      <w:pPr>
        <w:pStyle w:val="Heading4"/>
      </w:pPr>
      <w:r>
        <w:t xml:space="preserve">6.2 Differences between sources</w:t>
      </w:r>
    </w:p>
    <w:p>
      <w:pPr>
        <w:pStyle w:val="Compact"/>
        <w:numPr>
          <w:ilvl w:val="0"/>
          <w:numId w:val="1593"/>
        </w:numPr>
      </w:pPr>
      <w:r>
        <w:t xml:space="preserve">ICD-11 — duration ≥ 6 months.</w:t>
      </w:r>
    </w:p>
    <w:p>
      <w:pPr>
        <w:pStyle w:val="Compact"/>
        <w:numPr>
          <w:ilvl w:val="0"/>
          <w:numId w:val="1593"/>
        </w:numPr>
      </w:pPr>
      <w:r>
        <w:t xml:space="preserve">DSM-5-TR (2022 update) — in adults ≥ 12 months, in children ≥ 6 months; at least 1 core symptom (intense nostalgia or preoccupation) + ≥ 3 additional symptoms.</w:t>
      </w:r>
    </w:p>
    <w:p>
      <w:pPr>
        <w:pStyle w:val="Compact"/>
        <w:numPr>
          <w:ilvl w:val="0"/>
          <w:numId w:val="1593"/>
        </w:numPr>
      </w:pPr>
      <w:r>
        <w:t xml:space="preserve">NICE — no separate guideline for prolonged grief; general grief management principles.</w:t>
      </w:r>
    </w:p>
    <w:bookmarkEnd w:id="1220"/>
    <w:bookmarkStart w:id="1221" w:name="diagnostic-algorithm-35"/>
    <w:p>
      <w:pPr>
        <w:pStyle w:val="Heading4"/>
      </w:pPr>
      <w:r>
        <w:t xml:space="preserve">6.3 Diagnostic algorithm</w:t>
      </w:r>
    </w:p>
    <w:p>
      <w:pPr>
        <w:pStyle w:val="Compact"/>
        <w:numPr>
          <w:ilvl w:val="0"/>
          <w:numId w:val="1594"/>
        </w:numPr>
      </w:pPr>
      <w:r>
        <w:t xml:space="preserve">Clinical interview — loss history, symptom profile, cultural context.</w:t>
      </w:r>
    </w:p>
    <w:p>
      <w:pPr>
        <w:pStyle w:val="Compact"/>
        <w:numPr>
          <w:ilvl w:val="0"/>
          <w:numId w:val="1594"/>
        </w:numPr>
      </w:pPr>
      <w:r>
        <w:t xml:space="preserve">Scale — Prolonged Grief Disorder-13 (PG-13, Prigerson H.G.).</w:t>
      </w:r>
    </w:p>
    <w:p>
      <w:pPr>
        <w:pStyle w:val="Compact"/>
        <w:numPr>
          <w:ilvl w:val="0"/>
          <w:numId w:val="1594"/>
        </w:numPr>
      </w:pPr>
      <w:r>
        <w:t xml:space="preserve">Comorbidity (MDD, PTSD — differentiation in grief context essential).</w:t>
      </w:r>
    </w:p>
    <w:p>
      <w:pPr>
        <w:pStyle w:val="Compact"/>
        <w:numPr>
          <w:ilvl w:val="0"/>
          <w:numId w:val="1594"/>
        </w:numPr>
      </w:pPr>
      <w:r>
        <w:t xml:space="preserve">Suicide risk (high in bereaved patients).</w:t>
      </w:r>
    </w:p>
    <w:bookmarkEnd w:id="1221"/>
    <w:bookmarkStart w:id="1222" w:name="differential-diagnosis-3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grief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“Wave-like” course; social functioning is preserved; duration within cultural norms.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Anhedonia, worthlessness, suicidal ideation directed at self; grief primarily loss-related content.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 and intrusive symptoms; intrusive memories in prolonged grief may be positive.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Stress factor may not involve loss; duration shorter.</w:t>
            </w:r>
          </w:p>
        </w:tc>
      </w:tr>
    </w:tbl>
    <w:bookmarkEnd w:id="1222"/>
    <w:bookmarkEnd w:id="1223"/>
    <w:bookmarkStart w:id="1224" w:name="Xe1b6bbdb6ee9cdf5e94ea95530b6a58d08832cc"/>
    <w:p>
      <w:pPr>
        <w:pStyle w:val="Heading3"/>
      </w:pPr>
      <w:r>
        <w:t xml:space="preserve">7. Examination and assessment</w:t>
      </w:r>
    </w:p>
    <w:p>
      <w:pPr>
        <w:pStyle w:val="Compact"/>
        <w:numPr>
          <w:ilvl w:val="0"/>
          <w:numId w:val="1595"/>
        </w:numPr>
      </w:pPr>
      <w:r>
        <w:t xml:space="preserve">PG-13 (Prolonged Grief Disorder-13, Prigerson H.G.) and PG-13-R update.</w:t>
      </w:r>
    </w:p>
    <w:p>
      <w:pPr>
        <w:pStyle w:val="Compact"/>
        <w:numPr>
          <w:ilvl w:val="0"/>
          <w:numId w:val="1595"/>
        </w:numPr>
      </w:pPr>
      <w:r>
        <w:t xml:space="preserve">ICG (Inventory of Complicated Grief) — 19 items.</w:t>
      </w:r>
    </w:p>
    <w:p>
      <w:pPr>
        <w:pStyle w:val="Compact"/>
        <w:numPr>
          <w:ilvl w:val="0"/>
          <w:numId w:val="1595"/>
        </w:numPr>
      </w:pPr>
      <w:r>
        <w:t xml:space="preserve">PHQ-9, C-SSRS comorbidity.</w:t>
      </w:r>
    </w:p>
    <w:bookmarkEnd w:id="1224"/>
    <w:bookmarkStart w:id="1227" w:name="Xeb44dbe01844c1e4eb8d4eb9a52fd00748c7147"/>
    <w:p>
      <w:pPr>
        <w:pStyle w:val="Heading3"/>
      </w:pPr>
      <w:r>
        <w:t xml:space="preserve">8. Treatment</w:t>
      </w:r>
    </w:p>
    <w:p>
      <w:pPr>
        <w:pStyle w:val="Compact"/>
        <w:numPr>
          <w:ilvl w:val="0"/>
          <w:numId w:val="1596"/>
        </w:numPr>
      </w:pPr>
      <w:r>
        <w:t xml:space="preserve">First-line: Complicated Grief Treatment (CGT — Shear M.K.) — 16 sessions; psychoeducation, imaginal and situational exposure, positive memory reconstruction, future orientation. Evidence: Shear M.K. et al. JAMA 2005 RCT — superior to interpersonal therapy.</w:t>
      </w:r>
    </w:p>
    <w:p>
      <w:pPr>
        <w:pStyle w:val="Compact"/>
        <w:numPr>
          <w:ilvl w:val="0"/>
          <w:numId w:val="1596"/>
        </w:numPr>
      </w:pPr>
      <w:r>
        <w:t xml:space="preserve">CBT adapted for grief — Boelen P.A. model; cognitive restructuring + exposure.</w:t>
      </w:r>
    </w:p>
    <w:p>
      <w:pPr>
        <w:pStyle w:val="Compact"/>
        <w:numPr>
          <w:ilvl w:val="0"/>
          <w:numId w:val="1596"/>
        </w:numPr>
      </w:pPr>
      <w:r>
        <w:t xml:space="preserve">Pharmacotherapy: Evidence base is limited. For comorbid MDD, SSRI. Comparison of CGT + citalopram (Shear et al. JAMA Psychiatry 2016) — combination and CGT alone showed the same efficacy; citalopram alone not superior to placebo.</w:t>
      </w:r>
    </w:p>
    <w:p>
      <w:pPr>
        <w:pStyle w:val="Compact"/>
        <w:numPr>
          <w:ilvl w:val="0"/>
          <w:numId w:val="1596"/>
        </w:numPr>
      </w:pPr>
      <w:r>
        <w:t xml:space="preserve">Family and group support.</w:t>
      </w:r>
    </w:p>
    <w:p>
      <w:pPr>
        <w:pStyle w:val="Compact"/>
        <w:numPr>
          <w:ilvl w:val="0"/>
          <w:numId w:val="1596"/>
        </w:numPr>
      </w:pPr>
      <w:r>
        <w:t xml:space="preserve">Monitor suicide risk.</w:t>
      </w:r>
    </w:p>
    <w:bookmarkStart w:id="1225" w:name="treatment-methods-35"/>
    <w:p>
      <w:pPr>
        <w:pStyle w:val="Heading4"/>
      </w:pPr>
      <w:r>
        <w:t xml:space="preserve">8.1 Treatment methods</w:t>
      </w:r>
    </w:p>
    <w:p>
      <w:pPr>
        <w:pStyle w:val="Compact"/>
        <w:numPr>
          <w:ilvl w:val="0"/>
          <w:numId w:val="1597"/>
        </w:numPr>
      </w:pPr>
      <w:r>
        <w:t xml:space="preserve">Complicated Grief Treatment (CGT) — Shear (Shear M.K.) — 16-session manualized protocol; “loss-oriented” + “restoration-oriented” work; imaginal and situational exposure, positive memories, future orientation. Evidence: Shear M.K. et al. JAMA 2005, JAMA Psychiatry 2016 RCT.</w:t>
      </w:r>
    </w:p>
    <w:p>
      <w:pPr>
        <w:pStyle w:val="Compact"/>
        <w:numPr>
          <w:ilvl w:val="0"/>
          <w:numId w:val="1597"/>
        </w:numPr>
      </w:pPr>
      <w:r>
        <w:t xml:space="preserve">Prolonged Grief Scale (PG-13) — Prigerson (Prigerson H.G.) — 13-item scale; clinical and population screening; PG-13-R update.</w:t>
      </w:r>
    </w:p>
    <w:p>
      <w:pPr>
        <w:pStyle w:val="Compact"/>
        <w:numPr>
          <w:ilvl w:val="0"/>
          <w:numId w:val="1597"/>
        </w:numPr>
      </w:pPr>
      <w:r>
        <w:t xml:space="preserve">Inventory of Complicated Grief (ICG) — 19 items.</w:t>
      </w:r>
    </w:p>
    <w:bookmarkEnd w:id="1225"/>
    <w:bookmarkStart w:id="1226" w:name="differences-between-sources-61"/>
    <w:p>
      <w:pPr>
        <w:pStyle w:val="Heading4"/>
      </w:pPr>
      <w:r>
        <w:t xml:space="preserve">8.2 Differences between sources</w:t>
      </w:r>
    </w:p>
    <w:p>
      <w:pPr>
        <w:pStyle w:val="Compact"/>
        <w:numPr>
          <w:ilvl w:val="0"/>
          <w:numId w:val="1598"/>
        </w:numPr>
      </w:pPr>
      <w:r>
        <w:t xml:space="preserve">Shear M.K. reviews and RCTs — CGT gold standard.</w:t>
      </w:r>
    </w:p>
    <w:p>
      <w:pPr>
        <w:pStyle w:val="Compact"/>
        <w:numPr>
          <w:ilvl w:val="0"/>
          <w:numId w:val="1598"/>
        </w:numPr>
      </w:pPr>
      <w:r>
        <w:t xml:space="preserve">Wittouck C. et al. Clin Psychol Rev 2011 meta-analysis — grief-specific interventions superior to universal grief support in prolonged grief.</w:t>
      </w:r>
    </w:p>
    <w:bookmarkEnd w:id="1226"/>
    <w:bookmarkEnd w:id="1227"/>
    <w:bookmarkStart w:id="1228" w:name="X54f17e82e334d9afcc9e77d1e4602119a2446a3"/>
    <w:p>
      <w:pPr>
        <w:pStyle w:val="Heading3"/>
      </w:pPr>
      <w:r>
        <w:t xml:space="preserve">9. Prognosis</w:t>
      </w:r>
    </w:p>
    <w:p>
      <w:pPr>
        <w:pStyle w:val="Compact"/>
        <w:numPr>
          <w:ilvl w:val="0"/>
          <w:numId w:val="1599"/>
        </w:numPr>
      </w:pPr>
      <w:r>
        <w:t xml:space="preserve">Significant improvement in most patients with CGT.</w:t>
      </w:r>
    </w:p>
    <w:p>
      <w:pPr>
        <w:pStyle w:val="Compact"/>
        <w:numPr>
          <w:ilvl w:val="0"/>
          <w:numId w:val="1599"/>
        </w:numPr>
      </w:pPr>
      <w:r>
        <w:t xml:space="preserve">Without treatment, chronicity and development of comorbid MDD/PTSD.</w:t>
      </w:r>
    </w:p>
    <w:bookmarkEnd w:id="1228"/>
    <w:bookmarkStart w:id="1235" w:name="X34ae39c33c4162159b5b4b8bbf941c4c61eb7b3"/>
    <w:p>
      <w:pPr>
        <w:pStyle w:val="Heading3"/>
      </w:pPr>
      <w:r>
        <w:t xml:space="preserve">10. Myths and misconceptions</w:t>
      </w:r>
    </w:p>
    <w:bookmarkStart w:id="1229" w:name="Xb52ecfbf9c043e3ea200479d659e085b6417270"/>
    <w:p>
      <w:pPr>
        <w:pStyle w:val="Heading5"/>
      </w:pPr>
      <w:r>
        <w:t xml:space="preserve">Myth 1: “Grief always goes through ‘5 stages’ — denial, anger, bargaining, depression, acceptance”</w:t>
      </w:r>
    </w:p>
    <w:p>
      <w:pPr>
        <w:pStyle w:val="FirstParagraph"/>
      </w:pPr>
      <w:r>
        <w:t xml:space="preserve">Evidence: The Kübler-Ross model is a semi-scholarly concept; lacks systematic evidence base; grief is a nonlinear, individualized process.</w:t>
      </w:r>
    </w:p>
    <w:bookmarkEnd w:id="1229"/>
    <w:bookmarkStart w:id="1230" w:name="Xfe77aa1c4613b5aaa70ab6d79976bc924f95059"/>
    <w:p>
      <w:pPr>
        <w:pStyle w:val="Heading5"/>
      </w:pPr>
      <w:r>
        <w:t xml:space="preserve">Myth 2: “Prolonged grief — pathologized normal sadness, does not require treatment”</w:t>
      </w:r>
    </w:p>
    <w:p>
      <w:pPr>
        <w:pStyle w:val="FirstParagraph"/>
      </w:pPr>
      <w:r>
        <w:t xml:space="preserve">Evidence: Clinical diagnosis established based on duration and functional impairment; proven interventions significant benefit.</w:t>
      </w:r>
    </w:p>
    <w:bookmarkEnd w:id="1230"/>
    <w:bookmarkStart w:id="1231" w:name="X04d4b963d5cfd87ecd5b47a3d9fefb8c874cc0f"/>
    <w:p>
      <w:pPr>
        <w:pStyle w:val="Heading5"/>
      </w:pPr>
      <w:r>
        <w:t xml:space="preserve">Myth 3: “Antidepressant is first-line for prolonged grief”</w:t>
      </w:r>
    </w:p>
    <w:p>
      <w:pPr>
        <w:pStyle w:val="FirstParagraph"/>
      </w:pPr>
      <w:r>
        <w:t xml:space="preserve">Evidence: Shear JAMA Psychiatry 2016 — CBT first-line; citalopram no better than placebo; SSRIs only in comorbid MDD.</w:t>
      </w:r>
    </w:p>
    <w:bookmarkEnd w:id="1231"/>
    <w:bookmarkStart w:id="1232" w:name="myth-4-time-heals-all-wounds-just-wait"/>
    <w:p>
      <w:pPr>
        <w:pStyle w:val="Heading5"/>
      </w:pPr>
      <w:r>
        <w:t xml:space="preserve">Myth 4: “Time heals all wounds — just wait”</w:t>
      </w:r>
    </w:p>
    <w:p>
      <w:pPr>
        <w:pStyle w:val="FirstParagraph"/>
      </w:pPr>
      <w:r>
        <w:t xml:space="preserve">Evidence: Most people gradually adapt, but 7–10% develop prolonged grief; untreated chronicity.</w:t>
      </w:r>
    </w:p>
    <w:bookmarkEnd w:id="1232"/>
    <w:bookmarkStart w:id="1233" w:name="X4ea8baf62639e90692dc525f027c5c316f69464"/>
    <w:p>
      <w:pPr>
        <w:pStyle w:val="Heading5"/>
      </w:pPr>
      <w:r>
        <w:t xml:space="preserve">Myth 5: “Talking about grief is harmful to the patient”</w:t>
      </w:r>
    </w:p>
    <w:p>
      <w:pPr>
        <w:pStyle w:val="FirstParagraph"/>
      </w:pPr>
      <w:r>
        <w:t xml:space="preserve">Evidence: Evidenced interventions (CGT) work specifically with grief content in structured form; avoidance prolongs and strengthens grief.</w:t>
      </w:r>
    </w:p>
    <w:bookmarkEnd w:id="1233"/>
    <w:bookmarkStart w:id="1234" w:name="X88b847364b38ff22373e54d50a6bf53b03e8c7e"/>
    <w:p>
      <w:pPr>
        <w:pStyle w:val="Heading5"/>
      </w:pPr>
      <w:r>
        <w:t xml:space="preserve">Myth 6: “Social rituals (charity, commemoration) are harmful; they only distract the patient from good memories”</w:t>
      </w:r>
    </w:p>
    <w:p>
      <w:pPr>
        <w:pStyle w:val="FirstParagraph"/>
      </w:pPr>
      <w:r>
        <w:t xml:space="preserve">Evidence: Cultural and religious rituals provide support during the grieving process; cultural respect is a crucial component in clinical intervention.</w:t>
      </w:r>
    </w:p>
    <w:bookmarkEnd w:id="1234"/>
    <w:bookmarkEnd w:id="1235"/>
    <w:bookmarkStart w:id="2971" w:name="Xe75ef885382c8659bec96d2568de844b26b4bae"/>
    <w:p>
      <w:pPr>
        <w:pStyle w:val="Heading3"/>
      </w:pPr>
      <w:r>
        <w:t xml:space="preserve">11. Sources</w:t>
      </w:r>
    </w:p>
    <w:p>
      <w:pPr>
        <w:pStyle w:val="Compact"/>
        <w:numPr>
          <w:ilvl w:val="0"/>
          <w:numId w:val="1600"/>
        </w:numPr>
      </w:pPr>
      <w:r>
        <w:t xml:space="preserve">WHO. ICD-11. 6B42 Prolonged grief disorder. 2024.</w:t>
      </w:r>
    </w:p>
    <w:p>
      <w:pPr>
        <w:pStyle w:val="Compact"/>
        <w:numPr>
          <w:ilvl w:val="0"/>
          <w:numId w:val="1600"/>
        </w:numPr>
      </w:pPr>
      <w:r>
        <w:t xml:space="preserve">APA. DSM-5-TR. 2022.</w:t>
      </w:r>
    </w:p>
    <w:p>
      <w:pPr>
        <w:pStyle w:val="Compact"/>
        <w:numPr>
          <w:ilvl w:val="0"/>
          <w:numId w:val="1600"/>
        </w:numPr>
      </w:pPr>
      <w:r>
        <w:t xml:space="preserve">Shear M.K., Frank E., Houck P.R., Reynolds C.F. Treatment of complicated grief: a randomized controlled trial. JAMA 2005;293(21):2601–2608.</w:t>
      </w:r>
    </w:p>
    <w:p>
      <w:pPr>
        <w:pStyle w:val="Compact"/>
        <w:numPr>
          <w:ilvl w:val="0"/>
          <w:numId w:val="1600"/>
        </w:numPr>
      </w:pPr>
      <w:r>
        <w:t xml:space="preserve">Shear M.K. et al. Optimizing treatment of complicated grief: a randomized clinical trial. JAMA Psychiatry 2016;73(7):685–694.</w:t>
      </w:r>
    </w:p>
    <w:p>
      <w:pPr>
        <w:pStyle w:val="Compact"/>
        <w:numPr>
          <w:ilvl w:val="0"/>
          <w:numId w:val="1600"/>
        </w:numPr>
      </w:pPr>
      <w:r>
        <w:t xml:space="preserve">Prigerson H.G. et al. Prolonged grief disorder: Psychometric validation of criteria proposed for DSM-V and ICD-11. PLoS Med 2009;6(8):e1000121.</w:t>
      </w:r>
    </w:p>
    <w:p>
      <w:pPr>
        <w:pStyle w:val="Compact"/>
        <w:numPr>
          <w:ilvl w:val="0"/>
          <w:numId w:val="1600"/>
        </w:numPr>
      </w:pPr>
      <w:r>
        <w:t xml:space="preserve">Lundorff M. et al. Prevalence of prolonged grief disorder in adult bereavement: a systematic review and meta-analysis. J Affect Disord 2017;212:138–149.</w:t>
      </w:r>
    </w:p>
    <w:p>
      <w:pPr>
        <w:pStyle w:val="Compact"/>
        <w:numPr>
          <w:ilvl w:val="0"/>
          <w:numId w:val="1600"/>
        </w:numPr>
      </w:pPr>
      <w:r>
        <w:t xml:space="preserve">Wittouck C. et al. The prevention and treatment of complicated grief: a meta-analysis. Clin Psychol Rev 2011;31(1):69–78.</w:t>
      </w:r>
    </w:p>
    <w:p>
      <w:pPr>
        <w:pStyle w:val="Compact"/>
        <w:numPr>
          <w:ilvl w:val="0"/>
          <w:numId w:val="1600"/>
        </w:numPr>
      </w:pPr>
      <w:r>
        <w:t xml:space="preserve">Boelen P.A., van den Hout M.A., van den Bout J. A cognitive-behavioral conceptualization of complicated grief. Clin Psychol Sci Pract 2006;13(2):109–128.</w:t>
      </w:r>
    </w:p>
    <w:p>
      <w:pPr>
        <w:pStyle w:val="Compact"/>
        <w:numPr>
          <w:ilvl w:val="0"/>
          <w:numId w:val="1600"/>
        </w:numPr>
      </w:pPr>
      <w:r>
        <w:t xml:space="preserve">O'Connor M.F., Wellisch D.K., Stanton A.L. et al. Craving love? Enduring grief activates brain's reward center. Neuroimage 2008;42(2):969–972.</w:t>
      </w:r>
    </w:p>
    <w:p>
      <w:pPr>
        <w:pStyle w:val="Compact"/>
        <w:numPr>
          <w:ilvl w:val="0"/>
          <w:numId w:val="1600"/>
        </w:numPr>
      </w:pPr>
      <w:r>
        <w:t xml:space="preserve">Eisma M.C., Boelen P.A., Lenferink L.I.M. Prolonged grief disorder following the Coronavirus (COVID-19) pandemic. Psychiatry Res 2020;288:113031.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36" w:name="m466b43-adjustment-disorder"/>
            <w:r>
              <w:t xml:space="preserve">6B43 ADJUSTMENT DISORDER</w:t>
            </w:r>
            <w:bookmarkEnd w:id="1236"/>
          </w:p>
          <w:p>
            <w:pPr>
              <w:pStyle w:val="Compact"/>
              <w:ind w:firstLine="0" w:left="0"/>
            </w:pPr>
            <w:r>
              <w:rPr>
                <w:lang w:val="en"/>
              </w:rPr>
              <w:t xml:space="preserve">Adjustment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w:t>
            </w:r>
          </w:p>
        </w:tc>
      </w:tr>
    </w:tbl>
    <w:bookmarkStart w:id="1237" w:name="X4a67e222fb77ad5622ec2ef45d2bb85869e05c2"/>
    <w:p>
      <w:pPr>
        <w:pStyle w:val="Heading3"/>
      </w:pPr>
      <w:r>
        <w:t xml:space="preserve">1. Definition and nosology</w:t>
      </w:r>
    </w:p>
    <w:p>
      <w:pPr>
        <w:pStyle w:val="FirstParagraph"/>
      </w:pPr>
      <w:r>
        <w:t xml:space="preserve">Adjustment disorder (ICD-11:</w:t>
      </w:r>
      <w:r>
        <w:t xml:space="preserve"> </w:t>
      </w:r>
      <w:r>
        <w:t xml:space="preserve">6B43</w:t>
      </w:r>
      <w:r>
        <w:t xml:space="preserve">; DSM-5-TR: F43.2x) — clinically significant emotional or behavioral symptoms that have developed in response to an identifiable stressor (acute or persistent, individual or collective). Symptoms do not meet full criteria for another mental disorder (MDD, GAD, etc.).</w:t>
      </w:r>
    </w:p>
    <w:bookmarkEnd w:id="1237"/>
    <w:bookmarkStart w:id="1238" w:name="X5c6dce36e4270bb85e52883d68d1310ee5d3e95"/>
    <w:p>
      <w:pPr>
        <w:pStyle w:val="Heading3"/>
      </w:pPr>
      <w:r>
        <w:t xml:space="preserve">2. History</w:t>
      </w:r>
    </w:p>
    <w:p>
      <w:pPr>
        <w:pStyle w:val="Compact"/>
        <w:numPr>
          <w:ilvl w:val="0"/>
          <w:numId w:val="1601"/>
        </w:numPr>
      </w:pPr>
      <w:r>
        <w:t xml:space="preserve">DSM-III (1980) — “Adjustment Disorder” as an official diagnosis.</w:t>
      </w:r>
    </w:p>
    <w:p>
      <w:pPr>
        <w:pStyle w:val="Compact"/>
        <w:numPr>
          <w:ilvl w:val="0"/>
          <w:numId w:val="1601"/>
        </w:numPr>
      </w:pPr>
      <w:r>
        <w:t xml:space="preserve">ICD-11 — within the stress-related disorders group; general symptom profile ‘preoccupation’ (preoccupation with the stress factor) + adjustment difficulty.</w:t>
      </w:r>
    </w:p>
    <w:bookmarkEnd w:id="1238"/>
    <w:bookmarkStart w:id="1239" w:name="X69a282315ffb1865804b796c2213018828b4357"/>
    <w:p>
      <w:pPr>
        <w:pStyle w:val="Heading3"/>
      </w:pPr>
      <w:r>
        <w:t xml:space="preserve">3. Epidemiology</w:t>
      </w:r>
    </w:p>
    <w:p>
      <w:pPr>
        <w:pStyle w:val="Compact"/>
        <w:numPr>
          <w:ilvl w:val="0"/>
          <w:numId w:val="1602"/>
        </w:numPr>
      </w:pPr>
      <w:r>
        <w:t xml:space="preserve">Among the most frequent psychiatric diagnoses in primary care; in clinical populations 5–20%.</w:t>
      </w:r>
    </w:p>
    <w:p>
      <w:pPr>
        <w:pStyle w:val="Compact"/>
        <w:numPr>
          <w:ilvl w:val="0"/>
          <w:numId w:val="1602"/>
        </w:numPr>
      </w:pPr>
      <w:r>
        <w:t xml:space="preserve">Sex and age — universal; more intense at young age and during new stress periods.</w:t>
      </w:r>
    </w:p>
    <w:p>
      <w:pPr>
        <w:pStyle w:val="Compact"/>
        <w:numPr>
          <w:ilvl w:val="0"/>
          <w:numId w:val="1602"/>
        </w:numPr>
      </w:pPr>
      <w:r>
        <w:t xml:space="preserve">Comorbidity: MDD, anxiety, substance use, suicide risk (especially in short-term acute form).</w:t>
      </w:r>
    </w:p>
    <w:bookmarkEnd w:id="1239"/>
    <w:bookmarkStart w:id="1240" w:name="Xb7e65454b3ed65685c91ec6677f4810b57caaf1"/>
    <w:p>
      <w:pPr>
        <w:pStyle w:val="Heading3"/>
      </w:pPr>
      <w:r>
        <w:t xml:space="preserve">4. Aetiology and pathogenesis</w:t>
      </w:r>
    </w:p>
    <w:p>
      <w:pPr>
        <w:pStyle w:val="Compact"/>
        <w:numPr>
          <w:ilvl w:val="0"/>
          <w:numId w:val="1603"/>
        </w:numPr>
      </w:pPr>
      <w:r>
        <w:t xml:space="preserve">Stress factor — a single event (divorce, job loss, illness diagnosis, grief) or multiple/persistent stressors.</w:t>
      </w:r>
    </w:p>
    <w:p>
      <w:pPr>
        <w:pStyle w:val="Compact"/>
        <w:numPr>
          <w:ilvl w:val="0"/>
          <w:numId w:val="1603"/>
        </w:numPr>
      </w:pPr>
      <w:r>
        <w:t xml:space="preserve">The role of personality and coping resources — the same stress elicits different responses in different people.</w:t>
      </w:r>
    </w:p>
    <w:p>
      <w:pPr>
        <w:pStyle w:val="Compact"/>
        <w:numPr>
          <w:ilvl w:val="0"/>
          <w:numId w:val="1603"/>
        </w:numPr>
      </w:pPr>
      <w:r>
        <w:t xml:space="preserve">Social support — protective factor.</w:t>
      </w:r>
    </w:p>
    <w:bookmarkEnd w:id="1240"/>
    <w:bookmarkStart w:id="1242" w:name="Xc2790f829d6901e3dd0a93d54454cd45b83f51a"/>
    <w:p>
      <w:pPr>
        <w:pStyle w:val="Heading3"/>
      </w:pPr>
      <w:r>
        <w:t xml:space="preserve">5. Clinical features</w:t>
      </w:r>
    </w:p>
    <w:p>
      <w:pPr>
        <w:pStyle w:val="Compact"/>
        <w:numPr>
          <w:ilvl w:val="0"/>
          <w:numId w:val="1604"/>
        </w:numPr>
      </w:pPr>
      <w:r>
        <w:t xml:space="preserve">Preoccupation with the stress factor — recurrent thoughts, worry.</w:t>
      </w:r>
    </w:p>
    <w:p>
      <w:pPr>
        <w:pStyle w:val="Compact"/>
        <w:numPr>
          <w:ilvl w:val="0"/>
          <w:numId w:val="1604"/>
        </w:numPr>
      </w:pPr>
      <w:r>
        <w:t xml:space="preserve">Difficulty adapting to new situations.</w:t>
      </w:r>
    </w:p>
    <w:p>
      <w:pPr>
        <w:pStyle w:val="Compact"/>
        <w:numPr>
          <w:ilvl w:val="0"/>
          <w:numId w:val="1604"/>
        </w:numPr>
      </w:pPr>
      <w:r>
        <w:t xml:space="preserve">Emotional symptoms — depressed mood, anxiety, irritability.</w:t>
      </w:r>
    </w:p>
    <w:p>
      <w:pPr>
        <w:pStyle w:val="Compact"/>
        <w:numPr>
          <w:ilvl w:val="0"/>
          <w:numId w:val="1604"/>
        </w:numPr>
      </w:pPr>
      <w:r>
        <w:t xml:space="preserve">Behavioral symptoms — social withdrawal, decreased work/school performance, risky behavior.</w:t>
      </w:r>
    </w:p>
    <w:bookmarkStart w:id="1241" w:name="dsm-5-tr-subtypes"/>
    <w:p>
      <w:pPr>
        <w:pStyle w:val="Heading4"/>
      </w:pPr>
      <w:r>
        <w:t xml:space="preserve">DSM-5-TR subtypes</w:t>
      </w:r>
    </w:p>
    <w:p>
      <w:pPr>
        <w:pStyle w:val="Compact"/>
        <w:numPr>
          <w:ilvl w:val="0"/>
          <w:numId w:val="1605"/>
        </w:numPr>
      </w:pPr>
      <w:r>
        <w:t xml:space="preserve">With depressive mood (F43.21);</w:t>
      </w:r>
    </w:p>
    <w:p>
      <w:pPr>
        <w:pStyle w:val="Compact"/>
        <w:numPr>
          <w:ilvl w:val="0"/>
          <w:numId w:val="1605"/>
        </w:numPr>
      </w:pPr>
      <w:r>
        <w:t xml:space="preserve">With anxiety (F43.22);</w:t>
      </w:r>
    </w:p>
    <w:p>
      <w:pPr>
        <w:pStyle w:val="Compact"/>
        <w:numPr>
          <w:ilvl w:val="0"/>
          <w:numId w:val="1605"/>
        </w:numPr>
      </w:pPr>
      <w:r>
        <w:t xml:space="preserve">With mixed depressive mood and anxiety (F43.23);</w:t>
      </w:r>
    </w:p>
    <w:p>
      <w:pPr>
        <w:pStyle w:val="Compact"/>
        <w:numPr>
          <w:ilvl w:val="0"/>
          <w:numId w:val="1605"/>
        </w:numPr>
      </w:pPr>
      <w:r>
        <w:t xml:space="preserve">With conduct disorder (F43.24);</w:t>
      </w:r>
    </w:p>
    <w:p>
      <w:pPr>
        <w:pStyle w:val="Compact"/>
        <w:numPr>
          <w:ilvl w:val="0"/>
          <w:numId w:val="1605"/>
        </w:numPr>
      </w:pPr>
      <w:r>
        <w:t xml:space="preserve">Emotional and behavioral mixed (F43.25);</w:t>
      </w:r>
    </w:p>
    <w:p>
      <w:pPr>
        <w:pStyle w:val="Compact"/>
        <w:numPr>
          <w:ilvl w:val="0"/>
          <w:numId w:val="1605"/>
        </w:numPr>
      </w:pPr>
      <w:r>
        <w:t xml:space="preserve">Unspecified (F43.20).</w:t>
      </w:r>
    </w:p>
    <w:bookmarkEnd w:id="1241"/>
    <w:bookmarkEnd w:id="1242"/>
    <w:bookmarkStart w:id="1247" w:name="X1f620b3653c1852dc76f7e4de46dbd7c175831f"/>
    <w:p>
      <w:pPr>
        <w:pStyle w:val="Heading3"/>
      </w:pPr>
      <w:r>
        <w:t xml:space="preserve">6. Diagnosis</w:t>
      </w:r>
    </w:p>
    <w:bookmarkStart w:id="1243" w:name="unified-diagnostic-criteria-17"/>
    <w:p>
      <w:pPr>
        <w:pStyle w:val="Heading4"/>
      </w:pPr>
      <w:r>
        <w:t xml:space="preserve">6.1 Unified diagnostic criteria</w:t>
      </w:r>
    </w:p>
    <w:p>
      <w:pPr>
        <w:pStyle w:val="FirstParagraph"/>
      </w:pPr>
      <w:r>
        <w:t xml:space="preserve">A. Identifiable stressor response — onset within 3 months (DSM-5-TR) / within 1 month (ICD-11).</w:t>
      </w:r>
    </w:p>
    <w:p>
      <w:pPr>
        <w:pStyle w:val="BodyText"/>
      </w:pPr>
      <w:r>
        <w:t xml:space="preserve">B. Symptoms clinically significant — distress or functional impairment disproportionate to stress.</w:t>
      </w:r>
    </w:p>
    <w:p>
      <w:pPr>
        <w:pStyle w:val="BodyText"/>
      </w:pPr>
      <w:r>
        <w:t xml:space="preserve">C. Does not meet criteria for another mental disorder (MDD, GAD, PTSD, complex PTSD, prolonged grief).</w:t>
      </w:r>
    </w:p>
    <w:p>
      <w:pPr>
        <w:pStyle w:val="BodyText"/>
      </w:pPr>
      <w:r>
        <w:t xml:space="preserve">D. Not normal grief (sorrow).</w:t>
      </w:r>
    </w:p>
    <w:p>
      <w:pPr>
        <w:pStyle w:val="BodyText"/>
      </w:pPr>
      <w:r>
        <w:t xml:space="preserve">E. Symptoms resolve within 6 months after the stress factor (or its consequences) has terminated (DSM-5-TR).</w:t>
      </w:r>
    </w:p>
    <w:bookmarkEnd w:id="1243"/>
    <w:bookmarkStart w:id="1244" w:name="differences-between-sources-62"/>
    <w:p>
      <w:pPr>
        <w:pStyle w:val="Heading4"/>
      </w:pPr>
      <w:r>
        <w:t xml:space="preserve">6.2 Differences between sources</w:t>
      </w:r>
    </w:p>
    <w:p>
      <w:pPr>
        <w:pStyle w:val="Compact"/>
        <w:numPr>
          <w:ilvl w:val="0"/>
          <w:numId w:val="1606"/>
        </w:numPr>
      </w:pPr>
      <w:r>
        <w:t xml:space="preserve">DSM-5-TR — onset at 3 months; subtype specifiers.</w:t>
      </w:r>
    </w:p>
    <w:p>
      <w:pPr>
        <w:pStyle w:val="Compact"/>
        <w:numPr>
          <w:ilvl w:val="0"/>
          <w:numId w:val="1606"/>
        </w:numPr>
      </w:pPr>
      <w:r>
        <w:t xml:space="preserve">ICD-11 — onset 1 month; ‘preoccupation with the stressor’ main symptom; no subtypes, but additional anxiety qualifiers.</w:t>
      </w:r>
    </w:p>
    <w:bookmarkEnd w:id="1244"/>
    <w:bookmarkStart w:id="1245" w:name="diagnostic-algorithm-36"/>
    <w:p>
      <w:pPr>
        <w:pStyle w:val="Heading4"/>
      </w:pPr>
      <w:r>
        <w:t xml:space="preserve">6.3 Diagnostic algorithm</w:t>
      </w:r>
    </w:p>
    <w:p>
      <w:pPr>
        <w:pStyle w:val="Compact"/>
        <w:numPr>
          <w:ilvl w:val="0"/>
          <w:numId w:val="1607"/>
        </w:numPr>
      </w:pPr>
      <w:r>
        <w:t xml:space="preserve">Clinical interview — stressor, symptom onset, prior psychiatric history.</w:t>
      </w:r>
    </w:p>
    <w:p>
      <w:pPr>
        <w:pStyle w:val="Compact"/>
        <w:numPr>
          <w:ilvl w:val="0"/>
          <w:numId w:val="1607"/>
        </w:numPr>
      </w:pPr>
      <w:r>
        <w:t xml:space="preserve">SCID-5, MINI.</w:t>
      </w:r>
    </w:p>
    <w:p>
      <w:pPr>
        <w:pStyle w:val="Compact"/>
        <w:numPr>
          <w:ilvl w:val="0"/>
          <w:numId w:val="1607"/>
        </w:numPr>
      </w:pPr>
      <w:r>
        <w:t xml:space="preserve">Scale — PHQ-9, GAD-7 symptom severity.</w:t>
      </w:r>
    </w:p>
    <w:p>
      <w:pPr>
        <w:pStyle w:val="Compact"/>
        <w:numPr>
          <w:ilvl w:val="0"/>
          <w:numId w:val="1607"/>
        </w:numPr>
      </w:pPr>
      <w:r>
        <w:t xml:space="preserve">MDD, GAD, PTSD, complex PTSD exclusion.</w:t>
      </w:r>
    </w:p>
    <w:p>
      <w:pPr>
        <w:pStyle w:val="Compact"/>
        <w:numPr>
          <w:ilvl w:val="0"/>
          <w:numId w:val="1607"/>
        </w:numPr>
      </w:pPr>
      <w:r>
        <w:t xml:space="preserve">Suicide risk (C-SSRS) — acutely particularly high.</w:t>
      </w:r>
    </w:p>
    <w:bookmarkEnd w:id="1245"/>
    <w:bookmarkStart w:id="1246" w:name="differential-diagnosis-3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symptoms for 2 weeks, full criteria.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 months (DSM); multiple areas.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Traumatic event + intrusions, avoidance, hyperarousal.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Prolonged grief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From a close loss ≥ 6 months (ICD-11) / 12 months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grief/stress reaction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impairment or context-appropriate.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pattern, not stress-related.</w:t>
            </w:r>
          </w:p>
        </w:tc>
      </w:tr>
    </w:tbl>
    <w:bookmarkEnd w:id="1246"/>
    <w:bookmarkEnd w:id="1247"/>
    <w:bookmarkStart w:id="1248" w:name="X2d8b279e259faf54a498a95a0177edf0d13acb2"/>
    <w:p>
      <w:pPr>
        <w:pStyle w:val="Heading3"/>
      </w:pPr>
      <w:r>
        <w:t xml:space="preserve">7. Examination and assessment</w:t>
      </w:r>
    </w:p>
    <w:p>
      <w:pPr>
        <w:pStyle w:val="Compact"/>
        <w:numPr>
          <w:ilvl w:val="0"/>
          <w:numId w:val="1608"/>
        </w:numPr>
      </w:pPr>
      <w:r>
        <w:t xml:space="preserve">PHQ-9, GAD-7, C-SSRS.</w:t>
      </w:r>
    </w:p>
    <w:p>
      <w:pPr>
        <w:pStyle w:val="Compact"/>
        <w:numPr>
          <w:ilvl w:val="0"/>
          <w:numId w:val="1608"/>
        </w:numPr>
      </w:pPr>
      <w:r>
        <w:t xml:space="preserve">Documentation of the stress factor.</w:t>
      </w:r>
    </w:p>
    <w:bookmarkEnd w:id="1248"/>
    <w:bookmarkStart w:id="1251" w:name="Xc6a71299bc1d9ed0f7eefb849315e333d90464b"/>
    <w:p>
      <w:pPr>
        <w:pStyle w:val="Heading3"/>
      </w:pPr>
      <w:r>
        <w:t xml:space="preserve">8. Treatment</w:t>
      </w:r>
    </w:p>
    <w:p>
      <w:pPr>
        <w:pStyle w:val="Compact"/>
        <w:numPr>
          <w:ilvl w:val="0"/>
          <w:numId w:val="1609"/>
        </w:numPr>
      </w:pPr>
      <w:r>
        <w:t xml:space="preserve">First-line: short-term psychotherapy — supportive, problem-solving, CBT-based brief intervention (8–12 sessions).</w:t>
      </w:r>
    </w:p>
    <w:p>
      <w:pPr>
        <w:pStyle w:val="Compact"/>
        <w:numPr>
          <w:ilvl w:val="0"/>
          <w:numId w:val="1609"/>
        </w:numPr>
      </w:pPr>
      <w:r>
        <w:t xml:space="preserve">Stress management, strengthening social support, development of coping strategies.</w:t>
      </w:r>
    </w:p>
    <w:p>
      <w:pPr>
        <w:pStyle w:val="Compact"/>
        <w:numPr>
          <w:ilvl w:val="0"/>
          <w:numId w:val="1609"/>
        </w:numPr>
      </w:pPr>
      <w:r>
        <w:t xml:space="preserve">Pharmacotherapy — only in severe cases or comorbid; SSRIs short-term; benzodiazepines for acute anxiety for 1–2 weeks.</w:t>
      </w:r>
    </w:p>
    <w:p>
      <w:pPr>
        <w:pStyle w:val="Compact"/>
        <w:numPr>
          <w:ilvl w:val="0"/>
          <w:numId w:val="1609"/>
        </w:numPr>
      </w:pPr>
      <w:r>
        <w:t xml:space="preserve">Monitor suicide risk.</w:t>
      </w:r>
    </w:p>
    <w:p>
      <w:pPr>
        <w:pStyle w:val="Compact"/>
        <w:numPr>
          <w:ilvl w:val="0"/>
          <w:numId w:val="1609"/>
        </w:numPr>
      </w:pPr>
      <w:r>
        <w:t xml:space="preserve">Removal or modification of the stress factor (if possible).</w:t>
      </w:r>
    </w:p>
    <w:bookmarkStart w:id="1249" w:name="treatment-methods-36"/>
    <w:p>
      <w:pPr>
        <w:pStyle w:val="Heading4"/>
      </w:pPr>
      <w:r>
        <w:t xml:space="preserve">8.1 Treatment methods</w:t>
      </w:r>
    </w:p>
    <w:p>
      <w:pPr>
        <w:pStyle w:val="Compact"/>
        <w:numPr>
          <w:ilvl w:val="0"/>
          <w:numId w:val="1610"/>
        </w:numPr>
      </w:pPr>
      <w:r>
        <w:t xml:space="preserve">Short-term problem-solving therapy (Problem-Solving Therapy) – Nezu (Nezu A.M.) — 4–8 sessions; concrete problem identification, evaluation of solution options, behavioral execution.</w:t>
      </w:r>
    </w:p>
    <w:p>
      <w:pPr>
        <w:pStyle w:val="Compact"/>
        <w:numPr>
          <w:ilvl w:val="0"/>
          <w:numId w:val="1610"/>
        </w:numPr>
      </w:pPr>
      <w:r>
        <w:t xml:space="preserve">Supportive Psychotherapy — Validation, emotional expression, social support.</w:t>
      </w:r>
    </w:p>
    <w:p>
      <w:pPr>
        <w:pStyle w:val="Compact"/>
        <w:numPr>
          <w:ilvl w:val="0"/>
          <w:numId w:val="1610"/>
        </w:numPr>
      </w:pPr>
      <w:r>
        <w:t xml:space="preserve">CBT in brief form — Cognitive restructuring + behavioral activation.</w:t>
      </w:r>
    </w:p>
    <w:p>
      <w:pPr>
        <w:pStyle w:val="Compact"/>
        <w:numPr>
          <w:ilvl w:val="0"/>
          <w:numId w:val="1610"/>
        </w:numPr>
      </w:pPr>
      <w:r>
        <w:t xml:space="preserve">Stress management and relaxation — Breathing exercises, progressive muscle relaxation, mindfulness.</w:t>
      </w:r>
    </w:p>
    <w:bookmarkEnd w:id="1249"/>
    <w:bookmarkStart w:id="1250" w:name="differences-between-sources-63"/>
    <w:p>
      <w:pPr>
        <w:pStyle w:val="Heading4"/>
      </w:pPr>
      <w:r>
        <w:t xml:space="preserve">8.2 Differences between sources</w:t>
      </w:r>
    </w:p>
    <w:p>
      <w:pPr>
        <w:pStyle w:val="Compact"/>
        <w:numPr>
          <w:ilvl w:val="0"/>
          <w:numId w:val="1611"/>
        </w:numPr>
      </w:pPr>
      <w:r>
        <w:t xml:space="preserve">NICE — no separate guideline for adjustment disorder; general anxiety and depression principles.</w:t>
      </w:r>
    </w:p>
    <w:p>
      <w:pPr>
        <w:pStyle w:val="Compact"/>
        <w:numPr>
          <w:ilvl w:val="0"/>
          <w:numId w:val="1611"/>
        </w:numPr>
      </w:pPr>
      <w:r>
        <w:t xml:space="preserve">WHO mhGAP — supportive approach in acute stress reactions, ‘watchful waiting’ in mild cases.</w:t>
      </w:r>
    </w:p>
    <w:p>
      <w:pPr>
        <w:pStyle w:val="Compact"/>
        <w:numPr>
          <w:ilvl w:val="0"/>
          <w:numId w:val="1611"/>
        </w:numPr>
      </w:pPr>
      <w:r>
        <w:t xml:space="preserve">Evidence base is limited — the residual nature of the diagnosis.</w:t>
      </w:r>
    </w:p>
    <w:bookmarkEnd w:id="1250"/>
    <w:bookmarkEnd w:id="1251"/>
    <w:bookmarkStart w:id="1252" w:name="X6dff900c729888882d93ea46447f143eed2ceec"/>
    <w:p>
      <w:pPr>
        <w:pStyle w:val="Heading3"/>
      </w:pPr>
      <w:r>
        <w:t xml:space="preserve">9. Prognosis</w:t>
      </w:r>
    </w:p>
    <w:p>
      <w:pPr>
        <w:pStyle w:val="Compact"/>
        <w:numPr>
          <w:ilvl w:val="0"/>
          <w:numId w:val="1612"/>
        </w:numPr>
      </w:pPr>
      <w:r>
        <w:t xml:space="preserve">In most cases remission within 6 months.</w:t>
      </w:r>
    </w:p>
    <w:p>
      <w:pPr>
        <w:pStyle w:val="Compact"/>
        <w:numPr>
          <w:ilvl w:val="0"/>
          <w:numId w:val="1612"/>
        </w:numPr>
      </w:pPr>
      <w:r>
        <w:t xml:space="preserve">Some persist or transition to MDD/PTSD — follow-up recommended.</w:t>
      </w:r>
    </w:p>
    <w:bookmarkEnd w:id="1252"/>
    <w:bookmarkStart w:id="1258" w:name="Xa4b8de36a849108a06ec1f75e5c8c8f066f1aa7"/>
    <w:p>
      <w:pPr>
        <w:pStyle w:val="Heading3"/>
      </w:pPr>
      <w:r>
        <w:t xml:space="preserve">10. Myths and misconceptions</w:t>
      </w:r>
    </w:p>
    <w:bookmarkStart w:id="1253" w:name="X7002cf5b716efa684bde27c6db1d6b49fbaf5f0"/>
    <w:p>
      <w:pPr>
        <w:pStyle w:val="Heading5"/>
      </w:pPr>
      <w:r>
        <w:t xml:space="preserve">Myth 1: “Adjustment disorder is not a real diagnosis — it is simply ‘life difficulty’”</w:t>
      </w:r>
    </w:p>
    <w:p>
      <w:pPr>
        <w:pStyle w:val="FirstParagraph"/>
      </w:pPr>
      <w:r>
        <w:t xml:space="preserve">Evidence: A clinical diagnosis of adjustment disorder requires demonstrable functional impairment or marked distress disproportionate to the stressor. Suicidal risk must be assessed in every case.</w:t>
      </w:r>
    </w:p>
    <w:bookmarkEnd w:id="1253"/>
    <w:bookmarkStart w:id="1254" w:name="X019e55f8590c9bec0d926c1ab508f967617763e"/>
    <w:p>
      <w:pPr>
        <w:pStyle w:val="Heading5"/>
      </w:pPr>
      <w:r>
        <w:t xml:space="preserve">Myth 2: “When the stressor passes, the diagnosis automatically resolves, no treatment needed”</w:t>
      </w:r>
    </w:p>
    <w:p>
      <w:pPr>
        <w:pStyle w:val="FirstParagraph"/>
      </w:pPr>
      <w:r>
        <w:t xml:space="preserve">Evidence: Some cases persist or transition to MDD/PTSD; short-term intervention prevents treatment transition.</w:t>
      </w:r>
    </w:p>
    <w:bookmarkEnd w:id="1254"/>
    <w:bookmarkStart w:id="1255" w:name="X49880a318ab14f479d7e263894d45fb5defb973"/>
    <w:p>
      <w:pPr>
        <w:pStyle w:val="Heading5"/>
      </w:pPr>
      <w:r>
        <w:t xml:space="preserve">Myth 3: “Antidepressant is first-line for adjustment disorder”</w:t>
      </w:r>
    </w:p>
    <w:p>
      <w:pPr>
        <w:pStyle w:val="FirstParagraph"/>
      </w:pPr>
      <w:r>
        <w:t xml:space="preserve">Evidence: Psychotherapy is first-line; pharmacotherapy only in severe or comorbid cases.</w:t>
      </w:r>
    </w:p>
    <w:bookmarkEnd w:id="1255"/>
    <w:bookmarkStart w:id="1256" w:name="Xb5f06875bfe9487f64da74c0fd30be34b1176a2"/>
    <w:p>
      <w:pPr>
        <w:pStyle w:val="Heading5"/>
      </w:pPr>
      <w:r>
        <w:t xml:space="preserve">Myth 4: “Suicide risk is low in adjustment disorder”</w:t>
      </w:r>
    </w:p>
    <w:p>
      <w:pPr>
        <w:pStyle w:val="FirstParagraph"/>
      </w:pPr>
      <w:r>
        <w:t xml:space="preserve">Evidence: Acute stress reactions are accompanied by a high impulsivity suicide risk; active assessment.</w:t>
      </w:r>
    </w:p>
    <w:bookmarkEnd w:id="1256"/>
    <w:bookmarkStart w:id="1257" w:name="Xbe2abc4b43dbeb2d3baa575c83ca5cd4220b649"/>
    <w:p>
      <w:pPr>
        <w:pStyle w:val="Heading5"/>
      </w:pPr>
      <w:r>
        <w:t xml:space="preserve">Myth 5: “The patient is weak or has a ‘weak character’”</w:t>
      </w:r>
    </w:p>
    <w:p>
      <w:pPr>
        <w:pStyle w:val="FirstParagraph"/>
      </w:pPr>
      <w:r>
        <w:t xml:space="preserve">Evidence: Reaction result of interaction between stress intensity and coping resources; weakness of character explanation stigmatizing and incorrect.</w:t>
      </w:r>
    </w:p>
    <w:bookmarkEnd w:id="1257"/>
    <w:bookmarkEnd w:id="1258"/>
    <w:bookmarkStart w:id="2970" w:name="X5a9e309f160cc3744e2a3d54da394cce45b4624"/>
    <w:p>
      <w:pPr>
        <w:pStyle w:val="Heading3"/>
      </w:pPr>
      <w:r>
        <w:t xml:space="preserve">11. Sources</w:t>
      </w:r>
    </w:p>
    <w:p>
      <w:pPr>
        <w:pStyle w:val="Compact"/>
        <w:numPr>
          <w:ilvl w:val="0"/>
          <w:numId w:val="1613"/>
        </w:numPr>
      </w:pPr>
      <w:r>
        <w:t xml:space="preserve">WHO. ICD-11. 6B43 Adjustment disorder. 2024.</w:t>
      </w:r>
    </w:p>
    <w:p>
      <w:pPr>
        <w:pStyle w:val="Compact"/>
        <w:numPr>
          <w:ilvl w:val="0"/>
          <w:numId w:val="1613"/>
        </w:numPr>
      </w:pPr>
      <w:r>
        <w:t xml:space="preserve">APA. DSM-5-TR. 2022.</w:t>
      </w:r>
    </w:p>
    <w:p>
      <w:pPr>
        <w:pStyle w:val="Compact"/>
        <w:numPr>
          <w:ilvl w:val="0"/>
          <w:numId w:val="1613"/>
        </w:numPr>
      </w:pPr>
      <w:r>
        <w:t xml:space="preserve">Maercker A. et al. ICD-11 stress-related disorders. World Psychiatry 2013;12(3):198–206.</w:t>
      </w:r>
    </w:p>
    <w:p>
      <w:pPr>
        <w:pStyle w:val="Compact"/>
        <w:numPr>
          <w:ilvl w:val="0"/>
          <w:numId w:val="1613"/>
        </w:numPr>
      </w:pPr>
      <w:r>
        <w:t xml:space="preserve">Casey P. Adjustment disorder: epidemiology, diagnosis and treatment. CNS Drugs 2009;23(11):927–938.</w:t>
      </w:r>
    </w:p>
    <w:p>
      <w:pPr>
        <w:pStyle w:val="Compact"/>
        <w:numPr>
          <w:ilvl w:val="0"/>
          <w:numId w:val="1613"/>
        </w:numPr>
      </w:pPr>
      <w:r>
        <w:t xml:space="preserve">Nezu A.M., Nezu C.M., D’Zurilla T.J. Problem-Solving Therapy: A Treatment Manual. New York: Springer,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59" w:name="m476b44-reactive-attachment-disorder"/>
            <w:r>
              <w:t xml:space="preserve">6B44 REACTIVE ATTACHMENT DISORDER</w:t>
            </w:r>
            <w:bookmarkEnd w:id="1259"/>
          </w:p>
          <w:p>
            <w:pPr>
              <w:pStyle w:val="Compact"/>
              <w:ind w:firstLine="0" w:left="0"/>
            </w:pPr>
            <w:r>
              <w:rPr>
                <w:lang w:val="en"/>
              </w:rPr>
              <w:t xml:space="preserve">Reactive attachment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Reactive attachment disorder of childhood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Reactive Attachment Disorder</w:t>
            </w:r>
          </w:p>
        </w:tc>
      </w:tr>
    </w:tbl>
    <w:bookmarkStart w:id="1260" w:name="Xade67acba3b12bcf0f96c4439e0555323e9fd8d"/>
    <w:p>
      <w:pPr>
        <w:pStyle w:val="Heading3"/>
      </w:pPr>
      <w:r>
        <w:t xml:space="preserve">1. Definition and nosology</w:t>
      </w:r>
    </w:p>
    <w:p>
      <w:pPr>
        <w:pStyle w:val="FirstParagraph"/>
      </w:pPr>
      <w:r>
        <w:t xml:space="preserve">Reactive attachment disorder (ICD-11:</w:t>
      </w:r>
      <w:r>
        <w:t xml:space="preserve"> </w:t>
      </w:r>
      <w:r>
        <w:t xml:space="preserve">6B44</w:t>
      </w:r>
      <w:r>
        <w:t xml:space="preserve">; DSM-5-TR: F94.1 Reactive Attachment Disorder) — a disturbance of attachment behavior developing in early childhood due to severe psychosocial deprivation or inadequate care; the child does not seek comfort from the caregiver when distressed, or this seeking is markedly reduced.</w:t>
      </w:r>
    </w:p>
    <w:bookmarkEnd w:id="1260"/>
    <w:bookmarkStart w:id="1261" w:name="Xdcd49550ee1d725ad0913ab648aa4fb73b392dd"/>
    <w:p>
      <w:pPr>
        <w:pStyle w:val="Heading3"/>
      </w:pPr>
      <w:r>
        <w:t xml:space="preserve">2. History</w:t>
      </w:r>
    </w:p>
    <w:p>
      <w:pPr>
        <w:pStyle w:val="Compact"/>
        <w:numPr>
          <w:ilvl w:val="0"/>
          <w:numId w:val="1614"/>
        </w:numPr>
      </w:pPr>
      <w:r>
        <w:t xml:space="preserve">Bowlby J. (1951) — maternal deprivation report (WHO).</w:t>
      </w:r>
    </w:p>
    <w:p>
      <w:pPr>
        <w:pStyle w:val="Compact"/>
        <w:numPr>
          <w:ilvl w:val="0"/>
          <w:numId w:val="1614"/>
        </w:numPr>
      </w:pPr>
      <w:r>
        <w:t xml:space="preserve">Spitz R.A. (1945) — “hospitalism” in institutionalized children.</w:t>
      </w:r>
    </w:p>
    <w:p>
      <w:pPr>
        <w:pStyle w:val="Compact"/>
        <w:numPr>
          <w:ilvl w:val="0"/>
          <w:numId w:val="1614"/>
        </w:numPr>
      </w:pPr>
      <w:r>
        <w:t xml:space="preserve">DSM-III (1980) — “Reactive Attachment Disorder of Infancy” formalized.</w:t>
      </w:r>
    </w:p>
    <w:p>
      <w:pPr>
        <w:pStyle w:val="Compact"/>
        <w:numPr>
          <w:ilvl w:val="0"/>
          <w:numId w:val="1614"/>
        </w:numPr>
      </w:pPr>
      <w:r>
        <w:t xml:space="preserve">DSM-5 (2013) and ICD-11 — RAD and Disinhibited Social Engagement Disorder (DSED) as separate diagnoses.</w:t>
      </w:r>
    </w:p>
    <w:p>
      <w:pPr>
        <w:pStyle w:val="Compact"/>
        <w:numPr>
          <w:ilvl w:val="0"/>
          <w:numId w:val="1614"/>
        </w:numPr>
      </w:pPr>
      <w:r>
        <w:t xml:space="preserve">Nelson C.A. et al. Science 2007 — Bucharest Early Intervention Project — effect of institutional deprivation and early fostering.</w:t>
      </w:r>
    </w:p>
    <w:bookmarkEnd w:id="1261"/>
    <w:bookmarkStart w:id="1262" w:name="Xd784b110aa1f136dfdc4ba59a5af8611b2b6190"/>
    <w:p>
      <w:pPr>
        <w:pStyle w:val="Heading3"/>
      </w:pPr>
      <w:r>
        <w:t xml:space="preserve">3. Epidemiology</w:t>
      </w:r>
    </w:p>
    <w:p>
      <w:pPr>
        <w:pStyle w:val="Compact"/>
        <w:numPr>
          <w:ilvl w:val="0"/>
          <w:numId w:val="1615"/>
        </w:numPr>
      </w:pPr>
      <w:r>
        <w:t xml:space="preserve">Rare in the general population; even among severely neglected children it occurs in less than 10% (DSM-5-TR); in institutionalized children the inhibited (RAD) type is ~5% (Gleason M.M. et al. JAACAP 2011, BEIP). Figures above 30% refer to disinhibited social engagement disorder (6B45), not RAD.</w:t>
      </w:r>
    </w:p>
    <w:p>
      <w:pPr>
        <w:pStyle w:val="Compact"/>
        <w:numPr>
          <w:ilvl w:val="0"/>
          <w:numId w:val="1615"/>
        </w:numPr>
      </w:pPr>
      <w:r>
        <w:t xml:space="preserve">Onset before age 5.</w:t>
      </w:r>
    </w:p>
    <w:p>
      <w:pPr>
        <w:pStyle w:val="Compact"/>
        <w:numPr>
          <w:ilvl w:val="0"/>
          <w:numId w:val="1615"/>
        </w:numPr>
      </w:pPr>
      <w:r>
        <w:t xml:space="preserve">Comorbidity: cognitive deficits, neurodevelopmental disorders, depressive symptoms.</w:t>
      </w:r>
    </w:p>
    <w:bookmarkEnd w:id="1262"/>
    <w:bookmarkStart w:id="1263" w:name="X9d9d2feade37eeb503ba0cd6a77b0018f979dc4"/>
    <w:p>
      <w:pPr>
        <w:pStyle w:val="Heading3"/>
      </w:pPr>
      <w:r>
        <w:t xml:space="preserve">4. Aetiology and pathogenesis</w:t>
      </w:r>
    </w:p>
    <w:p>
      <w:pPr>
        <w:pStyle w:val="Compact"/>
        <w:numPr>
          <w:ilvl w:val="0"/>
          <w:numId w:val="1616"/>
        </w:numPr>
      </w:pPr>
      <w:r>
        <w:t xml:space="preserve">Severe psychosocial deprivation — institutionalism, multiple placements, neglect.</w:t>
      </w:r>
    </w:p>
    <w:p>
      <w:pPr>
        <w:pStyle w:val="Compact"/>
        <w:numPr>
          <w:ilvl w:val="0"/>
          <w:numId w:val="1616"/>
        </w:numPr>
      </w:pPr>
      <w:r>
        <w:t xml:space="preserve">Disruption of caregiver-child interaction in the critical early period up to 5 years.</w:t>
      </w:r>
    </w:p>
    <w:p>
      <w:pPr>
        <w:pStyle w:val="Compact"/>
        <w:numPr>
          <w:ilvl w:val="0"/>
          <w:numId w:val="1616"/>
        </w:numPr>
      </w:pPr>
      <w:r>
        <w:t xml:space="preserve">Neurobiology of the attachment system — oxytocin, prefrontal-amygdala circuit.</w:t>
      </w:r>
    </w:p>
    <w:bookmarkEnd w:id="1263"/>
    <w:bookmarkStart w:id="1264" w:name="Xadb0fb637ab4634c089b8f0e65a36eb6a8b634d"/>
    <w:p>
      <w:pPr>
        <w:pStyle w:val="Heading3"/>
      </w:pPr>
      <w:r>
        <w:t xml:space="preserve">5. Clinical features</w:t>
      </w:r>
    </w:p>
    <w:p>
      <w:pPr>
        <w:pStyle w:val="Compact"/>
        <w:numPr>
          <w:ilvl w:val="0"/>
          <w:numId w:val="1617"/>
        </w:numPr>
      </w:pPr>
      <w:r>
        <w:t xml:space="preserve">Not seeking help from caregiver or minimal attempt while distressed.</w:t>
      </w:r>
    </w:p>
    <w:p>
      <w:pPr>
        <w:pStyle w:val="Compact"/>
        <w:numPr>
          <w:ilvl w:val="0"/>
          <w:numId w:val="1617"/>
        </w:numPr>
      </w:pPr>
      <w:r>
        <w:t xml:space="preserve">Difficulty accepting comfort.</w:t>
      </w:r>
    </w:p>
    <w:p>
      <w:pPr>
        <w:pStyle w:val="Compact"/>
        <w:numPr>
          <w:ilvl w:val="0"/>
          <w:numId w:val="1617"/>
        </w:numPr>
      </w:pPr>
      <w:r>
        <w:t xml:space="preserve">Reduction of social and emotional reactions (withdrawal, irritability, sadness).</w:t>
      </w:r>
    </w:p>
    <w:p>
      <w:pPr>
        <w:pStyle w:val="Compact"/>
        <w:numPr>
          <w:ilvl w:val="0"/>
          <w:numId w:val="1617"/>
        </w:numPr>
      </w:pPr>
      <w:r>
        <w:t xml:space="preserve">Reduction of positive affect.</w:t>
      </w:r>
    </w:p>
    <w:p>
      <w:pPr>
        <w:pStyle w:val="Compact"/>
        <w:numPr>
          <w:ilvl w:val="0"/>
          <w:numId w:val="1617"/>
        </w:numPr>
      </w:pPr>
      <w:r>
        <w:t xml:space="preserve">Withdrawn, hypovigilant behavior.</w:t>
      </w:r>
    </w:p>
    <w:bookmarkEnd w:id="1264"/>
    <w:bookmarkStart w:id="1269" w:name="X221f420ea727f482174e7cb3bf7bda81c84b37f"/>
    <w:p>
      <w:pPr>
        <w:pStyle w:val="Heading3"/>
      </w:pPr>
      <w:r>
        <w:t xml:space="preserve">6. Diagnosis</w:t>
      </w:r>
    </w:p>
    <w:bookmarkStart w:id="1265" w:name="unified-diagnostic-criteria-18"/>
    <w:p>
      <w:pPr>
        <w:pStyle w:val="Heading4"/>
      </w:pPr>
      <w:r>
        <w:t xml:space="preserve">6.1 Unified diagnostic criteria</w:t>
      </w:r>
    </w:p>
    <w:p>
      <w:pPr>
        <w:pStyle w:val="FirstParagraph"/>
      </w:pPr>
      <w:r>
        <w:t xml:space="preserve">A. Persistent disturbance of attachment behavior — the child does not seek comfort from the caregiver when distressed or shows minimal response to contact.</w:t>
      </w:r>
    </w:p>
    <w:p>
      <w:pPr>
        <w:pStyle w:val="BodyText"/>
      </w:pPr>
      <w:r>
        <w:t xml:space="preserve">B. Persistent emotional and social impairment (reduced positive affect, unexplained irritability, sadness, or fear).</w:t>
      </w:r>
    </w:p>
    <w:p>
      <w:pPr>
        <w:pStyle w:val="BodyText"/>
      </w:pPr>
      <w:r>
        <w:t xml:space="preserve">C. Disorder developed as result of severe early care disruption (neglect, multiple placements, institutionalism).</w:t>
      </w:r>
    </w:p>
    <w:p>
      <w:pPr>
        <w:pStyle w:val="BodyText"/>
      </w:pPr>
      <w:r>
        <w:t xml:space="preserve">D. Onset before age 5.</w:t>
      </w:r>
    </w:p>
    <w:p>
      <w:pPr>
        <w:pStyle w:val="BodyText"/>
      </w:pPr>
      <w:r>
        <w:t xml:space="preserve">E. Not better explained by autism spectrum.</w:t>
      </w:r>
    </w:p>
    <w:p>
      <w:pPr>
        <w:pStyle w:val="BodyText"/>
      </w:pPr>
      <w:r>
        <w:t xml:space="preserve">F. Child's developmental age at least 9 months (to allow attachment formation).</w:t>
      </w:r>
    </w:p>
    <w:bookmarkEnd w:id="1265"/>
    <w:bookmarkStart w:id="1266" w:name="differences-between-sources-64"/>
    <w:p>
      <w:pPr>
        <w:pStyle w:val="Heading4"/>
      </w:pPr>
      <w:r>
        <w:t xml:space="preserve">6.2 Differences between sources</w:t>
      </w:r>
    </w:p>
    <w:p>
      <w:pPr>
        <w:pStyle w:val="Compact"/>
        <w:numPr>
          <w:ilvl w:val="0"/>
          <w:numId w:val="1618"/>
        </w:numPr>
      </w:pPr>
      <w:r>
        <w:t xml:space="preserve">DSM-5-TR — RAD withdrawn form; DSED disinhibited form — separate diagnosis (6B45).</w:t>
      </w:r>
    </w:p>
    <w:p>
      <w:pPr>
        <w:pStyle w:val="Compact"/>
        <w:numPr>
          <w:ilvl w:val="0"/>
          <w:numId w:val="1618"/>
        </w:numPr>
      </w:pPr>
      <w:r>
        <w:t xml:space="preserve">ICD-11 — same two separate categories.</w:t>
      </w:r>
    </w:p>
    <w:bookmarkEnd w:id="1266"/>
    <w:bookmarkStart w:id="1267" w:name="diagnostic-algorithm-37"/>
    <w:p>
      <w:pPr>
        <w:pStyle w:val="Heading4"/>
      </w:pPr>
      <w:r>
        <w:t xml:space="preserve">6.3 Diagnostic algorithm</w:t>
      </w:r>
    </w:p>
    <w:p>
      <w:pPr>
        <w:pStyle w:val="Compact"/>
        <w:numPr>
          <w:ilvl w:val="0"/>
          <w:numId w:val="1619"/>
        </w:numPr>
      </w:pPr>
      <w:r>
        <w:t xml:space="preserve">Interview with caregiver or social worker — care history (institutionalization, placement changes, neglect).</w:t>
      </w:r>
    </w:p>
    <w:p>
      <w:pPr>
        <w:pStyle w:val="Compact"/>
        <w:numPr>
          <w:ilvl w:val="0"/>
          <w:numId w:val="1619"/>
        </w:numPr>
      </w:pPr>
      <w:r>
        <w:t xml:space="preserve">Structured interview (DAI — Disturbances of Attachment Interview, Smyke A.T., Zeanah C.H.).</w:t>
      </w:r>
    </w:p>
    <w:p>
      <w:pPr>
        <w:pStyle w:val="Compact"/>
        <w:numPr>
          <w:ilvl w:val="0"/>
          <w:numId w:val="1619"/>
        </w:numPr>
      </w:pPr>
      <w:r>
        <w:t xml:space="preserve">Clinical observation of child-caregiver interaction.</w:t>
      </w:r>
    </w:p>
    <w:p>
      <w:pPr>
        <w:pStyle w:val="Compact"/>
        <w:numPr>
          <w:ilvl w:val="0"/>
          <w:numId w:val="1619"/>
        </w:numPr>
      </w:pPr>
      <w:r>
        <w:t xml:space="preserve">Autism spectrum exclusion (M-CHAT-R/F, ADOS).</w:t>
      </w:r>
    </w:p>
    <w:p>
      <w:pPr>
        <w:pStyle w:val="Compact"/>
        <w:numPr>
          <w:ilvl w:val="0"/>
          <w:numId w:val="1619"/>
        </w:numPr>
      </w:pPr>
      <w:r>
        <w:t xml:space="preserve">Cognitive and developmental assessment.</w:t>
      </w:r>
    </w:p>
    <w:bookmarkEnd w:id="1267"/>
    <w:bookmarkStart w:id="1268" w:name="differential-diagnosis-3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Social-communication deficit, restricted-repetitive behavior; attachment behavior variable.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Uninhibited social approach, inappropriate interaction with strangers.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disability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 cognitive deficit.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Concrete traumatic event; intrusions.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component.</w:t>
            </w:r>
          </w:p>
        </w:tc>
      </w:tr>
    </w:tbl>
    <w:bookmarkEnd w:id="1268"/>
    <w:bookmarkEnd w:id="1269"/>
    <w:bookmarkStart w:id="1270" w:name="X026907ab5aefc325cd4beafc196aa1e1b16143f"/>
    <w:p>
      <w:pPr>
        <w:pStyle w:val="Heading3"/>
      </w:pPr>
      <w:r>
        <w:t xml:space="preserve">7. Examination and assessment</w:t>
      </w:r>
    </w:p>
    <w:p>
      <w:pPr>
        <w:pStyle w:val="Compact"/>
        <w:numPr>
          <w:ilvl w:val="0"/>
          <w:numId w:val="1620"/>
        </w:numPr>
      </w:pPr>
      <w:r>
        <w:t xml:space="preserve">DAI (Disturbances of Attachment Interview).</w:t>
      </w:r>
    </w:p>
    <w:p>
      <w:pPr>
        <w:pStyle w:val="Compact"/>
        <w:numPr>
          <w:ilvl w:val="0"/>
          <w:numId w:val="1620"/>
        </w:numPr>
      </w:pPr>
      <w:r>
        <w:t xml:space="preserve">Strange Situation Procedure (Ainsworth M.) — within research context.</w:t>
      </w:r>
    </w:p>
    <w:p>
      <w:pPr>
        <w:pStyle w:val="Compact"/>
        <w:numPr>
          <w:ilvl w:val="0"/>
          <w:numId w:val="1620"/>
        </w:numPr>
      </w:pPr>
      <w:r>
        <w:t xml:space="preserve">Developmental assessment (Bayley, Mullen).</w:t>
      </w:r>
    </w:p>
    <w:bookmarkEnd w:id="1270"/>
    <w:bookmarkStart w:id="1273" w:name="X6d4ca5c0c30241a9411140ed3f1e0983d03162a"/>
    <w:p>
      <w:pPr>
        <w:pStyle w:val="Heading3"/>
      </w:pPr>
      <w:r>
        <w:t xml:space="preserve">8. Treatment</w:t>
      </w:r>
    </w:p>
    <w:p>
      <w:pPr>
        <w:pStyle w:val="Compact"/>
        <w:numPr>
          <w:ilvl w:val="0"/>
          <w:numId w:val="1621"/>
        </w:numPr>
      </w:pPr>
      <w:r>
        <w:t xml:space="preserve">Provision of stable, continuous care environment — fostering, adoption; institutional environment is contraindicated.</w:t>
      </w:r>
    </w:p>
    <w:p>
      <w:pPr>
        <w:pStyle w:val="Compact"/>
        <w:numPr>
          <w:ilvl w:val="0"/>
          <w:numId w:val="1621"/>
        </w:numPr>
      </w:pPr>
      <w:r>
        <w:t xml:space="preserve">Interventions focused on carer-child interaction – Attachment and Biobehavioral Catch-up (ABC, Dozier M.), Child-Parent Psychotherapy (CPP, Lieberman A.).</w:t>
      </w:r>
    </w:p>
    <w:p>
      <w:pPr>
        <w:pStyle w:val="Compact"/>
        <w:numPr>
          <w:ilvl w:val="0"/>
          <w:numId w:val="1621"/>
        </w:numPr>
      </w:pPr>
      <w:r>
        <w:t xml:space="preserve">Trauma-focused approach — TF-CBT added in trauma context.</w:t>
      </w:r>
    </w:p>
    <w:p>
      <w:pPr>
        <w:pStyle w:val="Compact"/>
        <w:numPr>
          <w:ilvl w:val="0"/>
          <w:numId w:val="1621"/>
        </w:numPr>
      </w:pPr>
      <w:r>
        <w:t xml:space="preserve">Comorbid disorders (depression, anxiety, ADHD) treatment.</w:t>
      </w:r>
    </w:p>
    <w:p>
      <w:pPr>
        <w:pStyle w:val="Compact"/>
        <w:numPr>
          <w:ilvl w:val="0"/>
          <w:numId w:val="1621"/>
        </w:numPr>
      </w:pPr>
      <w:r>
        <w:t xml:space="preserve">Pharmacotherapy — no specific approval for RAD itself; for comorbid symptoms.</w:t>
      </w:r>
    </w:p>
    <w:p>
      <w:pPr>
        <w:pStyle w:val="Compact"/>
        <w:numPr>
          <w:ilvl w:val="0"/>
          <w:numId w:val="1621"/>
        </w:numPr>
      </w:pPr>
      <w:r>
        <w:t xml:space="preserve">“Holding therapy”, “rebirthing” — dangerous, are prohibited (child deaths have been reported; APSAC 2006 statement).</w:t>
      </w:r>
    </w:p>
    <w:bookmarkStart w:id="1271" w:name="treatment-methods-37"/>
    <w:p>
      <w:pPr>
        <w:pStyle w:val="Heading4"/>
      </w:pPr>
      <w:r>
        <w:t xml:space="preserve">8.1 Treatment methods</w:t>
      </w:r>
    </w:p>
    <w:p>
      <w:pPr>
        <w:pStyle w:val="Compact"/>
        <w:numPr>
          <w:ilvl w:val="0"/>
          <w:numId w:val="1622"/>
        </w:numPr>
      </w:pPr>
      <w:r>
        <w:t xml:space="preserve">Attachment and Biobehavioral Catch-up (ABC) — Dozier M — Parent training in 10 sessions; home-based; reinforcement of ‘nurturance’ and ‘synchronous’ interaction. Evidence: Dozier M. et al. Dev Psychopathol 2008;20(3):845–859.</w:t>
      </w:r>
    </w:p>
    <w:p>
      <w:pPr>
        <w:pStyle w:val="Compact"/>
        <w:numPr>
          <w:ilvl w:val="0"/>
          <w:numId w:val="1622"/>
        </w:numPr>
      </w:pPr>
      <w:r>
        <w:t xml:space="preserve">Child-Parent Psychotherapy (CPP) — Liberman (Lieberman A.) — For RAD against a background of trauma; 0–5 years; within the context of parent-child interaction.</w:t>
      </w:r>
    </w:p>
    <w:p>
      <w:pPr>
        <w:pStyle w:val="Compact"/>
        <w:numPr>
          <w:ilvl w:val="0"/>
          <w:numId w:val="1622"/>
        </w:numPr>
      </w:pPr>
      <w:r>
        <w:t xml:space="preserve">Disturbances of Attachment Interview (DAI) — Smyke A.T., Zeanah C.H. — 12-item clinician-administered interview.</w:t>
      </w:r>
    </w:p>
    <w:p>
      <w:pPr>
        <w:pStyle w:val="Compact"/>
        <w:numPr>
          <w:ilvl w:val="0"/>
          <w:numId w:val="1622"/>
        </w:numPr>
      </w:pPr>
      <w:r>
        <w:t xml:space="preserve">Stable care and fostering — Bucharest Early Intervention Project — significant improvement in developmental outcomes for institutionalized children with early fostering.</w:t>
      </w:r>
    </w:p>
    <w:bookmarkEnd w:id="1271"/>
    <w:bookmarkStart w:id="1272" w:name="differences-between-sources-65"/>
    <w:p>
      <w:pPr>
        <w:pStyle w:val="Heading4"/>
      </w:pPr>
      <w:r>
        <w:t xml:space="preserve">8.2 Differences between sources</w:t>
      </w:r>
    </w:p>
    <w:p>
      <w:pPr>
        <w:pStyle w:val="Compact"/>
        <w:numPr>
          <w:ilvl w:val="0"/>
          <w:numId w:val="1623"/>
        </w:numPr>
      </w:pPr>
      <w:r>
        <w:t xml:space="preserve">AACAP Practice Parameter (Zeanah C.H., Chesher T., Boris N.W. JAACAP 2016).</w:t>
      </w:r>
    </w:p>
    <w:p>
      <w:pPr>
        <w:pStyle w:val="Compact"/>
        <w:numPr>
          <w:ilvl w:val="0"/>
          <w:numId w:val="1623"/>
        </w:numPr>
      </w:pPr>
      <w:r>
        <w:t xml:space="preserve">APSAC (American Professional Society on the Abuse of Children) — ‘holding therapy’ and similar coercive methods are prohibited.</w:t>
      </w:r>
    </w:p>
    <w:p>
      <w:pPr>
        <w:pStyle w:val="Compact"/>
        <w:numPr>
          <w:ilvl w:val="0"/>
          <w:numId w:val="1623"/>
        </w:numPr>
      </w:pPr>
      <w:r>
        <w:t xml:space="preserve">The Bucharest Early Intervention Project (Nelson Science 2007) — early fostering significantly improves outcomes in institutionalized children.</w:t>
      </w:r>
    </w:p>
    <w:bookmarkEnd w:id="1272"/>
    <w:bookmarkEnd w:id="1273"/>
    <w:bookmarkStart w:id="1274" w:name="X9f8f3c9b2a600fd9e513b317e21a470a01669df"/>
    <w:p>
      <w:pPr>
        <w:pStyle w:val="Heading3"/>
      </w:pPr>
      <w:r>
        <w:t xml:space="preserve">9. Prognosis</w:t>
      </w:r>
    </w:p>
    <w:p>
      <w:pPr>
        <w:pStyle w:val="Compact"/>
        <w:numPr>
          <w:ilvl w:val="0"/>
          <w:numId w:val="1624"/>
        </w:numPr>
      </w:pPr>
      <w:r>
        <w:t xml:space="preserve">Significant improvement with early stable care and intervention.</w:t>
      </w:r>
    </w:p>
    <w:p>
      <w:pPr>
        <w:pStyle w:val="Compact"/>
        <w:numPr>
          <w:ilvl w:val="0"/>
          <w:numId w:val="1624"/>
        </w:numPr>
      </w:pPr>
      <w:r>
        <w:t xml:space="preserve">Long-term institutional deprivation — residual cognitive and emotional deficits.</w:t>
      </w:r>
    </w:p>
    <w:bookmarkEnd w:id="1274"/>
    <w:bookmarkStart w:id="1280" w:name="X6da0757bdaaa67c79d38d651c108a375537e72b"/>
    <w:p>
      <w:pPr>
        <w:pStyle w:val="Heading3"/>
      </w:pPr>
      <w:r>
        <w:t xml:space="preserve">10. Myths and misconceptions</w:t>
      </w:r>
    </w:p>
    <w:bookmarkStart w:id="1275" w:name="X0acc65af6dd2a3ca8cb829fc908819dfe18ae97"/>
    <w:p>
      <w:pPr>
        <w:pStyle w:val="Heading5"/>
      </w:pPr>
      <w:r>
        <w:t xml:space="preserve">Myth 1: “Holding therapy” and “rebirthing” cure RAD</w:t>
      </w:r>
    </w:p>
    <w:p>
      <w:pPr>
        <w:pStyle w:val="FirstParagraph"/>
      </w:pPr>
      <w:r>
        <w:t xml:space="preserve">Evidence: APSAC 2006 — these methods are not evidence-based, are harmful; Candace Newmaker’s (2000) death during ‘rebirthing’ was noted. AACAP, APSAC — absolute contraindication.</w:t>
      </w:r>
    </w:p>
    <w:bookmarkEnd w:id="1275"/>
    <w:bookmarkStart w:id="1276" w:name="Xbcaac75127a709539892e934de02fc2a64516ba"/>
    <w:p>
      <w:pPr>
        <w:pStyle w:val="Heading5"/>
      </w:pPr>
      <w:r>
        <w:t xml:space="preserve">Myth 2: “An adopted child will be ‘fixed’ with love”</w:t>
      </w:r>
    </w:p>
    <w:p>
      <w:pPr>
        <w:pStyle w:val="FirstParagraph"/>
      </w:pPr>
      <w:r>
        <w:t xml:space="preserve">Evidence: Stable loving care is important, but severe RAD requires structured intervention (ABC, CPP).</w:t>
      </w:r>
    </w:p>
    <w:bookmarkEnd w:id="1276"/>
    <w:bookmarkStart w:id="1277" w:name="myth-3-rad-is-a-form-of-autism"/>
    <w:p>
      <w:pPr>
        <w:pStyle w:val="Heading5"/>
      </w:pPr>
      <w:r>
        <w:t xml:space="preserve">Myth 3: “RAD is a form of autism”</w:t>
      </w:r>
    </w:p>
    <w:p>
      <w:pPr>
        <w:pStyle w:val="FirstParagraph"/>
      </w:pPr>
      <w:r>
        <w:t xml:space="preserve">Evidence: Reactive attachment disorder is psychosocial deprivation-based; autism is a neurodevelopmental disorder. In stable care, reactive attachment disorder significantly improves, autism does not.</w:t>
      </w:r>
    </w:p>
    <w:bookmarkEnd w:id="1277"/>
    <w:bookmarkStart w:id="1278" w:name="Xfa4fb652d1c249bc82f5dc5aa0c692671ae9a4f"/>
    <w:p>
      <w:pPr>
        <w:pStyle w:val="Heading5"/>
      </w:pPr>
      <w:r>
        <w:t xml:space="preserve">Myth 4: “The patient is ‘manipulative’ and requires strict discipline”</w:t>
      </w:r>
    </w:p>
    <w:p>
      <w:pPr>
        <w:pStyle w:val="FirstParagraph"/>
      </w:pPr>
      <w:r>
        <w:t xml:space="preserve">Evidence: Clinical manifestations of RAD result from impairment of the attachment system and are not manipulative; a punitive approach exacerbates symptoms.</w:t>
      </w:r>
    </w:p>
    <w:bookmarkEnd w:id="1278"/>
    <w:bookmarkStart w:id="1279" w:name="Xecbbce7107dd349593a68e36d2606d8681a5d7b"/>
    <w:p>
      <w:pPr>
        <w:pStyle w:val="Heading5"/>
      </w:pPr>
      <w:r>
        <w:t xml:space="preserve">Myth 5: “Only antipsychotics or stimulants are effective for RAD”</w:t>
      </w:r>
    </w:p>
    <w:p>
      <w:pPr>
        <w:pStyle w:val="FirstParagraph"/>
      </w:pPr>
      <w:r>
        <w:t xml:space="preserve">Evidence: There is no specific FDA-approved medication for RAD; environmental changes and psychosocial intervention are first-line.</w:t>
      </w:r>
    </w:p>
    <w:bookmarkEnd w:id="1279"/>
    <w:bookmarkEnd w:id="1280"/>
    <w:bookmarkStart w:id="2969" w:name="Xb430f6861ad6a04e4fd49f4b60d6b6faec3d196"/>
    <w:p>
      <w:pPr>
        <w:pStyle w:val="Heading3"/>
      </w:pPr>
      <w:r>
        <w:t xml:space="preserve">11. Sources</w:t>
      </w:r>
    </w:p>
    <w:p>
      <w:pPr>
        <w:pStyle w:val="Compact"/>
        <w:numPr>
          <w:ilvl w:val="0"/>
          <w:numId w:val="1625"/>
        </w:numPr>
      </w:pPr>
      <w:r>
        <w:t xml:space="preserve">WHO. ICD-11. 6B44 Reactive attachment disorder. 2024.</w:t>
      </w:r>
    </w:p>
    <w:p>
      <w:pPr>
        <w:pStyle w:val="Compact"/>
        <w:numPr>
          <w:ilvl w:val="0"/>
          <w:numId w:val="1625"/>
        </w:numPr>
      </w:pPr>
      <w:r>
        <w:t xml:space="preserve">APA. DSM-5-TR. 2022.</w:t>
      </w:r>
    </w:p>
    <w:p>
      <w:pPr>
        <w:pStyle w:val="Compact"/>
        <w:numPr>
          <w:ilvl w:val="0"/>
          <w:numId w:val="1625"/>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25"/>
        </w:numPr>
      </w:pPr>
      <w:r>
        <w:t xml:space="preserve">Nelson C.A., Zeanah C.H., Fox N.A. et al. Cognitive recovery in socially deprived young children: the Bucharest Early Intervention Project. Science 2007;318(5858):1937–1940.</w:t>
      </w:r>
    </w:p>
    <w:p>
      <w:pPr>
        <w:pStyle w:val="Compact"/>
        <w:numPr>
          <w:ilvl w:val="0"/>
          <w:numId w:val="1625"/>
        </w:numPr>
      </w:pPr>
      <w:r>
        <w:t xml:space="preserve">Dozier M. et al. Effects of an attachment-based intervention on the cortisol production of infants and toddlers in foster care. Dev Psychopathol 2008;20(3):845–859.</w:t>
      </w:r>
    </w:p>
    <w:p>
      <w:pPr>
        <w:pStyle w:val="Compact"/>
        <w:numPr>
          <w:ilvl w:val="0"/>
          <w:numId w:val="1625"/>
        </w:numPr>
      </w:pPr>
      <w:r>
        <w:t xml:space="preserve">APSAC Task Force Report on Attachment Therapy, Reactive Attachment Disorder, and Attachment Problems. American Professional Society on the Abuse of Children; 2006.</w:t>
      </w:r>
    </w:p>
    <w:p>
      <w:pPr>
        <w:pStyle w:val="Compact"/>
        <w:numPr>
          <w:ilvl w:val="0"/>
          <w:numId w:val="1625"/>
        </w:numPr>
      </w:pPr>
      <w:r>
        <w:t xml:space="preserve">Ainsworth M.D.S., Blehar M.C., Waters E., Wall S. Patterns of Attachment: A Psychological Study of the Strange Situation. Hillsdale: Erlbaum, 1978.</w:t>
      </w:r>
    </w:p>
    <w:p>
      <w:pPr>
        <w:pStyle w:val="Compact"/>
        <w:numPr>
          <w:ilvl w:val="0"/>
          <w:numId w:val="1625"/>
        </w:numPr>
      </w:pPr>
      <w:r>
        <w:t xml:space="preserve">Lieberman A.F., Van Horn P. Psychotherapy with Infants and Young Children: Repairing the Effects of Stress and Trauma on Early Attachment. New York: Guilford Press, 2008.</w:t>
      </w:r>
    </w:p>
    <w:p>
      <w:pPr>
        <w:pStyle w:val="Compact"/>
        <w:numPr>
          <w:ilvl w:val="0"/>
          <w:numId w:val="1625"/>
        </w:numPr>
      </w:pPr>
      <w:r>
        <w:t xml:space="preserve">Smyke A.T., Dumitrescu A., Zeanah C.H. Attachment disturbances in young children. I: The continuum of caretaking casualty. J Am Acad Child Adolesc Psychiatry 2002;41(8):972–982.</w:t>
      </w:r>
    </w:p>
    <w:p>
      <w:pPr>
        <w:pStyle w:val="Compact"/>
        <w:numPr>
          <w:ilvl w:val="0"/>
          <w:numId w:val="1625"/>
        </w:numPr>
      </w:pPr>
      <w:r>
        <w:t xml:space="preserve">Gleason M.M., Fox N.A., Drury S. et al. Validity of evidence-derived criteria for reactive attachment disorder: indiscriminately social/disinhibited and emotionally withdrawn/inhibited types. J Am Acad Child Adolesc Psychiatry 2011;50(3):216–231.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281" w:name="Xa96921a371ca7cec0620825f6a5b4dd8aa88a10"/>
            <w:r>
              <w:t xml:space="preserve">6B45 DISINHIBITED SOCIAL ENGAGEMENT DISORDER</w:t>
            </w:r>
            <w:bookmarkEnd w:id="1281"/>
          </w:p>
          <w:p>
            <w:pPr>
              <w:pStyle w:val="Compact"/>
              <w:ind w:firstLine="0" w:left="0"/>
            </w:pPr>
            <w:r>
              <w:rPr>
                <w:lang w:val="en"/>
              </w:rPr>
              <w:t xml:space="preserve">Disinhibited social engagement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Disinhibited attachment disorder of childhood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Disinhibited Social Engagement Disorder</w:t>
            </w:r>
          </w:p>
        </w:tc>
      </w:tr>
    </w:tbl>
    <w:bookmarkStart w:id="1282" w:name="X2b5a5b4585d50c33416a37ca311fb5cd617bc97"/>
    <w:p>
      <w:pPr>
        <w:pStyle w:val="Heading3"/>
      </w:pPr>
      <w:r>
        <w:t xml:space="preserve">1. Definition and nosology</w:t>
      </w:r>
    </w:p>
    <w:p>
      <w:pPr>
        <w:pStyle w:val="FirstParagraph"/>
      </w:pPr>
      <w:r>
        <w:t xml:space="preserve">Disinhibited Social Engagement Disorder (ICD-11:</w:t>
      </w:r>
      <w:r>
        <w:t xml:space="preserve"> </w:t>
      </w:r>
      <w:r>
        <w:t xml:space="preserve">6B45</w:t>
      </w:r>
      <w:r>
        <w:t xml:space="preserve">; DSM-5-TR: F94.2 Disinhibited Social Engagement Disorder, DSED) — excessive and inappropriate friendliness toward strangers in a child, with approach or departure behavior without caution — resulting from early psychosocial deprivation (institutionalization, multiple placements).</w:t>
      </w:r>
    </w:p>
    <w:p>
      <w:pPr>
        <w:pStyle w:val="BodyText"/>
      </w:pPr>
      <w:r>
        <w:t xml:space="preserve">It shares the same etiological root as RAD but presents with an opposite clinical manifestation — unrestricted approach instead of withdrawal.</w:t>
      </w:r>
    </w:p>
    <w:bookmarkEnd w:id="1282"/>
    <w:bookmarkStart w:id="1283" w:name="Xcc418482153def494012caffd486b6df363c187"/>
    <w:p>
      <w:pPr>
        <w:pStyle w:val="Heading3"/>
      </w:pPr>
      <w:r>
        <w:t xml:space="preserve">2. History</w:t>
      </w:r>
    </w:p>
    <w:p>
      <w:pPr>
        <w:pStyle w:val="Compact"/>
        <w:numPr>
          <w:ilvl w:val="0"/>
          <w:numId w:val="1626"/>
        </w:numPr>
      </w:pPr>
      <w:r>
        <w:t xml:space="preserve">DSM-IV (1994) — ‘Reactive Attachment Disorder, Disinhibited Type’.</w:t>
      </w:r>
    </w:p>
    <w:p>
      <w:pPr>
        <w:pStyle w:val="Compact"/>
        <w:numPr>
          <w:ilvl w:val="0"/>
          <w:numId w:val="1626"/>
        </w:numPr>
      </w:pPr>
      <w:r>
        <w:t xml:space="preserve">DSM-5 (2013) — “Disinhibited Social Engagement Disorder” added as a separate diagnosis.</w:t>
      </w:r>
    </w:p>
    <w:p>
      <w:pPr>
        <w:pStyle w:val="Compact"/>
        <w:numPr>
          <w:ilvl w:val="0"/>
          <w:numId w:val="1626"/>
        </w:numPr>
      </w:pPr>
      <w:r>
        <w:t xml:space="preserve">ICD-11 (2019) — parallel.</w:t>
      </w:r>
    </w:p>
    <w:bookmarkEnd w:id="1283"/>
    <w:bookmarkStart w:id="1284" w:name="Xc2ef3dd350954172a37a44123690ad6d03f8f18"/>
    <w:p>
      <w:pPr>
        <w:pStyle w:val="Heading3"/>
      </w:pPr>
      <w:r>
        <w:t xml:space="preserve">3. Epidemiology</w:t>
      </w:r>
    </w:p>
    <w:p>
      <w:pPr>
        <w:pStyle w:val="Compact"/>
        <w:numPr>
          <w:ilvl w:val="0"/>
          <w:numId w:val="1627"/>
        </w:numPr>
      </w:pPr>
      <w:r>
        <w:t xml:space="preserve">Rare in the general population; in institutionalized children 20%, in foster children 10–15%.</w:t>
      </w:r>
    </w:p>
    <w:p>
      <w:pPr>
        <w:pStyle w:val="Compact"/>
        <w:numPr>
          <w:ilvl w:val="0"/>
          <w:numId w:val="1627"/>
        </w:numPr>
      </w:pPr>
      <w:r>
        <w:t xml:space="preserve">Onset before age 5.</w:t>
      </w:r>
    </w:p>
    <w:p>
      <w:pPr>
        <w:pStyle w:val="Compact"/>
        <w:numPr>
          <w:ilvl w:val="0"/>
          <w:numId w:val="1627"/>
        </w:numPr>
      </w:pPr>
      <w:r>
        <w:t xml:space="preserve">Significant reduction with early fostering (Bucharest Early Intervention Project), but unlike RAD, DSED sometimes persists even in stable care environments.</w:t>
      </w:r>
    </w:p>
    <w:bookmarkEnd w:id="1284"/>
    <w:bookmarkStart w:id="1285" w:name="X8d4059fc39cac9a0894be9610aa7c48b48d85f4"/>
    <w:p>
      <w:pPr>
        <w:pStyle w:val="Heading3"/>
      </w:pPr>
      <w:r>
        <w:t xml:space="preserve">4. Aetiology and pathogenesis</w:t>
      </w:r>
    </w:p>
    <w:p>
      <w:pPr>
        <w:pStyle w:val="Compact"/>
        <w:numPr>
          <w:ilvl w:val="0"/>
          <w:numId w:val="1628"/>
        </w:numPr>
      </w:pPr>
      <w:r>
        <w:t xml:space="preserve">Severe psychosocial deprivation — same as RAD.</w:t>
      </w:r>
    </w:p>
    <w:p>
      <w:pPr>
        <w:pStyle w:val="Compact"/>
        <w:numPr>
          <w:ilvl w:val="0"/>
          <w:numId w:val="1628"/>
        </w:numPr>
      </w:pPr>
      <w:r>
        <w:t xml:space="preserve">Institutional environment with multiple caregiver rotation — formation of ‘promiscuous attachment’.</w:t>
      </w:r>
    </w:p>
    <w:bookmarkEnd w:id="1285"/>
    <w:bookmarkStart w:id="1286" w:name="X433e5816721251228e8a147eaae19fb5123a147"/>
    <w:p>
      <w:pPr>
        <w:pStyle w:val="Heading3"/>
      </w:pPr>
      <w:r>
        <w:t xml:space="preserve">5. Clinical features</w:t>
      </w:r>
    </w:p>
    <w:p>
      <w:pPr>
        <w:pStyle w:val="Compact"/>
        <w:numPr>
          <w:ilvl w:val="0"/>
          <w:numId w:val="1629"/>
        </w:numPr>
      </w:pPr>
      <w:r>
        <w:t xml:space="preserve">Open approach to strangers, going with them without caution.</w:t>
      </w:r>
    </w:p>
    <w:p>
      <w:pPr>
        <w:pStyle w:val="Compact"/>
        <w:numPr>
          <w:ilvl w:val="0"/>
          <w:numId w:val="1629"/>
        </w:numPr>
      </w:pPr>
      <w:r>
        <w:t xml:space="preserve">Reckless physical closeness (hugging, sitting).</w:t>
      </w:r>
    </w:p>
    <w:p>
      <w:pPr>
        <w:pStyle w:val="Compact"/>
        <w:numPr>
          <w:ilvl w:val="0"/>
          <w:numId w:val="1629"/>
        </w:numPr>
      </w:pPr>
      <w:r>
        <w:t xml:space="preserve">Reduced checking-back with the caregiver during interactions with strangers.</w:t>
      </w:r>
    </w:p>
    <w:p>
      <w:pPr>
        <w:pStyle w:val="Compact"/>
        <w:numPr>
          <w:ilvl w:val="0"/>
          <w:numId w:val="1629"/>
        </w:numPr>
      </w:pPr>
      <w:r>
        <w:t xml:space="preserve">Absence of stranger danger perception.</w:t>
      </w:r>
    </w:p>
    <w:p>
      <w:pPr>
        <w:pStyle w:val="Compact"/>
        <w:numPr>
          <w:ilvl w:val="0"/>
          <w:numId w:val="1629"/>
        </w:numPr>
      </w:pPr>
      <w:r>
        <w:t xml:space="preserve">Academic and social impairment.</w:t>
      </w:r>
    </w:p>
    <w:bookmarkEnd w:id="1286"/>
    <w:bookmarkStart w:id="1291" w:name="X532f73ad18e6c7b27fee5ca222bbb3d0803f0b2"/>
    <w:p>
      <w:pPr>
        <w:pStyle w:val="Heading3"/>
      </w:pPr>
      <w:r>
        <w:t xml:space="preserve">6. Diagnosis</w:t>
      </w:r>
    </w:p>
    <w:bookmarkStart w:id="1287" w:name="unified-diagnostic-criteria-19"/>
    <w:p>
      <w:pPr>
        <w:pStyle w:val="Heading4"/>
      </w:pPr>
      <w:r>
        <w:t xml:space="preserve">6.1 Unified diagnostic criteria</w:t>
      </w:r>
    </w:p>
    <w:p>
      <w:pPr>
        <w:pStyle w:val="FirstParagraph"/>
      </w:pPr>
      <w:r>
        <w:t xml:space="preserve">A. Inappropriately open, friendly behavior with strangers — ≥2 of the following:</w:t>
      </w:r>
    </w:p>
    <w:p>
      <w:pPr>
        <w:pStyle w:val="Compact"/>
        <w:numPr>
          <w:ilvl w:val="0"/>
          <w:numId w:val="1630"/>
        </w:numPr>
      </w:pPr>
      <w:r>
        <w:t xml:space="preserve">Reduced or no caution in approaching strangers;</w:t>
      </w:r>
    </w:p>
    <w:p>
      <w:pPr>
        <w:pStyle w:val="Compact"/>
        <w:numPr>
          <w:ilvl w:val="0"/>
          <w:numId w:val="1630"/>
        </w:numPr>
      </w:pPr>
      <w:r>
        <w:t xml:space="preserve">Physical or verbal intimacy inappropriate for culture or age;</w:t>
      </w:r>
    </w:p>
    <w:p>
      <w:pPr>
        <w:pStyle w:val="Compact"/>
        <w:numPr>
          <w:ilvl w:val="0"/>
          <w:numId w:val="1630"/>
        </w:numPr>
      </w:pPr>
      <w:r>
        <w:t xml:space="preserve">Reduced checking-seeking behavior for caregiver in unfamiliar place;</w:t>
      </w:r>
    </w:p>
    <w:p>
      <w:pPr>
        <w:pStyle w:val="Compact"/>
        <w:numPr>
          <w:ilvl w:val="0"/>
          <w:numId w:val="1630"/>
        </w:numPr>
      </w:pPr>
      <w:r>
        <w:t xml:space="preserve">Minimal or no caution about going with strangers.</w:t>
      </w:r>
    </w:p>
    <w:p>
      <w:pPr>
        <w:pStyle w:val="FirstParagraph"/>
      </w:pPr>
      <w:r>
        <w:t xml:space="preserve">B. Behaviors are not limited to impulsivity (ADHD) — social engagement component is evident</w:t>
      </w:r>
    </w:p>
    <w:p>
      <w:pPr>
        <w:pStyle w:val="BodyText"/>
      </w:pPr>
      <w:r>
        <w:t xml:space="preserve">C. Early severe care disorder — neglect, multiple placement changes, institutionalism.</w:t>
      </w:r>
    </w:p>
    <w:p>
      <w:pPr>
        <w:pStyle w:val="BodyText"/>
      </w:pPr>
      <w:r>
        <w:t xml:space="preserve">D. Child's developmental age ≥ 9 months.</w:t>
      </w:r>
    </w:p>
    <w:bookmarkEnd w:id="1287"/>
    <w:bookmarkStart w:id="1288" w:name="differences-between-sources-66"/>
    <w:p>
      <w:pPr>
        <w:pStyle w:val="Heading4"/>
      </w:pPr>
      <w:r>
        <w:t xml:space="preserve">6.2 Differences between sources</w:t>
      </w:r>
    </w:p>
    <w:p>
      <w:pPr>
        <w:pStyle w:val="Compact"/>
        <w:numPr>
          <w:ilvl w:val="0"/>
          <w:numId w:val="1631"/>
        </w:numPr>
      </w:pPr>
      <w:r>
        <w:t xml:space="preserve">DSM-5-TR / ICD-11 — same criteria; DSED separate from RAD.</w:t>
      </w:r>
    </w:p>
    <w:p>
      <w:pPr>
        <w:pStyle w:val="Compact"/>
        <w:numPr>
          <w:ilvl w:val="0"/>
          <w:numId w:val="1631"/>
        </w:numPr>
      </w:pPr>
      <w:r>
        <w:t xml:space="preserve">Developmental level by age must be considered — normal social interest in young children should not be confused with DSED.</w:t>
      </w:r>
    </w:p>
    <w:bookmarkEnd w:id="1288"/>
    <w:bookmarkStart w:id="1289" w:name="diagnostic-algorithm-38"/>
    <w:p>
      <w:pPr>
        <w:pStyle w:val="Heading4"/>
      </w:pPr>
      <w:r>
        <w:t xml:space="preserve">6.3 Diagnostic algorithm</w:t>
      </w:r>
    </w:p>
    <w:p>
      <w:pPr>
        <w:pStyle w:val="Compact"/>
        <w:numPr>
          <w:ilvl w:val="0"/>
          <w:numId w:val="1632"/>
        </w:numPr>
      </w:pPr>
      <w:r>
        <w:t xml:space="preserve">Interview and observation — child's interaction with strangers.</w:t>
      </w:r>
    </w:p>
    <w:p>
      <w:pPr>
        <w:pStyle w:val="Compact"/>
        <w:numPr>
          <w:ilvl w:val="0"/>
          <w:numId w:val="1632"/>
        </w:numPr>
      </w:pPr>
      <w:r>
        <w:t xml:space="preserve">Care history.</w:t>
      </w:r>
    </w:p>
    <w:p>
      <w:pPr>
        <w:pStyle w:val="Compact"/>
        <w:numPr>
          <w:ilvl w:val="0"/>
          <w:numId w:val="1632"/>
        </w:numPr>
      </w:pPr>
      <w:r>
        <w:t xml:space="preserve">DAI (Disturbances of Attachment Interview).</w:t>
      </w:r>
    </w:p>
    <w:p>
      <w:pPr>
        <w:pStyle w:val="Compact"/>
        <w:numPr>
          <w:ilvl w:val="0"/>
          <w:numId w:val="1632"/>
        </w:numPr>
      </w:pPr>
      <w:r>
        <w:t xml:space="preserve">Comorbidity screening (ADHD, autism).</w:t>
      </w:r>
    </w:p>
    <w:bookmarkEnd w:id="1289"/>
    <w:bookmarkStart w:id="1290" w:name="differential-diagnosis-3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Withdrawal, no attachment; open approach in DSED.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Impulsivity, but no social engagement component.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Social-communicative deficit.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Williams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Genetic; “hypersociability” + specific physical features.</w:t>
            </w:r>
          </w:p>
        </w:tc>
      </w:tr>
    </w:tbl>
    <w:bookmarkEnd w:id="1290"/>
    <w:bookmarkEnd w:id="1291"/>
    <w:bookmarkStart w:id="1292" w:name="Xbe108575cb5a461a5a2451dfe2a6154685167be"/>
    <w:p>
      <w:pPr>
        <w:pStyle w:val="Heading3"/>
      </w:pPr>
      <w:r>
        <w:t xml:space="preserve">7. Examination and assessment</w:t>
      </w:r>
    </w:p>
    <w:p>
      <w:pPr>
        <w:pStyle w:val="Compact"/>
        <w:numPr>
          <w:ilvl w:val="0"/>
          <w:numId w:val="1633"/>
        </w:numPr>
      </w:pPr>
      <w:r>
        <w:t xml:space="preserve">DAI.</w:t>
      </w:r>
    </w:p>
    <w:p>
      <w:pPr>
        <w:pStyle w:val="Compact"/>
        <w:numPr>
          <w:ilvl w:val="0"/>
          <w:numId w:val="1633"/>
        </w:numPr>
      </w:pPr>
      <w:r>
        <w:t xml:space="preserve">Observation in unfamiliar environment.</w:t>
      </w:r>
    </w:p>
    <w:p>
      <w:pPr>
        <w:pStyle w:val="Compact"/>
        <w:numPr>
          <w:ilvl w:val="0"/>
          <w:numId w:val="1633"/>
        </w:numPr>
      </w:pPr>
      <w:r>
        <w:t xml:space="preserve">Williams syndrome genetic test (FISH 7q11.23) — if suspected.</w:t>
      </w:r>
    </w:p>
    <w:bookmarkEnd w:id="1292"/>
    <w:bookmarkStart w:id="1295" w:name="X0f8b38aa6ebd0c2448dec53d21f130229d16397"/>
    <w:p>
      <w:pPr>
        <w:pStyle w:val="Heading3"/>
      </w:pPr>
      <w:r>
        <w:t xml:space="preserve">8. Treatment</w:t>
      </w:r>
    </w:p>
    <w:p>
      <w:pPr>
        <w:pStyle w:val="Compact"/>
        <w:numPr>
          <w:ilvl w:val="0"/>
          <w:numId w:val="1634"/>
        </w:numPr>
      </w:pPr>
      <w:r>
        <w:t xml:space="preserve">Stable care environment.</w:t>
      </w:r>
    </w:p>
    <w:p>
      <w:pPr>
        <w:pStyle w:val="Compact"/>
        <w:numPr>
          <w:ilvl w:val="0"/>
          <w:numId w:val="1634"/>
        </w:numPr>
      </w:pPr>
      <w:r>
        <w:t xml:space="preserve">Parent training — developing a “safe base” concept for the child; ABC programs.</w:t>
      </w:r>
    </w:p>
    <w:p>
      <w:pPr>
        <w:pStyle w:val="Compact"/>
        <w:numPr>
          <w:ilvl w:val="0"/>
          <w:numId w:val="1634"/>
        </w:numPr>
      </w:pPr>
      <w:r>
        <w:t xml:space="preserve">Teaching appropriate distance with strangers.</w:t>
      </w:r>
    </w:p>
    <w:p>
      <w:pPr>
        <w:pStyle w:val="Compact"/>
        <w:numPr>
          <w:ilvl w:val="0"/>
          <w:numId w:val="1634"/>
        </w:numPr>
      </w:pPr>
      <w:r>
        <w:t xml:space="preserve">Comorbidity treatment (ADHD).</w:t>
      </w:r>
    </w:p>
    <w:p>
      <w:pPr>
        <w:pStyle w:val="Compact"/>
        <w:numPr>
          <w:ilvl w:val="0"/>
          <w:numId w:val="1634"/>
        </w:numPr>
      </w:pPr>
      <w:r>
        <w:t xml:space="preserve">Community and school staff coordination — child safety.</w:t>
      </w:r>
    </w:p>
    <w:p>
      <w:pPr>
        <w:pStyle w:val="Compact"/>
        <w:numPr>
          <w:ilvl w:val="0"/>
          <w:numId w:val="1634"/>
        </w:numPr>
      </w:pPr>
      <w:r>
        <w:t xml:space="preserve">There is no specific pharmacotherapy; it is for comorbid symptoms.</w:t>
      </w:r>
    </w:p>
    <w:bookmarkStart w:id="1293" w:name="treatment-methods-38"/>
    <w:p>
      <w:pPr>
        <w:pStyle w:val="Heading4"/>
      </w:pPr>
      <w:r>
        <w:t xml:space="preserve">8.1 Treatment methods</w:t>
      </w:r>
    </w:p>
    <w:p>
      <w:pPr>
        <w:pStyle w:val="Compact"/>
        <w:numPr>
          <w:ilvl w:val="0"/>
          <w:numId w:val="1635"/>
        </w:numPr>
      </w:pPr>
      <w:r>
        <w:t xml:space="preserve">Attachment and Biobehavioral Catch-up (ABC) — Dozier M — Also used for RAD; in DSED strengthening caregiver-child synchronization.</w:t>
      </w:r>
    </w:p>
    <w:p>
      <w:pPr>
        <w:pStyle w:val="Compact"/>
        <w:numPr>
          <w:ilvl w:val="0"/>
          <w:numId w:val="1635"/>
        </w:numPr>
      </w:pPr>
      <w:r>
        <w:t xml:space="preserve">Safety training — Teaching child appropriate distance from strangers; reinforcement of caregiver-checking behavior.</w:t>
      </w:r>
    </w:p>
    <w:p>
      <w:pPr>
        <w:pStyle w:val="Compact"/>
        <w:numPr>
          <w:ilvl w:val="0"/>
          <w:numId w:val="1635"/>
        </w:numPr>
      </w:pPr>
      <w:r>
        <w:t xml:space="preserve">DAI — In differentiation between RAD and DSED.</w:t>
      </w:r>
    </w:p>
    <w:bookmarkEnd w:id="1293"/>
    <w:bookmarkStart w:id="1294" w:name="differences-between-sources-67"/>
    <w:p>
      <w:pPr>
        <w:pStyle w:val="Heading4"/>
      </w:pPr>
      <w:r>
        <w:t xml:space="preserve">8.2 Differences between sources</w:t>
      </w:r>
    </w:p>
    <w:p>
      <w:pPr>
        <w:pStyle w:val="Compact"/>
        <w:numPr>
          <w:ilvl w:val="0"/>
          <w:numId w:val="1636"/>
        </w:numPr>
      </w:pPr>
      <w:r>
        <w:t xml:space="preserve">AACAP 2016 — same guidance as for RAD.</w:t>
      </w:r>
    </w:p>
    <w:p>
      <w:pPr>
        <w:pStyle w:val="Compact"/>
        <w:numPr>
          <w:ilvl w:val="0"/>
          <w:numId w:val="1636"/>
        </w:numPr>
      </w:pPr>
      <w:r>
        <w:t xml:space="preserve">DSED, unlike RAD, can persist even in a stable environment — long-term follow-up.</w:t>
      </w:r>
    </w:p>
    <w:bookmarkEnd w:id="1294"/>
    <w:bookmarkEnd w:id="1295"/>
    <w:bookmarkStart w:id="1296" w:name="Xc4d0f010582f9ecb4f747024209ed2322a1c7f0"/>
    <w:p>
      <w:pPr>
        <w:pStyle w:val="Heading3"/>
      </w:pPr>
      <w:r>
        <w:t xml:space="preserve">9. Prognosis</w:t>
      </w:r>
    </w:p>
    <w:p>
      <w:pPr>
        <w:pStyle w:val="Compact"/>
        <w:numPr>
          <w:ilvl w:val="0"/>
          <w:numId w:val="1637"/>
        </w:numPr>
      </w:pPr>
      <w:r>
        <w:t xml:space="preserve">With stable care and intervention, improvement occurs; however, DSED sometimes persists long-term.</w:t>
      </w:r>
    </w:p>
    <w:p>
      <w:pPr>
        <w:pStyle w:val="Compact"/>
        <w:numPr>
          <w:ilvl w:val="0"/>
          <w:numId w:val="1637"/>
        </w:numPr>
      </w:pPr>
      <w:r>
        <w:t xml:space="preserve">Impulsive behaviors and risks of abuse can persist into adulthood.</w:t>
      </w:r>
    </w:p>
    <w:bookmarkEnd w:id="1296"/>
    <w:bookmarkStart w:id="1302" w:name="X1b649bc16825048bcefa9d80511ac82e6c91b46"/>
    <w:p>
      <w:pPr>
        <w:pStyle w:val="Heading3"/>
      </w:pPr>
      <w:r>
        <w:t xml:space="preserve">10. Myths and misconceptions</w:t>
      </w:r>
    </w:p>
    <w:bookmarkStart w:id="1297" w:name="X5945a52684b0887418a7af4bb8acca6fdf2379e"/>
    <w:p>
      <w:pPr>
        <w:pStyle w:val="Heading5"/>
      </w:pPr>
      <w:r>
        <w:t xml:space="preserve">Myth 1: “An open, friendly child is a positive trait, not a disorder”</w:t>
      </w:r>
    </w:p>
    <w:p>
      <w:pPr>
        <w:pStyle w:val="FirstParagraph"/>
      </w:pPr>
      <w:r>
        <w:t xml:space="preserve">Evidence: appropriate social distance is sign of developmental stage; in DSED absence of boundaries increases child's abuse risk.</w:t>
      </w:r>
    </w:p>
    <w:bookmarkEnd w:id="1297"/>
    <w:bookmarkStart w:id="1298" w:name="X2a9bfb624408d1f298af4bd07460a2d0f76598f"/>
    <w:p>
      <w:pPr>
        <w:pStyle w:val="Heading5"/>
      </w:pPr>
      <w:r>
        <w:t xml:space="preserve">Myth 2: “DSED resolves quickly in stable care”</w:t>
      </w:r>
    </w:p>
    <w:p>
      <w:pPr>
        <w:pStyle w:val="FirstParagraph"/>
      </w:pPr>
      <w:r>
        <w:t xml:space="preserve">Evidence: In contrast to RAD, DSED sometimes persists even in a stable environment (Bucharest study); long-term intervention is required.</w:t>
      </w:r>
    </w:p>
    <w:bookmarkEnd w:id="1298"/>
    <w:bookmarkStart w:id="1299" w:name="myth-3-dsed-is-a-mild-form-of-autism"/>
    <w:p>
      <w:pPr>
        <w:pStyle w:val="Heading5"/>
      </w:pPr>
      <w:r>
        <w:t xml:space="preserve">Myth 3: “DSED is a ‘mild form’ of autism”</w:t>
      </w:r>
    </w:p>
    <w:p>
      <w:pPr>
        <w:pStyle w:val="FirstParagraph"/>
      </w:pPr>
      <w:r>
        <w:t xml:space="preserve">Evidence: distinct disorder; etiology psychosocial deprivation; clinical manifestations opposite (social withdrawal in autism, disinhibited approach in DSED).</w:t>
      </w:r>
    </w:p>
    <w:bookmarkEnd w:id="1299"/>
    <w:bookmarkStart w:id="1300" w:name="X1434bfcea04168353a72a5fccda7bc0be2f4e60"/>
    <w:p>
      <w:pPr>
        <w:pStyle w:val="Heading5"/>
      </w:pPr>
      <w:r>
        <w:t xml:space="preserve">Myth 4: “You can ‘fix’ a child with punishment”</w:t>
      </w:r>
    </w:p>
    <w:p>
      <w:pPr>
        <w:pStyle w:val="FirstParagraph"/>
      </w:pPr>
      <w:r>
        <w:t xml:space="preserve">Evidence: Punishment exacerbates the disorder and has a traumatic effect; a positive attachment-based approach is recommended.</w:t>
      </w:r>
    </w:p>
    <w:bookmarkEnd w:id="1300"/>
    <w:bookmarkStart w:id="1301" w:name="X9653a3d6c67010d5e06dc3dce095b172898e45c"/>
    <w:p>
      <w:pPr>
        <w:pStyle w:val="Heading5"/>
      </w:pPr>
      <w:r>
        <w:t xml:space="preserve">Myth 5: “Williams syndrome and DSED are the same”</w:t>
      </w:r>
    </w:p>
    <w:p>
      <w:pPr>
        <w:pStyle w:val="FirstParagraph"/>
      </w:pPr>
      <w:r>
        <w:t xml:space="preserve">Evidence: Williams syndrome genetic (7q11.23 deletion), specific physical and cognitive profile; “hypersociability” is present but it is a distinct neurobiological and etiological disorder.</w:t>
      </w:r>
    </w:p>
    <w:bookmarkEnd w:id="1301"/>
    <w:bookmarkEnd w:id="1302"/>
    <w:bookmarkStart w:id="1303" w:name="X5cc64139e8fff073a42003fcbf04c0f54fb700c"/>
    <w:p>
      <w:pPr>
        <w:pStyle w:val="Heading3"/>
      </w:pPr>
      <w:r>
        <w:t xml:space="preserve">11. Sources</w:t>
      </w:r>
    </w:p>
    <w:p>
      <w:pPr>
        <w:pStyle w:val="Compact"/>
        <w:numPr>
          <w:ilvl w:val="0"/>
          <w:numId w:val="1638"/>
        </w:numPr>
      </w:pPr>
      <w:r>
        <w:t xml:space="preserve">WHO. ICD-11. 6B45 Disinhibited social engagement disorder. 2024.</w:t>
      </w:r>
    </w:p>
    <w:p>
      <w:pPr>
        <w:pStyle w:val="Compact"/>
        <w:numPr>
          <w:ilvl w:val="0"/>
          <w:numId w:val="1638"/>
        </w:numPr>
      </w:pPr>
      <w:r>
        <w:t xml:space="preserve">APA. DSM-5-TR. 2022.</w:t>
      </w:r>
    </w:p>
    <w:p>
      <w:pPr>
        <w:pStyle w:val="Compact"/>
        <w:numPr>
          <w:ilvl w:val="0"/>
          <w:numId w:val="1638"/>
        </w:numPr>
      </w:pPr>
      <w:r>
        <w:t xml:space="preserve">Zeanah C.H. et al. AACAP Practice Parameter. JAACAP 2016;55(11):990–1003.</w:t>
      </w:r>
    </w:p>
    <w:p>
      <w:pPr>
        <w:pStyle w:val="Compact"/>
        <w:numPr>
          <w:ilvl w:val="0"/>
          <w:numId w:val="1638"/>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38"/>
        </w:numPr>
      </w:pPr>
      <w:r>
        <w:t xml:space="preserve">Nelson C.A. et al. Bucharest Early Intervention Project. Science 2007;318(5858):1937–1940.</w:t>
      </w:r>
    </w:p>
    <w:p>
      <w:pPr>
        <w:pStyle w:val="Compact"/>
        <w:numPr>
          <w:ilvl w:val="0"/>
          <w:numId w:val="1638"/>
        </w:numPr>
      </w:pPr>
      <w:r>
        <w:t xml:space="preserve">Dozier M., Bernard K. Attachment and biobehavioral catch-up: addressing the needs of infants and toddlers exposed to inadequate or problematic caregiving. Curr Opin Psychol 2017;15:111–117.</w:t>
      </w:r>
    </w:p>
    <w:bookmarkEnd w:id="1303"/>
    <w:bookmarkStart w:id="1304" w:name="m496b606b6z-dissociative-disorders"/>
    <w:p>
      <w:pPr>
        <w:pageBreakBefore/>
        <w:pStyle w:val="Heading1"/>
      </w:pPr>
      <w:r>
        <w:t xml:space="preserve">6B60–6B6Z DISSOCIATIVE DISORDERS</w:t>
      </w:r>
    </w:p>
    <w:p>
      <w:pPr>
        <w:pStyle w:val="FirstParagraph"/>
      </w:pPr>
      <w:r>
        <w:t xml:space="preserve">Dissociative disorders</w:t>
      </w:r>
    </w:p>
    <w:bookmarkEnd w:id="13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05" w:name="X1a503b21f6da59c52e6a7329462cc3b71b6d01e"/>
            <w:r>
              <w:t xml:space="preserve">6B64 DISSOCIATIVE IDENTITY DISORDER (DID)</w:t>
            </w:r>
            <w:bookmarkEnd w:id="1305"/>
          </w:p>
          <w:p>
            <w:pPr>
              <w:pStyle w:val="Compact"/>
              <w:ind w:firstLine="0" w:left="0"/>
            </w:pPr>
            <w:r>
              <w:rPr>
                <w:lang w:val="en"/>
              </w:rPr>
              <w:t xml:space="preserve">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Identity Disorder</w:t>
            </w:r>
          </w:p>
        </w:tc>
      </w:tr>
    </w:tbl>
    <w:bookmarkStart w:id="1306" w:name="Xc893654fb7479e73f90ccbdb8148401cd251371"/>
    <w:p>
      <w:pPr>
        <w:pStyle w:val="Heading3"/>
      </w:pPr>
      <w:r>
        <w:t xml:space="preserve">1. Definition and nosology</w:t>
      </w:r>
    </w:p>
    <w:p>
      <w:pPr>
        <w:pStyle w:val="FirstParagraph"/>
      </w:pPr>
      <w:r>
        <w:t xml:space="preserve">Dissociative Identity Disorder (DID; ICD-11:</w:t>
      </w:r>
      <w:r>
        <w:t xml:space="preserve"> </w:t>
      </w:r>
      <w:r>
        <w:t xml:space="preserve">6B64</w:t>
      </w:r>
      <w:r>
        <w:t xml:space="preserve"> </w:t>
      </w:r>
      <w:r>
        <w:t xml:space="preserve">Dissociative Identity Disorder; DSM-5-TR: F44.81) — a severe dissociative disorder characterized by transitions between two or more distinct personality states (“identities”, “alters”). Each identity has a relatively enduring sense of self, memory, behavior, affect, perception, and cognition patterns. Concurrently, persistent dissociative amnesias (for daily events, important personal information, trauma).</w:t>
      </w:r>
    </w:p>
    <w:p>
      <w:pPr>
        <w:pStyle w:val="BodyText"/>
      </w:pPr>
      <w:r>
        <w:t xml:space="preserve">DID — associated with severe childhood trauma (especially repeated physical or sexual abuse); the “split personality” image distorted in mass media differs from clinical reality.</w:t>
      </w:r>
    </w:p>
    <w:bookmarkEnd w:id="1306"/>
    <w:bookmarkStart w:id="1307" w:name="X7f346b1ad33c2babc975a9a1f14f12480bea38a"/>
    <w:p>
      <w:pPr>
        <w:pStyle w:val="Heading3"/>
      </w:pPr>
      <w:r>
        <w:t xml:space="preserve">2. History</w:t>
      </w:r>
    </w:p>
    <w:p>
      <w:pPr>
        <w:pStyle w:val="Compact"/>
        <w:numPr>
          <w:ilvl w:val="0"/>
          <w:numId w:val="1639"/>
        </w:numPr>
      </w:pPr>
      <w:r>
        <w:t xml:space="preserve">1791 — Eberhardt Gmelin first case description.</w:t>
      </w:r>
    </w:p>
    <w:p>
      <w:pPr>
        <w:pStyle w:val="Compact"/>
        <w:numPr>
          <w:ilvl w:val="0"/>
          <w:numId w:val="1639"/>
        </w:numPr>
      </w:pPr>
      <w:r>
        <w:t xml:space="preserve">Janet P. (1880s) — concept of ‘dissociation’.</w:t>
      </w:r>
    </w:p>
    <w:p>
      <w:pPr>
        <w:pStyle w:val="Compact"/>
        <w:numPr>
          <w:ilvl w:val="0"/>
          <w:numId w:val="1639"/>
        </w:numPr>
      </w:pPr>
      <w:r>
        <w:t xml:space="preserve">DSM-III (1980) — “Multiple Personality Disorder”.</w:t>
      </w:r>
    </w:p>
    <w:p>
      <w:pPr>
        <w:pStyle w:val="Compact"/>
        <w:numPr>
          <w:ilvl w:val="0"/>
          <w:numId w:val="1639"/>
        </w:numPr>
      </w:pPr>
      <w:r>
        <w:t xml:space="preserve">DSM-IV (1994) — Term ‘Dissociative Identity Disorder’.</w:t>
      </w:r>
    </w:p>
    <w:p>
      <w:pPr>
        <w:pStyle w:val="Compact"/>
        <w:numPr>
          <w:ilvl w:val="0"/>
          <w:numId w:val="1639"/>
        </w:numPr>
      </w:pPr>
      <w:r>
        <w:t xml:space="preserve">1980s–1990s — ‘False Memory’ controversy; allegations of ‘iatrogenic induction’ in some diagnostic cases.</w:t>
      </w:r>
    </w:p>
    <w:p>
      <w:pPr>
        <w:pStyle w:val="Compact"/>
        <w:numPr>
          <w:ilvl w:val="0"/>
          <w:numId w:val="1639"/>
        </w:numPr>
      </w:pPr>
      <w:r>
        <w:t xml:space="preserve">ISSTD Treatment Guidelines (Adult Treatment, 3rd Revision 2011) — standardized the phase-oriented approach.</w:t>
      </w:r>
    </w:p>
    <w:bookmarkEnd w:id="1307"/>
    <w:bookmarkStart w:id="1308" w:name="X2ce2fa08ad3dae2e824d5d9ce26989fd4846c45"/>
    <w:p>
      <w:pPr>
        <w:pStyle w:val="Heading3"/>
      </w:pPr>
      <w:r>
        <w:t xml:space="preserve">3. Epidemiology</w:t>
      </w:r>
    </w:p>
    <w:p>
      <w:pPr>
        <w:pStyle w:val="Compact"/>
        <w:numPr>
          <w:ilvl w:val="0"/>
          <w:numId w:val="1640"/>
        </w:numPr>
      </w:pPr>
      <w:r>
        <w:t xml:space="preserve">Prevalence in clinical populations: 1–3%; in general population ~1.5% (Sar V. ISRN Psychiatry 2011 review).</w:t>
      </w:r>
    </w:p>
    <w:p>
      <w:pPr>
        <w:pStyle w:val="Compact"/>
        <w:numPr>
          <w:ilvl w:val="0"/>
          <w:numId w:val="1640"/>
        </w:numPr>
      </w:pPr>
      <w:r>
        <w:t xml:space="preserve">Sex: 5–9 times higher in females in clinical populations.</w:t>
      </w:r>
    </w:p>
    <w:p>
      <w:pPr>
        <w:pStyle w:val="Compact"/>
        <w:numPr>
          <w:ilvl w:val="0"/>
          <w:numId w:val="1640"/>
        </w:numPr>
      </w:pPr>
      <w:r>
        <w:t xml:space="preserve">Onset: symptoms develop in childhood, clinical presentation often at 20–40 years.</w:t>
      </w:r>
    </w:p>
    <w:p>
      <w:pPr>
        <w:pStyle w:val="Compact"/>
        <w:numPr>
          <w:ilvl w:val="0"/>
          <w:numId w:val="1640"/>
        </w:numPr>
      </w:pPr>
      <w:r>
        <w:t xml:space="preserve">Comorbidity: MDD, PTSD, complex PTSD, BPD, somatic symptom, eating disorders, substance use, very high suicide risk.</w:t>
      </w:r>
    </w:p>
    <w:bookmarkEnd w:id="1308"/>
    <w:bookmarkStart w:id="1309" w:name="X51e1d2410db6557523547d54ae640819f6bb789"/>
    <w:p>
      <w:pPr>
        <w:pStyle w:val="Heading3"/>
      </w:pPr>
      <w:r>
        <w:t xml:space="preserve">4. Aetiology and pathogenesis</w:t>
      </w:r>
    </w:p>
    <w:p>
      <w:pPr>
        <w:pStyle w:val="Compact"/>
        <w:numPr>
          <w:ilvl w:val="0"/>
          <w:numId w:val="1641"/>
        </w:numPr>
      </w:pPr>
      <w:r>
        <w:t xml:space="preserve">Trauma model — repeated severe childhood trauma (sexual or physical violence, neglect, caregiver violence); 90%+ of patients show trauma history (Putnam F.W. reviews).</w:t>
      </w:r>
    </w:p>
    <w:p>
      <w:pPr>
        <w:pStyle w:val="Compact"/>
        <w:numPr>
          <w:ilvl w:val="0"/>
          <w:numId w:val="1641"/>
        </w:numPr>
      </w:pPr>
      <w:r>
        <w:t xml:space="preserve">Neurobiological — hippocampal and amygdala volume reduction; default mode and salience network dysregulation (Reinders A.A. et al. reviews).</w:t>
      </w:r>
    </w:p>
    <w:p>
      <w:pPr>
        <w:pStyle w:val="Compact"/>
        <w:numPr>
          <w:ilvl w:val="0"/>
          <w:numId w:val="1641"/>
        </w:numPr>
      </w:pPr>
      <w:r>
        <w:t xml:space="preserve">Attachment — disorganized attachment style in childhood.</w:t>
      </w:r>
    </w:p>
    <w:p>
      <w:pPr>
        <w:pStyle w:val="Compact"/>
        <w:numPr>
          <w:ilvl w:val="0"/>
          <w:numId w:val="1641"/>
        </w:numPr>
      </w:pPr>
      <w:r>
        <w:t xml:space="preserve">Iatrogenesis / supporters of the social-cognitive model — some diagnoses may be the result of therapeutic induction (critique by Lilienfeld S.O.); however, most research supports the trauma-based model.</w:t>
      </w:r>
    </w:p>
    <w:bookmarkEnd w:id="1309"/>
    <w:bookmarkStart w:id="1310" w:name="Xa6bb367652355cebfd5c51c00d305c6b8e0f10a"/>
    <w:p>
      <w:pPr>
        <w:pStyle w:val="Heading3"/>
      </w:pPr>
      <w:r>
        <w:t xml:space="preserve">5. Clinical features</w:t>
      </w:r>
    </w:p>
    <w:p>
      <w:pPr>
        <w:pStyle w:val="Compact"/>
        <w:numPr>
          <w:ilvl w:val="0"/>
          <w:numId w:val="1642"/>
        </w:numPr>
      </w:pPr>
      <w:r>
        <w:t xml:space="preserve">Two or more distinct identity states — some patients document overt transitions, others appear only with “internal voices,” sense of “loss of control.”</w:t>
      </w:r>
    </w:p>
    <w:p>
      <w:pPr>
        <w:pStyle w:val="Compact"/>
        <w:numPr>
          <w:ilvl w:val="0"/>
          <w:numId w:val="1642"/>
        </w:numPr>
      </w:pPr>
      <w:r>
        <w:t xml:space="preserve">Persistent amnesias — daily events, personal information, traumatic episodes.</w:t>
      </w:r>
    </w:p>
    <w:p>
      <w:pPr>
        <w:pStyle w:val="Compact"/>
        <w:numPr>
          <w:ilvl w:val="0"/>
          <w:numId w:val="1642"/>
        </w:numPr>
      </w:pPr>
      <w:r>
        <w:t xml:space="preserve">Depersonalization and derealization.</w:t>
      </w:r>
    </w:p>
    <w:p>
      <w:pPr>
        <w:pStyle w:val="Compact"/>
        <w:numPr>
          <w:ilvl w:val="0"/>
          <w:numId w:val="1642"/>
        </w:numPr>
      </w:pPr>
      <w:r>
        <w:t xml:space="preserve">Identity transitions as a response to stress, triggers.</w:t>
      </w:r>
    </w:p>
    <w:p>
      <w:pPr>
        <w:pStyle w:val="Compact"/>
        <w:numPr>
          <w:ilvl w:val="0"/>
          <w:numId w:val="1642"/>
        </w:numPr>
      </w:pPr>
      <w:r>
        <w:t xml:space="preserve">Self-harm, suicidal attempts, somatic symptoms.</w:t>
      </w:r>
    </w:p>
    <w:p>
      <w:pPr>
        <w:pStyle w:val="Compact"/>
        <w:numPr>
          <w:ilvl w:val="0"/>
          <w:numId w:val="1642"/>
        </w:numPr>
      </w:pPr>
      <w:r>
        <w:t xml:space="preserve">Complex dissociative symptoms (dissociative seizures, somatoform).</w:t>
      </w:r>
    </w:p>
    <w:bookmarkEnd w:id="1310"/>
    <w:bookmarkStart w:id="1315" w:name="X648d4d7c80d9d6bd3b9d8be5e319c273512fc54"/>
    <w:p>
      <w:pPr>
        <w:pStyle w:val="Heading3"/>
      </w:pPr>
      <w:r>
        <w:t xml:space="preserve">6. Diagnosis</w:t>
      </w:r>
    </w:p>
    <w:bookmarkStart w:id="1311" w:name="unified-diagnostic-criteria-20"/>
    <w:p>
      <w:pPr>
        <w:pStyle w:val="Heading4"/>
      </w:pPr>
      <w:r>
        <w:t xml:space="preserve">6.1 Unified diagnostic criteria</w:t>
      </w:r>
    </w:p>
    <w:p>
      <w:pPr>
        <w:pStyle w:val="FirstParagraph"/>
      </w:pPr>
      <w:r>
        <w:t xml:space="preserve">A. Two or more distinct personality states — significant discontinuity in sense of self and agency, alterations in behavior, affect, perception, cognition, or sensorimotor function.</w:t>
      </w:r>
    </w:p>
    <w:p>
      <w:pPr>
        <w:pStyle w:val="BodyText"/>
      </w:pPr>
      <w:r>
        <w:t xml:space="preserve">B. Recurrent amnesias regarding daily events, important personal information, and/or traumatic events.</w:t>
      </w:r>
    </w:p>
    <w:p>
      <w:pPr>
        <w:pStyle w:val="BodyText"/>
      </w:pPr>
      <w:r>
        <w:t xml:space="preserve">C. Significant distress or functional impairment.</w:t>
      </w:r>
    </w:p>
    <w:p>
      <w:pPr>
        <w:pStyle w:val="BodyText"/>
      </w:pPr>
      <w:r>
        <w:t xml:space="preserve">D. Not part of a widespread cultural or religious practice.</w:t>
      </w:r>
    </w:p>
    <w:p>
      <w:pPr>
        <w:pStyle w:val="BodyText"/>
      </w:pPr>
      <w:r>
        <w:t xml:space="preserve">E. Exclusion of substance or medical condition (e.g., seizure).</w:t>
      </w:r>
    </w:p>
    <w:bookmarkEnd w:id="1311"/>
    <w:bookmarkStart w:id="1312" w:name="differences-between-sources-68"/>
    <w:p>
      <w:pPr>
        <w:pStyle w:val="Heading4"/>
      </w:pPr>
      <w:r>
        <w:t xml:space="preserve">6.2 Differences between sources</w:t>
      </w:r>
    </w:p>
    <w:p>
      <w:pPr>
        <w:pStyle w:val="Compact"/>
        <w:numPr>
          <w:ilvl w:val="0"/>
          <w:numId w:val="1643"/>
        </w:numPr>
      </w:pPr>
      <w:r>
        <w:t xml:space="preserve">DSM-5-TR — same criteria; imaginary companion in children excluded as part of normal development.</w:t>
      </w:r>
    </w:p>
    <w:p>
      <w:pPr>
        <w:pStyle w:val="Compact"/>
        <w:numPr>
          <w:ilvl w:val="0"/>
          <w:numId w:val="1643"/>
        </w:numPr>
      </w:pPr>
      <w:r>
        <w:t xml:space="preserve">ICD-11 — amnesia is not required: it says “there are typically episodes of amnesia”, whereas DSM-5-TR requires it as criterion B. Trance and possession disorders are separate ICD-11 categories (6B62, 6B63).</w:t>
      </w:r>
    </w:p>
    <w:p>
      <w:pPr>
        <w:pStyle w:val="Compact"/>
        <w:numPr>
          <w:ilvl w:val="0"/>
          <w:numId w:val="1643"/>
        </w:numPr>
      </w:pPr>
      <w:r>
        <w:t xml:space="preserve">ISSTD Guidelines 2011 — the diagnosis must be confirmed by a structured interview (SCID-D).</w:t>
      </w:r>
    </w:p>
    <w:bookmarkEnd w:id="1312"/>
    <w:bookmarkStart w:id="1313" w:name="diagnostic-algorithm-39"/>
    <w:p>
      <w:pPr>
        <w:pStyle w:val="Heading4"/>
      </w:pPr>
      <w:r>
        <w:t xml:space="preserve">6.3 Diagnostic algorithm</w:t>
      </w:r>
    </w:p>
    <w:p>
      <w:pPr>
        <w:pStyle w:val="Compact"/>
        <w:numPr>
          <w:ilvl w:val="0"/>
          <w:numId w:val="1644"/>
        </w:numPr>
      </w:pPr>
      <w:r>
        <w:t xml:space="preserve">Clinical interview — trauma history, dissociative symptoms.</w:t>
      </w:r>
    </w:p>
    <w:p>
      <w:pPr>
        <w:pStyle w:val="Compact"/>
        <w:numPr>
          <w:ilvl w:val="0"/>
          <w:numId w:val="1644"/>
        </w:numPr>
      </w:pPr>
      <w:r>
        <w:t xml:space="preserve">SCID-D (Structured Clinical Interview for DSM Dissociative Disorders) is the gold standard.</w:t>
      </w:r>
    </w:p>
    <w:p>
      <w:pPr>
        <w:pStyle w:val="Compact"/>
        <w:numPr>
          <w:ilvl w:val="0"/>
          <w:numId w:val="1644"/>
        </w:numPr>
      </w:pPr>
      <w:r>
        <w:t xml:space="preserve">Scale — DES (Dissociative Experiences Scale, ≥30 cut-off, ≥45 DID indicator); MID (Multidimensional Inventory of Dissociation).</w:t>
      </w:r>
    </w:p>
    <w:p>
      <w:pPr>
        <w:pStyle w:val="Compact"/>
        <w:numPr>
          <w:ilvl w:val="0"/>
          <w:numId w:val="1644"/>
        </w:numPr>
      </w:pPr>
      <w:r>
        <w:t xml:space="preserve">Comorbidity (PTSD, BPD, MDD, substance).</w:t>
      </w:r>
    </w:p>
    <w:p>
      <w:pPr>
        <w:pStyle w:val="Compact"/>
        <w:numPr>
          <w:ilvl w:val="0"/>
          <w:numId w:val="1644"/>
        </w:numPr>
      </w:pPr>
      <w:r>
        <w:t xml:space="preserve">Suicide and self-harm risk (high).</w:t>
      </w:r>
    </w:p>
    <w:p>
      <w:pPr>
        <w:pStyle w:val="Compact"/>
        <w:numPr>
          <w:ilvl w:val="0"/>
          <w:numId w:val="1644"/>
        </w:numPr>
      </w:pPr>
      <w:r>
        <w:t xml:space="preserve">Medical and neurological – seizures, encephalitis excluded (EEG, MRI).</w:t>
      </w:r>
    </w:p>
    <w:bookmarkEnd w:id="1313"/>
    <w:bookmarkStart w:id="1314" w:name="differential-diagnosis-4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Emotional lability and impulsivity dominant; significant clinical overlap, close comorbidity.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 cPTSD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Traumatic intrusions and avoidance are primary; dissociation can be a component.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“Voices” differ from schizophrenia — as internal dialogue; no psychotic characteristics.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episodes; no dissociation.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Deceit for medical benefit; gain motivation.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Seizures (epileptic or non-epileptic)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“Possession” — cultural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Context and cultural norm.</w:t>
            </w:r>
          </w:p>
        </w:tc>
      </w:tr>
    </w:tbl>
    <w:bookmarkEnd w:id="1314"/>
    <w:bookmarkEnd w:id="1315"/>
    <w:bookmarkStart w:id="1316" w:name="X40d7d1f9b39cee3f6faaf8ac560037bedd031f4"/>
    <w:p>
      <w:pPr>
        <w:pStyle w:val="Heading3"/>
      </w:pPr>
      <w:r>
        <w:t xml:space="preserve">7. Examination and assessment</w:t>
      </w:r>
    </w:p>
    <w:p>
      <w:pPr>
        <w:pStyle w:val="Compact"/>
        <w:numPr>
          <w:ilvl w:val="0"/>
          <w:numId w:val="1645"/>
        </w:numPr>
      </w:pPr>
      <w:r>
        <w:t xml:space="preserve">SCID-D-R is the gold-standard structured interview.</w:t>
      </w:r>
    </w:p>
    <w:p>
      <w:pPr>
        <w:pStyle w:val="Compact"/>
        <w:numPr>
          <w:ilvl w:val="0"/>
          <w:numId w:val="1645"/>
        </w:numPr>
      </w:pPr>
      <w:r>
        <w:t xml:space="preserve">DES, MID scales.</w:t>
      </w:r>
    </w:p>
    <w:p>
      <w:pPr>
        <w:pStyle w:val="Compact"/>
        <w:numPr>
          <w:ilvl w:val="0"/>
          <w:numId w:val="1645"/>
        </w:numPr>
      </w:pPr>
      <w:r>
        <w:t xml:space="preserve">C-SSRS suicide; self-harm assessment.</w:t>
      </w:r>
    </w:p>
    <w:p>
      <w:pPr>
        <w:pStyle w:val="Compact"/>
        <w:numPr>
          <w:ilvl w:val="0"/>
          <w:numId w:val="1645"/>
        </w:numPr>
      </w:pPr>
      <w:r>
        <w:t xml:space="preserve">EEG rule out seizure.</w:t>
      </w:r>
    </w:p>
    <w:bookmarkEnd w:id="1316"/>
    <w:bookmarkStart w:id="1320" w:name="X6f367cfc3d0dca4894847dd33794cbfe9f01e63"/>
    <w:p>
      <w:pPr>
        <w:pStyle w:val="Heading3"/>
      </w:pPr>
      <w:r>
        <w:t xml:space="preserve">8. Treatment</w:t>
      </w:r>
    </w:p>
    <w:bookmarkStart w:id="1317" w:name="general-principles-isstd-2011"/>
    <w:p>
      <w:pPr>
        <w:pStyle w:val="Heading4"/>
      </w:pPr>
      <w:r>
        <w:t xml:space="preserve">8.1 General principles (ISSTD 2011)</w:t>
      </w:r>
    </w:p>
    <w:p>
      <w:pPr>
        <w:pStyle w:val="Compact"/>
        <w:numPr>
          <w:ilvl w:val="0"/>
          <w:numId w:val="1646"/>
        </w:numPr>
      </w:pPr>
      <w:r>
        <w:t xml:space="preserve">Phase-oriented (three-phase) approach:</w:t>
      </w:r>
    </w:p>
    <w:p>
      <w:pPr>
        <w:pStyle w:val="Compact"/>
        <w:numPr>
          <w:ilvl w:val="1"/>
          <w:numId w:val="1647"/>
        </w:numPr>
      </w:pPr>
      <w:r>
        <w:t xml:space="preserve">Phase 1 — stabilization and symptom reduction: safety, emotion regulation, coping skills, hospitalization reduction, self-harm management.</w:t>
      </w:r>
    </w:p>
    <w:p>
      <w:pPr>
        <w:pStyle w:val="Compact"/>
        <w:numPr>
          <w:ilvl w:val="1"/>
          <w:numId w:val="1647"/>
        </w:numPr>
      </w:pPr>
      <w:r>
        <w:t xml:space="preserve">Phase 2 — processing of traumatic memories: adapted trauma-focused intervention.</w:t>
      </w:r>
    </w:p>
    <w:p>
      <w:pPr>
        <w:pStyle w:val="Compact"/>
        <w:numPr>
          <w:ilvl w:val="1"/>
          <w:numId w:val="1647"/>
        </w:numPr>
      </w:pPr>
      <w:r>
        <w:t xml:space="preserve">Phase 3 — integration and rehabilitation: inter-identity communication, functional restoration, relationships.</w:t>
      </w:r>
    </w:p>
    <w:p>
      <w:pPr>
        <w:pStyle w:val="Compact"/>
        <w:numPr>
          <w:ilvl w:val="0"/>
          <w:numId w:val="1646"/>
        </w:numPr>
      </w:pPr>
      <w:r>
        <w:t xml:space="preserve">Specific psychotherapeutic approaches — excerpt from Internal Family Systems (Schwartz R.), modified EMDR.</w:t>
      </w:r>
    </w:p>
    <w:p>
      <w:pPr>
        <w:pStyle w:val="Compact"/>
        <w:numPr>
          <w:ilvl w:val="0"/>
          <w:numId w:val="1646"/>
        </w:numPr>
      </w:pPr>
      <w:r>
        <w:t xml:space="preserve">Pharmacotherapy — no specific approval for DID; SSRIs, prazosin (for nightmares) for comorbid PTSD, MDD, anxiety symptoms.</w:t>
      </w:r>
    </w:p>
    <w:p>
      <w:pPr>
        <w:pStyle w:val="Compact"/>
        <w:numPr>
          <w:ilvl w:val="0"/>
          <w:numId w:val="1646"/>
        </w:numPr>
      </w:pPr>
      <w:r>
        <w:t xml:space="preserve">Hospitalize — in acute self-harm or suicide risk.</w:t>
      </w:r>
    </w:p>
    <w:p>
      <w:pPr>
        <w:pStyle w:val="Compact"/>
        <w:numPr>
          <w:ilvl w:val="0"/>
          <w:numId w:val="1646"/>
        </w:numPr>
      </w:pPr>
      <w:r>
        <w:t xml:space="preserve">Multidisciplinary approach — psychiatrist, psychologist, social support.</w:t>
      </w:r>
    </w:p>
    <w:p>
      <w:pPr>
        <w:pStyle w:val="Compact"/>
        <w:numPr>
          <w:ilvl w:val="0"/>
          <w:numId w:val="1646"/>
        </w:numPr>
      </w:pPr>
      <w:r>
        <w:t xml:space="preserve">Long-term treatment (years); clinician continuity and therapeutic alliance are critical.</w:t>
      </w:r>
    </w:p>
    <w:bookmarkEnd w:id="1317"/>
    <w:bookmarkStart w:id="1318" w:name="treatment-methods-39"/>
    <w:p>
      <w:pPr>
        <w:pStyle w:val="Heading4"/>
      </w:pPr>
      <w:r>
        <w:t xml:space="preserve">8.2 Treatment methods</w:t>
      </w:r>
    </w:p>
    <w:p>
      <w:pPr>
        <w:pStyle w:val="Compact"/>
        <w:numPr>
          <w:ilvl w:val="0"/>
          <w:numId w:val="1648"/>
        </w:numPr>
      </w:pPr>
      <w:r>
        <w:t xml:space="preserve">Phase-Oriented Treatment (ISSTD) — Three-phase approach; sequence and patient stability are fundamental.</w:t>
      </w:r>
    </w:p>
    <w:p>
      <w:pPr>
        <w:pStyle w:val="Compact"/>
        <w:numPr>
          <w:ilvl w:val="0"/>
          <w:numId w:val="1648"/>
        </w:numPr>
      </w:pPr>
      <w:r>
        <w:t xml:space="preserve">Structured Clinical Interview for DSM Dissociative Disorders, Revised (SCID-D-R) — 277-item structured interview; gold standard.</w:t>
      </w:r>
    </w:p>
    <w:p>
      <w:pPr>
        <w:pStyle w:val="Compact"/>
        <w:numPr>
          <w:ilvl w:val="0"/>
          <w:numId w:val="1648"/>
        </w:numPr>
      </w:pPr>
      <w:r>
        <w:t xml:space="preserve">Dissociative Experiences Scale (DES) — 28 items; screening.</w:t>
      </w:r>
    </w:p>
    <w:p>
      <w:pPr>
        <w:pStyle w:val="Compact"/>
        <w:numPr>
          <w:ilvl w:val="0"/>
          <w:numId w:val="1648"/>
        </w:numPr>
      </w:pPr>
      <w:r>
        <w:t xml:space="preserve">Multidimensional Inventory of Dissociation (MID) — 218 items; detailed dissociative profile.</w:t>
      </w:r>
    </w:p>
    <w:p>
      <w:pPr>
        <w:pStyle w:val="Compact"/>
        <w:numPr>
          <w:ilvl w:val="0"/>
          <w:numId w:val="1648"/>
        </w:numPr>
      </w:pPr>
      <w:r>
        <w:t xml:space="preserve">EMDR — modified — Trauma processing after stabilization; sequential and adapted to patient's pace.</w:t>
      </w:r>
    </w:p>
    <w:bookmarkEnd w:id="1318"/>
    <w:bookmarkStart w:id="1319" w:name="differences-between-sources-69"/>
    <w:p>
      <w:pPr>
        <w:pStyle w:val="Heading4"/>
      </w:pPr>
      <w:r>
        <w:t xml:space="preserve">8.3 Differences between sources</w:t>
      </w:r>
    </w:p>
    <w:p>
      <w:pPr>
        <w:pStyle w:val="Compact"/>
        <w:numPr>
          <w:ilvl w:val="0"/>
          <w:numId w:val="1649"/>
        </w:numPr>
      </w:pPr>
      <w:r>
        <w:t xml:space="preserve">ISSTD 2011 — phase-oriented gold standard.</w:t>
      </w:r>
    </w:p>
    <w:p>
      <w:pPr>
        <w:pStyle w:val="Compact"/>
        <w:numPr>
          <w:ilvl w:val="0"/>
          <w:numId w:val="1649"/>
        </w:numPr>
      </w:pPr>
      <w:r>
        <w:t xml:space="preserve">Trauma-based approach and iatrogenesis caution — avoid searching or inducing ‘alters’.</w:t>
      </w:r>
    </w:p>
    <w:bookmarkEnd w:id="1319"/>
    <w:bookmarkEnd w:id="1320"/>
    <w:bookmarkStart w:id="1321" w:name="Xacfcf0cb97a7d50212eaee43e7d6637d4b550cd"/>
    <w:p>
      <w:pPr>
        <w:pStyle w:val="Heading3"/>
      </w:pPr>
      <w:r>
        <w:t xml:space="preserve">9. Prognosis</w:t>
      </w:r>
    </w:p>
    <w:p>
      <w:pPr>
        <w:pStyle w:val="Compact"/>
        <w:numPr>
          <w:ilvl w:val="0"/>
          <w:numId w:val="1650"/>
        </w:numPr>
      </w:pPr>
      <w:r>
        <w:t xml:space="preserve">Functional recovery with long-term phase-oriented therapy.</w:t>
      </w:r>
    </w:p>
    <w:p>
      <w:pPr>
        <w:pStyle w:val="Compact"/>
        <w:numPr>
          <w:ilvl w:val="0"/>
          <w:numId w:val="1650"/>
        </w:numPr>
      </w:pPr>
      <w:r>
        <w:t xml:space="preserve">High suicide and self-harm risk monitored.</w:t>
      </w:r>
    </w:p>
    <w:p>
      <w:pPr>
        <w:pStyle w:val="Compact"/>
        <w:numPr>
          <w:ilvl w:val="0"/>
          <w:numId w:val="1650"/>
        </w:numPr>
      </w:pPr>
      <w:r>
        <w:t xml:space="preserve">Comorbidity treatment is important.</w:t>
      </w:r>
    </w:p>
    <w:bookmarkEnd w:id="1321"/>
    <w:bookmarkStart w:id="1328" w:name="X97de424c933288f0eec9803334d79b25e6c4133"/>
    <w:p>
      <w:pPr>
        <w:pStyle w:val="Heading3"/>
      </w:pPr>
      <w:r>
        <w:t xml:space="preserve">10. Myths and misconceptions</w:t>
      </w:r>
    </w:p>
    <w:bookmarkStart w:id="1322" w:name="Xfa79261f895d401c1f5148f4acc8c528c4a47a2"/>
    <w:p>
      <w:pPr>
        <w:pStyle w:val="Heading5"/>
      </w:pPr>
      <w:r>
        <w:t xml:space="preserve">Myth 1: “DID is ‘split personality’ as in mass media”</w:t>
      </w:r>
    </w:p>
    <w:p>
      <w:pPr>
        <w:pStyle w:val="FirstParagraph"/>
      </w:pPr>
      <w:r>
        <w:t xml:space="preserve">Evidence: Film or television portrayals (dramatic transitions, “different people” do not coincide with the more subtle clinical picture in many patients — more “loss of control”, internal voices, amnesias are dominant).</w:t>
      </w:r>
    </w:p>
    <w:bookmarkEnd w:id="1322"/>
    <w:bookmarkStart w:id="1323" w:name="X3c365dd990fd3c264b028c0c33bed663a2bea9c"/>
    <w:p>
      <w:pPr>
        <w:pStyle w:val="Heading5"/>
      </w:pPr>
      <w:r>
        <w:t xml:space="preserve">Myth 2: “DID is a false condition induced by the therapist”</w:t>
      </w:r>
    </w:p>
    <w:p>
      <w:pPr>
        <w:pStyle w:val="FirstParagraph"/>
      </w:pPr>
      <w:r>
        <w:t xml:space="preserve">Evidence: strong association with childhood trauma (Putnam reviews); neurobiological markers (Reinders fMRI); international research consistent. However, diagnosis should be cautious — avoiding induction techniques for alters is important.</w:t>
      </w:r>
    </w:p>
    <w:bookmarkEnd w:id="1323"/>
    <w:bookmarkStart w:id="1324" w:name="X34037eae53a23854325aab3a2c20fac1dd7a8bf"/>
    <w:p>
      <w:pPr>
        <w:pStyle w:val="Heading5"/>
      </w:pPr>
      <w:r>
        <w:t xml:space="preserve">Myth 3: “DID is a rare or fabricated disorder”</w:t>
      </w:r>
    </w:p>
    <w:p>
      <w:pPr>
        <w:pStyle w:val="FirstParagraph"/>
      </w:pPr>
      <w:r>
        <w:t xml:space="preserve">Evidence: Clinical prevalence in populations 1–3% (Sar 2011); an underdiagnosed condition.</w:t>
      </w:r>
    </w:p>
    <w:bookmarkEnd w:id="1324"/>
    <w:bookmarkStart w:id="1325" w:name="Xffeb461b6d7b5fcff824dfd60849f560dc7ca13"/>
    <w:p>
      <w:pPr>
        <w:pStyle w:val="Heading5"/>
      </w:pPr>
      <w:r>
        <w:t xml:space="preserve">Myth 4: “Hypnosis or hospitalization is the main treatment”</w:t>
      </w:r>
    </w:p>
    <w:p>
      <w:pPr>
        <w:pStyle w:val="FirstParagraph"/>
      </w:pPr>
      <w:r>
        <w:t xml:space="preserve">Evidence: Phase-oriented psychotherapy is first-line; hypnosis can be used as an adjunct (with caution); inpatient admission only in acute self-harm or suicide risk.</w:t>
      </w:r>
    </w:p>
    <w:bookmarkEnd w:id="1325"/>
    <w:bookmarkStart w:id="1326" w:name="X6ae98523c7e5a13958ac4ec96695147f7d8a56a"/>
    <w:p>
      <w:pPr>
        <w:pStyle w:val="Heading5"/>
      </w:pPr>
      <w:r>
        <w:t xml:space="preserve">Myth 5: “A patient with DID is prone to committing violence”</w:t>
      </w:r>
    </w:p>
    <w:p>
      <w:pPr>
        <w:pStyle w:val="FirstParagraph"/>
      </w:pPr>
      <w:r>
        <w:t xml:space="preserve">Evidence: Patients with DID are more likely to be victims of violence; violence towards others is rare. Parallel to myth ‘people with schizophrenia are dangerous.’</w:t>
      </w:r>
    </w:p>
    <w:bookmarkEnd w:id="1326"/>
    <w:bookmarkStart w:id="1327" w:name="X47f2bffedbed2278f8cf0914946e210bce98c0a"/>
    <w:p>
      <w:pPr>
        <w:pStyle w:val="Heading5"/>
      </w:pPr>
      <w:r>
        <w:t xml:space="preserve">Myth 6: “The main goal is to ‘merge all identities into one’”</w:t>
      </w:r>
    </w:p>
    <w:p>
      <w:pPr>
        <w:pStyle w:val="FirstParagraph"/>
      </w:pPr>
      <w:r>
        <w:t xml:space="preserve">Evidence: integration typical goal, but complete assimilation not achievable in all patients; “cooperation” and “functional activity” also accepted as clinical outcomes.</w:t>
      </w:r>
    </w:p>
    <w:bookmarkEnd w:id="1327"/>
    <w:bookmarkEnd w:id="1328"/>
    <w:bookmarkStart w:id="2968" w:name="X5e0c33234a3709d4e3aad6ece552739bf99a108"/>
    <w:p>
      <w:pPr>
        <w:pStyle w:val="Heading3"/>
      </w:pPr>
      <w:r>
        <w:t xml:space="preserve">11. Sources</w:t>
      </w:r>
    </w:p>
    <w:p>
      <w:pPr>
        <w:pStyle w:val="Compact"/>
        <w:numPr>
          <w:ilvl w:val="0"/>
          <w:numId w:val="1651"/>
        </w:numPr>
      </w:pPr>
      <w:r>
        <w:t xml:space="preserve">WHO. ICD-11. 6B64 Dissociative identity disorder. 2024.</w:t>
      </w:r>
    </w:p>
    <w:p>
      <w:pPr>
        <w:pStyle w:val="Compact"/>
        <w:numPr>
          <w:ilvl w:val="0"/>
          <w:numId w:val="1651"/>
        </w:numPr>
      </w:pPr>
      <w:r>
        <w:t xml:space="preserve">APA. DSM-5-TR. 2022.</w:t>
      </w:r>
    </w:p>
    <w:p>
      <w:pPr>
        <w:pStyle w:val="Compact"/>
        <w:numPr>
          <w:ilvl w:val="0"/>
          <w:numId w:val="1651"/>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51"/>
        </w:numPr>
      </w:pPr>
      <w:r>
        <w:t xml:space="preserve">Sar V. Epidemiology of dissociative disorders: an overview. Epidemiology Research International 2011;2011:404538.</w:t>
      </w:r>
    </w:p>
    <w:p>
      <w:pPr>
        <w:pStyle w:val="Compact"/>
        <w:numPr>
          <w:ilvl w:val="0"/>
          <w:numId w:val="1651"/>
        </w:numPr>
      </w:pPr>
      <w:r>
        <w:t xml:space="preserve">Putnam F.W. Diagnosis and Treatment of Multiple Personality Disorder. Guilford Press; 1989.</w:t>
      </w:r>
    </w:p>
    <w:p>
      <w:pPr>
        <w:pStyle w:val="Compact"/>
        <w:numPr>
          <w:ilvl w:val="0"/>
          <w:numId w:val="1651"/>
        </w:numPr>
      </w:pPr>
      <w:r>
        <w:t xml:space="preserve">Reinders A.A.T.S. et al. The psychobiology of authentic and simulated dissociative personality states: the full Monty. J Nerv Ment Dis 2016;204(6):445–457.</w:t>
      </w:r>
    </w:p>
    <w:p>
      <w:pPr>
        <w:pStyle w:val="Compact"/>
        <w:numPr>
          <w:ilvl w:val="0"/>
          <w:numId w:val="1651"/>
        </w:numPr>
      </w:pPr>
      <w:r>
        <w:t xml:space="preserve">Steinberg M. Structured Clinical Interview for DSM-IV Dissociative Disorders, Revised (SCID-D-R). APA Press; 1994.</w:t>
      </w:r>
    </w:p>
    <w:p>
      <w:pPr>
        <w:pStyle w:val="Compact"/>
        <w:numPr>
          <w:ilvl w:val="0"/>
          <w:numId w:val="1651"/>
        </w:numPr>
      </w:pPr>
      <w:r>
        <w:t xml:space="preserve">Lilienfeld S.O., Lynn S.J., Kirsch I. et al. Dissociative identity disorder and the sociocognitive model: recalling the lessons of the past. Psychol Bull 1999;125(5):507–523.</w:t>
      </w:r>
    </w:p>
    <w:p>
      <w:pPr>
        <w:pStyle w:val="Compact"/>
        <w:numPr>
          <w:ilvl w:val="0"/>
          <w:numId w:val="1651"/>
        </w:numPr>
      </w:pPr>
      <w:r>
        <w:t xml:space="preserve">Schwartz R.C., Sweezy M. Internal Family Systems Therapy. 2nd ed. New York: Guilford Press,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29" w:name="X9fb6515b9e69d8e9ee0b4c2c322c3ad60b60074"/>
            <w:r>
              <w:t xml:space="preserve">6B65 PARTIAL DISSOCIATIVE IDENTITY DISORDER</w:t>
            </w:r>
            <w:bookmarkEnd w:id="1329"/>
          </w:p>
          <w:p>
            <w:pPr>
              <w:pStyle w:val="Compact"/>
              <w:ind w:firstLine="0" w:left="0"/>
            </w:pPr>
            <w:r>
              <w:rPr>
                <w:lang w:val="en"/>
              </w:rPr>
              <w:t xml:space="preserve">Partial dissociative identity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dissociative [conversion]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Specified Dissociative Disorder</w:t>
            </w:r>
          </w:p>
        </w:tc>
      </w:tr>
    </w:tbl>
    <w:bookmarkStart w:id="1330" w:name="X2698bd339abbd9b9eb3229122bfa2154952d1f1"/>
    <w:p>
      <w:pPr>
        <w:pStyle w:val="Heading3"/>
      </w:pPr>
      <w:r>
        <w:t xml:space="preserve">1. Definition and nosology</w:t>
      </w:r>
    </w:p>
    <w:p>
      <w:pPr>
        <w:pStyle w:val="FirstParagraph"/>
      </w:pPr>
      <w:r>
        <w:t xml:space="preserve">Partial Dissociative Identity Disorder (ICD-11:</w:t>
      </w:r>
      <w:r>
        <w:t xml:space="preserve"> </w:t>
      </w:r>
      <w:r>
        <w:t xml:space="preserve">6B65</w:t>
      </w:r>
      <w:r>
        <w:t xml:space="preserve"> </w:t>
      </w:r>
      <w:r>
        <w:t xml:space="preserve">Partial Dissociative Identity Disorder) — similar to DID (6B64), but differs in that non-dominant identities do not consistently fully occupy the patient's behaviour or conscious function. Instead, non-dominant identities interfere, but do not fully seize “executive control.”</w:t>
      </w:r>
    </w:p>
    <w:p>
      <w:pPr>
        <w:pStyle w:val="BodyText"/>
      </w:pPr>
      <w:r>
        <w:t xml:space="preserve">In ICD-11, added for the first time as an official diagnostic category; not separate in DSM-5-TR (in DSM-5-TR can be assessed under Other Specified Dissociative Disorder).</w:t>
      </w:r>
    </w:p>
    <w:bookmarkEnd w:id="1330"/>
    <w:bookmarkStart w:id="1331" w:name="X78f96e4fa6bccd6b0de36091b4a7af63683b44e"/>
    <w:p>
      <w:pPr>
        <w:pStyle w:val="Heading3"/>
      </w:pPr>
      <w:r>
        <w:t xml:space="preserve">2. History</w:t>
      </w:r>
    </w:p>
    <w:p>
      <w:pPr>
        <w:pStyle w:val="Compact"/>
        <w:numPr>
          <w:ilvl w:val="0"/>
          <w:numId w:val="1652"/>
        </w:numPr>
      </w:pPr>
      <w:r>
        <w:t xml:space="preserve">ICD-11 (2019) — recognition as part of the DID spectrum, with the partial form as an official category.</w:t>
      </w:r>
    </w:p>
    <w:p>
      <w:pPr>
        <w:pStyle w:val="Compact"/>
        <w:numPr>
          <w:ilvl w:val="0"/>
          <w:numId w:val="1652"/>
        </w:numPr>
      </w:pPr>
      <w:r>
        <w:t xml:space="preserve">New diagnostic framework for conditions recognized in clinical practice as ‘DDNOS’ or ‘DID-NOS’.</w:t>
      </w:r>
    </w:p>
    <w:bookmarkEnd w:id="1331"/>
    <w:bookmarkStart w:id="1332" w:name="X71299cf8c9d888fe2071bf2182d6ad46581b62d"/>
    <w:p>
      <w:pPr>
        <w:pStyle w:val="Heading3"/>
      </w:pPr>
      <w:r>
        <w:t xml:space="preserve">3. Epidemiology</w:t>
      </w:r>
    </w:p>
    <w:p>
      <w:pPr>
        <w:pStyle w:val="Compact"/>
        <w:numPr>
          <w:ilvl w:val="0"/>
          <w:numId w:val="1653"/>
        </w:numPr>
      </w:pPr>
      <w:r>
        <w:t xml:space="preserve">Prevalence, precise data limited — believed to be more common than DID.</w:t>
      </w:r>
    </w:p>
    <w:p>
      <w:pPr>
        <w:pStyle w:val="Compact"/>
        <w:numPr>
          <w:ilvl w:val="0"/>
          <w:numId w:val="1653"/>
        </w:numPr>
      </w:pPr>
      <w:r>
        <w:t xml:space="preserve">Develops on trauma basis.</w:t>
      </w:r>
    </w:p>
    <w:p>
      <w:pPr>
        <w:pStyle w:val="Compact"/>
        <w:numPr>
          <w:ilvl w:val="0"/>
          <w:numId w:val="1653"/>
        </w:numPr>
      </w:pPr>
      <w:r>
        <w:t xml:space="preserve">Comorbidity resembling DID.</w:t>
      </w:r>
    </w:p>
    <w:bookmarkEnd w:id="1332"/>
    <w:bookmarkStart w:id="1333" w:name="Xf47fe632e310d80283c0f9d483dec7f44cafa6d"/>
    <w:p>
      <w:pPr>
        <w:pStyle w:val="Heading3"/>
      </w:pPr>
      <w:r>
        <w:t xml:space="preserve">4. Aetiology and pathogenesis</w:t>
      </w:r>
    </w:p>
    <w:p>
      <w:pPr>
        <w:pStyle w:val="FirstParagraph"/>
      </w:pPr>
      <w:r>
        <w:t xml:space="preserve">Same as DID — severe childhood trauma, disorganized attachment, neurobiological dissociative processes.</w:t>
      </w:r>
    </w:p>
    <w:bookmarkEnd w:id="1333"/>
    <w:bookmarkStart w:id="1334" w:name="X58f950bc26f16d1e55abe8f223884b9f8c3196d"/>
    <w:p>
      <w:pPr>
        <w:pStyle w:val="Heading3"/>
      </w:pPr>
      <w:r>
        <w:t xml:space="preserve">5. Clinical features</w:t>
      </w:r>
    </w:p>
    <w:p>
      <w:pPr>
        <w:pStyle w:val="Compact"/>
        <w:numPr>
          <w:ilvl w:val="0"/>
          <w:numId w:val="1654"/>
        </w:numPr>
      </w:pPr>
      <w:r>
        <w:t xml:space="preserve">Two or more distinct identity states.</w:t>
      </w:r>
    </w:p>
    <w:p>
      <w:pPr>
        <w:pStyle w:val="Compact"/>
        <w:numPr>
          <w:ilvl w:val="0"/>
          <w:numId w:val="1654"/>
        </w:numPr>
      </w:pPr>
      <w:r>
        <w:t xml:space="preserve">Non-dominant identities intrude — internal voices, thoughts, feelings, actions – but do not fully occupy patient's behavior and consciousness.</w:t>
      </w:r>
    </w:p>
    <w:p>
      <w:pPr>
        <w:pStyle w:val="Compact"/>
        <w:numPr>
          <w:ilvl w:val="0"/>
          <w:numId w:val="1654"/>
        </w:numPr>
      </w:pPr>
      <w:r>
        <w:t xml:space="preserve">Dominant identity controls daily functioning.</w:t>
      </w:r>
    </w:p>
    <w:p>
      <w:pPr>
        <w:pStyle w:val="Compact"/>
        <w:numPr>
          <w:ilvl w:val="0"/>
          <w:numId w:val="1654"/>
        </w:numPr>
      </w:pPr>
      <w:r>
        <w:t xml:space="preserve">Less amnesia compared to DID.</w:t>
      </w:r>
    </w:p>
    <w:p>
      <w:pPr>
        <w:pStyle w:val="Compact"/>
        <w:numPr>
          <w:ilvl w:val="0"/>
          <w:numId w:val="1654"/>
        </w:numPr>
      </w:pPr>
      <w:r>
        <w:t xml:space="preserve">Distress and functional impairment.</w:t>
      </w:r>
    </w:p>
    <w:bookmarkEnd w:id="1334"/>
    <w:bookmarkStart w:id="1339" w:name="X62469f6b727da6147eb088e0c71ce927f6f2615"/>
    <w:p>
      <w:pPr>
        <w:pStyle w:val="Heading3"/>
      </w:pPr>
      <w:r>
        <w:t xml:space="preserve">6. Diagnosis</w:t>
      </w:r>
    </w:p>
    <w:bookmarkStart w:id="1335" w:name="unified-diagnostic-criteria-icd-11-2"/>
    <w:p>
      <w:pPr>
        <w:pStyle w:val="Heading4"/>
      </w:pPr>
      <w:r>
        <w:t xml:space="preserve">6.1 Unified diagnostic criteria (ICD-11)</w:t>
      </w:r>
    </w:p>
    <w:p>
      <w:pPr>
        <w:pStyle w:val="FirstParagraph"/>
      </w:pPr>
      <w:r>
        <w:t xml:space="preserve">A. Two or more distinct identity states.</w:t>
      </w:r>
    </w:p>
    <w:p>
      <w:pPr>
        <w:pStyle w:val="BodyText"/>
      </w:pPr>
      <w:r>
        <w:t xml:space="preserve">B. Non-dominant identities do not consistently take full control of the consciousness and behaviour of the dominant identity, but are present as an intrusive experience.</w:t>
      </w:r>
    </w:p>
    <w:p>
      <w:pPr>
        <w:pStyle w:val="BodyText"/>
      </w:pPr>
      <w:r>
        <w:t xml:space="preserve">C. Significant distress or functional impairment.</w:t>
      </w:r>
    </w:p>
    <w:p>
      <w:pPr>
        <w:pStyle w:val="BodyText"/>
      </w:pPr>
      <w:r>
        <w:t xml:space="preserve">D. Exclusion of substance or medical condition.</w:t>
      </w:r>
    </w:p>
    <w:bookmarkEnd w:id="1335"/>
    <w:bookmarkStart w:id="1336" w:name="differences-between-sources-70"/>
    <w:p>
      <w:pPr>
        <w:pStyle w:val="Heading4"/>
      </w:pPr>
      <w:r>
        <w:t xml:space="preserve">6.2 Differences between sources</w:t>
      </w:r>
    </w:p>
    <w:p>
      <w:pPr>
        <w:pStyle w:val="Compact"/>
        <w:numPr>
          <w:ilvl w:val="0"/>
          <w:numId w:val="1655"/>
        </w:numPr>
      </w:pPr>
      <w:r>
        <w:t xml:space="preserve">ICD-11 — differs from DID by ‘not fully capturing.’</w:t>
      </w:r>
    </w:p>
    <w:p>
      <w:pPr>
        <w:pStyle w:val="Compact"/>
        <w:numPr>
          <w:ilvl w:val="0"/>
          <w:numId w:val="1655"/>
        </w:numPr>
      </w:pPr>
      <w:r>
        <w:t xml:space="preserve">DSM-5-TR — may be assessed within Other Specified Dissociative Disorder (F44.89).</w:t>
      </w:r>
    </w:p>
    <w:bookmarkEnd w:id="1336"/>
    <w:bookmarkStart w:id="1337" w:name="diagnostic-algorithm-40"/>
    <w:p>
      <w:pPr>
        <w:pStyle w:val="Heading4"/>
      </w:pPr>
      <w:r>
        <w:t xml:space="preserve">6.3 Diagnostic algorithm</w:t>
      </w:r>
    </w:p>
    <w:p>
      <w:pPr>
        <w:pStyle w:val="FirstParagraph"/>
      </w:pPr>
      <w:r>
        <w:t xml:space="preserve">Same as DID (see 6B64 §6.3).</w:t>
      </w:r>
    </w:p>
    <w:bookmarkEnd w:id="1337"/>
    <w:bookmarkStart w:id="1338" w:name="differential-diagnosis-4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DID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Non-dominant identities consistently seize dominant control + amnesia.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 cPTSD (6B40/6B41)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Traumatic intrusions; no separate identities.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Emotional lability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Possession trance (cultural)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Cultural and religious context.</w:t>
            </w:r>
          </w:p>
        </w:tc>
      </w:tr>
    </w:tbl>
    <w:bookmarkEnd w:id="1338"/>
    <w:bookmarkEnd w:id="1339"/>
    <w:bookmarkStart w:id="1340" w:name="X4d416cb6486d4471a30e7366b7fe753f0d91691"/>
    <w:p>
      <w:pPr>
        <w:pStyle w:val="Heading3"/>
      </w:pPr>
      <w:r>
        <w:t xml:space="preserve">7. Examination and assessment</w:t>
      </w:r>
    </w:p>
    <w:p>
      <w:pPr>
        <w:pStyle w:val="FirstParagraph"/>
      </w:pPr>
      <w:r>
        <w:t xml:space="preserve">Same as DID (SCID-D-R, DES, MID).</w:t>
      </w:r>
    </w:p>
    <w:bookmarkEnd w:id="1340"/>
    <w:bookmarkStart w:id="1341" w:name="X05e1aabf02a1978b2b6e4ff7e44db947753dd8b"/>
    <w:p>
      <w:pPr>
        <w:pStyle w:val="Heading3"/>
      </w:pPr>
      <w:r>
        <w:t xml:space="preserve">8. Treatment</w:t>
      </w:r>
    </w:p>
    <w:p>
      <w:pPr>
        <w:pStyle w:val="FirstParagraph"/>
      </w:pPr>
      <w:r>
        <w:t xml:space="preserve">The phase-oriented approach is adapted for DID (ISSTD 2011). For treatment principles, phases, and specific methodologies, see section 6B64 “Treatment” (including “Treatment methods”).</w:t>
      </w:r>
    </w:p>
    <w:bookmarkEnd w:id="1341"/>
    <w:bookmarkStart w:id="1342" w:name="Xbb9874b0fe5e588d06be2f041913f2b648aa382"/>
    <w:p>
      <w:pPr>
        <w:pStyle w:val="Heading3"/>
      </w:pPr>
      <w:r>
        <w:t xml:space="preserve">9. Prognosis</w:t>
      </w:r>
    </w:p>
    <w:p>
      <w:pPr>
        <w:pStyle w:val="FirstParagraph"/>
      </w:pPr>
      <w:r>
        <w:t xml:space="preserve">Functional recovery with phase-oriented therapy; similar to DID.</w:t>
      </w:r>
    </w:p>
    <w:bookmarkEnd w:id="1342"/>
    <w:bookmarkStart w:id="1347" w:name="X635c98429060285d705e3cc1a51be6ae9532c83"/>
    <w:p>
      <w:pPr>
        <w:pStyle w:val="Heading3"/>
      </w:pPr>
      <w:r>
        <w:t xml:space="preserve">10. Myths and misconceptions</w:t>
      </w:r>
    </w:p>
    <w:bookmarkStart w:id="1343" w:name="myth-1-partial-did-is-a-mild-form-of-did"/>
    <w:p>
      <w:pPr>
        <w:pStyle w:val="Heading5"/>
      </w:pPr>
      <w:r>
        <w:t xml:space="preserve">Myth 1: “Partial DID is a ‘mild form’ of DID”</w:t>
      </w:r>
    </w:p>
    <w:p>
      <w:pPr>
        <w:pStyle w:val="FirstParagraph"/>
      </w:pPr>
      <w:r>
        <w:t xml:space="preserve">Evidence: distinct diagnostic category; functional impairment and trauma burden may be comparable to DID.</w:t>
      </w:r>
    </w:p>
    <w:bookmarkEnd w:id="1343"/>
    <w:bookmarkStart w:id="1344" w:name="X4598e03fa88d711781ad36c18f007a5047c13dd"/>
    <w:p>
      <w:pPr>
        <w:pStyle w:val="Heading5"/>
      </w:pPr>
      <w:r>
        <w:t xml:space="preserve">Myth 2: “Internal voices are always a psychotic symptom”</w:t>
      </w:r>
    </w:p>
    <w:p>
      <w:pPr>
        <w:pStyle w:val="FirstParagraph"/>
      </w:pPr>
      <w:r>
        <w:t xml:space="preserve">Evidence: dissociative voices differ from psychotic symptoms — internal dialogue, ‘own’ feeling, weak response to antipsychotics; SCID-D-R for differentiation.</w:t>
      </w:r>
    </w:p>
    <w:bookmarkEnd w:id="1344"/>
    <w:bookmarkStart w:id="1345" w:name="X716e74875cd6538ffb3859bf270124d5501932d"/>
    <w:p>
      <w:pPr>
        <w:pStyle w:val="Heading5"/>
      </w:pPr>
      <w:r>
        <w:t xml:space="preserve">Myth 3: “Antipsychotic ‘cures’ voices in partial DID”</w:t>
      </w:r>
    </w:p>
    <w:p>
      <w:pPr>
        <w:pStyle w:val="FirstParagraph"/>
      </w:pPr>
      <w:r>
        <w:t xml:space="preserve">Evidence: dissociative voices do not respond to antipsychotics; psychotherapy first-line.</w:t>
      </w:r>
    </w:p>
    <w:bookmarkEnd w:id="1345"/>
    <w:bookmarkStart w:id="1346" w:name="myth-4-the-patient-is-role-playing"/>
    <w:p>
      <w:pPr>
        <w:pStyle w:val="Heading5"/>
      </w:pPr>
      <w:r>
        <w:t xml:space="preserve">Myth 4: “The patient is ‘role-playing’”</w:t>
      </w:r>
    </w:p>
    <w:p>
      <w:pPr>
        <w:pStyle w:val="FirstParagraph"/>
      </w:pPr>
      <w:r>
        <w:t xml:space="preserve">Evidence: Different from factitious disorder (6D50) — no motivation for gain; clinical experience is distressing for the patient.</w:t>
      </w:r>
    </w:p>
    <w:bookmarkEnd w:id="1346"/>
    <w:bookmarkEnd w:id="1347"/>
    <w:bookmarkStart w:id="2967" w:name="Xbcaea39e5d53e110d69899b4004a531f72bcfed"/>
    <w:p>
      <w:pPr>
        <w:pStyle w:val="Heading3"/>
      </w:pPr>
      <w:r>
        <w:t xml:space="preserve">11. Sources</w:t>
      </w:r>
    </w:p>
    <w:p>
      <w:pPr>
        <w:pStyle w:val="Compact"/>
        <w:numPr>
          <w:ilvl w:val="0"/>
          <w:numId w:val="1656"/>
        </w:numPr>
      </w:pPr>
      <w:r>
        <w:t xml:space="preserve">WHO. ICD-11. 6B65 Partial dissociative identity disorder. 2024.</w:t>
      </w:r>
    </w:p>
    <w:p>
      <w:pPr>
        <w:pStyle w:val="Compact"/>
        <w:numPr>
          <w:ilvl w:val="0"/>
          <w:numId w:val="1656"/>
        </w:numPr>
      </w:pPr>
      <w:r>
        <w:t xml:space="preserve">APA. DSM-5-TR. 2022.</w:t>
      </w:r>
    </w:p>
    <w:p>
      <w:pPr>
        <w:pStyle w:val="Compact"/>
        <w:numPr>
          <w:ilvl w:val="0"/>
          <w:numId w:val="1656"/>
        </w:numPr>
      </w:pPr>
      <w:r>
        <w:t xml:space="preserve">ISSTD. Guidelines for Treating Dissociative Identity Disorder in Adults, Third Revision. J Trauma Dissociation 2011;12(2):115–187.</w:t>
      </w:r>
    </w:p>
    <w:p>
      <w:pPr>
        <w:pStyle w:val="Compact"/>
        <w:numPr>
          <w:ilvl w:val="0"/>
          <w:numId w:val="1656"/>
        </w:numPr>
      </w:pPr>
      <w:r>
        <w:t xml:space="preserve">Reinders A.A.T.S. et al. J Nerv Ment Dis 2016;204(6):445–457.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48" w:name="Xe28d97b6382c15db09d2562f4d7a33a1fe6e6ca"/>
            <w:r>
              <w:t xml:space="preserve">6B66 DEPERSONALIZATION-DEREALIZATION DISORDER</w:t>
            </w:r>
            <w:bookmarkEnd w:id="1348"/>
          </w:p>
          <w:p>
            <w:pPr>
              <w:pStyle w:val="Compact"/>
              <w:ind w:firstLine="0" w:left="0"/>
            </w:pPr>
            <w:r>
              <w:rPr>
                <w:lang w:val="en"/>
              </w:rPr>
              <w:t xml:space="preserve">Depersonalization-derealization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Depersonalization-derealization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Depersonalization/Derealization Disorder</w:t>
            </w:r>
          </w:p>
        </w:tc>
      </w:tr>
    </w:tbl>
    <w:bookmarkStart w:id="1349" w:name="Xcdd6116829bb06045ada595700e22a4b4410df1"/>
    <w:p>
      <w:pPr>
        <w:pStyle w:val="Heading3"/>
      </w:pPr>
      <w:r>
        <w:t xml:space="preserve">1. Definition and nosology</w:t>
      </w:r>
    </w:p>
    <w:p>
      <w:pPr>
        <w:pStyle w:val="FirstParagraph"/>
      </w:pPr>
      <w:r>
        <w:t xml:space="preserve">Depersonalization-Derealization Disorder (ICD-11:</w:t>
      </w:r>
      <w:r>
        <w:t xml:space="preserve"> </w:t>
      </w:r>
      <w:r>
        <w:t xml:space="preserve">6B66</w:t>
      </w:r>
      <w:r>
        <w:t xml:space="preserve">; DSM-5-TR: F48.1) — a dissociative disorder characterized by persistent or recurrent depersonalization (feeling detached from oneself, disconnected from body and thoughts) and/or derealization (surroundings appearing unreal, like a ‘foggy film’). Reality testing is preserved (the patient knows the experience is unreal).</w:t>
      </w:r>
    </w:p>
    <w:bookmarkEnd w:id="1349"/>
    <w:bookmarkStart w:id="1350" w:name="X1191cbb5af70df1bdb7b73ec5ab85e1a38a5adf"/>
    <w:p>
      <w:pPr>
        <w:pStyle w:val="Heading3"/>
      </w:pPr>
      <w:r>
        <w:t xml:space="preserve">2. History</w:t>
      </w:r>
    </w:p>
    <w:p>
      <w:pPr>
        <w:pStyle w:val="Compact"/>
        <w:numPr>
          <w:ilvl w:val="0"/>
          <w:numId w:val="1657"/>
        </w:numPr>
      </w:pPr>
      <w:r>
        <w:t xml:space="preserve">Krishaber M. (1873) — first description.</w:t>
      </w:r>
    </w:p>
    <w:p>
      <w:pPr>
        <w:pStyle w:val="Compact"/>
        <w:numPr>
          <w:ilvl w:val="0"/>
          <w:numId w:val="1657"/>
        </w:numPr>
      </w:pPr>
      <w:r>
        <w:t xml:space="preserve">Dugas L. (1898) — term ‘dépersonnalisation’.</w:t>
      </w:r>
    </w:p>
    <w:p>
      <w:pPr>
        <w:pStyle w:val="Compact"/>
        <w:numPr>
          <w:ilvl w:val="0"/>
          <w:numId w:val="1657"/>
        </w:numPr>
      </w:pPr>
      <w:r>
        <w:t xml:space="preserve">DSM-III (1980) — Separate diagnosis.</w:t>
      </w:r>
    </w:p>
    <w:p>
      <w:pPr>
        <w:pStyle w:val="Compact"/>
        <w:numPr>
          <w:ilvl w:val="0"/>
          <w:numId w:val="1657"/>
        </w:numPr>
      </w:pPr>
      <w:r>
        <w:t xml:space="preserve">DSM-5 (2013) — depersonalization and derealization as a combined category.</w:t>
      </w:r>
    </w:p>
    <w:bookmarkEnd w:id="1350"/>
    <w:bookmarkStart w:id="1351" w:name="Xd8da148d8a0e232eee1bb7d282d62b558e9ebb2"/>
    <w:p>
      <w:pPr>
        <w:pStyle w:val="Heading3"/>
      </w:pPr>
      <w:r>
        <w:t xml:space="preserve">3. Epidemiology</w:t>
      </w:r>
    </w:p>
    <w:p>
      <w:pPr>
        <w:pStyle w:val="Compact"/>
        <w:numPr>
          <w:ilvl w:val="0"/>
          <w:numId w:val="1658"/>
        </w:numPr>
      </w:pPr>
      <w:r>
        <w:t xml:space="preserve">Lifetime prevalence: 1–2% in clinical form; subclinical experiences at least once in 50% of the population.</w:t>
      </w:r>
    </w:p>
    <w:p>
      <w:pPr>
        <w:pStyle w:val="Compact"/>
        <w:numPr>
          <w:ilvl w:val="0"/>
          <w:numId w:val="1658"/>
        </w:numPr>
      </w:pPr>
      <w:r>
        <w:t xml:space="preserve">Sex: approximately equal.</w:t>
      </w:r>
    </w:p>
    <w:p>
      <w:pPr>
        <w:pStyle w:val="Compact"/>
        <w:numPr>
          <w:ilvl w:val="0"/>
          <w:numId w:val="1658"/>
        </w:numPr>
      </w:pPr>
      <w:r>
        <w:t xml:space="preserve">Onset: adolescence and early adulthood (mean 16 years).</w:t>
      </w:r>
    </w:p>
    <w:p>
      <w:pPr>
        <w:pStyle w:val="Compact"/>
        <w:numPr>
          <w:ilvl w:val="0"/>
          <w:numId w:val="1658"/>
        </w:numPr>
      </w:pPr>
      <w:r>
        <w:t xml:space="preserve">Comorbidity: MDD, panic, GAD, PTSD, BPD.</w:t>
      </w:r>
    </w:p>
    <w:bookmarkEnd w:id="1351"/>
    <w:bookmarkStart w:id="1352" w:name="X26536a1ae5363c4548d76aee35987767b69ad4c"/>
    <w:p>
      <w:pPr>
        <w:pStyle w:val="Heading3"/>
      </w:pPr>
      <w:r>
        <w:t xml:space="preserve">4. Aetiology and pathogenesis</w:t>
      </w:r>
    </w:p>
    <w:p>
      <w:pPr>
        <w:pStyle w:val="Compact"/>
        <w:numPr>
          <w:ilvl w:val="0"/>
          <w:numId w:val="1659"/>
        </w:numPr>
      </w:pPr>
      <w:r>
        <w:t xml:space="preserve">Trauma and stress trigger (especially cannabis, hallucinogen use).</w:t>
      </w:r>
    </w:p>
    <w:p>
      <w:pPr>
        <w:pStyle w:val="Compact"/>
        <w:numPr>
          <w:ilvl w:val="0"/>
          <w:numId w:val="1659"/>
        </w:numPr>
      </w:pPr>
      <w:r>
        <w:t xml:space="preserve">Neurobiological — impaired prefrontal-limbic regulation; sensory processing anomalies (Simeon D. reviews).</w:t>
      </w:r>
    </w:p>
    <w:p>
      <w:pPr>
        <w:pStyle w:val="Compact"/>
        <w:numPr>
          <w:ilvl w:val="0"/>
          <w:numId w:val="1659"/>
        </w:numPr>
      </w:pPr>
      <w:r>
        <w:t xml:space="preserve">Comorbid anxiety and panic attack frequency high.</w:t>
      </w:r>
    </w:p>
    <w:bookmarkEnd w:id="1352"/>
    <w:bookmarkStart w:id="1353" w:name="X0d5bf1552c0c7ea13539e514745c2370e0ca647"/>
    <w:p>
      <w:pPr>
        <w:pStyle w:val="Heading3"/>
      </w:pPr>
      <w:r>
        <w:t xml:space="preserve">5. Clinical features</w:t>
      </w:r>
    </w:p>
    <w:p>
      <w:pPr>
        <w:pStyle w:val="Compact"/>
        <w:numPr>
          <w:ilvl w:val="0"/>
          <w:numId w:val="1660"/>
        </w:numPr>
      </w:pPr>
      <w:r>
        <w:t xml:space="preserve">Depersonalization: Sense of observing oneself from outside, feeling like a robot, emotional flattening, feeling that “my body is not mine”.</w:t>
      </w:r>
    </w:p>
    <w:p>
      <w:pPr>
        <w:pStyle w:val="Compact"/>
        <w:numPr>
          <w:ilvl w:val="0"/>
          <w:numId w:val="1660"/>
        </w:numPr>
      </w:pPr>
      <w:r>
        <w:t xml:space="preserve">Derealization: Environment appears “faded”, “like a faded film” or “artificial”; distance perception change.</w:t>
      </w:r>
    </w:p>
    <w:p>
      <w:pPr>
        <w:pStyle w:val="Compact"/>
        <w:numPr>
          <w:ilvl w:val="0"/>
          <w:numId w:val="1660"/>
        </w:numPr>
      </w:pPr>
      <w:r>
        <w:t xml:space="preserve">Reality testing preserved — patient knows the experience is unreal.</w:t>
      </w:r>
    </w:p>
    <w:p>
      <w:pPr>
        <w:pStyle w:val="Compact"/>
        <w:numPr>
          <w:ilvl w:val="0"/>
          <w:numId w:val="1660"/>
        </w:numPr>
      </w:pPr>
      <w:r>
        <w:t xml:space="preserve">Significant distress and functional impairment.</w:t>
      </w:r>
    </w:p>
    <w:p>
      <w:pPr>
        <w:pStyle w:val="Compact"/>
        <w:numPr>
          <w:ilvl w:val="0"/>
          <w:numId w:val="1660"/>
        </w:numPr>
      </w:pPr>
      <w:r>
        <w:t xml:space="preserve">Typical course — continuous or recurring episodes.</w:t>
      </w:r>
    </w:p>
    <w:bookmarkEnd w:id="1353"/>
    <w:bookmarkStart w:id="1358" w:name="X729aa6bf6dfe4538d7c80645382bab5355c2d63"/>
    <w:p>
      <w:pPr>
        <w:pStyle w:val="Heading3"/>
      </w:pPr>
      <w:r>
        <w:t xml:space="preserve">6. Diagnosis</w:t>
      </w:r>
    </w:p>
    <w:bookmarkStart w:id="1354" w:name="unified-diagnostic-criteria-21"/>
    <w:p>
      <w:pPr>
        <w:pStyle w:val="Heading4"/>
      </w:pPr>
      <w:r>
        <w:t xml:space="preserve">6.1 Unified diagnostic criteria</w:t>
      </w:r>
    </w:p>
    <w:p>
      <w:pPr>
        <w:pStyle w:val="FirstParagraph"/>
      </w:pPr>
      <w:r>
        <w:t xml:space="preserve">A. Persistent or recurrent experiences of depersonalization and/or derealization.</w:t>
      </w:r>
    </w:p>
    <w:p>
      <w:pPr>
        <w:pStyle w:val="BodyText"/>
      </w:pPr>
      <w:r>
        <w:t xml:space="preserve">B. Reality testing preserved.</w:t>
      </w:r>
    </w:p>
    <w:p>
      <w:pPr>
        <w:pStyle w:val="BodyText"/>
      </w:pPr>
      <w:r>
        <w:t xml:space="preserve">C. Significant distress or functional impairment.</w:t>
      </w:r>
    </w:p>
    <w:p>
      <w:pPr>
        <w:pStyle w:val="BodyText"/>
      </w:pPr>
      <w:r>
        <w:t xml:space="preserve">D. Exclusion of substance (cannabis, hallucinogen) or medical condition (seizure, brain injury).</w:t>
      </w:r>
    </w:p>
    <w:p>
      <w:pPr>
        <w:pStyle w:val="BodyText"/>
      </w:pPr>
      <w:r>
        <w:t xml:space="preserve">E. Not better explained by another mental disorder (transient during panic attack; in context of PTSD; schizophrenia).</w:t>
      </w:r>
    </w:p>
    <w:bookmarkEnd w:id="1354"/>
    <w:bookmarkStart w:id="1355" w:name="differences-between-sources-71"/>
    <w:p>
      <w:pPr>
        <w:pStyle w:val="Heading4"/>
      </w:pPr>
      <w:r>
        <w:t xml:space="preserve">6.2 Differences between sources</w:t>
      </w:r>
    </w:p>
    <w:p>
      <w:pPr>
        <w:pStyle w:val="Compact"/>
        <w:numPr>
          <w:ilvl w:val="0"/>
          <w:numId w:val="1661"/>
        </w:numPr>
      </w:pPr>
      <w:r>
        <w:t xml:space="preserve">DSM-5-TR / ICD-11 — same criteria.</w:t>
      </w:r>
    </w:p>
    <w:bookmarkEnd w:id="1355"/>
    <w:bookmarkStart w:id="1356" w:name="diagnostic-algorithm-41"/>
    <w:p>
      <w:pPr>
        <w:pStyle w:val="Heading4"/>
      </w:pPr>
      <w:r>
        <w:t xml:space="preserve">6.3 Diagnostic algorithm</w:t>
      </w:r>
    </w:p>
    <w:p>
      <w:pPr>
        <w:pStyle w:val="Compact"/>
        <w:numPr>
          <w:ilvl w:val="0"/>
          <w:numId w:val="1662"/>
        </w:numPr>
      </w:pPr>
      <w:r>
        <w:t xml:space="preserve">Clinical interview.</w:t>
      </w:r>
    </w:p>
    <w:p>
      <w:pPr>
        <w:pStyle w:val="Compact"/>
        <w:numPr>
          <w:ilvl w:val="0"/>
          <w:numId w:val="1662"/>
        </w:numPr>
      </w:pPr>
      <w:r>
        <w:t xml:space="preserve">CDS (Cambridge Depersonalisation Scale, Sierra M., Berrios G.E.) — 29 items.</w:t>
      </w:r>
    </w:p>
    <w:p>
      <w:pPr>
        <w:pStyle w:val="Compact"/>
        <w:numPr>
          <w:ilvl w:val="0"/>
          <w:numId w:val="1662"/>
        </w:numPr>
      </w:pPr>
      <w:r>
        <w:t xml:space="preserve">Medical and neurological examination (excluding seizures and brain injury).</w:t>
      </w:r>
    </w:p>
    <w:p>
      <w:pPr>
        <w:pStyle w:val="Compact"/>
        <w:numPr>
          <w:ilvl w:val="0"/>
          <w:numId w:val="1662"/>
        </w:numPr>
      </w:pPr>
      <w:r>
        <w:t xml:space="preserve">Toxicology screening.</w:t>
      </w:r>
    </w:p>
    <w:p>
      <w:pPr>
        <w:pStyle w:val="Compact"/>
        <w:numPr>
          <w:ilvl w:val="0"/>
          <w:numId w:val="1662"/>
        </w:numPr>
      </w:pPr>
      <w:r>
        <w:t xml:space="preserve">Comorbidity.</w:t>
      </w:r>
    </w:p>
    <w:bookmarkEnd w:id="1356"/>
    <w:bookmarkStart w:id="1357" w:name="differential-diagnosis-4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Panic attack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Short-term in the context of an attack.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Against trauma background; intrusive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DID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Distinct identities.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 (epileptic)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 postictal state.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Reality testing impaired.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(cannabis,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bl>
    <w:bookmarkEnd w:id="1357"/>
    <w:bookmarkEnd w:id="1358"/>
    <w:bookmarkStart w:id="1359" w:name="Xa3ffcd75fc734d90b79c9edf1e40ada08f5567c"/>
    <w:p>
      <w:pPr>
        <w:pStyle w:val="Heading3"/>
      </w:pPr>
      <w:r>
        <w:t xml:space="preserve">7. Examination and assessment</w:t>
      </w:r>
    </w:p>
    <w:p>
      <w:pPr>
        <w:pStyle w:val="Compact"/>
        <w:numPr>
          <w:ilvl w:val="0"/>
          <w:numId w:val="1663"/>
        </w:numPr>
      </w:pPr>
      <w:r>
        <w:t xml:space="preserve">CDS is the gold standard.</w:t>
      </w:r>
    </w:p>
    <w:p>
      <w:pPr>
        <w:pStyle w:val="Compact"/>
        <w:numPr>
          <w:ilvl w:val="0"/>
          <w:numId w:val="1663"/>
        </w:numPr>
      </w:pPr>
      <w:r>
        <w:t xml:space="preserve">EEG if seizure is to be ruled out.</w:t>
      </w:r>
    </w:p>
    <w:p>
      <w:pPr>
        <w:pStyle w:val="Compact"/>
        <w:numPr>
          <w:ilvl w:val="0"/>
          <w:numId w:val="1663"/>
        </w:numPr>
      </w:pPr>
      <w:r>
        <w:t xml:space="preserve">Toxicology.</w:t>
      </w:r>
    </w:p>
    <w:bookmarkEnd w:id="1359"/>
    <w:bookmarkStart w:id="1362" w:name="Xe0c436acc1bc38e7aa805dae0b3f8047050b22a"/>
    <w:p>
      <w:pPr>
        <w:pStyle w:val="Heading3"/>
      </w:pPr>
      <w:r>
        <w:t xml:space="preserve">8. Treatment</w:t>
      </w:r>
    </w:p>
    <w:p>
      <w:pPr>
        <w:pStyle w:val="Compact"/>
        <w:numPr>
          <w:ilvl w:val="0"/>
          <w:numId w:val="1664"/>
        </w:numPr>
      </w:pPr>
      <w:r>
        <w:t xml:space="preserve">CBT — adapted for depersonalization; cognitive restructuring + exposure. Hunter E.C. et al. Behav Res Ther 2005.</w:t>
      </w:r>
    </w:p>
    <w:p>
      <w:pPr>
        <w:pStyle w:val="Compact"/>
        <w:numPr>
          <w:ilvl w:val="0"/>
          <w:numId w:val="1664"/>
        </w:numPr>
      </w:pPr>
      <w:r>
        <w:t xml:space="preserve">SSRI — effective for comorbid depression and anxiety; evidence base for disorder itself limited.</w:t>
      </w:r>
    </w:p>
    <w:p>
      <w:pPr>
        <w:pStyle w:val="Compact"/>
        <w:numPr>
          <w:ilvl w:val="0"/>
          <w:numId w:val="1664"/>
        </w:numPr>
      </w:pPr>
      <w:r>
        <w:t xml:space="preserve">Lamotrigine adjunct — effective in some studies.</w:t>
      </w:r>
    </w:p>
    <w:p>
      <w:pPr>
        <w:pStyle w:val="Compact"/>
        <w:numPr>
          <w:ilvl w:val="0"/>
          <w:numId w:val="1664"/>
        </w:numPr>
      </w:pPr>
      <w:r>
        <w:t xml:space="preserve">Against trauma background — trauma-focused approach.</w:t>
      </w:r>
    </w:p>
    <w:p>
      <w:pPr>
        <w:pStyle w:val="Compact"/>
        <w:numPr>
          <w:ilvl w:val="0"/>
          <w:numId w:val="1664"/>
        </w:numPr>
      </w:pPr>
      <w:r>
        <w:t xml:space="preserve">Abstinence from cannabis and hallucinogen use is critical.</w:t>
      </w:r>
    </w:p>
    <w:bookmarkStart w:id="1360" w:name="treatment-methods-40"/>
    <w:p>
      <w:pPr>
        <w:pStyle w:val="Heading4"/>
      </w:pPr>
      <w:r>
        <w:t xml:space="preserve">8.1 Treatment methods</w:t>
      </w:r>
    </w:p>
    <w:p>
      <w:pPr>
        <w:pStyle w:val="Compact"/>
        <w:numPr>
          <w:ilvl w:val="0"/>
          <w:numId w:val="1665"/>
        </w:numPr>
      </w:pPr>
      <w:r>
        <w:t xml:space="preserve">CBT for depersonalization — Hunter (Hunter E.C.), Sierra (Sierra M.) — Cognitive restructuring, exposure, grounding techniques.</w:t>
      </w:r>
    </w:p>
    <w:p>
      <w:pPr>
        <w:pStyle w:val="Compact"/>
        <w:numPr>
          <w:ilvl w:val="0"/>
          <w:numId w:val="1665"/>
        </w:numPr>
      </w:pPr>
      <w:r>
        <w:t xml:space="preserve">Cambridge Depersonalisation Scale (CDS) — 29 items.</w:t>
      </w:r>
    </w:p>
    <w:p>
      <w:pPr>
        <w:pStyle w:val="Compact"/>
        <w:numPr>
          <w:ilvl w:val="0"/>
          <w:numId w:val="1665"/>
        </w:numPr>
      </w:pPr>
      <w:r>
        <w:t xml:space="preserve">Grounding techniques — 5-4-3-2-1 (5 visible objects, 4 sounds, etc.); sensory attention.</w:t>
      </w:r>
    </w:p>
    <w:bookmarkEnd w:id="1360"/>
    <w:bookmarkStart w:id="1361" w:name="differences-between-sources-72"/>
    <w:p>
      <w:pPr>
        <w:pStyle w:val="Heading4"/>
      </w:pPr>
      <w:r>
        <w:t xml:space="preserve">8.2 Differences between sources</w:t>
      </w:r>
    </w:p>
    <w:p>
      <w:pPr>
        <w:pStyle w:val="Compact"/>
        <w:numPr>
          <w:ilvl w:val="0"/>
          <w:numId w:val="1666"/>
        </w:numPr>
      </w:pPr>
      <w:r>
        <w:t xml:space="preserve">Sierra M. reviews — CBT and adjunctive SSRIs.</w:t>
      </w:r>
    </w:p>
    <w:p>
      <w:pPr>
        <w:pStyle w:val="Compact"/>
        <w:numPr>
          <w:ilvl w:val="0"/>
          <w:numId w:val="1666"/>
        </w:numPr>
      </w:pPr>
      <w:r>
        <w:t xml:space="preserve">There is no specific FDA-approved medication.</w:t>
      </w:r>
    </w:p>
    <w:bookmarkEnd w:id="1361"/>
    <w:bookmarkEnd w:id="1362"/>
    <w:bookmarkStart w:id="1363" w:name="X996b513f8ef148b7f4836f20cd5708af5d5e5ac"/>
    <w:p>
      <w:pPr>
        <w:pStyle w:val="Heading3"/>
      </w:pPr>
      <w:r>
        <w:t xml:space="preserve">9. Prognosis</w:t>
      </w:r>
    </w:p>
    <w:p>
      <w:pPr>
        <w:pStyle w:val="Compact"/>
        <w:numPr>
          <w:ilvl w:val="0"/>
          <w:numId w:val="1667"/>
        </w:numPr>
      </w:pPr>
      <w:r>
        <w:t xml:space="preserve">Chronic course, but significant improvement with CBT.</w:t>
      </w:r>
    </w:p>
    <w:bookmarkEnd w:id="1363"/>
    <w:bookmarkStart w:id="1369" w:name="X4be2e42f9fbaa198e6278abcc74cec2f7e316b5"/>
    <w:p>
      <w:pPr>
        <w:pStyle w:val="Heading3"/>
      </w:pPr>
      <w:r>
        <w:t xml:space="preserve">10. Myths and misconceptions</w:t>
      </w:r>
    </w:p>
    <w:bookmarkStart w:id="1364" w:name="Xa5e79b07b713c2c2d47ab54ca950b560c74a06d"/>
    <w:p>
      <w:pPr>
        <w:pStyle w:val="Heading5"/>
      </w:pPr>
      <w:r>
        <w:t xml:space="preserve">Myth 1: “Depersonalization is a sign of psychosis”</w:t>
      </w:r>
    </w:p>
    <w:p>
      <w:pPr>
        <w:pStyle w:val="FirstParagraph"/>
      </w:pPr>
      <w:r>
        <w:t xml:space="preserve">Evidence: Reality testing preserved; distinct from psychotic disorder; antipsychotic ineffective.</w:t>
      </w:r>
    </w:p>
    <w:bookmarkEnd w:id="1364"/>
    <w:bookmarkStart w:id="1365" w:name="X93ac9498e4000f32f35688192e3ff9defac1dea"/>
    <w:p>
      <w:pPr>
        <w:pStyle w:val="Heading5"/>
      </w:pPr>
      <w:r>
        <w:t xml:space="preserve">Myth 2: “Depersonalization is transient and does not require treatment”</w:t>
      </w:r>
    </w:p>
    <w:p>
      <w:pPr>
        <w:pStyle w:val="FirstParagraph"/>
      </w:pPr>
      <w:r>
        <w:t xml:space="preserve">Evidence: Clinical form features chronic course and functional impairment; intervention recommended.</w:t>
      </w:r>
    </w:p>
    <w:bookmarkEnd w:id="1365"/>
    <w:bookmarkStart w:id="1366" w:name="X6baa92bd80f3474aa0d51cc1146c4e43098f8c9"/>
    <w:p>
      <w:pPr>
        <w:pStyle w:val="Heading5"/>
      </w:pPr>
      <w:r>
        <w:t xml:space="preserve">Myth 3: “Cannabis improves depersonalization”</w:t>
      </w:r>
    </w:p>
    <w:p>
      <w:pPr>
        <w:pStyle w:val="FirstParagraph"/>
      </w:pPr>
      <w:r>
        <w:t xml:space="preserve">Evidence: Cannabis is a trigger and perpetuating factor; abstinence critical.</w:t>
      </w:r>
    </w:p>
    <w:bookmarkEnd w:id="1366"/>
    <w:bookmarkStart w:id="1367" w:name="Xc41a23500e46c7367dd9ee9c4a237b564d65dee"/>
    <w:p>
      <w:pPr>
        <w:pStyle w:val="Heading5"/>
      </w:pPr>
      <w:r>
        <w:t xml:space="preserve">Myth 4: “Benzodiazepines are the main treatment”</w:t>
      </w:r>
    </w:p>
    <w:p>
      <w:pPr>
        <w:pStyle w:val="FirstParagraph"/>
      </w:pPr>
      <w:r>
        <w:t xml:space="preserve">Evidence: benzodiazepine provides short-term relief, but risk of dependence and depersonalization enhancement.</w:t>
      </w:r>
    </w:p>
    <w:bookmarkEnd w:id="1367"/>
    <w:bookmarkStart w:id="1368" w:name="X934026c89623460649bb85e2d15df35e670360f"/>
    <w:p>
      <w:pPr>
        <w:pStyle w:val="Heading5"/>
      </w:pPr>
      <w:r>
        <w:t xml:space="preserve">Myth 5: “Only antidepressants are effective”</w:t>
      </w:r>
    </w:p>
    <w:p>
      <w:pPr>
        <w:pStyle w:val="FirstParagraph"/>
      </w:pPr>
      <w:r>
        <w:t xml:space="preserve">Evidence: CBT first-line; SSRIs for comorbid symptoms.</w:t>
      </w:r>
    </w:p>
    <w:bookmarkEnd w:id="1368"/>
    <w:bookmarkEnd w:id="1369"/>
    <w:bookmarkStart w:id="2966" w:name="Xb669753da2fc8d25776ea5611c77f6041f22c17"/>
    <w:p>
      <w:pPr>
        <w:pStyle w:val="Heading3"/>
      </w:pPr>
      <w:r>
        <w:t xml:space="preserve">11. Sources</w:t>
      </w:r>
    </w:p>
    <w:p>
      <w:pPr>
        <w:pStyle w:val="Compact"/>
        <w:numPr>
          <w:ilvl w:val="0"/>
          <w:numId w:val="1668"/>
        </w:numPr>
      </w:pPr>
      <w:r>
        <w:t xml:space="preserve">WHO. ICD-11. 6B66 Depersonalization-derealization disorder. 2024.</w:t>
      </w:r>
    </w:p>
    <w:p>
      <w:pPr>
        <w:pStyle w:val="Compact"/>
        <w:numPr>
          <w:ilvl w:val="0"/>
          <w:numId w:val="1668"/>
        </w:numPr>
      </w:pPr>
      <w:r>
        <w:t xml:space="preserve">APA. DSM-5-TR. 2022.</w:t>
      </w:r>
    </w:p>
    <w:p>
      <w:pPr>
        <w:pStyle w:val="Compact"/>
        <w:numPr>
          <w:ilvl w:val="0"/>
          <w:numId w:val="1668"/>
        </w:numPr>
      </w:pPr>
      <w:r>
        <w:t xml:space="preserve">Sierra M. Depersonalization: A New Look at a Neglected Syndrome. Cambridge Univ Press; 2009.</w:t>
      </w:r>
    </w:p>
    <w:p>
      <w:pPr>
        <w:pStyle w:val="Compact"/>
        <w:numPr>
          <w:ilvl w:val="0"/>
          <w:numId w:val="1668"/>
        </w:numPr>
      </w:pPr>
      <w:r>
        <w:t xml:space="preserve">Hunter E.C.M. et al. Cognitive-behaviour therapy for depersonalisation disorder: an open study. Behav Res Ther 2005;43(9):1121–1130.</w:t>
      </w:r>
    </w:p>
    <w:p>
      <w:pPr>
        <w:pStyle w:val="Compact"/>
        <w:numPr>
          <w:ilvl w:val="0"/>
          <w:numId w:val="1668"/>
        </w:numPr>
      </w:pPr>
      <w:r>
        <w:t xml:space="preserve">Simeon D. Depersonalisation disorder: a contemporary overview. CNS Drugs 2004;18(6):343–354.</w:t>
      </w:r>
    </w:p>
    <w:p>
      <w:pPr>
        <w:pStyle w:val="Compact"/>
        <w:numPr>
          <w:ilvl w:val="0"/>
          <w:numId w:val="1668"/>
        </w:numPr>
      </w:pPr>
      <w:r>
        <w:t xml:space="preserve">Sierra M., Berrios G.E. The Cambridge Depersonalisation Scale: a new instrument for the measurement of depersonalisation. Psychiatry Res 2000;93(2):153–164.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70" w:name="X8a8a209df56dba7493de08c91d6b3c5ae05eef9"/>
            <w:r>
              <w:t xml:space="preserve">6B60 DISSOCIATIVE NEUROLOGICAL SYMPTOM DISORDER</w:t>
            </w:r>
            <w:bookmarkEnd w:id="1370"/>
          </w:p>
          <w:p>
            <w:pPr>
              <w:pStyle w:val="Compact"/>
              <w:ind w:firstLine="0" w:left="0"/>
            </w:pPr>
            <w:r>
              <w:rPr>
                <w:lang w:val="en"/>
              </w:rPr>
              <w:t xml:space="preserve">Dissociative neurological symptom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motor and sensory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Functional Neurological Symptom Disorder (Conversion Disorder)</w:t>
            </w:r>
          </w:p>
        </w:tc>
      </w:tr>
    </w:tbl>
    <w:bookmarkStart w:id="1371" w:name="X19c9a12c80469ba734748ed801633eed043cc24"/>
    <w:p>
      <w:pPr>
        <w:pStyle w:val="Heading3"/>
      </w:pPr>
      <w:r>
        <w:t xml:space="preserve">1. Definition and nosology</w:t>
      </w:r>
    </w:p>
    <w:p>
      <w:pPr>
        <w:pStyle w:val="FirstParagraph"/>
      </w:pPr>
      <w:r>
        <w:t xml:space="preserve">Dissociative Neurological Symptom Disorder (ICD-11:</w:t>
      </w:r>
      <w:r>
        <w:t xml:space="preserve"> </w:t>
      </w:r>
      <w:r>
        <w:t xml:space="preserve">6B60</w:t>
      </w:r>
      <w:r>
        <w:t xml:space="preserve">; DSM-5-TR: F44.4–F44.7 Functional Neurological Symptom Disorder / Conversion Disorder) — impairment of motor, sensory, or cognitive functions under voluntary control, not fully explained by a neurological or medical illness. Previously termed “conversion disorder” or “hysteria”.</w:t>
      </w:r>
    </w:p>
    <w:bookmarkEnd w:id="1371"/>
    <w:bookmarkStart w:id="1372" w:name="X5978b33a8799c20c7c767f84bcdb34c7d016076"/>
    <w:p>
      <w:pPr>
        <w:pStyle w:val="Heading3"/>
      </w:pPr>
      <w:r>
        <w:t xml:space="preserve">2. History</w:t>
      </w:r>
    </w:p>
    <w:p>
      <w:pPr>
        <w:pStyle w:val="Compact"/>
        <w:numPr>
          <w:ilvl w:val="0"/>
          <w:numId w:val="1669"/>
        </w:numPr>
      </w:pPr>
      <w:r>
        <w:t xml:space="preserve">Charcot J.M. (19th century) — Studies on ‘hysteria’ at Salpêtrière.</w:t>
      </w:r>
    </w:p>
    <w:p>
      <w:pPr>
        <w:pStyle w:val="Compact"/>
        <w:numPr>
          <w:ilvl w:val="0"/>
          <w:numId w:val="1669"/>
        </w:numPr>
      </w:pPr>
      <w:r>
        <w:t xml:space="preserve">Freud S. — psychoanalytic “conversion” model.</w:t>
      </w:r>
    </w:p>
    <w:p>
      <w:pPr>
        <w:pStyle w:val="Compact"/>
        <w:numPr>
          <w:ilvl w:val="0"/>
          <w:numId w:val="1669"/>
        </w:numPr>
      </w:pPr>
      <w:r>
        <w:t xml:space="preserve">DSM-III (1980) — “Conversion Disorder” within somatoform disorders.</w:t>
      </w:r>
    </w:p>
    <w:p>
      <w:pPr>
        <w:pStyle w:val="Compact"/>
        <w:numPr>
          <w:ilvl w:val="0"/>
          <w:numId w:val="1669"/>
        </w:numPr>
      </w:pPr>
      <w:r>
        <w:t xml:space="preserve">DSM-5 (2013) — “Functional Neurological Symptom Disorder” — emphasis on joint neurological and psychiatric assessment.</w:t>
      </w:r>
    </w:p>
    <w:p>
      <w:pPr>
        <w:pStyle w:val="Compact"/>
        <w:numPr>
          <w:ilvl w:val="0"/>
          <w:numId w:val="1669"/>
        </w:numPr>
      </w:pPr>
      <w:r>
        <w:t xml:space="preserve">ICD-11 (2019) — transferred to the category of dissociative disorders.</w:t>
      </w:r>
    </w:p>
    <w:bookmarkEnd w:id="1372"/>
    <w:bookmarkStart w:id="1373" w:name="X1ecb8ef91f3cd84386e561017f1ca7d0e58b9f0"/>
    <w:p>
      <w:pPr>
        <w:pStyle w:val="Heading3"/>
      </w:pPr>
      <w:r>
        <w:t xml:space="preserve">3. Epidemiology</w:t>
      </w:r>
    </w:p>
    <w:p>
      <w:pPr>
        <w:pStyle w:val="Compact"/>
        <w:numPr>
          <w:ilvl w:val="0"/>
          <w:numId w:val="1670"/>
        </w:numPr>
      </w:pPr>
      <w:r>
        <w:t xml:space="preserve">In primary care and neurological clinics — 5–10% (reviews by Carson A.J. et al.).</w:t>
      </w:r>
    </w:p>
    <w:p>
      <w:pPr>
        <w:pStyle w:val="Compact"/>
        <w:numPr>
          <w:ilvl w:val="0"/>
          <w:numId w:val="1670"/>
        </w:numPr>
      </w:pPr>
      <w:r>
        <w:t xml:space="preserve">Sex: 2–3 times higher in females.</w:t>
      </w:r>
    </w:p>
    <w:p>
      <w:pPr>
        <w:pStyle w:val="Compact"/>
        <w:numPr>
          <w:ilvl w:val="0"/>
          <w:numId w:val="1670"/>
        </w:numPr>
      </w:pPr>
      <w:r>
        <w:t xml:space="preserve">Onset: adulthood, but also in children and the elderly.</w:t>
      </w:r>
    </w:p>
    <w:p>
      <w:pPr>
        <w:pStyle w:val="Compact"/>
        <w:numPr>
          <w:ilvl w:val="0"/>
          <w:numId w:val="1670"/>
        </w:numPr>
      </w:pPr>
      <w:r>
        <w:t xml:space="preserve">Comorbidity: MDD, anxiety, trauma history, somatic illnesses.</w:t>
      </w:r>
    </w:p>
    <w:bookmarkEnd w:id="1373"/>
    <w:bookmarkStart w:id="1374" w:name="X1c34e062fb930d76aab86241448a8563595bec2"/>
    <w:p>
      <w:pPr>
        <w:pStyle w:val="Heading3"/>
      </w:pPr>
      <w:r>
        <w:t xml:space="preserve">4. Aetiology and pathogenesis</w:t>
      </w:r>
    </w:p>
    <w:p>
      <w:pPr>
        <w:pStyle w:val="Compact"/>
        <w:numPr>
          <w:ilvl w:val="0"/>
          <w:numId w:val="1671"/>
        </w:numPr>
      </w:pPr>
      <w:r>
        <w:t xml:space="preserve">A traumatic or stressful trigger is common, but in a substantial and variable proportion of patients no trigger can be identified (0–77% across studies; Ludwig L. et al. Lancet Psychiatry 2018 meta-analysis) — which is why DSM-5 and ICD-11 no longer require a stressor for diagnosis.</w:t>
      </w:r>
    </w:p>
    <w:p>
      <w:pPr>
        <w:pStyle w:val="Compact"/>
        <w:numPr>
          <w:ilvl w:val="0"/>
          <w:numId w:val="1671"/>
        </w:numPr>
      </w:pPr>
      <w:r>
        <w:t xml:space="preserve">Neurobiological — impaired sensorimotor and cognitive prediction processing; predictive coding hypothesis (Edwards M.J.).</w:t>
      </w:r>
    </w:p>
    <w:p>
      <w:pPr>
        <w:pStyle w:val="Compact"/>
        <w:numPr>
          <w:ilvl w:val="0"/>
          <w:numId w:val="1671"/>
        </w:numPr>
      </w:pPr>
      <w:r>
        <w:t xml:space="preserve">“Functional” term — not telling the patient it is “made up”, but a functional disorder of the nervous system.</w:t>
      </w:r>
    </w:p>
    <w:bookmarkEnd w:id="1374"/>
    <w:bookmarkStart w:id="1377" w:name="X31706457917780485f5c409aeea111aed633f79"/>
    <w:p>
      <w:pPr>
        <w:pStyle w:val="Heading3"/>
      </w:pPr>
      <w:r>
        <w:t xml:space="preserve">5. Clinical features</w:t>
      </w:r>
    </w:p>
    <w:bookmarkStart w:id="1375" w:name="typical-symptoms"/>
    <w:p>
      <w:pPr>
        <w:pStyle w:val="Heading4"/>
      </w:pPr>
      <w:r>
        <w:t xml:space="preserve">Typical symptoms</w:t>
      </w:r>
    </w:p>
    <w:p>
      <w:pPr>
        <w:pStyle w:val="Compact"/>
        <w:numPr>
          <w:ilvl w:val="0"/>
          <w:numId w:val="1672"/>
        </w:numPr>
      </w:pPr>
      <w:r>
        <w:t xml:space="preserve">Motor: Weakness, paralysis, involuntary movements (functional tremor, dystonia), gait disturbance.</w:t>
      </w:r>
    </w:p>
    <w:p>
      <w:pPr>
        <w:pStyle w:val="Compact"/>
        <w:numPr>
          <w:ilvl w:val="0"/>
          <w:numId w:val="1672"/>
        </w:numPr>
      </w:pPr>
      <w:r>
        <w:t xml:space="preserve">Sensory: sensory loss (anesthesia), visual impairment (functional blindness), hearing impairment.</w:t>
      </w:r>
    </w:p>
    <w:p>
      <w:pPr>
        <w:pStyle w:val="Compact"/>
        <w:numPr>
          <w:ilvl w:val="0"/>
          <w:numId w:val="1672"/>
        </w:numPr>
      </w:pPr>
      <w:r>
        <w:t xml:space="preserve">Functional (psychogenic) non-epileptic seizures (PNES): during seizure-like episodes there is no epileptic activity on EEG.</w:t>
      </w:r>
    </w:p>
    <w:p>
      <w:pPr>
        <w:pStyle w:val="Compact"/>
        <w:numPr>
          <w:ilvl w:val="0"/>
          <w:numId w:val="1672"/>
        </w:numPr>
      </w:pPr>
      <w:r>
        <w:t xml:space="preserve">Cognitive: “Foggy” concentration, slow processing — “functional cognitive disorder”.</w:t>
      </w:r>
    </w:p>
    <w:bookmarkEnd w:id="1375"/>
    <w:bookmarkStart w:id="1376" w:name="clinical-signs-positive-features."/>
    <w:p>
      <w:pPr>
        <w:pStyle w:val="Heading4"/>
      </w:pPr>
      <w:r>
        <w:t xml:space="preserve">Clinical signs (positive features).</w:t>
      </w:r>
    </w:p>
    <w:p>
      <w:pPr>
        <w:pStyle w:val="Compact"/>
        <w:numPr>
          <w:ilvl w:val="0"/>
          <w:numId w:val="1673"/>
        </w:numPr>
      </w:pPr>
      <w:r>
        <w:t xml:space="preserve">Patterns differing from typical neurological pathogenesis (e.g., Hoover sign in motor weakness — positive indicator of functional component).</w:t>
      </w:r>
    </w:p>
    <w:p>
      <w:pPr>
        <w:pStyle w:val="Compact"/>
        <w:numPr>
          <w:ilvl w:val="0"/>
          <w:numId w:val="1673"/>
        </w:numPr>
      </w:pPr>
      <w:r>
        <w:t xml:space="preserve">Distractibility — symptom changes when attention is directed elsewhere.</w:t>
      </w:r>
    </w:p>
    <w:p>
      <w:pPr>
        <w:pStyle w:val="Compact"/>
        <w:numPr>
          <w:ilvl w:val="0"/>
          <w:numId w:val="1673"/>
        </w:numPr>
      </w:pPr>
      <w:r>
        <w:t xml:space="preserve">Entrainability — tremor adapts to another rhythm.</w:t>
      </w:r>
    </w:p>
    <w:bookmarkEnd w:id="1376"/>
    <w:bookmarkEnd w:id="1377"/>
    <w:bookmarkStart w:id="1382" w:name="Xccaaa7da5f3f1189756783ac9a4164b8cf870b5"/>
    <w:p>
      <w:pPr>
        <w:pStyle w:val="Heading3"/>
      </w:pPr>
      <w:r>
        <w:t xml:space="preserve">6. Diagnosis</w:t>
      </w:r>
    </w:p>
    <w:bookmarkStart w:id="1378" w:name="unified-diagnostic-criteria-22"/>
    <w:p>
      <w:pPr>
        <w:pStyle w:val="Heading4"/>
      </w:pPr>
      <w:r>
        <w:t xml:space="preserve">6.1 Unified diagnostic criteria</w:t>
      </w:r>
    </w:p>
    <w:p>
      <w:pPr>
        <w:pStyle w:val="FirstParagraph"/>
      </w:pPr>
      <w:r>
        <w:t xml:space="preserve">A. Impairment of one or more motor, sensory, or cognitive functions.</w:t>
      </w:r>
    </w:p>
    <w:p>
      <w:pPr>
        <w:pStyle w:val="BodyText"/>
      </w:pPr>
      <w:r>
        <w:t xml:space="preserve">B. Clinical findings demonstrate incompatibility of the disorder with known neurological or medical illness (positive clinical features).</w:t>
      </w:r>
    </w:p>
    <w:p>
      <w:pPr>
        <w:pStyle w:val="BodyText"/>
      </w:pPr>
      <w:r>
        <w:t xml:space="preserve">C. Symptoms are not better explained by another psychiatric or medical condition.</w:t>
      </w:r>
    </w:p>
    <w:p>
      <w:pPr>
        <w:pStyle w:val="BodyText"/>
      </w:pPr>
      <w:r>
        <w:t xml:space="preserve">D. Significant distress or functional impairment.</w:t>
      </w:r>
    </w:p>
    <w:bookmarkEnd w:id="1378"/>
    <w:bookmarkStart w:id="1379" w:name="differences-between-sources-73"/>
    <w:p>
      <w:pPr>
        <w:pStyle w:val="Heading4"/>
      </w:pPr>
      <w:r>
        <w:t xml:space="preserve">6.2 Differences between sources</w:t>
      </w:r>
    </w:p>
    <w:p>
      <w:pPr>
        <w:pStyle w:val="Compact"/>
        <w:numPr>
          <w:ilvl w:val="0"/>
          <w:numId w:val="1674"/>
        </w:numPr>
      </w:pPr>
      <w:r>
        <w:t xml:space="preserve">DSM-5-TR — diagnosis based on “positive features” (not an exclusion method); joint assessment by neurologist and psychiatrist.</w:t>
      </w:r>
    </w:p>
    <w:p>
      <w:pPr>
        <w:pStyle w:val="Compact"/>
        <w:numPr>
          <w:ilvl w:val="0"/>
          <w:numId w:val="1674"/>
        </w:numPr>
      </w:pPr>
      <w:r>
        <w:t xml:space="preserve">ICD-11 — in the category of dissociative disorders.</w:t>
      </w:r>
    </w:p>
    <w:bookmarkEnd w:id="1379"/>
    <w:bookmarkStart w:id="1380" w:name="diagnostic-algorithm-42"/>
    <w:p>
      <w:pPr>
        <w:pStyle w:val="Heading4"/>
      </w:pPr>
      <w:r>
        <w:t xml:space="preserve">6.3 Diagnostic algorithm</w:t>
      </w:r>
    </w:p>
    <w:p>
      <w:pPr>
        <w:pStyle w:val="Compact"/>
        <w:numPr>
          <w:ilvl w:val="0"/>
          <w:numId w:val="1675"/>
        </w:numPr>
      </w:pPr>
      <w:r>
        <w:t xml:space="preserve">Neurological examination — functional positive features (Hoover, entrainability, distractibility).</w:t>
      </w:r>
    </w:p>
    <w:p>
      <w:pPr>
        <w:pStyle w:val="Compact"/>
        <w:numPr>
          <w:ilvl w:val="0"/>
          <w:numId w:val="1675"/>
        </w:numPr>
      </w:pPr>
      <w:r>
        <w:t xml:space="preserve">Typical neurological condition exception — MRI, EEG, EMG, lumbar puncture (according to clinical presentation).</w:t>
      </w:r>
    </w:p>
    <w:p>
      <w:pPr>
        <w:pStyle w:val="Compact"/>
        <w:numPr>
          <w:ilvl w:val="0"/>
          <w:numId w:val="1675"/>
        </w:numPr>
      </w:pPr>
      <w:r>
        <w:t xml:space="preserve">In PNES cases — video-EEG monitoring gold standard.</w:t>
      </w:r>
    </w:p>
    <w:p>
      <w:pPr>
        <w:pStyle w:val="Compact"/>
        <w:numPr>
          <w:ilvl w:val="0"/>
          <w:numId w:val="1675"/>
        </w:numPr>
      </w:pPr>
      <w:r>
        <w:t xml:space="preserve">Psychiatric evaluation — comorbid trauma, MDD, anxiety.</w:t>
      </w:r>
    </w:p>
    <w:p>
      <w:pPr>
        <w:pStyle w:val="Compact"/>
        <w:numPr>
          <w:ilvl w:val="0"/>
          <w:numId w:val="1675"/>
        </w:numPr>
      </w:pPr>
      <w:r>
        <w:t xml:space="preserve">The patient's diagnosis was explained positively — “not fabricated, but a functional disorder of the nervous system”.</w:t>
      </w:r>
    </w:p>
    <w:bookmarkEnd w:id="1380"/>
    <w:bookmarkStart w:id="1381" w:name="differential-diagnosis-4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neurological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and laboratory confirmation.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Conscious lie; motivation for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Overt gain (legal, insurance).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Numerous somatic complaints; focus on the body.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Hypochondriasis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Illness preoccupation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Epileptic seizure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Video-EEG.</w:t>
            </w:r>
          </w:p>
        </w:tc>
      </w:tr>
    </w:tbl>
    <w:bookmarkEnd w:id="1381"/>
    <w:bookmarkEnd w:id="1382"/>
    <w:bookmarkStart w:id="1383" w:name="Xd13f8ec7576952b6786bfc11b91b4e742f9de95"/>
    <w:p>
      <w:pPr>
        <w:pStyle w:val="Heading3"/>
      </w:pPr>
      <w:r>
        <w:t xml:space="preserve">7. Examination and assessment</w:t>
      </w:r>
    </w:p>
    <w:p>
      <w:pPr>
        <w:pStyle w:val="Compact"/>
        <w:numPr>
          <w:ilvl w:val="0"/>
          <w:numId w:val="1676"/>
        </w:numPr>
      </w:pPr>
      <w:r>
        <w:t xml:space="preserve">Neurological examination (positive features).</w:t>
      </w:r>
    </w:p>
    <w:p>
      <w:pPr>
        <w:pStyle w:val="Compact"/>
        <w:numPr>
          <w:ilvl w:val="0"/>
          <w:numId w:val="1676"/>
        </w:numPr>
      </w:pPr>
      <w:r>
        <w:t xml:space="preserve">Video-EEG — in PNES cases.</w:t>
      </w:r>
    </w:p>
    <w:p>
      <w:pPr>
        <w:pStyle w:val="Compact"/>
        <w:numPr>
          <w:ilvl w:val="0"/>
          <w:numId w:val="1676"/>
        </w:numPr>
      </w:pPr>
      <w:r>
        <w:t xml:space="preserve">MRI, laboratory exclusion of neurological disease.</w:t>
      </w:r>
    </w:p>
    <w:p>
      <w:pPr>
        <w:pStyle w:val="Compact"/>
        <w:numPr>
          <w:ilvl w:val="0"/>
          <w:numId w:val="1676"/>
        </w:numPr>
      </w:pPr>
      <w:r>
        <w:t xml:space="preserve">Trauma and psychiatric assessment.</w:t>
      </w:r>
    </w:p>
    <w:bookmarkEnd w:id="1383"/>
    <w:bookmarkStart w:id="1386" w:name="X267a333118e1798dd4a28cefdc612df49a54649"/>
    <w:p>
      <w:pPr>
        <w:pStyle w:val="Heading3"/>
      </w:pPr>
      <w:r>
        <w:t xml:space="preserve">8. Treatment</w:t>
      </w:r>
    </w:p>
    <w:p>
      <w:pPr>
        <w:pStyle w:val="Compact"/>
        <w:numPr>
          <w:ilvl w:val="0"/>
          <w:numId w:val="1677"/>
        </w:numPr>
      </w:pPr>
      <w:r>
        <w:t xml:space="preserve">Positive explanation of the diagnosis to the patient — “Functional neurological disorder is not fabricated”; the structured explanation of diagnosis is critical for functional improvement (Stone J. summaries).</w:t>
      </w:r>
    </w:p>
    <w:p>
      <w:pPr>
        <w:pStyle w:val="Compact"/>
        <w:numPr>
          <w:ilvl w:val="0"/>
          <w:numId w:val="1677"/>
        </w:numPr>
      </w:pPr>
      <w:r>
        <w:t xml:space="preserve">Multidisciplinary approach — neurologist + psychiatrist + physiotherapist.</w:t>
      </w:r>
    </w:p>
    <w:p>
      <w:pPr>
        <w:pStyle w:val="Compact"/>
        <w:numPr>
          <w:ilvl w:val="0"/>
          <w:numId w:val="1677"/>
        </w:numPr>
      </w:pPr>
      <w:r>
        <w:t xml:space="preserve">Physiotherapy (for motor symptoms) — evidence-based benefit (Nielsen G. et al. J Neurol Neurosurg Psychiatry 2017 RCT).</w:t>
      </w:r>
    </w:p>
    <w:p>
      <w:pPr>
        <w:pStyle w:val="Compact"/>
        <w:numPr>
          <w:ilvl w:val="0"/>
          <w:numId w:val="1677"/>
        </w:numPr>
      </w:pPr>
      <w:r>
        <w:t xml:space="preserve">CBT — cognitive restructuring; specific protocols for PNES (LaFrance W.C. JAMA Psychiatry 2014).</w:t>
      </w:r>
    </w:p>
    <w:p>
      <w:pPr>
        <w:pStyle w:val="Compact"/>
        <w:numPr>
          <w:ilvl w:val="0"/>
          <w:numId w:val="1677"/>
        </w:numPr>
      </w:pPr>
      <w:r>
        <w:t xml:space="preserve">Against trauma background — trauma-focused approach.</w:t>
      </w:r>
    </w:p>
    <w:p>
      <w:pPr>
        <w:pStyle w:val="Compact"/>
        <w:numPr>
          <w:ilvl w:val="0"/>
          <w:numId w:val="1677"/>
        </w:numPr>
      </w:pPr>
      <w:r>
        <w:t xml:space="preserve">Anticonvulsants for PNES are ineffective and harmful — accurate diagnosis of the patient and discontinuation of antiepileptic drugs is critical.</w:t>
      </w:r>
    </w:p>
    <w:p>
      <w:pPr>
        <w:pStyle w:val="Compact"/>
        <w:numPr>
          <w:ilvl w:val="0"/>
          <w:numId w:val="1677"/>
        </w:numPr>
      </w:pPr>
      <w:r>
        <w:t xml:space="preserve">SSRIs for comorbid depression/anxiety.</w:t>
      </w:r>
    </w:p>
    <w:bookmarkStart w:id="1384" w:name="treatment-methods-41"/>
    <w:p>
      <w:pPr>
        <w:pStyle w:val="Heading4"/>
      </w:pPr>
      <w:r>
        <w:t xml:space="preserve">8.1 Treatment methods</w:t>
      </w:r>
    </w:p>
    <w:p>
      <w:pPr>
        <w:pStyle w:val="Compact"/>
        <w:numPr>
          <w:ilvl w:val="0"/>
          <w:numId w:val="1678"/>
        </w:numPr>
      </w:pPr>
      <w:r>
        <w:t xml:space="preserve">Positive clinical diagnosis presentation — Stone (Stone J.) — The diagnosis is made by ruling in, not by ruling out; positive clinical signs explained to patient (e.g., Hoover sign demonstrated).</w:t>
      </w:r>
    </w:p>
    <w:p>
      <w:pPr>
        <w:pStyle w:val="Compact"/>
        <w:numPr>
          <w:ilvl w:val="0"/>
          <w:numId w:val="1678"/>
        </w:numPr>
      </w:pPr>
      <w:r>
        <w:t xml:space="preserve">Physiotherapy for FND — Specific manual training, movement instruction; Nielsen G. et al. J Neurol Neurosurg Psychiatry 2017.</w:t>
      </w:r>
    </w:p>
    <w:p>
      <w:pPr>
        <w:pStyle w:val="Compact"/>
        <w:numPr>
          <w:ilvl w:val="0"/>
          <w:numId w:val="1678"/>
        </w:numPr>
      </w:pPr>
      <w:r>
        <w:t xml:space="preserve">CBT for PNES — LaFrance (LaFrance W.C.) — Manualized 12 sessions; seizure diary, cognitive restructuring; LaFrance W.C. et al. JAMA Psychiatry 2014.</w:t>
      </w:r>
    </w:p>
    <w:p>
      <w:pPr>
        <w:pStyle w:val="Compact"/>
        <w:numPr>
          <w:ilvl w:val="0"/>
          <w:numId w:val="1678"/>
        </w:numPr>
      </w:pPr>
      <w:r>
        <w:t xml:space="preserve">Video-EEG — PNES diagnosis gold standard.</w:t>
      </w:r>
    </w:p>
    <w:bookmarkEnd w:id="1384"/>
    <w:bookmarkStart w:id="1385" w:name="differences-between-sources-74"/>
    <w:p>
      <w:pPr>
        <w:pStyle w:val="Heading4"/>
      </w:pPr>
      <w:r>
        <w:t xml:space="preserve">8.2 Differences between sources</w:t>
      </w:r>
    </w:p>
    <w:p>
      <w:pPr>
        <w:pStyle w:val="Compact"/>
        <w:numPr>
          <w:ilvl w:val="0"/>
          <w:numId w:val="1679"/>
        </w:numPr>
      </w:pPr>
      <w:r>
        <w:t xml:space="preserve">FND-specific international consensus (Stone J., Carson A., LaFrance W.C.).</w:t>
      </w:r>
    </w:p>
    <w:p>
      <w:pPr>
        <w:pStyle w:val="Compact"/>
        <w:numPr>
          <w:ilvl w:val="0"/>
          <w:numId w:val="1679"/>
        </w:numPr>
      </w:pPr>
      <w:r>
        <w:t xml:space="preserve">NICE — multidisciplinary approach for functional symptoms.</w:t>
      </w:r>
    </w:p>
    <w:bookmarkEnd w:id="1385"/>
    <w:bookmarkEnd w:id="1386"/>
    <w:bookmarkStart w:id="1387" w:name="X7657a0759b775794a820ce3a8d933b0bd0c9aec"/>
    <w:p>
      <w:pPr>
        <w:pStyle w:val="Heading3"/>
      </w:pPr>
      <w:r>
        <w:t xml:space="preserve">9. Prognosis</w:t>
      </w:r>
    </w:p>
    <w:p>
      <w:pPr>
        <w:pStyle w:val="Compact"/>
        <w:numPr>
          <w:ilvl w:val="0"/>
          <w:numId w:val="1680"/>
        </w:numPr>
      </w:pPr>
      <w:r>
        <w:t xml:space="preserve">Improvement with early accurate diagnosis and intervention.</w:t>
      </w:r>
    </w:p>
    <w:p>
      <w:pPr>
        <w:pStyle w:val="Compact"/>
        <w:numPr>
          <w:ilvl w:val="0"/>
          <w:numId w:val="1680"/>
        </w:numPr>
      </w:pPr>
      <w:r>
        <w:t xml:space="preserve">Late diagnosis and polypharmacy — chronicity.</w:t>
      </w:r>
    </w:p>
    <w:bookmarkEnd w:id="1387"/>
    <w:bookmarkStart w:id="1393" w:name="X0d04b1f1302bad1ff667d286d53b882f5573dea"/>
    <w:p>
      <w:pPr>
        <w:pStyle w:val="Heading3"/>
      </w:pPr>
      <w:r>
        <w:t xml:space="preserve">10. Myths and misconceptions</w:t>
      </w:r>
    </w:p>
    <w:bookmarkStart w:id="1388" w:name="myth-1-the-patient-is-malingering-faking"/>
    <w:p>
      <w:pPr>
        <w:pStyle w:val="Heading5"/>
      </w:pPr>
      <w:r>
        <w:t xml:space="preserve">Myth 1: “The patient is malingering / ‘faking’”</w:t>
      </w:r>
    </w:p>
    <w:p>
      <w:pPr>
        <w:pStyle w:val="FirstParagraph"/>
      </w:pPr>
      <w:r>
        <w:t xml:space="preserve">Evidence: Functional disorder is a real clinical condition — functional impairment of the nervous system; positive clinical signs prove it. Distinct from factitious disorder and simulation.</w:t>
      </w:r>
    </w:p>
    <w:bookmarkEnd w:id="1388"/>
    <w:bookmarkStart w:id="1389" w:name="Xd7a9fa3aa7f1d7c0a547e84f301dba9398855b5"/>
    <w:p>
      <w:pPr>
        <w:pStyle w:val="Heading5"/>
      </w:pPr>
      <w:r>
        <w:t xml:space="preserve">Myth 2: “Anticonvulsants are needed for PNES”</w:t>
      </w:r>
    </w:p>
    <w:p>
      <w:pPr>
        <w:pStyle w:val="FirstParagraph"/>
      </w:pPr>
      <w:r>
        <w:t xml:space="preserve">Evidence: Anticonvulsants ineffective in PNES, cause polypharmacy side effects; correct diagnosis and discontinuation of antiepileptic is critical.</w:t>
      </w:r>
    </w:p>
    <w:bookmarkEnd w:id="1389"/>
    <w:bookmarkStart w:id="1390" w:name="Xb302607548b60e545387337e8fd66b73656b016"/>
    <w:p>
      <w:pPr>
        <w:pStyle w:val="Heading5"/>
      </w:pPr>
      <w:r>
        <w:t xml:space="preserve">Myth 3: “Functional impairment is psychological ‘weakness’, not physical”</w:t>
      </w:r>
    </w:p>
    <w:p>
      <w:pPr>
        <w:pStyle w:val="FirstParagraph"/>
      </w:pPr>
      <w:r>
        <w:t xml:space="preserve">Evidence: Functional disorder is a biological process of the nervous system; requires joint psychiatric and neurological assessment.</w:t>
      </w:r>
    </w:p>
    <w:bookmarkEnd w:id="1390"/>
    <w:bookmarkStart w:id="1391" w:name="Xec3606d82b2b3ea37bd7356b7d8f54241006c14"/>
    <w:p>
      <w:pPr>
        <w:pStyle w:val="Heading5"/>
      </w:pPr>
      <w:r>
        <w:t xml:space="preserve">Myth 4: “Just ‘dumping’ the patient on a psychiatrist is enough”</w:t>
      </w:r>
    </w:p>
    <w:p>
      <w:pPr>
        <w:pStyle w:val="FirstParagraph"/>
      </w:pPr>
      <w:r>
        <w:t xml:space="preserve">Evidence: Neurologist and psychiatrist must collaborate; ‘dismissing’ the patient disrupts therapeutic alliance and reduces chance of improvement.</w:t>
      </w:r>
    </w:p>
    <w:bookmarkEnd w:id="1391"/>
    <w:bookmarkStart w:id="1392" w:name="X0b1dd32fb42e4b4e308a85d219213ebe894af7f"/>
    <w:p>
      <w:pPr>
        <w:pStyle w:val="Heading5"/>
      </w:pPr>
      <w:r>
        <w:t xml:space="preserve">Myth 5: “Functional symptoms are not treatable”</w:t>
      </w:r>
    </w:p>
    <w:p>
      <w:pPr>
        <w:pStyle w:val="FirstParagraph"/>
      </w:pPr>
      <w:r>
        <w:t xml:space="preserve">Evidence: Physiotherapy, CBT, multidisciplinary approach show significant effect.</w:t>
      </w:r>
    </w:p>
    <w:bookmarkEnd w:id="1392"/>
    <w:bookmarkEnd w:id="1393"/>
    <w:bookmarkStart w:id="2965" w:name="Xcd0d3f557ce4e5d501db7040b8296ea7b6714c2"/>
    <w:p>
      <w:pPr>
        <w:pStyle w:val="Heading3"/>
      </w:pPr>
      <w:r>
        <w:t xml:space="preserve">11. Sources</w:t>
      </w:r>
    </w:p>
    <w:p>
      <w:pPr>
        <w:pStyle w:val="Compact"/>
        <w:numPr>
          <w:ilvl w:val="0"/>
          <w:numId w:val="1681"/>
        </w:numPr>
      </w:pPr>
      <w:r>
        <w:t xml:space="preserve">WHO. ICD-11. 6B60 Dissociative neurological symptom disorder. 2024.</w:t>
      </w:r>
    </w:p>
    <w:p>
      <w:pPr>
        <w:pStyle w:val="Compact"/>
        <w:numPr>
          <w:ilvl w:val="0"/>
          <w:numId w:val="1681"/>
        </w:numPr>
      </w:pPr>
      <w:r>
        <w:t xml:space="preserve">APA. DSM-5-TR. 2022.</w:t>
      </w:r>
    </w:p>
    <w:p>
      <w:pPr>
        <w:pStyle w:val="Compact"/>
        <w:numPr>
          <w:ilvl w:val="0"/>
          <w:numId w:val="1681"/>
        </w:numPr>
      </w:pPr>
      <w:r>
        <w:t xml:space="preserve">Stone J., Carson A. Functional neurological disorders: the neurological assessment as treatment. Pract Neurol 2016;16(1):7–17.</w:t>
      </w:r>
    </w:p>
    <w:p>
      <w:pPr>
        <w:pStyle w:val="Compact"/>
        <w:numPr>
          <w:ilvl w:val="0"/>
          <w:numId w:val="1681"/>
        </w:numPr>
      </w:pPr>
      <w:r>
        <w:t xml:space="preserve">Nielsen G. et al. Physiotherapy for functional motor disorders: a consensus recommendation. J Neurol Neurosurg Psychiatry 2015;86(10):1113–1119.</w:t>
      </w:r>
    </w:p>
    <w:p>
      <w:pPr>
        <w:pStyle w:val="Compact"/>
        <w:numPr>
          <w:ilvl w:val="0"/>
          <w:numId w:val="1681"/>
        </w:numPr>
      </w:pPr>
      <w:r>
        <w:t xml:space="preserve">LaFrance W.C. et al. Multicenter pilot treatment trial for psychogenic nonepileptic seizures: a randomized clinical trial. JAMA Psychiatry 2014;71(9):997–1005.</w:t>
      </w:r>
    </w:p>
    <w:p>
      <w:pPr>
        <w:pStyle w:val="Compact"/>
        <w:numPr>
          <w:ilvl w:val="0"/>
          <w:numId w:val="1681"/>
        </w:numPr>
      </w:pPr>
      <w:r>
        <w:t xml:space="preserve">Edwards M.J., Adams R.A., Brown H., Pareés I., Friston K.J. A Bayesian account of “hysteria”. Brain 2012;135(Pt 11):3495–3512.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394" w:name="m546b61-dissociative-amnesia"/>
            <w:r>
              <w:t xml:space="preserve">6B61 DISSOCIATIVE AMNESIA</w:t>
            </w:r>
            <w:bookmarkEnd w:id="1394"/>
          </w:p>
          <w:p>
            <w:pPr>
              <w:pStyle w:val="Compact"/>
              <w:ind w:firstLine="0" w:left="0"/>
            </w:pPr>
            <w:r>
              <w:rPr>
                <w:lang w:val="en"/>
              </w:rPr>
              <w:t xml:space="preserve">Dissociative amnesia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amnesia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Amnesia</w:t>
            </w:r>
          </w:p>
        </w:tc>
      </w:tr>
    </w:tbl>
    <w:bookmarkStart w:id="1395" w:name="Xd667794458d16c7d156970f5ff3930fc7ea3013"/>
    <w:p>
      <w:pPr>
        <w:pStyle w:val="Heading3"/>
      </w:pPr>
      <w:r>
        <w:t xml:space="preserve">1. Definition and nosology</w:t>
      </w:r>
    </w:p>
    <w:p>
      <w:pPr>
        <w:pStyle w:val="FirstParagraph"/>
      </w:pPr>
      <w:r>
        <w:t xml:space="preserve">Dissociative Amnesia (ICD-11:</w:t>
      </w:r>
      <w:r>
        <w:t xml:space="preserve"> </w:t>
      </w:r>
      <w:r>
        <w:t xml:space="preserve">6B61</w:t>
      </w:r>
      <w:r>
        <w:t xml:space="preserve">; DSM-5-TR: F44.0) — inability to recall important autobiographical information (usually traumatic or stressful), not explained by ordinary forgetfulness. No medical or neurological cause.</w:t>
      </w:r>
    </w:p>
    <w:p>
      <w:pPr>
        <w:pStyle w:val="BodyText"/>
      </w:pPr>
      <w:r>
        <w:t xml:space="preserve">Subtypes: localized (specific period), selective (part of the period), generalized (entire life history), systematized (specific category), continuous.</w:t>
      </w:r>
    </w:p>
    <w:p>
      <w:pPr>
        <w:pStyle w:val="BodyText"/>
      </w:pPr>
      <w:r>
        <w:t xml:space="preserve">“Dissociative fugue” — In DSM-5-TR as a qualifier for dissociative amnesia (was a separate diagnosis in DSM-IV); patient travels unexpectedly, assumes a new identity.</w:t>
      </w:r>
    </w:p>
    <w:bookmarkEnd w:id="1395"/>
    <w:bookmarkStart w:id="1396" w:name="Xa49202150dc390bcf6ae1b1d11deb3c318a921b"/>
    <w:p>
      <w:pPr>
        <w:pStyle w:val="Heading3"/>
      </w:pPr>
      <w:r>
        <w:t xml:space="preserve">2. History</w:t>
      </w:r>
    </w:p>
    <w:p>
      <w:pPr>
        <w:pStyle w:val="Compact"/>
        <w:numPr>
          <w:ilvl w:val="0"/>
          <w:numId w:val="1682"/>
        </w:numPr>
      </w:pPr>
      <w:r>
        <w:t xml:space="preserve">Janet P. — originator of the concept of dissociation.</w:t>
      </w:r>
    </w:p>
    <w:p>
      <w:pPr>
        <w:pStyle w:val="Compact"/>
        <w:numPr>
          <w:ilvl w:val="0"/>
          <w:numId w:val="1682"/>
        </w:numPr>
      </w:pPr>
      <w:r>
        <w:t xml:space="preserve">DSM-IV — Dissociative fugue as a separate diagnosis.</w:t>
      </w:r>
    </w:p>
    <w:p>
      <w:pPr>
        <w:pStyle w:val="Compact"/>
        <w:numPr>
          <w:ilvl w:val="0"/>
          <w:numId w:val="1682"/>
        </w:numPr>
      </w:pPr>
      <w:r>
        <w:t xml:space="preserve">DSM-5 (2013) — fugue integrated as a specifier.</w:t>
      </w:r>
    </w:p>
    <w:p>
      <w:pPr>
        <w:pStyle w:val="Compact"/>
        <w:numPr>
          <w:ilvl w:val="0"/>
          <w:numId w:val="1682"/>
        </w:numPr>
      </w:pPr>
      <w:r>
        <w:t xml:space="preserve">“False Memory” controversy (1990s) — debate over therapeutically induced “recovered memory”.</w:t>
      </w:r>
    </w:p>
    <w:bookmarkEnd w:id="1396"/>
    <w:bookmarkStart w:id="1397" w:name="X4a21d8e1728a7267add1ea4f7fed963c5bcbcb4"/>
    <w:p>
      <w:pPr>
        <w:pStyle w:val="Heading3"/>
      </w:pPr>
      <w:r>
        <w:t xml:space="preserve">3. Epidemiology</w:t>
      </w:r>
    </w:p>
    <w:p>
      <w:pPr>
        <w:pStyle w:val="Compact"/>
        <w:numPr>
          <w:ilvl w:val="0"/>
          <w:numId w:val="1683"/>
        </w:numPr>
      </w:pPr>
      <w:r>
        <w:t xml:space="preserve">Lifetime prevalence: 1–2%; higher after public misfortunes (war, disaster).</w:t>
      </w:r>
    </w:p>
    <w:p>
      <w:pPr>
        <w:pStyle w:val="Compact"/>
        <w:numPr>
          <w:ilvl w:val="0"/>
          <w:numId w:val="1683"/>
        </w:numPr>
      </w:pPr>
      <w:r>
        <w:t xml:space="preserve">Sex: relatively higher in females.</w:t>
      </w:r>
    </w:p>
    <w:p>
      <w:pPr>
        <w:pStyle w:val="Compact"/>
        <w:numPr>
          <w:ilvl w:val="0"/>
          <w:numId w:val="1683"/>
        </w:numPr>
      </w:pPr>
      <w:r>
        <w:t xml:space="preserve">Comorbidity: PTSD, cPTSD, DID, BPD, MDD.</w:t>
      </w:r>
    </w:p>
    <w:bookmarkEnd w:id="1397"/>
    <w:bookmarkStart w:id="1398" w:name="Xcbcfe6e50eda0bfd01d5433ff0ae2e7fce5fa30"/>
    <w:p>
      <w:pPr>
        <w:pStyle w:val="Heading3"/>
      </w:pPr>
      <w:r>
        <w:t xml:space="preserve">4. Aetiology and pathogenesis</w:t>
      </w:r>
    </w:p>
    <w:p>
      <w:pPr>
        <w:pStyle w:val="Compact"/>
        <w:numPr>
          <w:ilvl w:val="0"/>
          <w:numId w:val="1684"/>
        </w:numPr>
      </w:pPr>
      <w:r>
        <w:t xml:space="preserve">Trauma — response to severe psychological or physical trauma; hypothesized as ‘defense mechanism’.</w:t>
      </w:r>
    </w:p>
    <w:p>
      <w:pPr>
        <w:pStyle w:val="Compact"/>
        <w:numPr>
          <w:ilvl w:val="0"/>
          <w:numId w:val="1684"/>
        </w:numPr>
      </w:pPr>
      <w:r>
        <w:t xml:space="preserve">Neurobiological — impaired hippocampal and prefrontal cognitive processing.</w:t>
      </w:r>
    </w:p>
    <w:bookmarkEnd w:id="1398"/>
    <w:bookmarkStart w:id="1399" w:name="X1330d445588085909f79091535810e12270227a"/>
    <w:p>
      <w:pPr>
        <w:pStyle w:val="Heading3"/>
      </w:pPr>
      <w:r>
        <w:t xml:space="preserve">5. Clinical features</w:t>
      </w:r>
    </w:p>
    <w:p>
      <w:pPr>
        <w:pStyle w:val="Compact"/>
        <w:numPr>
          <w:ilvl w:val="0"/>
          <w:numId w:val="1685"/>
        </w:numPr>
      </w:pPr>
      <w:r>
        <w:t xml:space="preserve">Inability to recall the traumatic or stressful event.</w:t>
      </w:r>
    </w:p>
    <w:p>
      <w:pPr>
        <w:pStyle w:val="Compact"/>
        <w:numPr>
          <w:ilvl w:val="0"/>
          <w:numId w:val="1685"/>
        </w:numPr>
      </w:pPr>
      <w:r>
        <w:t xml:space="preserve">Localized (e.g., wartime), selective, generalized.</w:t>
      </w:r>
    </w:p>
    <w:p>
      <w:pPr>
        <w:pStyle w:val="Compact"/>
        <w:numPr>
          <w:ilvl w:val="0"/>
          <w:numId w:val="1685"/>
        </w:numPr>
      </w:pPr>
      <w:r>
        <w:t xml:space="preserve">Dissociative fugue — unexpected travel, new identity, usually lasts days to weeks.</w:t>
      </w:r>
    </w:p>
    <w:p>
      <w:pPr>
        <w:pStyle w:val="Compact"/>
        <w:numPr>
          <w:ilvl w:val="0"/>
          <w:numId w:val="1685"/>
        </w:numPr>
      </w:pPr>
      <w:r>
        <w:t xml:space="preserve">Implicit memory (skills) remains; explicit memory is selective.</w:t>
      </w:r>
    </w:p>
    <w:bookmarkEnd w:id="1399"/>
    <w:bookmarkStart w:id="1404" w:name="X956e6acac4e6e59c115025ede8066c4cfda2b25"/>
    <w:p>
      <w:pPr>
        <w:pStyle w:val="Heading3"/>
      </w:pPr>
      <w:r>
        <w:t xml:space="preserve">6. Diagnosis</w:t>
      </w:r>
    </w:p>
    <w:bookmarkStart w:id="1400" w:name="unified-diagnostic-criteria-23"/>
    <w:p>
      <w:pPr>
        <w:pStyle w:val="Heading4"/>
      </w:pPr>
      <w:r>
        <w:t xml:space="preserve">6.1 Unified diagnostic criteria</w:t>
      </w:r>
    </w:p>
    <w:p>
      <w:pPr>
        <w:pStyle w:val="FirstParagraph"/>
      </w:pPr>
      <w:r>
        <w:t xml:space="preserve">A. Failure to recall significant autobiographical information (typically traumatic), not explained by normal forgetfulness.</w:t>
      </w:r>
    </w:p>
    <w:p>
      <w:pPr>
        <w:pStyle w:val="BodyText"/>
      </w:pPr>
      <w:r>
        <w:t xml:space="preserve">B. Significant distress or functional impairment.</w:t>
      </w:r>
    </w:p>
    <w:p>
      <w:pPr>
        <w:pStyle w:val="BodyText"/>
      </w:pPr>
      <w:r>
        <w:t xml:space="preserve">C. Exclusion of substance, medical/neurological condition (TBI, encephalitis, dementia).</w:t>
      </w:r>
    </w:p>
    <w:p>
      <w:pPr>
        <w:pStyle w:val="BodyText"/>
      </w:pPr>
      <w:r>
        <w:t xml:space="preserve">D. Not better explained by DID, PTSD, cPTSD, a somatic symptom disorder, or another mental disorder.</w:t>
      </w:r>
    </w:p>
    <w:p>
      <w:pPr>
        <w:pStyle w:val="BodyText"/>
      </w:pPr>
      <w:r>
        <w:t xml:space="preserve">Qualifier: with dissociative fugue.</w:t>
      </w:r>
    </w:p>
    <w:bookmarkEnd w:id="1400"/>
    <w:bookmarkStart w:id="1401" w:name="differences-between-sources-75"/>
    <w:p>
      <w:pPr>
        <w:pStyle w:val="Heading4"/>
      </w:pPr>
      <w:r>
        <w:t xml:space="preserve">6.2 Differences between sources</w:t>
      </w:r>
    </w:p>
    <w:p>
      <w:pPr>
        <w:pStyle w:val="Compact"/>
        <w:numPr>
          <w:ilvl w:val="0"/>
          <w:numId w:val="1686"/>
        </w:numPr>
      </w:pPr>
      <w:r>
        <w:t xml:space="preserve">DSM-5-TR / ICD-11 — same; fugue qualifier.</w:t>
      </w:r>
    </w:p>
    <w:bookmarkEnd w:id="1401"/>
    <w:bookmarkStart w:id="1402" w:name="diagnostic-algorithm-43"/>
    <w:p>
      <w:pPr>
        <w:pStyle w:val="Heading4"/>
      </w:pPr>
      <w:r>
        <w:t xml:space="preserve">6.3 Diagnostic algorithm</w:t>
      </w:r>
    </w:p>
    <w:p>
      <w:pPr>
        <w:pStyle w:val="Compact"/>
        <w:numPr>
          <w:ilvl w:val="0"/>
          <w:numId w:val="1687"/>
        </w:numPr>
      </w:pPr>
      <w:r>
        <w:t xml:space="preserve">Clinical interview + trauma history.</w:t>
      </w:r>
    </w:p>
    <w:p>
      <w:pPr>
        <w:pStyle w:val="Compact"/>
        <w:numPr>
          <w:ilvl w:val="0"/>
          <w:numId w:val="1687"/>
        </w:numPr>
      </w:pPr>
      <w:r>
        <w:t xml:space="preserve">Medical and neurological examination — TBI, dementia, encephalitis, seizure excluded.</w:t>
      </w:r>
    </w:p>
    <w:p>
      <w:pPr>
        <w:pStyle w:val="Compact"/>
        <w:numPr>
          <w:ilvl w:val="0"/>
          <w:numId w:val="1687"/>
        </w:numPr>
      </w:pPr>
      <w:r>
        <w:t xml:space="preserve">MRI, EEG in clinical suspicion.</w:t>
      </w:r>
    </w:p>
    <w:p>
      <w:pPr>
        <w:pStyle w:val="Compact"/>
        <w:numPr>
          <w:ilvl w:val="0"/>
          <w:numId w:val="1687"/>
        </w:numPr>
      </w:pPr>
      <w:r>
        <w:t xml:space="preserve">SCID-D-R.</w:t>
      </w:r>
    </w:p>
    <w:p>
      <w:pPr>
        <w:pStyle w:val="Compact"/>
        <w:numPr>
          <w:ilvl w:val="0"/>
          <w:numId w:val="1687"/>
        </w:numPr>
      </w:pPr>
      <w:r>
        <w:t xml:space="preserve">Toxicology.</w:t>
      </w:r>
    </w:p>
    <w:bookmarkEnd w:id="1402"/>
    <w:bookmarkStart w:id="1403" w:name="differential-diagnosis-4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Traumatic brain injury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less than 24 hours; vascular etiology.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cognitive decline.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 (post-ictal)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amnesia (alcohol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Reward motivation.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DID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identity disorder.</w:t>
            </w:r>
          </w:p>
        </w:tc>
      </w:tr>
    </w:tbl>
    <w:bookmarkEnd w:id="1403"/>
    <w:bookmarkEnd w:id="1404"/>
    <w:bookmarkStart w:id="1405" w:name="X615ea3fbe20aaede53e1b767570a8aa2ceda1d1"/>
    <w:p>
      <w:pPr>
        <w:pStyle w:val="Heading3"/>
      </w:pPr>
      <w:r>
        <w:t xml:space="preserve">7. Examination and assessment</w:t>
      </w:r>
    </w:p>
    <w:p>
      <w:pPr>
        <w:pStyle w:val="Compact"/>
        <w:numPr>
          <w:ilvl w:val="0"/>
          <w:numId w:val="1688"/>
        </w:numPr>
      </w:pPr>
      <w:r>
        <w:t xml:space="preserve">SCID-D-R.</w:t>
      </w:r>
    </w:p>
    <w:p>
      <w:pPr>
        <w:pStyle w:val="Compact"/>
        <w:numPr>
          <w:ilvl w:val="0"/>
          <w:numId w:val="1688"/>
        </w:numPr>
      </w:pPr>
      <w:r>
        <w:t xml:space="preserve">MRI, EEG.</w:t>
      </w:r>
    </w:p>
    <w:p>
      <w:pPr>
        <w:pStyle w:val="Compact"/>
        <w:numPr>
          <w:ilvl w:val="0"/>
          <w:numId w:val="1688"/>
        </w:numPr>
      </w:pPr>
      <w:r>
        <w:t xml:space="preserve">Neuropsychological test (memory profile).</w:t>
      </w:r>
    </w:p>
    <w:bookmarkEnd w:id="1405"/>
    <w:bookmarkStart w:id="1408" w:name="X2a2619ecaac9a158a296f1f2fea3eca69ecc7a3"/>
    <w:p>
      <w:pPr>
        <w:pStyle w:val="Heading3"/>
      </w:pPr>
      <w:r>
        <w:t xml:space="preserve">8. Treatment</w:t>
      </w:r>
    </w:p>
    <w:p>
      <w:pPr>
        <w:pStyle w:val="Compact"/>
        <w:numPr>
          <w:ilvl w:val="0"/>
          <w:numId w:val="1689"/>
        </w:numPr>
      </w:pPr>
      <w:r>
        <w:t xml:space="preserve">Safe environment and supportive psychotherapy.</w:t>
      </w:r>
    </w:p>
    <w:p>
      <w:pPr>
        <w:pStyle w:val="Compact"/>
        <w:numPr>
          <w:ilvl w:val="0"/>
          <w:numId w:val="1689"/>
        </w:numPr>
      </w:pPr>
      <w:r>
        <w:t xml:space="preserve">Trauma-focused psychotherapy — phased approach.</w:t>
      </w:r>
    </w:p>
    <w:p>
      <w:pPr>
        <w:pStyle w:val="Compact"/>
        <w:numPr>
          <w:ilvl w:val="0"/>
          <w:numId w:val="1689"/>
        </w:numPr>
      </w:pPr>
      <w:r>
        <w:t xml:space="preserve">During a fugue episode — reuniting the patient with family and community.</w:t>
      </w:r>
    </w:p>
    <w:p>
      <w:pPr>
        <w:pStyle w:val="Compact"/>
        <w:numPr>
          <w:ilvl w:val="0"/>
          <w:numId w:val="1689"/>
        </w:numPr>
      </w:pPr>
      <w:r>
        <w:t xml:space="preserve">Pharmacotherapy for comorbid symptoms; ‘amobarbital interview’ or hypnosis was historically used — caution due to risk of induced false memory.</w:t>
      </w:r>
    </w:p>
    <w:p>
      <w:pPr>
        <w:pStyle w:val="Compact"/>
        <w:numPr>
          <w:ilvl w:val="0"/>
          <w:numId w:val="1689"/>
        </w:numPr>
      </w:pPr>
      <w:r>
        <w:t xml:space="preserve">Long-term psychotherapy — trauma processing.</w:t>
      </w:r>
    </w:p>
    <w:bookmarkStart w:id="1406" w:name="treatment-methods-42"/>
    <w:p>
      <w:pPr>
        <w:pStyle w:val="Heading4"/>
      </w:pPr>
      <w:r>
        <w:t xml:space="preserve">8.1 Treatment methods</w:t>
      </w:r>
    </w:p>
    <w:p>
      <w:pPr>
        <w:pStyle w:val="Compact"/>
        <w:numPr>
          <w:ilvl w:val="0"/>
          <w:numId w:val="1690"/>
        </w:numPr>
      </w:pPr>
      <w:r>
        <w:t xml:space="preserve">Trauma-focused phased psychotherapy — Stabilization → processing → reintegration.</w:t>
      </w:r>
    </w:p>
    <w:p>
      <w:pPr>
        <w:pStyle w:val="Compact"/>
        <w:numPr>
          <w:ilvl w:val="0"/>
          <w:numId w:val="1690"/>
        </w:numPr>
      </w:pPr>
      <w:r>
        <w:t xml:space="preserve">Structured Clinical Interview for DSM Dissociative Disorders, Revised (SCID-D-R) — Gold standard in diagnosis.</w:t>
      </w:r>
    </w:p>
    <w:p>
      <w:pPr>
        <w:pStyle w:val="Compact"/>
        <w:numPr>
          <w:ilvl w:val="0"/>
          <w:numId w:val="1690"/>
        </w:numPr>
      </w:pPr>
      <w:r>
        <w:t xml:space="preserve">Hypnosis — cautious use — False memory induction risk; training only by experienced clinician.</w:t>
      </w:r>
    </w:p>
    <w:bookmarkEnd w:id="1406"/>
    <w:bookmarkStart w:id="1407" w:name="differences-between-sources-76"/>
    <w:p>
      <w:pPr>
        <w:pStyle w:val="Heading4"/>
      </w:pPr>
      <w:r>
        <w:t xml:space="preserve">8.2 Differences between sources</w:t>
      </w:r>
    </w:p>
    <w:p>
      <w:pPr>
        <w:pStyle w:val="Compact"/>
        <w:numPr>
          <w:ilvl w:val="0"/>
          <w:numId w:val="1691"/>
        </w:numPr>
      </w:pPr>
      <w:r>
        <w:t xml:space="preserve">ISSTD — general guideline for dissociative disorders.</w:t>
      </w:r>
    </w:p>
    <w:p>
      <w:pPr>
        <w:pStyle w:val="Compact"/>
        <w:numPr>
          <w:ilvl w:val="0"/>
          <w:numId w:val="1691"/>
        </w:numPr>
      </w:pPr>
      <w:r>
        <w:t xml:space="preserve">There is no specific FDA-approved pharmacotherapy.</w:t>
      </w:r>
    </w:p>
    <w:bookmarkEnd w:id="1407"/>
    <w:bookmarkEnd w:id="1408"/>
    <w:bookmarkStart w:id="1409" w:name="X9cb07ce35203622dda0774ace73e09e2b64acbc"/>
    <w:p>
      <w:pPr>
        <w:pStyle w:val="Heading3"/>
      </w:pPr>
      <w:r>
        <w:t xml:space="preserve">9. Prognosis</w:t>
      </w:r>
    </w:p>
    <w:p>
      <w:pPr>
        <w:pStyle w:val="Compact"/>
        <w:numPr>
          <w:ilvl w:val="0"/>
          <w:numId w:val="1692"/>
        </w:numPr>
      </w:pPr>
      <w:r>
        <w:t xml:space="preserve">Most spontaneous remission in acute form;</w:t>
      </w:r>
    </w:p>
    <w:p>
      <w:pPr>
        <w:pStyle w:val="Compact"/>
        <w:numPr>
          <w:ilvl w:val="0"/>
          <w:numId w:val="1692"/>
        </w:numPr>
      </w:pPr>
      <w:r>
        <w:t xml:space="preserve">Chronic form requires long-term intervention.</w:t>
      </w:r>
    </w:p>
    <w:bookmarkEnd w:id="1409"/>
    <w:bookmarkStart w:id="1415" w:name="Xdfc51fb87fc4bedbda1886a8d705ff336b71915"/>
    <w:p>
      <w:pPr>
        <w:pStyle w:val="Heading3"/>
      </w:pPr>
      <w:r>
        <w:t xml:space="preserve">10. Myths and misconceptions</w:t>
      </w:r>
    </w:p>
    <w:bookmarkStart w:id="1410" w:name="X306bda8b8a5b9dd3950ab413f4d7115c5a953ed"/>
    <w:p>
      <w:pPr>
        <w:pStyle w:val="Heading5"/>
      </w:pPr>
      <w:r>
        <w:t xml:space="preserve">Myth 1: “Hypnosis is a reliable tool for ‘recovered memory’”</w:t>
      </w:r>
    </w:p>
    <w:p>
      <w:pPr>
        <w:pStyle w:val="FirstParagraph"/>
      </w:pPr>
      <w:r>
        <w:t xml:space="preserve">Evidence: hypnosis-induced memories can be contaminated with false memory — induced or distorted; especially cautious in legal contexts (Loftus E.F. research).</w:t>
      </w:r>
    </w:p>
    <w:bookmarkEnd w:id="1410"/>
    <w:bookmarkStart w:id="1411" w:name="X7efc02f6e5344728e2231414d7bab44081fb601"/>
    <w:p>
      <w:pPr>
        <w:pStyle w:val="Heading5"/>
      </w:pPr>
      <w:r>
        <w:t xml:space="preserve">Myth 2: “Dissociative amnesia is fabricated or ‘drama’ from movies”</w:t>
      </w:r>
    </w:p>
    <w:p>
      <w:pPr>
        <w:pStyle w:val="FirstParagraph"/>
      </w:pPr>
      <w:r>
        <w:t xml:space="preserve">Evidence: Clinical condition documented; neurobiological foundations investigated.</w:t>
      </w:r>
    </w:p>
    <w:bookmarkEnd w:id="1411"/>
    <w:bookmarkStart w:id="1412" w:name="Xe3b5f6c6f0465cf8629f4e58569fb777330a5ba"/>
    <w:p>
      <w:pPr>
        <w:pStyle w:val="Heading5"/>
      </w:pPr>
      <w:r>
        <w:t xml:space="preserve">Myth 3: “The patient ‘must be forced to remember’”</w:t>
      </w:r>
    </w:p>
    <w:p>
      <w:pPr>
        <w:pStyle w:val="FirstParagraph"/>
      </w:pPr>
      <w:r>
        <w:t xml:space="preserve">Evidence: pressure may create trauma or distress; supportive approach recommended.</w:t>
      </w:r>
    </w:p>
    <w:bookmarkEnd w:id="1412"/>
    <w:bookmarkStart w:id="1413" w:name="X08023a929f8f977e36b7b565ed5243123f33c10"/>
    <w:p>
      <w:pPr>
        <w:pStyle w:val="Heading5"/>
      </w:pPr>
      <w:r>
        <w:t xml:space="preserve">Myth 4: “Amobarbital interview is effective”</w:t>
      </w:r>
    </w:p>
    <w:p>
      <w:pPr>
        <w:pStyle w:val="FirstParagraph"/>
      </w:pPr>
      <w:r>
        <w:t xml:space="preserve">Evidence: Historically used, but not recommended in modern practice due to the risk of false memory and adverse effects.</w:t>
      </w:r>
    </w:p>
    <w:bookmarkEnd w:id="1413"/>
    <w:bookmarkStart w:id="1414" w:name="myth-5-all-traumatic-memories-are-real"/>
    <w:p>
      <w:pPr>
        <w:pStyle w:val="Heading5"/>
      </w:pPr>
      <w:r>
        <w:t xml:space="preserve">Myth 5: “All traumatic memories are ‘real’”</w:t>
      </w:r>
    </w:p>
    <w:p>
      <w:pPr>
        <w:pStyle w:val="FirstParagraph"/>
      </w:pPr>
      <w:r>
        <w:t xml:space="preserve">Evidence: Some ‘recovered memories’ may be a result of therapeutic induction; cautious clinical approach and source verification are important.</w:t>
      </w:r>
    </w:p>
    <w:bookmarkEnd w:id="1414"/>
    <w:bookmarkEnd w:id="1415"/>
    <w:bookmarkStart w:id="1416" w:name="X79432a78a72a9bf6488ebf06dddc3cbae42f791"/>
    <w:p>
      <w:pPr>
        <w:pStyle w:val="Heading3"/>
      </w:pPr>
      <w:r>
        <w:t xml:space="preserve">11. Sources</w:t>
      </w:r>
    </w:p>
    <w:p>
      <w:pPr>
        <w:pStyle w:val="Compact"/>
        <w:numPr>
          <w:ilvl w:val="0"/>
          <w:numId w:val="1693"/>
        </w:numPr>
      </w:pPr>
      <w:r>
        <w:t xml:space="preserve">WHO. ICD-11. 6B61 Dissociative amnesia. 2024.</w:t>
      </w:r>
    </w:p>
    <w:p>
      <w:pPr>
        <w:pStyle w:val="Compact"/>
        <w:numPr>
          <w:ilvl w:val="0"/>
          <w:numId w:val="1693"/>
        </w:numPr>
      </w:pPr>
      <w:r>
        <w:t xml:space="preserve">APA. DSM-5-TR. 2022.</w:t>
      </w:r>
    </w:p>
    <w:p>
      <w:pPr>
        <w:pStyle w:val="Compact"/>
        <w:numPr>
          <w:ilvl w:val="0"/>
          <w:numId w:val="1693"/>
        </w:numPr>
      </w:pPr>
      <w:r>
        <w:t xml:space="preserve">ISSTD. Guidelines for Treating DID in Adults, 3rd Revision. J Trauma Dissociation 2011;12(2):115–187.</w:t>
      </w:r>
    </w:p>
    <w:p>
      <w:pPr>
        <w:pStyle w:val="Compact"/>
        <w:numPr>
          <w:ilvl w:val="0"/>
          <w:numId w:val="1693"/>
        </w:numPr>
      </w:pPr>
      <w:r>
        <w:t xml:space="preserve">Loftus E.F. The reality of repressed memories. Am Psychol 1993;48(5):518–537.</w:t>
      </w:r>
    </w:p>
    <w:p>
      <w:pPr>
        <w:pStyle w:val="Compact"/>
        <w:numPr>
          <w:ilvl w:val="0"/>
          <w:numId w:val="1693"/>
        </w:numPr>
      </w:pPr>
      <w:r>
        <w:t xml:space="preserve">Staniloiu A., Markowitsch H.J. Dissociative amnesia. Lancet Psychiatry 2014;1(3):226–241.</w:t>
      </w:r>
    </w:p>
    <w:bookmarkEnd w:id="1416"/>
    <w:bookmarkStart w:id="1417" w:name="m556b806b8z-feeding-and-eating-disorders"/>
    <w:p>
      <w:pPr>
        <w:pageBreakBefore/>
        <w:pStyle w:val="Heading1"/>
      </w:pPr>
      <w:r>
        <w:t xml:space="preserve">6B80–6B8Z FEEDING AND EATING DISORDERS</w:t>
      </w:r>
    </w:p>
    <w:p>
      <w:pPr>
        <w:pStyle w:val="FirstParagraph"/>
      </w:pPr>
      <w:r>
        <w:t xml:space="preserve">Feeding or eating disorders</w:t>
      </w:r>
    </w:p>
    <w:bookmarkEnd w:id="14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18" w:name="m566b80-anorexia-nervosa"/>
            <w:r>
              <w:t xml:space="preserve">6B80 ANOREXIA NERVOSA</w:t>
            </w:r>
            <w:bookmarkEnd w:id="1418"/>
          </w:p>
          <w:p>
            <w:pPr>
              <w:pStyle w:val="Compact"/>
              <w:ind w:firstLine="0" w:left="0"/>
            </w:pPr>
            <w:r>
              <w:rPr>
                <w:lang w:val="en"/>
              </w:rPr>
              <w:t xml:space="preserve">Anorexia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Nervosa</w:t>
            </w:r>
          </w:p>
        </w:tc>
      </w:tr>
    </w:tbl>
    <w:bookmarkStart w:id="1419" w:name="Xa17732b2ce957f273092eebafffeebff64d418e"/>
    <w:p>
      <w:pPr>
        <w:pStyle w:val="Heading3"/>
      </w:pPr>
      <w:r>
        <w:t xml:space="preserve">1. Definition and nosology</w:t>
      </w:r>
    </w:p>
    <w:p>
      <w:pPr>
        <w:pStyle w:val="FirstParagraph"/>
      </w:pPr>
      <w:r>
        <w:t xml:space="preserve">Anorexia Nervosa (ICD-11:</w:t>
      </w:r>
      <w:r>
        <w:t xml:space="preserve"> </w:t>
      </w:r>
      <w:r>
        <w:t xml:space="preserve">6B80</w:t>
      </w:r>
      <w:r>
        <w:t xml:space="preserve">; DSM-5-TR: F50.0x) — a severe eating disorder characterized by significant low body weight due to restriction of food intake, intense fear of weight gain, and disturbance in body image. Among the highest mortality rates of psychiatric disorders.</w:t>
      </w:r>
    </w:p>
    <w:bookmarkEnd w:id="1419"/>
    <w:bookmarkStart w:id="1420" w:name="X0a07c4b799925f75bca52e10665702db19d50d2"/>
    <w:p>
      <w:pPr>
        <w:pStyle w:val="Heading3"/>
      </w:pPr>
      <w:r>
        <w:t xml:space="preserve">2. History</w:t>
      </w:r>
    </w:p>
    <w:p>
      <w:pPr>
        <w:pStyle w:val="Compact"/>
        <w:numPr>
          <w:ilvl w:val="0"/>
          <w:numId w:val="1694"/>
        </w:numPr>
      </w:pPr>
      <w:r>
        <w:t xml:space="preserve">Morton R. (1689) — first clinical description.</w:t>
      </w:r>
    </w:p>
    <w:p>
      <w:pPr>
        <w:pStyle w:val="Compact"/>
        <w:numPr>
          <w:ilvl w:val="0"/>
          <w:numId w:val="1694"/>
        </w:numPr>
      </w:pPr>
      <w:r>
        <w:t xml:space="preserve">Lasègue C. (1873) and Gull W. (1874) — ‘anorexia hysterica’ and ‘nervous anorexia’.</w:t>
      </w:r>
    </w:p>
    <w:p>
      <w:pPr>
        <w:pStyle w:val="Compact"/>
        <w:numPr>
          <w:ilvl w:val="0"/>
          <w:numId w:val="1694"/>
        </w:numPr>
      </w:pPr>
      <w:r>
        <w:t xml:space="preserve">DSM-III (1980) — Official diagnosis.</w:t>
      </w:r>
    </w:p>
    <w:p>
      <w:pPr>
        <w:pStyle w:val="Compact"/>
        <w:numPr>
          <w:ilvl w:val="0"/>
          <w:numId w:val="1694"/>
        </w:numPr>
      </w:pPr>
      <w:r>
        <w:t xml:space="preserve">DSM-5 (2013) — amenorrhea criterion eliminated (diagnosis possible in males and premenarchal).</w:t>
      </w:r>
    </w:p>
    <w:bookmarkEnd w:id="1420"/>
    <w:bookmarkStart w:id="1421" w:name="Xa090558f208e6477573b099a4cadf4525cc3d61"/>
    <w:p>
      <w:pPr>
        <w:pStyle w:val="Heading3"/>
      </w:pPr>
      <w:r>
        <w:t xml:space="preserve">3. Epidemiology</w:t>
      </w:r>
    </w:p>
    <w:p>
      <w:pPr>
        <w:pStyle w:val="Compact"/>
        <w:numPr>
          <w:ilvl w:val="0"/>
          <w:numId w:val="1695"/>
        </w:numPr>
      </w:pPr>
      <w:r>
        <w:t xml:space="preserve">Lifetime prevalence: in females 0.9–4%, in males 0.3% (Smink F.R. reviews).</w:t>
      </w:r>
    </w:p>
    <w:p>
      <w:pPr>
        <w:pStyle w:val="Compact"/>
        <w:numPr>
          <w:ilvl w:val="0"/>
          <w:numId w:val="1695"/>
        </w:numPr>
      </w:pPr>
      <w:r>
        <w:t xml:space="preserve">Sex: 10:1 in females; but the diagnosis is often missed in male patients.</w:t>
      </w:r>
    </w:p>
    <w:p>
      <w:pPr>
        <w:pStyle w:val="Compact"/>
        <w:numPr>
          <w:ilvl w:val="0"/>
          <w:numId w:val="1695"/>
        </w:numPr>
      </w:pPr>
      <w:r>
        <w:t xml:space="preserve">Onset: adolescence (14–18 years); second peak in middle age.</w:t>
      </w:r>
    </w:p>
    <w:p>
      <w:pPr>
        <w:pStyle w:val="Compact"/>
        <w:numPr>
          <w:ilvl w:val="0"/>
          <w:numId w:val="1695"/>
        </w:numPr>
      </w:pPr>
      <w:r>
        <w:t xml:space="preserve">Mortality: lifetime 5–6%; half medical (cachexia, cardiac), half suicide (Arcelus J. et al. Arch Gen Psychiatry 2011 meta-analysis).</w:t>
      </w:r>
    </w:p>
    <w:p>
      <w:pPr>
        <w:pStyle w:val="Compact"/>
        <w:numPr>
          <w:ilvl w:val="0"/>
          <w:numId w:val="1695"/>
        </w:numPr>
      </w:pPr>
      <w:r>
        <w:t xml:space="preserve">Comorbidity: MDD, OCD, anxiety, BPD.</w:t>
      </w:r>
    </w:p>
    <w:bookmarkEnd w:id="1421"/>
    <w:bookmarkStart w:id="1422" w:name="X0e8fdfe69d0bed482364452eace194644e8b6c6"/>
    <w:p>
      <w:pPr>
        <w:pStyle w:val="Heading3"/>
      </w:pPr>
      <w:r>
        <w:t xml:space="preserve">4. Aetiology and pathogenesis</w:t>
      </w:r>
    </w:p>
    <w:p>
      <w:pPr>
        <w:pStyle w:val="Compact"/>
        <w:numPr>
          <w:ilvl w:val="0"/>
          <w:numId w:val="1696"/>
        </w:numPr>
      </w:pPr>
      <w:r>
        <w:t xml:space="preserve">Heritability 50–60% (Bulik C.M. reviews).</w:t>
      </w:r>
    </w:p>
    <w:p>
      <w:pPr>
        <w:pStyle w:val="Compact"/>
        <w:numPr>
          <w:ilvl w:val="0"/>
          <w:numId w:val="1696"/>
        </w:numPr>
      </w:pPr>
      <w:r>
        <w:t xml:space="preserve">Neurobiological — reduced cognitive flexibility, reward circuit dysregulation, atypical response to hunger.</w:t>
      </w:r>
    </w:p>
    <w:p>
      <w:pPr>
        <w:pStyle w:val="Compact"/>
        <w:numPr>
          <w:ilvl w:val="0"/>
          <w:numId w:val="1696"/>
        </w:numPr>
      </w:pPr>
      <w:r>
        <w:t xml:space="preserve">Social-cultural factors — thinness ideal; social media influence.</w:t>
      </w:r>
    </w:p>
    <w:p>
      <w:pPr>
        <w:pStyle w:val="Compact"/>
        <w:numPr>
          <w:ilvl w:val="0"/>
          <w:numId w:val="1696"/>
        </w:numPr>
      </w:pPr>
      <w:r>
        <w:t xml:space="preserve">Personality — perfectionism, anxiety, family history of eating disorder.</w:t>
      </w:r>
    </w:p>
    <w:bookmarkEnd w:id="1422"/>
    <w:bookmarkStart w:id="1423" w:name="X9bec6f28a139f55ae9c113d9a1759f002ff5a8d"/>
    <w:p>
      <w:pPr>
        <w:pStyle w:val="Heading3"/>
      </w:pPr>
      <w:r>
        <w:t xml:space="preserve">5. Clinical features</w:t>
      </w:r>
    </w:p>
    <w:p>
      <w:pPr>
        <w:pStyle w:val="Compact"/>
        <w:numPr>
          <w:ilvl w:val="0"/>
          <w:numId w:val="1697"/>
        </w:numPr>
      </w:pPr>
      <w:r>
        <w:t xml:space="preserve">Food restriction – calories, types of food.</w:t>
      </w:r>
    </w:p>
    <w:p>
      <w:pPr>
        <w:pStyle w:val="Compact"/>
        <w:numPr>
          <w:ilvl w:val="0"/>
          <w:numId w:val="1697"/>
        </w:numPr>
      </w:pPr>
      <w:r>
        <w:t xml:space="preserve">Body weight significantly low (BMI &lt; 18.5 in adults; children BMI percentile).</w:t>
      </w:r>
    </w:p>
    <w:p>
      <w:pPr>
        <w:pStyle w:val="Compact"/>
        <w:numPr>
          <w:ilvl w:val="0"/>
          <w:numId w:val="1697"/>
        </w:numPr>
      </w:pPr>
      <w:r>
        <w:t xml:space="preserve">Marked fear of weight gain or persistent behavior aimed at preventing it.</w:t>
      </w:r>
    </w:p>
    <w:p>
      <w:pPr>
        <w:pStyle w:val="Compact"/>
        <w:numPr>
          <w:ilvl w:val="0"/>
          <w:numId w:val="1697"/>
        </w:numPr>
      </w:pPr>
      <w:r>
        <w:t xml:space="preserve">Body image disturbance — “I feel fat” even when underweight.</w:t>
      </w:r>
    </w:p>
    <w:p>
      <w:pPr>
        <w:pStyle w:val="Compact"/>
        <w:numPr>
          <w:ilvl w:val="0"/>
          <w:numId w:val="1697"/>
        </w:numPr>
      </w:pPr>
      <w:r>
        <w:t xml:space="preserve">Subtypes:</w:t>
      </w:r>
    </w:p>
    <w:p>
      <w:pPr>
        <w:pStyle w:val="Compact"/>
        <w:numPr>
          <w:ilvl w:val="1"/>
          <w:numId w:val="1698"/>
        </w:numPr>
      </w:pPr>
      <w:r>
        <w:t xml:space="preserve">Restrictive type — only food restriction.</w:t>
      </w:r>
    </w:p>
    <w:p>
      <w:pPr>
        <w:pStyle w:val="Compact"/>
        <w:numPr>
          <w:ilvl w:val="1"/>
          <w:numId w:val="1698"/>
        </w:numPr>
      </w:pPr>
      <w:r>
        <w:t xml:space="preserve">Binge/purging type — vomiting, laxatives, exercise.</w:t>
      </w:r>
    </w:p>
    <w:p>
      <w:pPr>
        <w:pStyle w:val="Compact"/>
        <w:numPr>
          <w:ilvl w:val="0"/>
          <w:numId w:val="1697"/>
        </w:numPr>
      </w:pPr>
      <w:r>
        <w:t xml:space="preserve">Medical complications — bradycardia, hypotension, hypothermia, electrolyte imbalance, osteoporosis, amenorrhea, lanugo, cardiac arrhythmia, death.</w:t>
      </w:r>
    </w:p>
    <w:bookmarkEnd w:id="1423"/>
    <w:bookmarkStart w:id="1428" w:name="Xce5f477c0719f61a968e69ac74a13029be7d1ea"/>
    <w:p>
      <w:pPr>
        <w:pStyle w:val="Heading3"/>
      </w:pPr>
      <w:r>
        <w:t xml:space="preserve">6. Diagnosis</w:t>
      </w:r>
    </w:p>
    <w:bookmarkStart w:id="1424" w:name="unified-diagnostic-criteria-24"/>
    <w:p>
      <w:pPr>
        <w:pStyle w:val="Heading4"/>
      </w:pPr>
      <w:r>
        <w:t xml:space="preserve">6.1 Unified diagnostic criteria</w:t>
      </w:r>
    </w:p>
    <w:p>
      <w:pPr>
        <w:pStyle w:val="FirstParagraph"/>
      </w:pPr>
      <w:r>
        <w:t xml:space="preserve">A. Significant low weight due to restricted food intake (BMI &lt;18.5 in adults; below age-adjusted norm in children).</w:t>
      </w:r>
    </w:p>
    <w:p>
      <w:pPr>
        <w:pStyle w:val="BodyText"/>
      </w:pPr>
      <w:r>
        <w:t xml:space="preserve">B. Intense fear of gaining weight or persistent behavior to avoid weight gain, even when weight is low.</w:t>
      </w:r>
    </w:p>
    <w:p>
      <w:pPr>
        <w:pStyle w:val="BodyText"/>
      </w:pPr>
      <w:r>
        <w:t xml:space="preserve">C. Body image disturbance or lack of recognition of the seriousness of current body weight.</w:t>
      </w:r>
    </w:p>
    <w:bookmarkEnd w:id="1424"/>
    <w:bookmarkStart w:id="1425" w:name="differences-between-sources-77"/>
    <w:p>
      <w:pPr>
        <w:pStyle w:val="Heading4"/>
      </w:pPr>
      <w:r>
        <w:t xml:space="preserve">6.2 Differences between sources</w:t>
      </w:r>
    </w:p>
    <w:p>
      <w:pPr>
        <w:pStyle w:val="Compact"/>
        <w:numPr>
          <w:ilvl w:val="0"/>
          <w:numId w:val="1699"/>
        </w:numPr>
      </w:pPr>
      <w:r>
        <w:t xml:space="preserve">DSM-5-TR — severity based on BMI (mild BMI ≥ 17, moderate 16–16.99, severe 15–15.99, extreme &lt; 15).</w:t>
      </w:r>
    </w:p>
    <w:p>
      <w:pPr>
        <w:pStyle w:val="Compact"/>
        <w:numPr>
          <w:ilvl w:val="0"/>
          <w:numId w:val="1699"/>
        </w:numPr>
      </w:pPr>
      <w:r>
        <w:t xml:space="preserve">ICD-11 — a different severity scale: 6B80.0 significantly low body weight (adults BMI 18.5–14.0; children 5th–0.3rd percentile BMI-for-age), 6B80.1 dangerously low body weight (BMI &lt; 14.0), 6B80.2 in recovery with normal body weight — the diagnosis is retained until full and lasting recovery. ICD-11 has no separate ‘atypical anorexia nervosa’ category (the term belongs to DSM-5-TR OSFED): a normal-BMI presentation is 6B80.2, or 6B8Y other specified feeding or eating disorders if the requirements are not met.</w:t>
      </w:r>
    </w:p>
    <w:p>
      <w:pPr>
        <w:pStyle w:val="Compact"/>
        <w:numPr>
          <w:ilvl w:val="0"/>
          <w:numId w:val="1699"/>
        </w:numPr>
      </w:pPr>
      <w:r>
        <w:t xml:space="preserve">NICE NG69 (Eating disorders, 2017, update) — diagnosis and treatment algorithms.</w:t>
      </w:r>
    </w:p>
    <w:bookmarkEnd w:id="1425"/>
    <w:bookmarkStart w:id="1426" w:name="diagnostic-algorithm-44"/>
    <w:p>
      <w:pPr>
        <w:pStyle w:val="Heading4"/>
      </w:pPr>
      <w:r>
        <w:t xml:space="preserve">6.3 Diagnostic algorithm</w:t>
      </w:r>
    </w:p>
    <w:p>
      <w:pPr>
        <w:pStyle w:val="Compact"/>
        <w:numPr>
          <w:ilvl w:val="0"/>
          <w:numId w:val="1700"/>
        </w:numPr>
      </w:pPr>
      <w:r>
        <w:t xml:space="preserve">Clinical interview.</w:t>
      </w:r>
    </w:p>
    <w:p>
      <w:pPr>
        <w:pStyle w:val="Compact"/>
        <w:numPr>
          <w:ilvl w:val="0"/>
          <w:numId w:val="1700"/>
        </w:numPr>
      </w:pPr>
      <w:r>
        <w:t xml:space="preserve">EDE-Q (Eating Disorder Examination Questionnaire) or EDE — gold standard.</w:t>
      </w:r>
    </w:p>
    <w:p>
      <w:pPr>
        <w:pStyle w:val="Compact"/>
        <w:numPr>
          <w:ilvl w:val="0"/>
          <w:numId w:val="1700"/>
        </w:numPr>
      </w:pPr>
      <w:r>
        <w:t xml:space="preserve">Medical examination — BMI, vital signs, electrolytes, EKG, bone densitometry.</w:t>
      </w:r>
    </w:p>
    <w:p>
      <w:pPr>
        <w:pStyle w:val="Compact"/>
        <w:numPr>
          <w:ilvl w:val="0"/>
          <w:numId w:val="1700"/>
        </w:numPr>
      </w:pPr>
      <w:r>
        <w:t xml:space="preserve">Laboratory: complete blood count, electrolytes (especially K, P, Mg), liver, kidney, glucose, thyroid.</w:t>
      </w:r>
    </w:p>
    <w:p>
      <w:pPr>
        <w:pStyle w:val="Compact"/>
        <w:numPr>
          <w:ilvl w:val="0"/>
          <w:numId w:val="1700"/>
        </w:numPr>
      </w:pPr>
      <w:r>
        <w:t xml:space="preserve">Comorbidity (MDD, OCD, anxiety).</w:t>
      </w:r>
    </w:p>
    <w:p>
      <w:pPr>
        <w:pStyle w:val="Compact"/>
        <w:numPr>
          <w:ilvl w:val="0"/>
          <w:numId w:val="1700"/>
        </w:numPr>
      </w:pPr>
      <w:r>
        <w:t xml:space="preserve">Refeeding syndrome risk assessment (especially BMI &lt;13 or minimal intake prolonged).</w:t>
      </w:r>
    </w:p>
    <w:bookmarkEnd w:id="1426"/>
    <w:bookmarkStart w:id="1427" w:name="differential-diagnosis-4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Bulimia Nervosa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weight; binge eating + compensatory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ARFID (6B83)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Weight loss, but no disturbance in body image.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condition (cancer, hyperthyroidism, IBS, Crohn's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confirmation.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(decreased food intake)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body image disturbance.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(food delusion)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thought basis.</w:t>
            </w:r>
          </w:p>
        </w:tc>
      </w:tr>
    </w:tbl>
    <w:bookmarkEnd w:id="1427"/>
    <w:bookmarkEnd w:id="1428"/>
    <w:bookmarkStart w:id="1429" w:name="X64f5e09902723fc5a4c14c72bcb50fb928b2c7a"/>
    <w:p>
      <w:pPr>
        <w:pStyle w:val="Heading3"/>
      </w:pPr>
      <w:r>
        <w:t xml:space="preserve">7. Examination and assessment</w:t>
      </w:r>
    </w:p>
    <w:p>
      <w:pPr>
        <w:pStyle w:val="Compact"/>
        <w:numPr>
          <w:ilvl w:val="0"/>
          <w:numId w:val="1701"/>
        </w:numPr>
      </w:pPr>
      <w:r>
        <w:t xml:space="preserve">EDE-Q, EDE.</w:t>
      </w:r>
    </w:p>
    <w:p>
      <w:pPr>
        <w:pStyle w:val="Compact"/>
        <w:numPr>
          <w:ilvl w:val="0"/>
          <w:numId w:val="1701"/>
        </w:numPr>
      </w:pPr>
      <w:r>
        <w:t xml:space="preserve">Vital signs, BMI, weight history.</w:t>
      </w:r>
    </w:p>
    <w:p>
      <w:pPr>
        <w:pStyle w:val="Compact"/>
        <w:numPr>
          <w:ilvl w:val="0"/>
          <w:numId w:val="1701"/>
        </w:numPr>
      </w:pPr>
      <w:r>
        <w:t xml:space="preserve">Laboratory: complete blood count, electrolytes, liver, kidney, thyroid, FSH/LH, prolactin, vitamin D, B12, iron.</w:t>
      </w:r>
    </w:p>
    <w:p>
      <w:pPr>
        <w:pStyle w:val="Compact"/>
        <w:numPr>
          <w:ilvl w:val="0"/>
          <w:numId w:val="1701"/>
        </w:numPr>
      </w:pPr>
      <w:r>
        <w:t xml:space="preserve">EKG — bradycardia, QTc.</w:t>
      </w:r>
    </w:p>
    <w:p>
      <w:pPr>
        <w:pStyle w:val="Compact"/>
        <w:numPr>
          <w:ilvl w:val="0"/>
          <w:numId w:val="1701"/>
        </w:numPr>
      </w:pPr>
      <w:r>
        <w:t xml:space="preserve">DEXA — osteoporosis.</w:t>
      </w:r>
    </w:p>
    <w:p>
      <w:pPr>
        <w:pStyle w:val="Compact"/>
        <w:numPr>
          <w:ilvl w:val="0"/>
          <w:numId w:val="1701"/>
        </w:numPr>
      </w:pPr>
      <w:r>
        <w:t xml:space="preserve">C-SSRS suicide risk.</w:t>
      </w:r>
    </w:p>
    <w:bookmarkEnd w:id="1429"/>
    <w:bookmarkStart w:id="1433" w:name="X46ea1bb2fd6e8f8c22f131c83d085a11e8e8859"/>
    <w:p>
      <w:pPr>
        <w:pStyle w:val="Heading3"/>
      </w:pPr>
      <w:r>
        <w:t xml:space="preserve">8. Treatment</w:t>
      </w:r>
    </w:p>
    <w:bookmarkStart w:id="1430" w:name="general-principles-nice-ng69-apa-2023"/>
    <w:p>
      <w:pPr>
        <w:pStyle w:val="Heading4"/>
      </w:pPr>
      <w:r>
        <w:t xml:space="preserve">8.1 General Principles (NICE NG69 · APA 2023)</w:t>
      </w:r>
    </w:p>
    <w:p>
      <w:pPr>
        <w:pStyle w:val="Compact"/>
        <w:numPr>
          <w:ilvl w:val="0"/>
          <w:numId w:val="1702"/>
        </w:numPr>
      </w:pPr>
      <w:r>
        <w:t xml:space="preserve">Medical stabilization is critical: electrolytes, refeeding syndrome prophylaxis (phosphorus, magnesium, thiamine), cardiac monitoring.</w:t>
      </w:r>
    </w:p>
    <w:p>
      <w:pPr>
        <w:pStyle w:val="Compact"/>
        <w:numPr>
          <w:ilvl w:val="0"/>
          <w:numId w:val="1702"/>
        </w:numPr>
      </w:pPr>
      <w:r>
        <w:t xml:space="preserve">Indication for hospitalization: BMI &lt; 13, bradycardia &lt; 40, hypokalemia, orthostatic changes, suicide risk, outpatient failure.</w:t>
      </w:r>
    </w:p>
    <w:p>
      <w:pPr>
        <w:pStyle w:val="Compact"/>
        <w:numPr>
          <w:ilvl w:val="0"/>
          <w:numId w:val="1702"/>
        </w:numPr>
      </w:pPr>
      <w:r>
        <w:t xml:space="preserve">Psychotherapy first line:</w:t>
      </w:r>
    </w:p>
    <w:p>
      <w:pPr>
        <w:pStyle w:val="Compact"/>
        <w:numPr>
          <w:ilvl w:val="1"/>
          <w:numId w:val="1703"/>
        </w:numPr>
      </w:pPr>
      <w:r>
        <w:t xml:space="preserve">FBT — Family-Based Treatment (Maudsley Model, Lock J., Le Grange D.) — gold standard in children and adolescents; 20 sessions in 3 phases.</w:t>
      </w:r>
    </w:p>
    <w:p>
      <w:pPr>
        <w:pStyle w:val="Compact"/>
        <w:numPr>
          <w:ilvl w:val="1"/>
          <w:numId w:val="1703"/>
        </w:numPr>
      </w:pPr>
      <w:r>
        <w:t xml:space="preserve">CBT-E — Enhanced Cognitive Behavioral Therapy (Fairburn C.G.) — first-line in adults; 40 sessions over 40 weeks.</w:t>
      </w:r>
    </w:p>
    <w:p>
      <w:pPr>
        <w:pStyle w:val="Compact"/>
        <w:numPr>
          <w:ilvl w:val="1"/>
          <w:numId w:val="1703"/>
        </w:numPr>
      </w:pPr>
      <w:r>
        <w:t xml:space="preserve">MANTRA, SSCM — alternatives for adults.</w:t>
      </w:r>
    </w:p>
    <w:p>
      <w:pPr>
        <w:pStyle w:val="Compact"/>
        <w:numPr>
          <w:ilvl w:val="0"/>
          <w:numId w:val="1702"/>
        </w:numPr>
      </w:pPr>
      <w:r>
        <w:t xml:space="preserve">Pharmacotherapy — no specific effective drug for AN — antidepressant and antipsychotic for comorbidity; low-dose olanzapine (2.5–10 mg) may help weight gain in some patients (Attia E. et al. Am J Psychiatry 2019), but is not the primary intervention.</w:t>
      </w:r>
    </w:p>
    <w:p>
      <w:pPr>
        <w:pStyle w:val="Compact"/>
        <w:numPr>
          <w:ilvl w:val="0"/>
          <w:numId w:val="1702"/>
        </w:numPr>
      </w:pPr>
      <w:r>
        <w:t xml:space="preserve">Nutrition — group or individual nutritionist; prophylaxis of refeeding syndrome — initial energy intake is low, phosphorus monitoring.</w:t>
      </w:r>
    </w:p>
    <w:p>
      <w:pPr>
        <w:pStyle w:val="Compact"/>
        <w:numPr>
          <w:ilvl w:val="0"/>
          <w:numId w:val="1702"/>
        </w:numPr>
      </w:pPr>
      <w:r>
        <w:t xml:space="preserve">Duration of treatment is long (1–2 years or more).</w:t>
      </w:r>
    </w:p>
    <w:bookmarkEnd w:id="1430"/>
    <w:bookmarkStart w:id="1431" w:name="treatment-methods-43"/>
    <w:p>
      <w:pPr>
        <w:pStyle w:val="Heading4"/>
      </w:pPr>
      <w:r>
        <w:t xml:space="preserve">8.2 Treatment methods</w:t>
      </w:r>
    </w:p>
    <w:p>
      <w:pPr>
        <w:pStyle w:val="Compact"/>
        <w:numPr>
          <w:ilvl w:val="0"/>
          <w:numId w:val="1704"/>
        </w:numPr>
      </w:pPr>
      <w:r>
        <w:t xml:space="preserve">Family-Based Treatment / Maudsley Model (FBT) — Lock J., Le Grange D — 3-phase 20 sessions: (1) weight restoration – family controls food intake; (2) gradually returning control over eating to the adolescent; (3) adolescent-specific topics. Evidence: Lock J. et al. Arch Gen Psychiatry 2010 RCT.</w:t>
      </w:r>
    </w:p>
    <w:p>
      <w:pPr>
        <w:pStyle w:val="Compact"/>
        <w:numPr>
          <w:ilvl w:val="0"/>
          <w:numId w:val="1704"/>
        </w:numPr>
      </w:pPr>
      <w:r>
        <w:t xml:space="preserve">Enhanced Cognitive Behavioral Therapy (CBT-E) — Fairburn C.G — Transdiagnostic (AN, BN, BED combined) approach; 40 sessions over 40 weeks; core focus on excessive value regarding body and weight. cbte.co.</w:t>
      </w:r>
    </w:p>
    <w:p>
      <w:pPr>
        <w:pStyle w:val="Compact"/>
        <w:numPr>
          <w:ilvl w:val="0"/>
          <w:numId w:val="1704"/>
        </w:numPr>
      </w:pPr>
      <w:r>
        <w:t xml:space="preserve">Maudsley Anorexia Nervosa Treatment for Adults (MANTRA) — Schmidt U — Manualized for adults; focus on social-perfectionistic traits.</w:t>
      </w:r>
    </w:p>
    <w:p>
      <w:pPr>
        <w:pStyle w:val="Compact"/>
        <w:numPr>
          <w:ilvl w:val="0"/>
          <w:numId w:val="1704"/>
        </w:numPr>
      </w:pPr>
      <w:r>
        <w:t xml:space="preserve">Specialist Supportive Clinical Management (SSCM) — Based on clinical supervision and psychoeducation.</w:t>
      </w:r>
    </w:p>
    <w:p>
      <w:pPr>
        <w:pStyle w:val="Compact"/>
        <w:numPr>
          <w:ilvl w:val="0"/>
          <w:numId w:val="1704"/>
        </w:numPr>
      </w:pPr>
      <w:r>
        <w:t xml:space="preserve">Eating Disorder Examination Questionnaire (EDE-Q) — 28 items; baseline indicators and monitoring.</w:t>
      </w:r>
    </w:p>
    <w:p>
      <w:pPr>
        <w:pStyle w:val="Compact"/>
        <w:numPr>
          <w:ilvl w:val="0"/>
          <w:numId w:val="1704"/>
        </w:numPr>
      </w:pPr>
      <w:r>
        <w:t xml:space="preserve">Refeeding Protocol (Maudsley, AED) — Start by risk: 10 kcal/kg/day at high risk, 5 kcal/kg/day at extreme risk (BMI &lt; 14 or negligible intake for more than 15 days); increase gradually. Phosphorus, magnesium, potassium supplements; thiamine; daily electrolyte monitoring. Faster rates only in a specialist unit under close monitoring.</w:t>
      </w:r>
    </w:p>
    <w:bookmarkEnd w:id="1431"/>
    <w:bookmarkStart w:id="1432" w:name="differences-between-sources-78"/>
    <w:p>
      <w:pPr>
        <w:pStyle w:val="Heading4"/>
      </w:pPr>
      <w:r>
        <w:t xml:space="preserve">8.3 Differences between sources</w:t>
      </w:r>
    </w:p>
    <w:p>
      <w:pPr>
        <w:pStyle w:val="Compact"/>
        <w:numPr>
          <w:ilvl w:val="0"/>
          <w:numId w:val="1705"/>
        </w:numPr>
      </w:pPr>
      <w:r>
        <w:t xml:space="preserve">NICE NG69 (2017) — FBT in children and adolescents; CBT-E in adults.</w:t>
      </w:r>
    </w:p>
    <w:p>
      <w:pPr>
        <w:pStyle w:val="Compact"/>
        <w:numPr>
          <w:ilvl w:val="0"/>
          <w:numId w:val="1705"/>
        </w:numPr>
      </w:pPr>
      <w:r>
        <w:t xml:space="preserve">APA 2023 Practice Guideline for the Treatment of Patients with Eating Disorders, 4th ed.</w:t>
      </w:r>
    </w:p>
    <w:p>
      <w:pPr>
        <w:pStyle w:val="Compact"/>
        <w:numPr>
          <w:ilvl w:val="0"/>
          <w:numId w:val="1705"/>
        </w:numPr>
      </w:pPr>
      <w:r>
        <w:t xml:space="preserve">AED (Academy for Eating Disorders) — refeeding syndrome medical care standards.</w:t>
      </w:r>
    </w:p>
    <w:p>
      <w:pPr>
        <w:pStyle w:val="Compact"/>
        <w:numPr>
          <w:ilvl w:val="0"/>
          <w:numId w:val="1705"/>
        </w:numPr>
      </w:pPr>
      <w:r>
        <w:t xml:space="preserve">NICE — antidepressants not routinely recommended for AN.</w:t>
      </w:r>
    </w:p>
    <w:bookmarkEnd w:id="1432"/>
    <w:bookmarkEnd w:id="1433"/>
    <w:bookmarkStart w:id="1434" w:name="X96ee0119186393ea0cdeff7240c44e3d03e17c5"/>
    <w:p>
      <w:pPr>
        <w:pStyle w:val="Heading3"/>
      </w:pPr>
      <w:r>
        <w:t xml:space="preserve">9. Prognosis</w:t>
      </w:r>
    </w:p>
    <w:p>
      <w:pPr>
        <w:pStyle w:val="Compact"/>
        <w:numPr>
          <w:ilvl w:val="0"/>
          <w:numId w:val="1706"/>
        </w:numPr>
      </w:pPr>
      <w:r>
        <w:t xml:space="preserve">50% remission, 30% residual symptoms, 20% chronic course.</w:t>
      </w:r>
    </w:p>
    <w:p>
      <w:pPr>
        <w:pStyle w:val="Compact"/>
        <w:numPr>
          <w:ilvl w:val="0"/>
          <w:numId w:val="1706"/>
        </w:numPr>
      </w:pPr>
      <w:r>
        <w:t xml:space="preserve">Mortality high (5–6%).</w:t>
      </w:r>
    </w:p>
    <w:p>
      <w:pPr>
        <w:pStyle w:val="Compact"/>
        <w:numPr>
          <w:ilvl w:val="0"/>
          <w:numId w:val="1706"/>
        </w:numPr>
      </w:pPr>
      <w:r>
        <w:t xml:space="preserve">Early intervention (especially FBT in adolescence) significantly improves prognosis.</w:t>
      </w:r>
    </w:p>
    <w:bookmarkEnd w:id="1434"/>
    <w:bookmarkStart w:id="1442" w:name="Xb04af89aafc38e46a3f454663d9ac8800a56162"/>
    <w:p>
      <w:pPr>
        <w:pStyle w:val="Heading3"/>
      </w:pPr>
      <w:r>
        <w:t xml:space="preserve">10. Myths and misconceptions</w:t>
      </w:r>
    </w:p>
    <w:bookmarkStart w:id="1435" w:name="X9c56ca80724157700c5a5e09f11c797bf950aa0"/>
    <w:p>
      <w:pPr>
        <w:pStyle w:val="Heading5"/>
      </w:pPr>
      <w:r>
        <w:t xml:space="preserve">Myth 1: “Anorexia is an ‘image’ disorder, not a serious medical condition”</w:t>
      </w:r>
    </w:p>
    <w:p>
      <w:pPr>
        <w:pStyle w:val="FirstParagraph"/>
      </w:pPr>
      <w:r>
        <w:t xml:space="preserve">Evidence: Arcelus 2011 meta-analysis — AN lifetime mortality 5–6%; highest among psychiatric disorders.</w:t>
      </w:r>
    </w:p>
    <w:bookmarkEnd w:id="1435"/>
    <w:bookmarkStart w:id="1436" w:name="Xbb99fe7812182f6ce05b7c2b058cf8882b37695"/>
    <w:p>
      <w:pPr>
        <w:pStyle w:val="Heading5"/>
      </w:pPr>
      <w:r>
        <w:t xml:space="preserve">Myth 2: “The patient can eat voluntarily — just need to demand it”</w:t>
      </w:r>
    </w:p>
    <w:p>
      <w:pPr>
        <w:pStyle w:val="FirstParagraph"/>
      </w:pPr>
      <w:r>
        <w:t xml:space="preserve">Evidence: AN is a neurobiological and psychological complex disorder; the ‘volitional eating’ explanation is incorrect and harmful.</w:t>
      </w:r>
    </w:p>
    <w:bookmarkEnd w:id="1436"/>
    <w:bookmarkStart w:id="1437" w:name="X0c7a9e6fc4807d0c5e87f5146350d3fdeb9edb0"/>
    <w:p>
      <w:pPr>
        <w:pStyle w:val="Heading5"/>
      </w:pPr>
      <w:r>
        <w:t xml:space="preserve">Myth 3: “Antidepressant is the main treatment for AN”</w:t>
      </w:r>
    </w:p>
    <w:p>
      <w:pPr>
        <w:pStyle w:val="FirstParagraph"/>
      </w:pPr>
      <w:r>
        <w:t xml:space="preserve">Evidence: NICE NG69 — antidepressants not routinely recommended for AN; may be used for comorbid MDD (more effective after weight restoration).</w:t>
      </w:r>
    </w:p>
    <w:bookmarkEnd w:id="1437"/>
    <w:bookmarkStart w:id="1438" w:name="Xcf7c4dcd4d17247b2242339914a2fdc0a1f0b5b"/>
    <w:p>
      <w:pPr>
        <w:pStyle w:val="Heading5"/>
      </w:pPr>
      <w:r>
        <w:t xml:space="preserve">Myth 4: “AN only occurs in adolescent girls”</w:t>
      </w:r>
    </w:p>
    <w:p>
      <w:pPr>
        <w:pStyle w:val="FirstParagraph"/>
      </w:pPr>
      <w:r>
        <w:t xml:space="preserve">Evidence: AN also occurs in males (~10%); can develop in middle age; under-detection is common.</w:t>
      </w:r>
    </w:p>
    <w:bookmarkEnd w:id="1438"/>
    <w:bookmarkStart w:id="1439" w:name="X9938a86caf276d257f4ab17610ce5e7a307f400"/>
    <w:p>
      <w:pPr>
        <w:pStyle w:val="Heading5"/>
      </w:pPr>
      <w:r>
        <w:t xml:space="preserve">Myth 5: “The problem is resolved after weight restoration”</w:t>
      </w:r>
    </w:p>
    <w:p>
      <w:pPr>
        <w:pStyle w:val="FirstParagraph"/>
      </w:pPr>
      <w:r>
        <w:t xml:space="preserve">Evidence: Weight restoration is a crucial step, but without cognitive-behavioral intervention, relapse rates are high; psychotherapy is critical.</w:t>
      </w:r>
    </w:p>
    <w:bookmarkEnd w:id="1439"/>
    <w:bookmarkStart w:id="1440" w:name="myth-6-refeeding-should-be-rapid"/>
    <w:p>
      <w:pPr>
        <w:pStyle w:val="Heading5"/>
      </w:pPr>
      <w:r>
        <w:t xml:space="preserve">Myth 6: “Refeeding should be rapid”</w:t>
      </w:r>
    </w:p>
    <w:p>
      <w:pPr>
        <w:pStyle w:val="FirstParagraph"/>
      </w:pPr>
      <w:r>
        <w:t xml:space="preserve">Evidence: Rapid refeeding syndrome (hypophosphatemia, cardiac failure) possible; stepped approach and electrolyte monitoring critical.</w:t>
      </w:r>
    </w:p>
    <w:bookmarkEnd w:id="1440"/>
    <w:bookmarkStart w:id="1441" w:name="Xafbbea619c6b7df70fd8a9b5ee57e9ba54ae827"/>
    <w:p>
      <w:pPr>
        <w:pStyle w:val="Heading5"/>
      </w:pPr>
      <w:r>
        <w:t xml:space="preserve">Myth 7: “The patient is perfectionistic and high-performing — this trait should be preserved”</w:t>
      </w:r>
    </w:p>
    <w:p>
      <w:pPr>
        <w:pStyle w:val="FirstParagraph"/>
      </w:pPr>
      <w:r>
        <w:t xml:space="preserve">Evidence: Perfectionism is among the sustaining factors of AN; therapy is directed at this characteristic.</w:t>
      </w:r>
    </w:p>
    <w:bookmarkEnd w:id="1441"/>
    <w:bookmarkEnd w:id="1442"/>
    <w:bookmarkStart w:id="2964" w:name="Xd1ce73756421cbb6964c61ef4af3db7426e7b42"/>
    <w:p>
      <w:pPr>
        <w:pStyle w:val="Heading3"/>
      </w:pPr>
      <w:r>
        <w:t xml:space="preserve">11. Sources</w:t>
      </w:r>
    </w:p>
    <w:p>
      <w:pPr>
        <w:pStyle w:val="Compact"/>
        <w:numPr>
          <w:ilvl w:val="0"/>
          <w:numId w:val="1707"/>
        </w:numPr>
      </w:pPr>
      <w:r>
        <w:t xml:space="preserve">WHO. ICD-11. 6B80 Anorexia Nervosa. 2024.</w:t>
      </w:r>
    </w:p>
    <w:p>
      <w:pPr>
        <w:pStyle w:val="Compact"/>
        <w:numPr>
          <w:ilvl w:val="0"/>
          <w:numId w:val="1707"/>
        </w:numPr>
      </w:pPr>
      <w:r>
        <w:t xml:space="preserve">APA. DSM-5-TR. 2022.</w:t>
      </w:r>
    </w:p>
    <w:p>
      <w:pPr>
        <w:pStyle w:val="Compact"/>
        <w:numPr>
          <w:ilvl w:val="0"/>
          <w:numId w:val="1707"/>
        </w:numPr>
      </w:pPr>
      <w:r>
        <w:t xml:space="preserve">NICE NG69. Eating disorders: recognition and treatment. 2017, 2020 update.</w:t>
      </w:r>
    </w:p>
    <w:p>
      <w:pPr>
        <w:pStyle w:val="Compact"/>
        <w:numPr>
          <w:ilvl w:val="0"/>
          <w:numId w:val="1707"/>
        </w:numPr>
      </w:pPr>
      <w:r>
        <w:t xml:space="preserve">APA. Practice Guideline for the Treatment of Patients With Eating Disorders, 4th ed. 2023.</w:t>
      </w:r>
    </w:p>
    <w:p>
      <w:pPr>
        <w:pStyle w:val="Compact"/>
        <w:numPr>
          <w:ilvl w:val="0"/>
          <w:numId w:val="1707"/>
        </w:numPr>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07"/>
        </w:numPr>
      </w:pPr>
      <w:r>
        <w:t xml:space="preserve">Fairburn C.G. Cognitive Behavior Therapy and Eating Disorders. Guilford Press; 2008.</w:t>
      </w:r>
    </w:p>
    <w:p>
      <w:pPr>
        <w:pStyle w:val="Compact"/>
        <w:numPr>
          <w:ilvl w:val="0"/>
          <w:numId w:val="1707"/>
        </w:numPr>
      </w:pPr>
      <w:r>
        <w:t xml:space="preserve">Arcelus J., Mitchell A.J., Wales J., Nielsen S. Mortality rates in patients with anorexia nervosa and other eating disorders: a meta-analysis. Arch Gen Psychiatry 2011;68(7):724–731.</w:t>
      </w:r>
    </w:p>
    <w:p>
      <w:pPr>
        <w:pStyle w:val="Compact"/>
        <w:numPr>
          <w:ilvl w:val="0"/>
          <w:numId w:val="1707"/>
        </w:numPr>
      </w:pPr>
      <w:r>
        <w:t xml:space="preserve">Attia E. et al. Olanzapine versus placebo in adult outpatients with anorexia nervosa. Am J Psychiatry 2019;176(6):449–456.</w:t>
      </w:r>
    </w:p>
    <w:p>
      <w:pPr>
        <w:pStyle w:val="Compact"/>
        <w:numPr>
          <w:ilvl w:val="0"/>
          <w:numId w:val="1707"/>
        </w:numPr>
      </w:pPr>
      <w:r>
        <w:t xml:space="preserve">Smink F.R., van Hoeken D., Hoek H.W. Epidemiology of eating disorders. Curr Psychiatry Rep 2012;14(4):406–414.</w:t>
      </w:r>
    </w:p>
    <w:p>
      <w:pPr>
        <w:pStyle w:val="Compact"/>
        <w:numPr>
          <w:ilvl w:val="0"/>
          <w:numId w:val="1707"/>
        </w:numPr>
      </w:pPr>
      <w:r>
        <w:t xml:space="preserve">Lock J., Le Grange D. Treatment Manual for Anorexia Nervosa: A Family-Based Approach. 2nd ed. New York: Guilford Press, 2013.</w:t>
      </w:r>
    </w:p>
    <w:p>
      <w:pPr>
        <w:pStyle w:val="Compact"/>
        <w:numPr>
          <w:ilvl w:val="0"/>
          <w:numId w:val="1707"/>
        </w:numPr>
      </w:pPr>
      <w:r>
        <w:t xml:space="preserve">Schmidt U., Treasure J. Anorexia nervosa: valued and visible. A cognitive-interpersonal maintenance model. Br J Clin Psychol 2006;45(3):343–366.</w:t>
      </w:r>
    </w:p>
    <w:p>
      <w:pPr>
        <w:pStyle w:val="Compact"/>
        <w:numPr>
          <w:ilvl w:val="0"/>
          <w:numId w:val="1707"/>
        </w:numPr>
      </w:pPr>
      <w:r>
        <w:t xml:space="preserve">Bulik C.M., Sullivan P.F., Tozzi F. et al. Prevalence, heritability, and prospective risk factors for anorexia nervosa. Arch Gen Psychiatry 2006;63(3):305–312.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43" w:name="m576b81-bulimia-nervosa"/>
            <w:r>
              <w:t xml:space="preserve">6B81 BULIMIA NERVOSA</w:t>
            </w:r>
            <w:bookmarkEnd w:id="1443"/>
          </w:p>
          <w:p>
            <w:pPr>
              <w:pStyle w:val="Compact"/>
              <w:ind w:firstLine="0" w:left="0"/>
            </w:pPr>
            <w:r>
              <w:rPr>
                <w:lang w:val="en"/>
              </w:rPr>
              <w:t xml:space="preserve">Bulimia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Bulimia nervosa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Bulimia Nervosa</w:t>
            </w:r>
          </w:p>
        </w:tc>
      </w:tr>
    </w:tbl>
    <w:bookmarkStart w:id="1444" w:name="Xd3724190add17d3b344915adfdc45df9caa5c22"/>
    <w:p>
      <w:pPr>
        <w:pStyle w:val="Heading3"/>
      </w:pPr>
      <w:r>
        <w:t xml:space="preserve">1. Definition and nosology</w:t>
      </w:r>
    </w:p>
    <w:p>
      <w:pPr>
        <w:pStyle w:val="FirstParagraph"/>
      </w:pPr>
      <w:r>
        <w:t xml:space="preserve">Bulimia Nervosa (ICD-11:</w:t>
      </w:r>
      <w:r>
        <w:t xml:space="preserve"> </w:t>
      </w:r>
      <w:r>
        <w:t xml:space="preserve">6B81</w:t>
      </w:r>
      <w:r>
        <w:t xml:space="preserve">; DSM-5-TR: F50.2) — an eating disorder characterized by recurrent episodes of binge eating (large amount of food in a short period + sense of loss of control) and compensatory behaviors (vomiting, laxatives, exercise, fasting). Unlike anorexia, weight is typically normal or overweight.</w:t>
      </w:r>
    </w:p>
    <w:bookmarkEnd w:id="1444"/>
    <w:bookmarkStart w:id="1445" w:name="X5560ef59ce4a94233ba14b3d62d4cfab48fb6f2"/>
    <w:p>
      <w:pPr>
        <w:pStyle w:val="Heading3"/>
      </w:pPr>
      <w:r>
        <w:t xml:space="preserve">2. History</w:t>
      </w:r>
    </w:p>
    <w:p>
      <w:pPr>
        <w:pStyle w:val="Compact"/>
        <w:numPr>
          <w:ilvl w:val="0"/>
          <w:numId w:val="1708"/>
        </w:numPr>
      </w:pPr>
      <w:r>
        <w:t xml:space="preserve">Russell G.F. (1979) — term ‘bulimia nervosa’ and first clinical description.</w:t>
      </w:r>
    </w:p>
    <w:p>
      <w:pPr>
        <w:pStyle w:val="Compact"/>
        <w:numPr>
          <w:ilvl w:val="0"/>
          <w:numId w:val="1708"/>
        </w:numPr>
      </w:pPr>
      <w:r>
        <w:t xml:space="preserve">DSM-III (1980) — Official diagnosis.</w:t>
      </w:r>
    </w:p>
    <w:p>
      <w:pPr>
        <w:pStyle w:val="Compact"/>
        <w:numPr>
          <w:ilvl w:val="0"/>
          <w:numId w:val="1708"/>
        </w:numPr>
      </w:pPr>
      <w:r>
        <w:t xml:space="preserve">DSM-5 (2013) — frequency criterion reduced to once per week (2 times in DSM-IV).</w:t>
      </w:r>
    </w:p>
    <w:bookmarkEnd w:id="1445"/>
    <w:bookmarkStart w:id="1446" w:name="X9947e4b2c0942da628e6fc185449d269876e2a1"/>
    <w:p>
      <w:pPr>
        <w:pStyle w:val="Heading3"/>
      </w:pPr>
      <w:r>
        <w:t xml:space="preserve">3. Epidemiology</w:t>
      </w:r>
    </w:p>
    <w:p>
      <w:pPr>
        <w:pStyle w:val="Compact"/>
        <w:numPr>
          <w:ilvl w:val="0"/>
          <w:numId w:val="1709"/>
        </w:numPr>
      </w:pPr>
      <w:r>
        <w:t xml:space="preserve">Lifetime prevalence: in females 1.5–3%, in males 0.5%.</w:t>
      </w:r>
    </w:p>
    <w:p>
      <w:pPr>
        <w:pStyle w:val="Compact"/>
        <w:numPr>
          <w:ilvl w:val="0"/>
          <w:numId w:val="1709"/>
        </w:numPr>
      </w:pPr>
      <w:r>
        <w:t xml:space="preserve">Onset: adolescence and early adulthood.</w:t>
      </w:r>
    </w:p>
    <w:p>
      <w:pPr>
        <w:pStyle w:val="Compact"/>
        <w:numPr>
          <w:ilvl w:val="0"/>
          <w:numId w:val="1709"/>
        </w:numPr>
      </w:pPr>
      <w:r>
        <w:t xml:space="preserve">Comorbidity: MDD ~70%, anxiety, substance use, BPD, history of anorexia.</w:t>
      </w:r>
    </w:p>
    <w:p>
      <w:pPr>
        <w:pStyle w:val="Compact"/>
        <w:numPr>
          <w:ilvl w:val="0"/>
          <w:numId w:val="1709"/>
        </w:numPr>
      </w:pPr>
      <w:r>
        <w:t xml:space="preserve">Suicide risk high.</w:t>
      </w:r>
    </w:p>
    <w:bookmarkEnd w:id="1446"/>
    <w:bookmarkStart w:id="1447" w:name="X8104d2da4622af81f523df02949c498f9d7c7d6"/>
    <w:p>
      <w:pPr>
        <w:pStyle w:val="Heading3"/>
      </w:pPr>
      <w:r>
        <w:t xml:space="preserve">4. Aetiology and pathogenesis</w:t>
      </w:r>
    </w:p>
    <w:p>
      <w:pPr>
        <w:pStyle w:val="Compact"/>
        <w:numPr>
          <w:ilvl w:val="0"/>
          <w:numId w:val="1710"/>
        </w:numPr>
      </w:pPr>
      <w:r>
        <w:t xml:space="preserve">Heritability 50–60%.</w:t>
      </w:r>
    </w:p>
    <w:p>
      <w:pPr>
        <w:pStyle w:val="Compact"/>
        <w:numPr>
          <w:ilvl w:val="0"/>
          <w:numId w:val="1710"/>
        </w:numPr>
      </w:pPr>
      <w:r>
        <w:t xml:space="preserve">Neurobiological — serotonergic dysregulation, dopamine reward system.</w:t>
      </w:r>
    </w:p>
    <w:p>
      <w:pPr>
        <w:pStyle w:val="Compact"/>
        <w:numPr>
          <w:ilvl w:val="0"/>
          <w:numId w:val="1710"/>
        </w:numPr>
      </w:pPr>
      <w:r>
        <w:t xml:space="preserve">Social-cultural — thinness ideal, dietary history.</w:t>
      </w:r>
    </w:p>
    <w:p>
      <w:pPr>
        <w:pStyle w:val="Compact"/>
        <w:numPr>
          <w:ilvl w:val="0"/>
          <w:numId w:val="1710"/>
        </w:numPr>
      </w:pPr>
      <w:r>
        <w:t xml:space="preserve">Personality — impulsivity, perfectionism, low self-esteem.</w:t>
      </w:r>
    </w:p>
    <w:bookmarkEnd w:id="1447"/>
    <w:bookmarkStart w:id="1448" w:name="Xf88cc6c362ea7406d89f85c81b0307993bbd64a"/>
    <w:p>
      <w:pPr>
        <w:pStyle w:val="Heading3"/>
      </w:pPr>
      <w:r>
        <w:t xml:space="preserve">5. Clinical features</w:t>
      </w:r>
    </w:p>
    <w:p>
      <w:pPr>
        <w:pStyle w:val="Compact"/>
        <w:numPr>
          <w:ilvl w:val="0"/>
          <w:numId w:val="1711"/>
        </w:numPr>
      </w:pPr>
      <w:r>
        <w:t xml:space="preserve">Binge eating episodes — loss of control, secretive.</w:t>
      </w:r>
    </w:p>
    <w:p>
      <w:pPr>
        <w:pStyle w:val="Compact"/>
        <w:numPr>
          <w:ilvl w:val="0"/>
          <w:numId w:val="1711"/>
        </w:numPr>
      </w:pPr>
      <w:r>
        <w:t xml:space="preserve">Compensatory behaviors:</w:t>
      </w:r>
    </w:p>
    <w:p>
      <w:pPr>
        <w:pStyle w:val="Compact"/>
        <w:numPr>
          <w:ilvl w:val="1"/>
          <w:numId w:val="1712"/>
        </w:numPr>
      </w:pPr>
      <w:r>
        <w:t xml:space="preserve">Purging — self-induced vomiting, laxatives, diuretics;</w:t>
      </w:r>
    </w:p>
    <w:p>
      <w:pPr>
        <w:pStyle w:val="Compact"/>
        <w:numPr>
          <w:ilvl w:val="1"/>
          <w:numId w:val="1712"/>
        </w:numPr>
      </w:pPr>
      <w:r>
        <w:t xml:space="preserve">Non-purging — fasting, excessive exercise.</w:t>
      </w:r>
    </w:p>
    <w:p>
      <w:pPr>
        <w:pStyle w:val="Compact"/>
        <w:numPr>
          <w:ilvl w:val="0"/>
          <w:numId w:val="1711"/>
        </w:numPr>
      </w:pPr>
      <w:r>
        <w:t xml:space="preserve">Body image and weight preoccupation.</w:t>
      </w:r>
    </w:p>
    <w:p>
      <w:pPr>
        <w:pStyle w:val="Compact"/>
        <w:numPr>
          <w:ilvl w:val="0"/>
          <w:numId w:val="1711"/>
        </w:numPr>
      </w:pPr>
      <w:r>
        <w:t xml:space="preserve">Medical complications: hypokalemia (vomiting), Russell's sign (calluses on fingers), dental erosion, parotid hypertrophy, esophagitis, gastrointestinal issues.</w:t>
      </w:r>
    </w:p>
    <w:bookmarkEnd w:id="1448"/>
    <w:bookmarkStart w:id="1453" w:name="X4af73474f890c3f520c814189adaac917b3e679"/>
    <w:p>
      <w:pPr>
        <w:pStyle w:val="Heading3"/>
      </w:pPr>
      <w:r>
        <w:t xml:space="preserve">6. Diagnosis</w:t>
      </w:r>
    </w:p>
    <w:bookmarkStart w:id="1449" w:name="unified-diagnostic-criteria-25"/>
    <w:p>
      <w:pPr>
        <w:pStyle w:val="Heading4"/>
      </w:pPr>
      <w:r>
        <w:t xml:space="preserve">6.1 Unified diagnostic criteria</w:t>
      </w:r>
    </w:p>
    <w:p>
      <w:pPr>
        <w:pStyle w:val="FirstParagraph"/>
      </w:pPr>
      <w:r>
        <w:t xml:space="preserve">A. Repeated binge eating episodes — large amount of food in short period (≤ 2 hours) + feeling of loss of control.</w:t>
      </w:r>
    </w:p>
    <w:p>
      <w:pPr>
        <w:pStyle w:val="BodyText"/>
      </w:pPr>
      <w:r>
        <w:t xml:space="preserve">B. Recurrent inappropriate compensatory behaviors to prevent weight gain.</w:t>
      </w:r>
    </w:p>
    <w:p>
      <w:pPr>
        <w:pStyle w:val="BodyText"/>
      </w:pPr>
      <w:r>
        <w:t xml:space="preserve">C. Frequency: at least once weekly — DSM-5-TR requires ≥ 3 months, ICD-11 ≥ 1 month.</w:t>
      </w:r>
    </w:p>
    <w:p>
      <w:pPr>
        <w:pStyle w:val="BodyText"/>
      </w:pPr>
      <w:r>
        <w:t xml:space="preserve">D. Self-evaluation and excessive dependence on body shape.</w:t>
      </w:r>
    </w:p>
    <w:p>
      <w:pPr>
        <w:pStyle w:val="BodyText"/>
      </w:pPr>
      <w:r>
        <w:t xml:space="preserve">E. Does not occur in the context of an anorexia nervosa episode.</w:t>
      </w:r>
    </w:p>
    <w:bookmarkEnd w:id="1449"/>
    <w:bookmarkStart w:id="1450" w:name="differences-between-sources-79"/>
    <w:p>
      <w:pPr>
        <w:pStyle w:val="Heading4"/>
      </w:pPr>
      <w:r>
        <w:t xml:space="preserve">6.2 Differences between sources</w:t>
      </w:r>
    </w:p>
    <w:p>
      <w:pPr>
        <w:pStyle w:val="Compact"/>
        <w:numPr>
          <w:ilvl w:val="0"/>
          <w:numId w:val="1713"/>
        </w:numPr>
      </w:pPr>
      <w:r>
        <w:t xml:space="preserve">DSM-5-TR — severity based on episode frequency (mild 1–3, moderate 4–7, severe 8–13, extreme ≥14 per week).</w:t>
      </w:r>
    </w:p>
    <w:p>
      <w:pPr>
        <w:pStyle w:val="Compact"/>
        <w:numPr>
          <w:ilvl w:val="0"/>
          <w:numId w:val="1713"/>
        </w:numPr>
      </w:pPr>
      <w:r>
        <w:t xml:space="preserve">ICD-11 — criteria overlap, but the required duration differs: ICD-11 requires at least 1 month, DSM-5-TR 3 months; ‘atypical bulimia nervosa’ qualifier.</w:t>
      </w:r>
    </w:p>
    <w:p>
      <w:pPr>
        <w:pStyle w:val="Compact"/>
        <w:numPr>
          <w:ilvl w:val="0"/>
          <w:numId w:val="1713"/>
        </w:numPr>
      </w:pPr>
      <w:r>
        <w:t xml:space="preserve">NICE NG69 — diagnosis and treatment.</w:t>
      </w:r>
    </w:p>
    <w:bookmarkEnd w:id="1450"/>
    <w:bookmarkStart w:id="1451" w:name="diagnostic-algorithm-45"/>
    <w:p>
      <w:pPr>
        <w:pStyle w:val="Heading4"/>
      </w:pPr>
      <w:r>
        <w:t xml:space="preserve">6.3 Diagnostic algorithm</w:t>
      </w:r>
    </w:p>
    <w:p>
      <w:pPr>
        <w:pStyle w:val="Compact"/>
        <w:numPr>
          <w:ilvl w:val="0"/>
          <w:numId w:val="1714"/>
        </w:numPr>
      </w:pPr>
      <w:r>
        <w:t xml:space="preserve">Clinical interview.</w:t>
      </w:r>
    </w:p>
    <w:p>
      <w:pPr>
        <w:pStyle w:val="Compact"/>
        <w:numPr>
          <w:ilvl w:val="0"/>
          <w:numId w:val="1714"/>
        </w:numPr>
      </w:pPr>
      <w:r>
        <w:t xml:space="preserve">EDE-Q, EDE.</w:t>
      </w:r>
    </w:p>
    <w:p>
      <w:pPr>
        <w:pStyle w:val="Compact"/>
        <w:numPr>
          <w:ilvl w:val="0"/>
          <w:numId w:val="1714"/>
        </w:numPr>
      </w:pPr>
      <w:r>
        <w:t xml:space="preserve">Medical: electrolytes (K, P, Mg, Cl), liver, kidney, EKG (QTc).</w:t>
      </w:r>
    </w:p>
    <w:p>
      <w:pPr>
        <w:pStyle w:val="Compact"/>
        <w:numPr>
          <w:ilvl w:val="0"/>
          <w:numId w:val="1714"/>
        </w:numPr>
      </w:pPr>
      <w:r>
        <w:t xml:space="preserve">Dental examination (erosion).</w:t>
      </w:r>
    </w:p>
    <w:p>
      <w:pPr>
        <w:pStyle w:val="Compact"/>
        <w:numPr>
          <w:ilvl w:val="0"/>
          <w:numId w:val="1714"/>
        </w:numPr>
      </w:pPr>
      <w:r>
        <w:t xml:space="preserve">Comorbidity and suicide risk.</w:t>
      </w:r>
    </w:p>
    <w:bookmarkEnd w:id="1451"/>
    <w:bookmarkStart w:id="1452" w:name="differential-diagnosis-4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Nervosa, binge-eating/purging type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Significantly low weight.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compensatory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Nocturnal food intake predominates.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Hypersomnia + hyperphagia.</w:t>
            </w:r>
          </w:p>
        </w:tc>
      </w:tr>
    </w:tbl>
    <w:bookmarkEnd w:id="1452"/>
    <w:bookmarkEnd w:id="1453"/>
    <w:bookmarkStart w:id="1454" w:name="X7d7e8e9e98f1098c111e0924872668091f61bf6"/>
    <w:p>
      <w:pPr>
        <w:pStyle w:val="Heading3"/>
      </w:pPr>
      <w:r>
        <w:t xml:space="preserve">7. Examination and assessment</w:t>
      </w:r>
    </w:p>
    <w:p>
      <w:pPr>
        <w:pStyle w:val="Compact"/>
        <w:numPr>
          <w:ilvl w:val="0"/>
          <w:numId w:val="1715"/>
        </w:numPr>
      </w:pPr>
      <w:r>
        <w:t xml:space="preserve">EDE-Q.</w:t>
      </w:r>
    </w:p>
    <w:p>
      <w:pPr>
        <w:pStyle w:val="Compact"/>
        <w:numPr>
          <w:ilvl w:val="0"/>
          <w:numId w:val="1715"/>
        </w:numPr>
      </w:pPr>
      <w:r>
        <w:t xml:space="preserve">Medical: electrolytes, EKG, dental examination.</w:t>
      </w:r>
    </w:p>
    <w:p>
      <w:pPr>
        <w:pStyle w:val="Compact"/>
        <w:numPr>
          <w:ilvl w:val="0"/>
          <w:numId w:val="1715"/>
        </w:numPr>
      </w:pPr>
      <w:r>
        <w:t xml:space="preserve">C-SSRS.</w:t>
      </w:r>
    </w:p>
    <w:bookmarkEnd w:id="1454"/>
    <w:bookmarkStart w:id="1457" w:name="Xd745cd5e6c9185c6c22b694c4d5b6b517fc05db"/>
    <w:p>
      <w:pPr>
        <w:pStyle w:val="Heading3"/>
      </w:pPr>
      <w:r>
        <w:t xml:space="preserve">8. Treatment</w:t>
      </w:r>
    </w:p>
    <w:p>
      <w:pPr>
        <w:pStyle w:val="Compact"/>
        <w:numPr>
          <w:ilvl w:val="0"/>
          <w:numId w:val="1716"/>
        </w:numPr>
      </w:pPr>
      <w:r>
        <w:t xml:space="preserve">CBT-E first-line (Fairburn) — 20 sessions over 20 weeks; evidence: Fairburn C.G. et al. Am J Psychiatry 2009;166(3):311–319.</w:t>
      </w:r>
    </w:p>
    <w:p>
      <w:pPr>
        <w:pStyle w:val="Compact"/>
        <w:numPr>
          <w:ilvl w:val="0"/>
          <w:numId w:val="1716"/>
        </w:numPr>
      </w:pPr>
      <w:r>
        <w:t xml:space="preserve">Fluoxetine 60 mg/day — FDA approval for BN; reduces binge eating and purging.</w:t>
      </w:r>
    </w:p>
    <w:p>
      <w:pPr>
        <w:pStyle w:val="Compact"/>
        <w:numPr>
          <w:ilvl w:val="0"/>
          <w:numId w:val="1716"/>
        </w:numPr>
      </w:pPr>
      <w:r>
        <w:t xml:space="preserve">FBT (Lock J., Le Grange D.) — in adolescents.</w:t>
      </w:r>
    </w:p>
    <w:p>
      <w:pPr>
        <w:pStyle w:val="Compact"/>
        <w:numPr>
          <w:ilvl w:val="0"/>
          <w:numId w:val="1716"/>
        </w:numPr>
      </w:pPr>
      <w:r>
        <w:t xml:space="preserve">IPT alternative.</w:t>
      </w:r>
    </w:p>
    <w:p>
      <w:pPr>
        <w:pStyle w:val="Compact"/>
        <w:numPr>
          <w:ilvl w:val="0"/>
          <w:numId w:val="1716"/>
        </w:numPr>
      </w:pPr>
      <w:r>
        <w:t xml:space="preserve">Medical: electrolyte correction, refeeding, dental care.</w:t>
      </w:r>
    </w:p>
    <w:p>
      <w:pPr>
        <w:pStyle w:val="Compact"/>
        <w:numPr>
          <w:ilvl w:val="0"/>
          <w:numId w:val="1716"/>
        </w:numPr>
      </w:pPr>
      <w:r>
        <w:t xml:space="preserve">Bupropion is contraindicated (seizure risk).</w:t>
      </w:r>
    </w:p>
    <w:bookmarkStart w:id="1455" w:name="treatment-methods-44"/>
    <w:p>
      <w:pPr>
        <w:pStyle w:val="Heading4"/>
      </w:pPr>
      <w:r>
        <w:t xml:space="preserve">8.1 Treatment methods</w:t>
      </w:r>
    </w:p>
    <w:p>
      <w:pPr>
        <w:pStyle w:val="Compact"/>
        <w:numPr>
          <w:ilvl w:val="0"/>
          <w:numId w:val="1717"/>
        </w:numPr>
      </w:pPr>
      <w:r>
        <w:t xml:space="preserve">CBT-E (Fairburn) — 20 sessions; transdiagnostic; disruption of binge-purge cycle.</w:t>
      </w:r>
    </w:p>
    <w:p>
      <w:pPr>
        <w:pStyle w:val="Compact"/>
        <w:numPr>
          <w:ilvl w:val="0"/>
          <w:numId w:val="1717"/>
        </w:numPr>
      </w:pPr>
      <w:r>
        <w:t xml:space="preserve">FBT for BN — Adapted for adolescents.</w:t>
      </w:r>
    </w:p>
    <w:p>
      <w:pPr>
        <w:pStyle w:val="Compact"/>
        <w:numPr>
          <w:ilvl w:val="0"/>
          <w:numId w:val="1717"/>
        </w:numPr>
      </w:pPr>
      <w:r>
        <w:t xml:space="preserve">Interpersonal Therapy (IPT) — Alternative; slow response, but sustained effect.</w:t>
      </w:r>
    </w:p>
    <w:bookmarkEnd w:id="1455"/>
    <w:bookmarkStart w:id="1456" w:name="differences-between-sources-80"/>
    <w:p>
      <w:pPr>
        <w:pStyle w:val="Heading4"/>
      </w:pPr>
      <w:r>
        <w:t xml:space="preserve">8.2 Differences between sources</w:t>
      </w:r>
    </w:p>
    <w:p>
      <w:pPr>
        <w:pStyle w:val="Compact"/>
        <w:numPr>
          <w:ilvl w:val="0"/>
          <w:numId w:val="1718"/>
        </w:numPr>
      </w:pPr>
      <w:r>
        <w:t xml:space="preserve">NICE NG69 — CBT-E first-line; FBT in adolescents.</w:t>
      </w:r>
    </w:p>
    <w:p>
      <w:pPr>
        <w:pStyle w:val="Compact"/>
        <w:numPr>
          <w:ilvl w:val="0"/>
          <w:numId w:val="1718"/>
        </w:numPr>
      </w:pPr>
      <w:r>
        <w:t xml:space="preserve">APA 2023.</w:t>
      </w:r>
    </w:p>
    <w:bookmarkEnd w:id="1456"/>
    <w:bookmarkEnd w:id="1457"/>
    <w:bookmarkStart w:id="1458" w:name="X36ca2ab839a236e44112a07a27154defbce53b0"/>
    <w:p>
      <w:pPr>
        <w:pStyle w:val="Heading3"/>
      </w:pPr>
      <w:r>
        <w:t xml:space="preserve">9. Prognosis</w:t>
      </w:r>
    </w:p>
    <w:p>
      <w:pPr>
        <w:pStyle w:val="Compact"/>
        <w:numPr>
          <w:ilvl w:val="0"/>
          <w:numId w:val="1719"/>
        </w:numPr>
      </w:pPr>
      <w:r>
        <w:t xml:space="preserve">50–70% remission with CBT-E; long-term follow-up is essential.</w:t>
      </w:r>
    </w:p>
    <w:bookmarkEnd w:id="1458"/>
    <w:bookmarkStart w:id="1464" w:name="X9a66ffa57451db92064618501ad405a16a8959e"/>
    <w:p>
      <w:pPr>
        <w:pStyle w:val="Heading3"/>
      </w:pPr>
      <w:r>
        <w:t xml:space="preserve">10. Myths and misconceptions</w:t>
      </w:r>
    </w:p>
    <w:bookmarkStart w:id="1459" w:name="myth-1-bulimia-is-a-diet-failure"/>
    <w:p>
      <w:pPr>
        <w:pStyle w:val="Heading5"/>
      </w:pPr>
      <w:r>
        <w:t xml:space="preserve">Myth 1: “Bulimia is a ‘diet failure’”</w:t>
      </w:r>
    </w:p>
    <w:p>
      <w:pPr>
        <w:pStyle w:val="FirstParagraph"/>
      </w:pPr>
      <w:r>
        <w:t xml:space="preserve">Evidence: Clinical impairment; restrictive diet is a typical trigger.</w:t>
      </w:r>
    </w:p>
    <w:bookmarkEnd w:id="1459"/>
    <w:bookmarkStart w:id="1460" w:name="Xf63149d7ee1256c2bfdba79df9155e4cf78e1e5"/>
    <w:p>
      <w:pPr>
        <w:pStyle w:val="Heading5"/>
      </w:pPr>
      <w:r>
        <w:t xml:space="preserve">Myth 2: “Vomiting is an effective weight loss method”</w:t>
      </w:r>
    </w:p>
    <w:p>
      <w:pPr>
        <w:pStyle w:val="FirstParagraph"/>
      </w:pPr>
      <w:r>
        <w:t xml:space="preserve">Evidence: Vomiting prevents only 30–50% of calorie absorption; serious medical complications.</w:t>
      </w:r>
    </w:p>
    <w:bookmarkEnd w:id="1460"/>
    <w:bookmarkStart w:id="1461" w:name="X011b59e600a4f09baf35d133af86efa7940faef"/>
    <w:p>
      <w:pPr>
        <w:pStyle w:val="Heading5"/>
      </w:pPr>
      <w:r>
        <w:t xml:space="preserve">Myth 3: “Bupropion can be used as an antidepressant in BN”</w:t>
      </w:r>
    </w:p>
    <w:p>
      <w:pPr>
        <w:pStyle w:val="FirstParagraph"/>
      </w:pPr>
      <w:r>
        <w:t xml:space="preserve">Evidence: bupropion in BN is contraindicated — seizure risk is high.</w:t>
      </w:r>
    </w:p>
    <w:bookmarkEnd w:id="1461"/>
    <w:bookmarkStart w:id="1462" w:name="X7b58eda1deac4e65f1dc862e725c2de579c92aa"/>
    <w:p>
      <w:pPr>
        <w:pStyle w:val="Heading5"/>
      </w:pPr>
      <w:r>
        <w:t xml:space="preserve">Myth 4: “BN is not a problem if weight is normal”</w:t>
      </w:r>
    </w:p>
    <w:p>
      <w:pPr>
        <w:pStyle w:val="FirstParagraph"/>
      </w:pPr>
      <w:r>
        <w:t xml:space="preserve">Evidence: Medical complications (electrolytic, cardiac) and psychiatric burden are significant.</w:t>
      </w:r>
    </w:p>
    <w:bookmarkEnd w:id="1462"/>
    <w:bookmarkStart w:id="1463" w:name="X5b42d8573041d60d61df56d0fedd001e15379b7"/>
    <w:p>
      <w:pPr>
        <w:pStyle w:val="Heading5"/>
      </w:pPr>
      <w:r>
        <w:t xml:space="preserve">Myth 5: “Only antidepressants are sufficient”</w:t>
      </w:r>
    </w:p>
    <w:p>
      <w:pPr>
        <w:pStyle w:val="FirstParagraph"/>
      </w:pPr>
      <w:r>
        <w:t xml:space="preserve">Evidence: CBT-E + pharmacotherapy combination superior.</w:t>
      </w:r>
    </w:p>
    <w:bookmarkEnd w:id="1463"/>
    <w:bookmarkEnd w:id="1464"/>
    <w:bookmarkStart w:id="2963" w:name="X614417d739e587356a5e911452bef79d74142eb"/>
    <w:p>
      <w:pPr>
        <w:pStyle w:val="Heading3"/>
      </w:pPr>
      <w:r>
        <w:t xml:space="preserve">11. Sources</w:t>
      </w:r>
    </w:p>
    <w:p>
      <w:pPr>
        <w:pStyle w:val="Compact"/>
        <w:numPr>
          <w:ilvl w:val="0"/>
          <w:numId w:val="1720"/>
        </w:numPr>
      </w:pPr>
      <w:r>
        <w:t xml:space="preserve">WHO. ICD-11. 6B81 Bulimia Nervosa. 2024.</w:t>
      </w:r>
    </w:p>
    <w:p>
      <w:pPr>
        <w:pStyle w:val="Compact"/>
        <w:numPr>
          <w:ilvl w:val="0"/>
          <w:numId w:val="1720"/>
        </w:numPr>
      </w:pPr>
      <w:r>
        <w:t xml:space="preserve">APA. DSM-5-TR. 2022.</w:t>
      </w:r>
    </w:p>
    <w:p>
      <w:pPr>
        <w:pStyle w:val="Compact"/>
        <w:numPr>
          <w:ilvl w:val="0"/>
          <w:numId w:val="1720"/>
        </w:numPr>
      </w:pPr>
      <w:r>
        <w:t xml:space="preserve">NICE NG69. 2017/2020.</w:t>
      </w:r>
    </w:p>
    <w:p>
      <w:pPr>
        <w:pStyle w:val="Compact"/>
        <w:numPr>
          <w:ilvl w:val="0"/>
          <w:numId w:val="1720"/>
        </w:numPr>
      </w:pPr>
      <w:r>
        <w:t xml:space="preserve">APA. Practice Guideline for Eating Disorders, 4th ed. 2023.</w:t>
      </w:r>
    </w:p>
    <w:p>
      <w:pPr>
        <w:pStyle w:val="Compact"/>
        <w:numPr>
          <w:ilvl w:val="0"/>
          <w:numId w:val="1720"/>
        </w:numPr>
      </w:pPr>
      <w:r>
        <w:t xml:space="preserve">Fairburn C.G. Cognitive Behavior Therapy and Eating Disorders. Guilford Press; 2008.</w:t>
      </w:r>
    </w:p>
    <w:p>
      <w:pPr>
        <w:pStyle w:val="Compact"/>
        <w:numPr>
          <w:ilvl w:val="0"/>
          <w:numId w:val="1720"/>
        </w:numPr>
      </w:pPr>
      <w:r>
        <w:t xml:space="preserve">Russell G. Bulimia nervosa: an ominous variant of anorexia nervosa. Psychol Med 1979;9(3):429–448.</w:t>
      </w:r>
    </w:p>
    <w:p>
      <w:pPr>
        <w:pStyle w:val="Compact"/>
        <w:numPr>
          <w:ilvl w:val="0"/>
          <w:numId w:val="1720"/>
        </w:numPr>
      </w:pPr>
      <w:r>
        <w:t xml:space="preserve">Lock J., Le Grange D. Treatment Manual for Anorexia Nervosa: A Family-Based Approach. 2nd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65" w:name="m586b82-binge-eating-disorder-bed"/>
            <w:r>
              <w:t xml:space="preserve">6B82 BINGE EATING DISORDER (BED)</w:t>
            </w:r>
            <w:bookmarkEnd w:id="1465"/>
          </w:p>
          <w:p>
            <w:pPr>
              <w:pStyle w:val="Compact"/>
              <w:ind w:firstLine="0" w:left="0"/>
            </w:pPr>
            <w:r>
              <w:rPr>
                <w:lang w:val="en"/>
              </w:rPr>
              <w:t xml:space="preserve">Binge eating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eating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Binge-Eating Disorder</w:t>
            </w:r>
          </w:p>
        </w:tc>
      </w:tr>
    </w:tbl>
    <w:bookmarkStart w:id="1466" w:name="Xe6aebd8153854a577fbe1e44c21969976f2119e"/>
    <w:p>
      <w:pPr>
        <w:pStyle w:val="Heading3"/>
      </w:pPr>
      <w:r>
        <w:t xml:space="preserve">1. Definition and nosology</w:t>
      </w:r>
    </w:p>
    <w:p>
      <w:pPr>
        <w:pStyle w:val="FirstParagraph"/>
      </w:pPr>
      <w:r>
        <w:t xml:space="preserve">Binge-Eating Disorder (BED) (ICD-11:</w:t>
      </w:r>
      <w:r>
        <w:t xml:space="preserve"> </w:t>
      </w:r>
      <w:r>
        <w:t xml:space="preserve">6B82</w:t>
      </w:r>
      <w:r>
        <w:t xml:space="preserve">; DSM-5-TR: F50.81) — recurrent episodes of binge eating (large amount of food in a short period + sense of loss of control), without compensatory behaviors. Typically, weight is increased and associated with obesity.</w:t>
      </w:r>
    </w:p>
    <w:bookmarkEnd w:id="1466"/>
    <w:bookmarkStart w:id="1467" w:name="Xc1918b90a472b25f6bfd738bf5ecb88180c2192"/>
    <w:p>
      <w:pPr>
        <w:pStyle w:val="Heading3"/>
      </w:pPr>
      <w:r>
        <w:t xml:space="preserve">2. History</w:t>
      </w:r>
    </w:p>
    <w:p>
      <w:pPr>
        <w:pStyle w:val="Compact"/>
        <w:numPr>
          <w:ilvl w:val="0"/>
          <w:numId w:val="1721"/>
        </w:numPr>
      </w:pPr>
      <w:r>
        <w:t xml:space="preserve">Stunkard A.J. (1959) — description of binge eating in the context of obesity.</w:t>
      </w:r>
    </w:p>
    <w:p>
      <w:pPr>
        <w:pStyle w:val="Compact"/>
        <w:numPr>
          <w:ilvl w:val="0"/>
          <w:numId w:val="1721"/>
        </w:numPr>
      </w:pPr>
      <w:r>
        <w:t xml:space="preserve">DSM-IV (1994) — In the research category.</w:t>
      </w:r>
    </w:p>
    <w:p>
      <w:pPr>
        <w:pStyle w:val="Compact"/>
        <w:numPr>
          <w:ilvl w:val="0"/>
          <w:numId w:val="1721"/>
        </w:numPr>
      </w:pPr>
      <w:r>
        <w:t xml:space="preserve">DSM-5 (2013) — separate official diagnosis.</w:t>
      </w:r>
    </w:p>
    <w:bookmarkEnd w:id="1467"/>
    <w:bookmarkStart w:id="1468" w:name="X33f644e3060cae3e9b963d9c49304f34decc631"/>
    <w:p>
      <w:pPr>
        <w:pStyle w:val="Heading3"/>
      </w:pPr>
      <w:r>
        <w:t xml:space="preserve">3. Epidemiology</w:t>
      </w:r>
    </w:p>
    <w:p>
      <w:pPr>
        <w:pStyle w:val="Compact"/>
        <w:numPr>
          <w:ilvl w:val="0"/>
          <w:numId w:val="1722"/>
        </w:numPr>
      </w:pPr>
      <w:r>
        <w:t xml:space="preserve">Lifetime prevalence: 1.9–3.5%; most common among eating disorders.</w:t>
      </w:r>
    </w:p>
    <w:p>
      <w:pPr>
        <w:pStyle w:val="Compact"/>
        <w:numPr>
          <w:ilvl w:val="0"/>
          <w:numId w:val="1722"/>
        </w:numPr>
      </w:pPr>
      <w:r>
        <w:t xml:space="preserve">Sex: 1.5–2:1 in females; but also significant in males.</w:t>
      </w:r>
    </w:p>
    <w:p>
      <w:pPr>
        <w:pStyle w:val="Compact"/>
        <w:numPr>
          <w:ilvl w:val="0"/>
          <w:numId w:val="1722"/>
        </w:numPr>
      </w:pPr>
      <w:r>
        <w:t xml:space="preserve">Strong association with obesity.</w:t>
      </w:r>
    </w:p>
    <w:p>
      <w:pPr>
        <w:pStyle w:val="Compact"/>
        <w:numPr>
          <w:ilvl w:val="0"/>
          <w:numId w:val="1722"/>
        </w:numPr>
      </w:pPr>
      <w:r>
        <w:t xml:space="preserve">Comorbidity: MDD, anxiety, BPD, substance use.</w:t>
      </w:r>
    </w:p>
    <w:bookmarkEnd w:id="1468"/>
    <w:bookmarkStart w:id="1469" w:name="Xcec456af39e89bb61342ce2a478c1169771b8ba"/>
    <w:p>
      <w:pPr>
        <w:pStyle w:val="Heading3"/>
      </w:pPr>
      <w:r>
        <w:t xml:space="preserve">4. Aetiology and pathogenesis</w:t>
      </w:r>
    </w:p>
    <w:p>
      <w:pPr>
        <w:pStyle w:val="Compact"/>
        <w:numPr>
          <w:ilvl w:val="0"/>
          <w:numId w:val="1723"/>
        </w:numPr>
      </w:pPr>
      <w:r>
        <w:t xml:space="preserve">Heritability 40–50%.</w:t>
      </w:r>
    </w:p>
    <w:p>
      <w:pPr>
        <w:pStyle w:val="Compact"/>
        <w:numPr>
          <w:ilvl w:val="0"/>
          <w:numId w:val="1723"/>
        </w:numPr>
      </w:pPr>
      <w:r>
        <w:t xml:space="preserve">Neurobiological — reward circuit dysregulation; ‘food addiction’ hypothesis.</w:t>
      </w:r>
    </w:p>
    <w:p>
      <w:pPr>
        <w:pStyle w:val="Compact"/>
        <w:numPr>
          <w:ilvl w:val="0"/>
          <w:numId w:val="1723"/>
        </w:numPr>
      </w:pPr>
      <w:r>
        <w:t xml:space="preserve">Emotional eating — stress trigger.</w:t>
      </w:r>
    </w:p>
    <w:p>
      <w:pPr>
        <w:pStyle w:val="Compact"/>
        <w:numPr>
          <w:ilvl w:val="0"/>
          <w:numId w:val="1723"/>
        </w:numPr>
      </w:pPr>
      <w:r>
        <w:t xml:space="preserve">History of restrictive diet.</w:t>
      </w:r>
    </w:p>
    <w:bookmarkEnd w:id="1469"/>
    <w:bookmarkStart w:id="1470" w:name="X135dfe9588923cfa9ec53758e1c5bc01b52f1e4"/>
    <w:p>
      <w:pPr>
        <w:pStyle w:val="Heading3"/>
      </w:pPr>
      <w:r>
        <w:t xml:space="preserve">5. Clinical features</w:t>
      </w:r>
    </w:p>
    <w:p>
      <w:pPr>
        <w:pStyle w:val="Compact"/>
        <w:numPr>
          <w:ilvl w:val="0"/>
          <w:numId w:val="1724"/>
        </w:numPr>
      </w:pPr>
      <w:r>
        <w:t xml:space="preserve">Binge eating episodes — large amount of food in short time, loss of control.</w:t>
      </w:r>
    </w:p>
    <w:p>
      <w:pPr>
        <w:pStyle w:val="Compact"/>
        <w:numPr>
          <w:ilvl w:val="0"/>
          <w:numId w:val="1724"/>
        </w:numPr>
      </w:pPr>
      <w:r>
        <w:t xml:space="preserve">Typical features: rapid eating, continuing despite fullness, secretive eating, subsequent shame, guilt.</w:t>
      </w:r>
    </w:p>
    <w:p>
      <w:pPr>
        <w:pStyle w:val="Compact"/>
        <w:numPr>
          <w:ilvl w:val="0"/>
          <w:numId w:val="1724"/>
        </w:numPr>
      </w:pPr>
      <w:r>
        <w:t xml:space="preserve">No compensatory behavior.</w:t>
      </w:r>
    </w:p>
    <w:p>
      <w:pPr>
        <w:pStyle w:val="Compact"/>
        <w:numPr>
          <w:ilvl w:val="0"/>
          <w:numId w:val="1724"/>
        </w:numPr>
      </w:pPr>
      <w:r>
        <w:t xml:space="preserve">Weight gain and obesity complications (Type 2 diabetes, cardiovascular, OSA).</w:t>
      </w:r>
    </w:p>
    <w:bookmarkEnd w:id="1470"/>
    <w:bookmarkStart w:id="1475" w:name="X6b116dbd254aef99d958188c62ce88a98bd13a3"/>
    <w:p>
      <w:pPr>
        <w:pStyle w:val="Heading3"/>
      </w:pPr>
      <w:r>
        <w:t xml:space="preserve">6. Diagnosis</w:t>
      </w:r>
    </w:p>
    <w:bookmarkStart w:id="1471" w:name="unified-diagnostic-criteria-26"/>
    <w:p>
      <w:pPr>
        <w:pStyle w:val="Heading4"/>
      </w:pPr>
      <w:r>
        <w:t xml:space="preserve">6.1 Unified diagnostic criteria</w:t>
      </w:r>
    </w:p>
    <w:p>
      <w:pPr>
        <w:pStyle w:val="FirstParagraph"/>
      </w:pPr>
      <w:r>
        <w:t xml:space="preserve">A. Repeated binge eating episodes.</w:t>
      </w:r>
    </w:p>
    <w:p>
      <w:pPr>
        <w:pStyle w:val="BodyText"/>
      </w:pPr>
      <w:r>
        <w:t xml:space="preserve">B. Episodes associated with at least ≥ 3 of the following:</w:t>
      </w:r>
    </w:p>
    <w:p>
      <w:pPr>
        <w:pStyle w:val="Compact"/>
        <w:numPr>
          <w:ilvl w:val="0"/>
          <w:numId w:val="1725"/>
        </w:numPr>
      </w:pPr>
      <w:r>
        <w:t xml:space="preserve">Rapid eating</w:t>
      </w:r>
    </w:p>
    <w:p>
      <w:pPr>
        <w:pStyle w:val="Compact"/>
        <w:numPr>
          <w:ilvl w:val="0"/>
          <w:numId w:val="1725"/>
        </w:numPr>
      </w:pPr>
      <w:r>
        <w:t xml:space="preserve">Eating until physically full;</w:t>
      </w:r>
    </w:p>
    <w:p>
      <w:pPr>
        <w:pStyle w:val="Compact"/>
        <w:numPr>
          <w:ilvl w:val="0"/>
          <w:numId w:val="1725"/>
        </w:numPr>
      </w:pPr>
      <w:r>
        <w:t xml:space="preserve">Binge eating without hunger;</w:t>
      </w:r>
    </w:p>
    <w:p>
      <w:pPr>
        <w:pStyle w:val="Compact"/>
        <w:numPr>
          <w:ilvl w:val="0"/>
          <w:numId w:val="1725"/>
        </w:numPr>
      </w:pPr>
      <w:r>
        <w:t xml:space="preserve">Secretive eating (due to shame);</w:t>
      </w:r>
    </w:p>
    <w:p>
      <w:pPr>
        <w:pStyle w:val="Compact"/>
        <w:numPr>
          <w:ilvl w:val="0"/>
          <w:numId w:val="1725"/>
        </w:numPr>
      </w:pPr>
      <w:r>
        <w:t xml:space="preserve">Feeling disgusted with oneself, depressed, or very guilty afterward.</w:t>
      </w:r>
    </w:p>
    <w:p>
      <w:pPr>
        <w:pStyle w:val="FirstParagraph"/>
      </w:pPr>
      <w:r>
        <w:t xml:space="preserve">C. Significant distress.</w:t>
      </w:r>
    </w:p>
    <w:p>
      <w:pPr>
        <w:pStyle w:val="BodyText"/>
      </w:pPr>
      <w:r>
        <w:t xml:space="preserve">D. Frequency: 1 time per week, ≥3 months.</w:t>
      </w:r>
    </w:p>
    <w:p>
      <w:pPr>
        <w:pStyle w:val="BodyText"/>
      </w:pPr>
      <w:r>
        <w:t xml:space="preserve">E. Does not occur in the context of bulimia or anorexia; no compensatory behavior.</w:t>
      </w:r>
    </w:p>
    <w:bookmarkEnd w:id="1471"/>
    <w:bookmarkStart w:id="1472" w:name="differences-between-sources-81"/>
    <w:p>
      <w:pPr>
        <w:pStyle w:val="Heading4"/>
      </w:pPr>
      <w:r>
        <w:t xml:space="preserve">6.2 Differences between sources</w:t>
      </w:r>
    </w:p>
    <w:p>
      <w:pPr>
        <w:pStyle w:val="Compact"/>
        <w:numPr>
          <w:ilvl w:val="0"/>
          <w:numId w:val="1726"/>
        </w:numPr>
      </w:pPr>
      <w:r>
        <w:t xml:space="preserve">DSM-5-TR — severity based on episode frequency.</w:t>
      </w:r>
    </w:p>
    <w:p>
      <w:pPr>
        <w:pStyle w:val="Compact"/>
        <w:numPr>
          <w:ilvl w:val="0"/>
          <w:numId w:val="1726"/>
        </w:numPr>
      </w:pPr>
      <w:r>
        <w:t xml:space="preserve">ICD-11 — no severity scale: DSM-5-TR grades by episode count (mild 1–3, moderate 4–7, severe 8–13, extreme ≥14 per week), whereas ICD-11 says only “once a week or more over a period of several months”.</w:t>
      </w:r>
    </w:p>
    <w:bookmarkEnd w:id="1472"/>
    <w:bookmarkStart w:id="1473" w:name="diagnostic-algorithm-46"/>
    <w:p>
      <w:pPr>
        <w:pStyle w:val="Heading4"/>
      </w:pPr>
      <w:r>
        <w:t xml:space="preserve">6.3 Diagnostic algorithm</w:t>
      </w:r>
    </w:p>
    <w:p>
      <w:pPr>
        <w:pStyle w:val="Compact"/>
        <w:numPr>
          <w:ilvl w:val="0"/>
          <w:numId w:val="1727"/>
        </w:numPr>
      </w:pPr>
      <w:r>
        <w:t xml:space="preserve">Clinical interview.</w:t>
      </w:r>
    </w:p>
    <w:p>
      <w:pPr>
        <w:pStyle w:val="Compact"/>
        <w:numPr>
          <w:ilvl w:val="0"/>
          <w:numId w:val="1727"/>
        </w:numPr>
      </w:pPr>
      <w:r>
        <w:t xml:space="preserve">EDE-Q.</w:t>
      </w:r>
    </w:p>
    <w:p>
      <w:pPr>
        <w:pStyle w:val="Compact"/>
        <w:numPr>
          <w:ilvl w:val="0"/>
          <w:numId w:val="1727"/>
        </w:numPr>
      </w:pPr>
      <w:r>
        <w:t xml:space="preserve">Medical assessment – metabolic syndrome screening (glucose, HbA1c, lipids, blood pressure).</w:t>
      </w:r>
    </w:p>
    <w:p>
      <w:pPr>
        <w:pStyle w:val="Compact"/>
        <w:numPr>
          <w:ilvl w:val="0"/>
          <w:numId w:val="1727"/>
        </w:numPr>
      </w:pPr>
      <w:r>
        <w:t xml:space="preserve">Comorbidity.</w:t>
      </w:r>
    </w:p>
    <w:bookmarkEnd w:id="1473"/>
    <w:bookmarkStart w:id="1474" w:name="differential-diagnosis-4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Compensatory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Obesity (without compulsive eating)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binge eating episode features.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Hyperphagia + hypersomnia.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Prader-Willi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Genetic; hyperphagia out of control.</w:t>
            </w:r>
          </w:p>
        </w:tc>
      </w:tr>
    </w:tbl>
    <w:bookmarkEnd w:id="1474"/>
    <w:bookmarkEnd w:id="1475"/>
    <w:bookmarkStart w:id="1476" w:name="X6e57364bfe91b16ab3436621e17941d2504a621"/>
    <w:p>
      <w:pPr>
        <w:pStyle w:val="Heading3"/>
      </w:pPr>
      <w:r>
        <w:t xml:space="preserve">7. Examination and assessment</w:t>
      </w:r>
    </w:p>
    <w:p>
      <w:pPr>
        <w:pStyle w:val="Compact"/>
        <w:numPr>
          <w:ilvl w:val="0"/>
          <w:numId w:val="1728"/>
        </w:numPr>
      </w:pPr>
      <w:r>
        <w:t xml:space="preserve">EDE-Q.</w:t>
      </w:r>
    </w:p>
    <w:p>
      <w:pPr>
        <w:pStyle w:val="Compact"/>
        <w:numPr>
          <w:ilvl w:val="0"/>
          <w:numId w:val="1728"/>
        </w:numPr>
      </w:pPr>
      <w:r>
        <w:t xml:space="preserve">BMI, weight, vital signs.</w:t>
      </w:r>
    </w:p>
    <w:p>
      <w:pPr>
        <w:pStyle w:val="Compact"/>
        <w:numPr>
          <w:ilvl w:val="0"/>
          <w:numId w:val="1728"/>
        </w:numPr>
      </w:pPr>
      <w:r>
        <w:t xml:space="preserve">Metabolic panel.</w:t>
      </w:r>
    </w:p>
    <w:bookmarkEnd w:id="1476"/>
    <w:bookmarkStart w:id="1479" w:name="X1882996f2836fca4eceb4b15dbaaecce2f40847"/>
    <w:p>
      <w:pPr>
        <w:pStyle w:val="Heading3"/>
      </w:pPr>
      <w:r>
        <w:t xml:space="preserve">8. Treatment</w:t>
      </w:r>
    </w:p>
    <w:p>
      <w:pPr>
        <w:pStyle w:val="Compact"/>
        <w:numPr>
          <w:ilvl w:val="0"/>
          <w:numId w:val="1729"/>
        </w:numPr>
      </w:pPr>
      <w:r>
        <w:t xml:space="preserve">CBT-E first-line — Wilson G.T. et al.'s meta-analysis indicated a significant effect in BED.</w:t>
      </w:r>
    </w:p>
    <w:p>
      <w:pPr>
        <w:pStyle w:val="Compact"/>
        <w:numPr>
          <w:ilvl w:val="0"/>
          <w:numId w:val="1729"/>
        </w:numPr>
      </w:pPr>
      <w:r>
        <w:t xml:space="preserve">Lisdexamfetamine (Vyvanse) 50–70 mg/day — FDA approval for BED; significantly reduces binge-eating frequency (McElroy S.L. JAMA Psychiatry 2015).</w:t>
      </w:r>
    </w:p>
    <w:p>
      <w:pPr>
        <w:pStyle w:val="Compact"/>
        <w:numPr>
          <w:ilvl w:val="0"/>
          <w:numId w:val="1729"/>
        </w:numPr>
      </w:pPr>
      <w:r>
        <w:t xml:space="preserve">SSRI — for comorbid MDD; modest effect on binge eating frequency.</w:t>
      </w:r>
    </w:p>
    <w:p>
      <w:pPr>
        <w:pStyle w:val="Compact"/>
        <w:numPr>
          <w:ilvl w:val="0"/>
          <w:numId w:val="1729"/>
        </w:numPr>
      </w:pPr>
      <w:r>
        <w:t xml:space="preserve">IPT alternative.</w:t>
      </w:r>
    </w:p>
    <w:p>
      <w:pPr>
        <w:pStyle w:val="Compact"/>
        <w:numPr>
          <w:ilvl w:val="0"/>
          <w:numId w:val="1729"/>
        </w:numPr>
      </w:pPr>
      <w:r>
        <w:t xml:space="preserve">Weight management — diet, physical activity; weight loss is not effective without BED intervention.</w:t>
      </w:r>
    </w:p>
    <w:p>
      <w:pPr>
        <w:pStyle w:val="Compact"/>
        <w:numPr>
          <w:ilvl w:val="0"/>
          <w:numId w:val="1729"/>
        </w:numPr>
      </w:pPr>
      <w:r>
        <w:t xml:space="preserve">Bariatric surgery requires long-term follow-up (BED preoperative assessment).</w:t>
      </w:r>
    </w:p>
    <w:bookmarkStart w:id="1477" w:name="treatment-methods-45"/>
    <w:p>
      <w:pPr>
        <w:pStyle w:val="Heading4"/>
      </w:pPr>
      <w:r>
        <w:t xml:space="preserve">8.1 Treatment methods</w:t>
      </w:r>
    </w:p>
    <w:p>
      <w:pPr>
        <w:pStyle w:val="Compact"/>
        <w:numPr>
          <w:ilvl w:val="0"/>
          <w:numId w:val="1730"/>
        </w:numPr>
      </w:pPr>
      <w:r>
        <w:t xml:space="preserve">CBT-E for BED — Breaking binge chain, alternative coping.</w:t>
      </w:r>
    </w:p>
    <w:p>
      <w:pPr>
        <w:pStyle w:val="Compact"/>
        <w:numPr>
          <w:ilvl w:val="0"/>
          <w:numId w:val="1730"/>
        </w:numPr>
      </w:pPr>
      <w:r>
        <w:t xml:space="preserve">Lisdexamfetamine — FDA approval for BED; start 30 mg, target 50–70 mg/day.</w:t>
      </w:r>
    </w:p>
    <w:p>
      <w:pPr>
        <w:pStyle w:val="Compact"/>
        <w:numPr>
          <w:ilvl w:val="0"/>
          <w:numId w:val="1730"/>
        </w:numPr>
      </w:pPr>
      <w:r>
        <w:t xml:space="preserve">IPT — Focus on interpersonal issues.</w:t>
      </w:r>
    </w:p>
    <w:p>
      <w:pPr>
        <w:pStyle w:val="Compact"/>
        <w:numPr>
          <w:ilvl w:val="0"/>
          <w:numId w:val="1730"/>
        </w:numPr>
      </w:pPr>
      <w:r>
        <w:t xml:space="preserve">Guided Self-Help CBT (Guided Self-Help) — Internet-based, book-based.</w:t>
      </w:r>
    </w:p>
    <w:bookmarkEnd w:id="1477"/>
    <w:bookmarkStart w:id="1478" w:name="differences-between-sources-82"/>
    <w:p>
      <w:pPr>
        <w:pStyle w:val="Heading4"/>
      </w:pPr>
      <w:r>
        <w:t xml:space="preserve">8.2 Differences between sources</w:t>
      </w:r>
    </w:p>
    <w:p>
      <w:pPr>
        <w:pStyle w:val="Compact"/>
        <w:numPr>
          <w:ilvl w:val="0"/>
          <w:numId w:val="1731"/>
        </w:numPr>
      </w:pPr>
      <w:r>
        <w:t xml:space="preserve">NICE NG69 — CBT or guided self-help first-line.</w:t>
      </w:r>
    </w:p>
    <w:p>
      <w:pPr>
        <w:pStyle w:val="Compact"/>
        <w:numPr>
          <w:ilvl w:val="0"/>
          <w:numId w:val="1731"/>
        </w:numPr>
      </w:pPr>
      <w:r>
        <w:t xml:space="preserve">APA 2023.</w:t>
      </w:r>
    </w:p>
    <w:p>
      <w:pPr>
        <w:pStyle w:val="Compact"/>
        <w:numPr>
          <w:ilvl w:val="0"/>
          <w:numId w:val="1731"/>
        </w:numPr>
      </w:pPr>
      <w:r>
        <w:t xml:space="preserve">McElroy lisdexamfetamine RCTs.</w:t>
      </w:r>
    </w:p>
    <w:bookmarkEnd w:id="1478"/>
    <w:bookmarkEnd w:id="1479"/>
    <w:bookmarkStart w:id="1480" w:name="X8182f96f80389359beb10e45de1c8457c305ebd"/>
    <w:p>
      <w:pPr>
        <w:pStyle w:val="Heading3"/>
      </w:pPr>
      <w:r>
        <w:t xml:space="preserve">9. Prognosis</w:t>
      </w:r>
    </w:p>
    <w:p>
      <w:pPr>
        <w:pStyle w:val="Compact"/>
        <w:numPr>
          <w:ilvl w:val="0"/>
          <w:numId w:val="1732"/>
        </w:numPr>
      </w:pPr>
      <w:r>
        <w:t xml:space="preserve">50–60% remission with CBT-E.</w:t>
      </w:r>
    </w:p>
    <w:p>
      <w:pPr>
        <w:pStyle w:val="Compact"/>
        <w:numPr>
          <w:ilvl w:val="0"/>
          <w:numId w:val="1732"/>
        </w:numPr>
      </w:pPr>
      <w:r>
        <w:t xml:space="preserve">Weight management and metabolic complications require long-term monitoring.</w:t>
      </w:r>
    </w:p>
    <w:bookmarkEnd w:id="1480"/>
    <w:bookmarkStart w:id="1486" w:name="X5b16534fbb2c86e9126d316be566a890489d1ea"/>
    <w:p>
      <w:pPr>
        <w:pStyle w:val="Heading3"/>
      </w:pPr>
      <w:r>
        <w:t xml:space="preserve">10. Myths and misconceptions</w:t>
      </w:r>
    </w:p>
    <w:bookmarkStart w:id="1481" w:name="Xc8bf9e161a08d23e3b6e703bb3300444d929837"/>
    <w:p>
      <w:pPr>
        <w:pStyle w:val="Heading5"/>
      </w:pPr>
      <w:r>
        <w:t xml:space="preserve">Myth 1: “BED is just obesity or a ‘overeating’ personality trait”</w:t>
      </w:r>
    </w:p>
    <w:p>
      <w:pPr>
        <w:pStyle w:val="FirstParagraph"/>
      </w:pPr>
      <w:r>
        <w:t xml:space="preserve">Evidence: Clinical eating disorder; distinguishing features from binge eating episode (loss of control, shameful eating).</w:t>
      </w:r>
    </w:p>
    <w:bookmarkEnd w:id="1481"/>
    <w:bookmarkStart w:id="1482" w:name="myth-2-restrictive-diet-cures-bed"/>
    <w:p>
      <w:pPr>
        <w:pStyle w:val="Heading5"/>
      </w:pPr>
      <w:r>
        <w:t xml:space="preserve">Myth 2: “Restrictive diet cures BED”</w:t>
      </w:r>
    </w:p>
    <w:p>
      <w:pPr>
        <w:pStyle w:val="FirstParagraph"/>
      </w:pPr>
      <w:r>
        <w:t xml:space="preserve">Evidence: Restrictive diet triggers BED — weight control without psychological intervention increases binge eating.</w:t>
      </w:r>
    </w:p>
    <w:bookmarkEnd w:id="1482"/>
    <w:bookmarkStart w:id="1483" w:name="myth-3-bariatric-surgery-cures-bed"/>
    <w:p>
      <w:pPr>
        <w:pStyle w:val="Heading5"/>
      </w:pPr>
      <w:r>
        <w:t xml:space="preserve">Myth 3: “Bariatric surgery cures BED”</w:t>
      </w:r>
    </w:p>
    <w:p>
      <w:pPr>
        <w:pStyle w:val="FirstParagraph"/>
      </w:pPr>
      <w:r>
        <w:t xml:space="preserve">Evidence: Surgery reduces abdominal capacity but does not modify the cognitive-behavioral component; in some patients, a new pattern of “grazing” develops.</w:t>
      </w:r>
    </w:p>
    <w:bookmarkEnd w:id="1483"/>
    <w:bookmarkStart w:id="1484" w:name="X35a861634a6438418eb83a015abdd0775379f3a"/>
    <w:p>
      <w:pPr>
        <w:pStyle w:val="Heading5"/>
      </w:pPr>
      <w:r>
        <w:t xml:space="preserve">Myth 4: “Eating is an ‘addiction’ (food addiction), must be treated like drugs”</w:t>
      </w:r>
    </w:p>
    <w:p>
      <w:pPr>
        <w:pStyle w:val="FirstParagraph"/>
      </w:pPr>
      <w:r>
        <w:t xml:space="preserve">Evidence: “Food addiction” is a concept but not accepted as a clinical diagnosis; standard eating disorder interventions are superior.</w:t>
      </w:r>
    </w:p>
    <w:bookmarkEnd w:id="1484"/>
    <w:bookmarkStart w:id="1485" w:name="X811a97caf28c0cfe54779b14426c5ab3e8b78aa"/>
    <w:p>
      <w:pPr>
        <w:pStyle w:val="Heading5"/>
      </w:pPr>
      <w:r>
        <w:t xml:space="preserve">Myth 5: “BED only requires an antidepressant”</w:t>
      </w:r>
    </w:p>
    <w:p>
      <w:pPr>
        <w:pStyle w:val="FirstParagraph"/>
      </w:pPr>
      <w:r>
        <w:t xml:space="preserve">Evidence: lisdexamfetamine FDA approval for BED; CBT first-line.</w:t>
      </w:r>
    </w:p>
    <w:bookmarkEnd w:id="1485"/>
    <w:bookmarkEnd w:id="1486"/>
    <w:bookmarkStart w:id="2962" w:name="X75639b315137422db9dd5b759c901d43bd1e170"/>
    <w:p>
      <w:pPr>
        <w:pStyle w:val="Heading3"/>
      </w:pPr>
      <w:r>
        <w:t xml:space="preserve">11. Sources</w:t>
      </w:r>
    </w:p>
    <w:p>
      <w:pPr>
        <w:pStyle w:val="Compact"/>
        <w:numPr>
          <w:ilvl w:val="0"/>
          <w:numId w:val="1733"/>
        </w:numPr>
      </w:pPr>
      <w:r>
        <w:t xml:space="preserve">WHO. ICD-11. 6B82 Binge eating disorder. 2024.</w:t>
      </w:r>
    </w:p>
    <w:p>
      <w:pPr>
        <w:pStyle w:val="Compact"/>
        <w:numPr>
          <w:ilvl w:val="0"/>
          <w:numId w:val="1733"/>
        </w:numPr>
      </w:pPr>
      <w:r>
        <w:t xml:space="preserve">APA. DSM-5-TR. 2022.</w:t>
      </w:r>
    </w:p>
    <w:p>
      <w:pPr>
        <w:pStyle w:val="Compact"/>
        <w:numPr>
          <w:ilvl w:val="0"/>
          <w:numId w:val="1733"/>
        </w:numPr>
      </w:pPr>
      <w:r>
        <w:t xml:space="preserve">NICE NG69. 2017/2020.</w:t>
      </w:r>
    </w:p>
    <w:p>
      <w:pPr>
        <w:pStyle w:val="Compact"/>
        <w:numPr>
          <w:ilvl w:val="0"/>
          <w:numId w:val="1733"/>
        </w:numPr>
      </w:pPr>
      <w:r>
        <w:t xml:space="preserve">McElroy S.L. et al. Efficacy and safety of lisdexamfetamine for treatment of adults with moderate to severe binge eating disorder. JAMA Psychiatry 2015;72(3):235–246.</w:t>
      </w:r>
    </w:p>
    <w:p>
      <w:pPr>
        <w:pStyle w:val="Compact"/>
        <w:numPr>
          <w:ilvl w:val="0"/>
          <w:numId w:val="1733"/>
        </w:numPr>
      </w:pPr>
      <w:r>
        <w:t xml:space="preserve">Wilson G.T., Wilfley D.E., Agras W.S., Bryson S.W. Psychological treatments of binge eating disorder. Arch Gen Psychiatry 2010;67(1):94–101.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487" w:name="m596b84-pica"/>
            <w:r>
              <w:t xml:space="preserve">6B84 PICA</w:t>
            </w:r>
            <w:bookmarkEnd w:id="1487"/>
          </w:p>
          <w:p>
            <w:pPr>
              <w:pStyle w:val="Compact"/>
              <w:ind w:firstLine="0" w:left="0"/>
            </w:pPr>
            <w:r>
              <w:rPr>
                <w:lang w:val="en"/>
              </w:rPr>
              <w:t xml:space="preserve">Pica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Pica of infancy and childhood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Pica</w:t>
            </w:r>
          </w:p>
        </w:tc>
      </w:tr>
    </w:tbl>
    <w:bookmarkStart w:id="1488" w:name="X5c3d14589f596ff2dc6d298c3c4fdeb14ca497b"/>
    <w:p>
      <w:pPr>
        <w:pStyle w:val="Heading3"/>
      </w:pPr>
      <w:r>
        <w:t xml:space="preserve">1. Definition and nosology</w:t>
      </w:r>
    </w:p>
    <w:p>
      <w:pPr>
        <w:pStyle w:val="FirstParagraph"/>
      </w:pPr>
      <w:r>
        <w:t xml:space="preserve">Pica (ICD-11:</w:t>
      </w:r>
      <w:r>
        <w:t xml:space="preserve"> </w:t>
      </w:r>
      <w:r>
        <w:t xml:space="preserve">6B84</w:t>
      </w:r>
      <w:r>
        <w:t xml:space="preserve">; DSM-5-TR: F98.3) — persistent (≥ 1 month) ingestion of non-food, non-nutritive substances (clay, hair, paper, soap, metal, stones) — inappropriate for developmental age.</w:t>
      </w:r>
    </w:p>
    <w:bookmarkEnd w:id="1488"/>
    <w:bookmarkStart w:id="1489" w:name="X9a424df10b3f4811bf5de180ad0097d1300097b"/>
    <w:p>
      <w:pPr>
        <w:pStyle w:val="Heading3"/>
      </w:pPr>
      <w:r>
        <w:t xml:space="preserve">2. History</w:t>
      </w:r>
    </w:p>
    <w:p>
      <w:pPr>
        <w:pStyle w:val="Compact"/>
        <w:numPr>
          <w:ilvl w:val="0"/>
          <w:numId w:val="1734"/>
        </w:numPr>
      </w:pPr>
      <w:r>
        <w:t xml:space="preserve">“Pica” — from the Latin word for “magpie” (magpie eats everything).</w:t>
      </w:r>
    </w:p>
    <w:p>
      <w:pPr>
        <w:pStyle w:val="Compact"/>
        <w:numPr>
          <w:ilvl w:val="0"/>
          <w:numId w:val="1734"/>
        </w:numPr>
      </w:pPr>
      <w:r>
        <w:t xml:space="preserve">DSM-III (1980) — As a childhood disorder.</w:t>
      </w:r>
    </w:p>
    <w:p>
      <w:pPr>
        <w:pStyle w:val="Compact"/>
        <w:numPr>
          <w:ilvl w:val="0"/>
          <w:numId w:val="1734"/>
        </w:numPr>
      </w:pPr>
      <w:r>
        <w:t xml:space="preserve">DSM-5 (2013) — diagnosis possible at all ages.</w:t>
      </w:r>
    </w:p>
    <w:bookmarkEnd w:id="1489"/>
    <w:bookmarkStart w:id="1490" w:name="X623c28a68d052d03f1dd1cb91b7aadbbbd94b1f"/>
    <w:p>
      <w:pPr>
        <w:pStyle w:val="Heading3"/>
      </w:pPr>
      <w:r>
        <w:t xml:space="preserve">3. Epidemiology</w:t>
      </w:r>
    </w:p>
    <w:p>
      <w:pPr>
        <w:pStyle w:val="Compact"/>
        <w:numPr>
          <w:ilvl w:val="0"/>
          <w:numId w:val="1735"/>
        </w:numPr>
      </w:pPr>
      <w:r>
        <w:t xml:space="preserve">Prevalence: children 4–26%, higher in intellectual disability, pregnant women 8–65%, iron deficiency anemia.</w:t>
      </w:r>
    </w:p>
    <w:p>
      <w:pPr>
        <w:pStyle w:val="Compact"/>
        <w:numPr>
          <w:ilvl w:val="0"/>
          <w:numId w:val="1735"/>
        </w:numPr>
      </w:pPr>
      <w:r>
        <w:t xml:space="preserve">Comorbidity: autism, intellectual disability, iron deficiency, adult malabsorption.</w:t>
      </w:r>
    </w:p>
    <w:bookmarkEnd w:id="1490"/>
    <w:bookmarkStart w:id="1491" w:name="Xecc023a4368ca58da795cea1d5a4acb769b2c8a"/>
    <w:p>
      <w:pPr>
        <w:pStyle w:val="Heading3"/>
      </w:pPr>
      <w:r>
        <w:t xml:space="preserve">4. Aetiology and pathogenesis</w:t>
      </w:r>
    </w:p>
    <w:p>
      <w:pPr>
        <w:pStyle w:val="Compact"/>
        <w:numPr>
          <w:ilvl w:val="0"/>
          <w:numId w:val="1736"/>
        </w:numPr>
      </w:pPr>
      <w:r>
        <w:t xml:space="preserve">Nutritional deficiencies (iron, zinc) — may be worsened by pica substance ingestion in some patients.</w:t>
      </w:r>
    </w:p>
    <w:p>
      <w:pPr>
        <w:pStyle w:val="Compact"/>
        <w:numPr>
          <w:ilvl w:val="0"/>
          <w:numId w:val="1736"/>
        </w:numPr>
      </w:pPr>
      <w:r>
        <w:t xml:space="preserve">Neurodevelopmental disorders (autism, ID).</w:t>
      </w:r>
    </w:p>
    <w:p>
      <w:pPr>
        <w:pStyle w:val="Compact"/>
        <w:numPr>
          <w:ilvl w:val="0"/>
          <w:numId w:val="1736"/>
        </w:numPr>
      </w:pPr>
      <w:r>
        <w:t xml:space="preserve">Pregnancy — physiological and micronutrient.</w:t>
      </w:r>
    </w:p>
    <w:p>
      <w:pPr>
        <w:pStyle w:val="Compact"/>
        <w:numPr>
          <w:ilvl w:val="0"/>
          <w:numId w:val="1736"/>
        </w:numPr>
      </w:pPr>
      <w:r>
        <w:t xml:space="preserve">Cultural — consumption of clay in some traditions (geophagy).</w:t>
      </w:r>
    </w:p>
    <w:bookmarkEnd w:id="1491"/>
    <w:bookmarkStart w:id="1492" w:name="Xe6b5e867dbdd94a11539d28ca1c5c687ce411d9"/>
    <w:p>
      <w:pPr>
        <w:pStyle w:val="Heading3"/>
      </w:pPr>
      <w:r>
        <w:t xml:space="preserve">5. Clinical features</w:t>
      </w:r>
    </w:p>
    <w:p>
      <w:pPr>
        <w:pStyle w:val="Compact"/>
        <w:numPr>
          <w:ilvl w:val="0"/>
          <w:numId w:val="1737"/>
        </w:numPr>
      </w:pPr>
      <w:r>
        <w:t xml:space="preserve">Geophagy (clay, soil), trichophagy (hair), pagophagy (ice), amylophagy (starch), plumbophagy (paint — lead risk).</w:t>
      </w:r>
    </w:p>
    <w:p>
      <w:pPr>
        <w:pStyle w:val="Compact"/>
        <w:numPr>
          <w:ilvl w:val="0"/>
          <w:numId w:val="1737"/>
        </w:numPr>
      </w:pPr>
      <w:r>
        <w:t xml:space="preserve">Complications: intestinal obstruction (trichobezoar), lead poisoning, parasitic infection, dental injury, perforation.</w:t>
      </w:r>
    </w:p>
    <w:bookmarkEnd w:id="1492"/>
    <w:bookmarkStart w:id="1497" w:name="X14599326fd4283feb948e3f3d2dd4c8a6f65f31"/>
    <w:p>
      <w:pPr>
        <w:pStyle w:val="Heading3"/>
      </w:pPr>
      <w:r>
        <w:t xml:space="preserve">6. Diagnosis</w:t>
      </w:r>
    </w:p>
    <w:bookmarkStart w:id="1493" w:name="unified-diagnostic-criteria-27"/>
    <w:p>
      <w:pPr>
        <w:pStyle w:val="Heading4"/>
      </w:pPr>
      <w:r>
        <w:t xml:space="preserve">6.1 Unified diagnostic criteria</w:t>
      </w:r>
    </w:p>
    <w:p>
      <w:pPr>
        <w:pStyle w:val="FirstParagraph"/>
      </w:pPr>
      <w:r>
        <w:t xml:space="preserve">A. Persistent intake of substances with no nutritional value ≥ 1 month.</w:t>
      </w:r>
    </w:p>
    <w:p>
      <w:pPr>
        <w:pStyle w:val="BodyText"/>
      </w:pPr>
      <w:r>
        <w:t xml:space="preserve">B. The behavior is not developmentally appropriate (≥ 2 years of age).</w:t>
      </w:r>
    </w:p>
    <w:p>
      <w:pPr>
        <w:pStyle w:val="BodyText"/>
      </w:pPr>
      <w:r>
        <w:t xml:space="preserve">C. Not a culturally or socially accepted practice.</w:t>
      </w:r>
    </w:p>
    <w:p>
      <w:pPr>
        <w:pStyle w:val="BodyText"/>
      </w:pPr>
      <w:r>
        <w:t xml:space="preserve">D. If occurring in the context of another mental disorder or medical condition — additional diagnosis required (especially in ID and ASD).</w:t>
      </w:r>
    </w:p>
    <w:bookmarkEnd w:id="1493"/>
    <w:bookmarkStart w:id="1494" w:name="differences-between-sources-83"/>
    <w:p>
      <w:pPr>
        <w:pStyle w:val="Heading4"/>
      </w:pPr>
      <w:r>
        <w:t xml:space="preserve">6.2 Differences between sources</w:t>
      </w:r>
    </w:p>
    <w:p>
      <w:pPr>
        <w:pStyle w:val="Compact"/>
        <w:numPr>
          <w:ilvl w:val="0"/>
          <w:numId w:val="1738"/>
        </w:numPr>
      </w:pPr>
      <w:r>
        <w:t xml:space="preserve">DSM-5-TR requires a duration of at least 1 month; ICD-11 sets no duration criterion — it says “persistent or severe enough to require clinical attention”. The developmental age of about 2 years is the same in both.</w:t>
      </w:r>
    </w:p>
    <w:bookmarkEnd w:id="1494"/>
    <w:bookmarkStart w:id="1495" w:name="diagnostic-algorithm-47"/>
    <w:p>
      <w:pPr>
        <w:pStyle w:val="Heading4"/>
      </w:pPr>
      <w:r>
        <w:t xml:space="preserve">6.3 Diagnostic algorithm</w:t>
      </w:r>
    </w:p>
    <w:p>
      <w:pPr>
        <w:pStyle w:val="Compact"/>
        <w:numPr>
          <w:ilvl w:val="0"/>
          <w:numId w:val="1739"/>
        </w:numPr>
      </w:pPr>
      <w:r>
        <w:t xml:space="preserve">Interview + observation.</w:t>
      </w:r>
    </w:p>
    <w:p>
      <w:pPr>
        <w:pStyle w:val="Compact"/>
        <w:numPr>
          <w:ilvl w:val="0"/>
          <w:numId w:val="1739"/>
        </w:numPr>
      </w:pPr>
      <w:r>
        <w:t xml:space="preserve">Laboratory — complete blood count, ferritin, iron, lead level, zinc.</w:t>
      </w:r>
    </w:p>
    <w:p>
      <w:pPr>
        <w:pStyle w:val="Compact"/>
        <w:numPr>
          <w:ilvl w:val="0"/>
          <w:numId w:val="1739"/>
        </w:numPr>
      </w:pPr>
      <w:r>
        <w:t xml:space="preserve">Abdominal imaging (obstruction).</w:t>
      </w:r>
    </w:p>
    <w:p>
      <w:pPr>
        <w:pStyle w:val="Compact"/>
        <w:numPr>
          <w:ilvl w:val="0"/>
          <w:numId w:val="1739"/>
        </w:numPr>
      </w:pPr>
      <w:r>
        <w:t xml:space="preserve">Neurodevelopmental assessment.</w:t>
      </w:r>
    </w:p>
    <w:bookmarkEnd w:id="1495"/>
    <w:bookmarkStart w:id="1496" w:name="differential-diagnosis-4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It is based on obsession.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Reward motivation.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binge-eating type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Body image.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Cultural food practices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Context.</w:t>
            </w:r>
          </w:p>
        </w:tc>
      </w:tr>
    </w:tbl>
    <w:bookmarkEnd w:id="1496"/>
    <w:bookmarkEnd w:id="1497"/>
    <w:bookmarkStart w:id="1498" w:name="X91a909c63c97669a81b0ce7eeec4fe04dd98c63"/>
    <w:p>
      <w:pPr>
        <w:pStyle w:val="Heading3"/>
      </w:pPr>
      <w:r>
        <w:t xml:space="preserve">7. Examination and assessment</w:t>
      </w:r>
    </w:p>
    <w:p>
      <w:pPr>
        <w:pStyle w:val="Compact"/>
        <w:numPr>
          <w:ilvl w:val="0"/>
          <w:numId w:val="1740"/>
        </w:numPr>
      </w:pPr>
      <w:r>
        <w:t xml:space="preserve">Iron, lead, zinc, parasite tests.</w:t>
      </w:r>
    </w:p>
    <w:p>
      <w:pPr>
        <w:pStyle w:val="Compact"/>
        <w:numPr>
          <w:ilvl w:val="0"/>
          <w:numId w:val="1740"/>
        </w:numPr>
      </w:pPr>
      <w:r>
        <w:t xml:space="preserve">Abdominal X-ray / USG.</w:t>
      </w:r>
    </w:p>
    <w:bookmarkEnd w:id="1498"/>
    <w:bookmarkStart w:id="1501" w:name="Xd8e06bc4111fe7ac8276c8714036febfeb8a15e"/>
    <w:p>
      <w:pPr>
        <w:pStyle w:val="Heading3"/>
      </w:pPr>
      <w:r>
        <w:t xml:space="preserve">8. Treatment</w:t>
      </w:r>
    </w:p>
    <w:p>
      <w:pPr>
        <w:pStyle w:val="Compact"/>
        <w:numPr>
          <w:ilvl w:val="0"/>
          <w:numId w:val="1741"/>
        </w:numPr>
      </w:pPr>
      <w:r>
        <w:t xml:space="preserve">Correction of nutritional deficiency (iron, zinc).</w:t>
      </w:r>
    </w:p>
    <w:p>
      <w:pPr>
        <w:pStyle w:val="Compact"/>
        <w:numPr>
          <w:ilvl w:val="0"/>
          <w:numId w:val="1741"/>
        </w:numPr>
      </w:pPr>
      <w:r>
        <w:t xml:space="preserve">Behavioral intervention — habit reversal, environmental modification, alternative stimuli.</w:t>
      </w:r>
    </w:p>
    <w:p>
      <w:pPr>
        <w:pStyle w:val="Compact"/>
        <w:numPr>
          <w:ilvl w:val="0"/>
          <w:numId w:val="1741"/>
        </w:numPr>
      </w:pPr>
      <w:r>
        <w:t xml:space="preserve">Intellectual disability comorbid with ASD — functional behavior analysis and ABA-based approach.</w:t>
      </w:r>
    </w:p>
    <w:p>
      <w:pPr>
        <w:pStyle w:val="Compact"/>
        <w:numPr>
          <w:ilvl w:val="0"/>
          <w:numId w:val="1741"/>
        </w:numPr>
      </w:pPr>
      <w:r>
        <w:t xml:space="preserve">Medical management of complications (lead poisoning — chelation only with specific indication).</w:t>
      </w:r>
    </w:p>
    <w:p>
      <w:pPr>
        <w:pStyle w:val="Compact"/>
        <w:numPr>
          <w:ilvl w:val="0"/>
          <w:numId w:val="1741"/>
        </w:numPr>
      </w:pPr>
      <w:r>
        <w:t xml:space="preserve">During pregnancy — nutritional support.</w:t>
      </w:r>
    </w:p>
    <w:bookmarkStart w:id="1499" w:name="treatment-methods-46"/>
    <w:p>
      <w:pPr>
        <w:pStyle w:val="Heading4"/>
      </w:pPr>
      <w:r>
        <w:t xml:space="preserve">8.1 Treatment methods</w:t>
      </w:r>
    </w:p>
    <w:p>
      <w:pPr>
        <w:pStyle w:val="Compact"/>
        <w:numPr>
          <w:ilvl w:val="0"/>
          <w:numId w:val="1742"/>
        </w:numPr>
      </w:pPr>
      <w:r>
        <w:t xml:space="preserve">Functional Behavior Analysis (FBA) — Identification of behavior trigger and maintainer.</w:t>
      </w:r>
    </w:p>
    <w:p>
      <w:pPr>
        <w:pStyle w:val="Compact"/>
        <w:numPr>
          <w:ilvl w:val="0"/>
          <w:numId w:val="1742"/>
        </w:numPr>
      </w:pPr>
      <w:r>
        <w:t xml:space="preserve">Environmental Modification — Restriction of access to non-food substances.</w:t>
      </w:r>
    </w:p>
    <w:p>
      <w:pPr>
        <w:pStyle w:val="Compact"/>
        <w:numPr>
          <w:ilvl w:val="0"/>
          <w:numId w:val="1742"/>
        </w:numPr>
      </w:pPr>
      <w:r>
        <w:t xml:space="preserve">Nutritional Correction — Iron, zinc, vitamin supplements.</w:t>
      </w:r>
    </w:p>
    <w:p>
      <w:pPr>
        <w:pStyle w:val="Compact"/>
        <w:numPr>
          <w:ilvl w:val="0"/>
          <w:numId w:val="1742"/>
        </w:numPr>
      </w:pPr>
      <w:r>
        <w:t xml:space="preserve">ABA-based intervention — In ID and ASD.</w:t>
      </w:r>
    </w:p>
    <w:bookmarkEnd w:id="1499"/>
    <w:bookmarkStart w:id="1500" w:name="differences-between-sources-84"/>
    <w:p>
      <w:pPr>
        <w:pStyle w:val="Heading4"/>
      </w:pPr>
      <w:r>
        <w:t xml:space="preserve">8.2 Differences between sources</w:t>
      </w:r>
    </w:p>
    <w:p>
      <w:pPr>
        <w:pStyle w:val="Compact"/>
        <w:numPr>
          <w:ilvl w:val="0"/>
          <w:numId w:val="1743"/>
        </w:numPr>
      </w:pPr>
      <w:r>
        <w:t xml:space="preserve">AAP — pica assessment and lead screening in children.</w:t>
      </w:r>
    </w:p>
    <w:bookmarkEnd w:id="1500"/>
    <w:bookmarkEnd w:id="1501"/>
    <w:bookmarkStart w:id="1502" w:name="X99f72baf7b3a873b4fb41e90717eb3e4c055438"/>
    <w:p>
      <w:pPr>
        <w:pStyle w:val="Heading3"/>
      </w:pPr>
      <w:r>
        <w:t xml:space="preserve">9. Prognosis</w:t>
      </w:r>
    </w:p>
    <w:p>
      <w:pPr>
        <w:pStyle w:val="Compact"/>
        <w:numPr>
          <w:ilvl w:val="0"/>
          <w:numId w:val="1744"/>
        </w:numPr>
      </w:pPr>
      <w:r>
        <w:t xml:space="preserve">Remission in children through nutritional correction and behavioral intervention.</w:t>
      </w:r>
    </w:p>
    <w:p>
      <w:pPr>
        <w:pStyle w:val="Compact"/>
        <w:numPr>
          <w:ilvl w:val="0"/>
          <w:numId w:val="1744"/>
        </w:numPr>
      </w:pPr>
      <w:r>
        <w:t xml:space="preserve">May persist on an ID/ASD background; long-term follow-up.</w:t>
      </w:r>
    </w:p>
    <w:bookmarkEnd w:id="1502"/>
    <w:bookmarkStart w:id="1507" w:name="X773509eddc87cff20d13db667520681815d9c5b"/>
    <w:p>
      <w:pPr>
        <w:pStyle w:val="Heading3"/>
      </w:pPr>
      <w:r>
        <w:t xml:space="preserve">10. Myths and misconceptions</w:t>
      </w:r>
    </w:p>
    <w:bookmarkStart w:id="1503" w:name="X7b080beb7e22afbcbdd139c8cfe91556ce541c0"/>
    <w:p>
      <w:pPr>
        <w:pStyle w:val="Heading5"/>
      </w:pPr>
      <w:r>
        <w:t xml:space="preserve">Myth 1: “Pica is just a child's ‘exploratory’ behavior”</w:t>
      </w:r>
    </w:p>
    <w:p>
      <w:pPr>
        <w:pStyle w:val="FirstParagraph"/>
      </w:pPr>
      <w:r>
        <w:t xml:space="preserve">Evidence: General developmental part up to 2 years; subsequent continuation is clinical and poses a risk of complications.</w:t>
      </w:r>
    </w:p>
    <w:bookmarkEnd w:id="1503"/>
    <w:bookmarkStart w:id="1504" w:name="Xd99daa05a13ed65733a650f624c132c951fa285"/>
    <w:p>
      <w:pPr>
        <w:pStyle w:val="Heading5"/>
      </w:pPr>
      <w:r>
        <w:t xml:space="preserve">Myth 2: “Lead poisoning requires chelation for everyone”</w:t>
      </w:r>
    </w:p>
    <w:p>
      <w:pPr>
        <w:pStyle w:val="FirstParagraph"/>
      </w:pPr>
      <w:r>
        <w:t xml:space="preserve">Evidence: chelation only confirmed at high levels (BLL ≥ 45 µg/dL typical); environmental remediation first-line at lower levels.</w:t>
      </w:r>
    </w:p>
    <w:bookmarkEnd w:id="1504"/>
    <w:bookmarkStart w:id="1505" w:name="Xe122a12d99b63325860b33214d1cd948dd66c95"/>
    <w:p>
      <w:pPr>
        <w:pStyle w:val="Heading5"/>
      </w:pPr>
      <w:r>
        <w:t xml:space="preserve">Myth 3: “Pica in pregnancy is 'the baby's wish', requires no intervention”</w:t>
      </w:r>
    </w:p>
    <w:p>
      <w:pPr>
        <w:pStyle w:val="FirstParagraph"/>
      </w:pPr>
      <w:r>
        <w:t xml:space="preserve">Evidence: iron or other deficiency marker; nutritional correction recommended.</w:t>
      </w:r>
    </w:p>
    <w:bookmarkEnd w:id="1505"/>
    <w:bookmarkStart w:id="1506" w:name="X1bc26476698ad28e235168ea0a6e0eba3bb4c36"/>
    <w:p>
      <w:pPr>
        <w:pStyle w:val="Heading5"/>
      </w:pPr>
      <w:r>
        <w:t xml:space="preserve">Myth 4: “Pica in an ID/ASD patient is ‘inevitable’”</w:t>
      </w:r>
    </w:p>
    <w:p>
      <w:pPr>
        <w:pStyle w:val="FirstParagraph"/>
      </w:pPr>
      <w:r>
        <w:t xml:space="preserve">Evidence: Behavioral interventions (ABA, FBA) are effective; the “inevitable” explanation leads to severe complications such as trichobezoar, obstruction.</w:t>
      </w:r>
    </w:p>
    <w:bookmarkEnd w:id="1506"/>
    <w:bookmarkEnd w:id="1507"/>
    <w:bookmarkStart w:id="2961" w:name="X4099eed88f7b0277f3f6e3bf0e233bf597ebfa6"/>
    <w:p>
      <w:pPr>
        <w:pStyle w:val="Heading3"/>
      </w:pPr>
      <w:r>
        <w:t xml:space="preserve">11. Sources</w:t>
      </w:r>
    </w:p>
    <w:p>
      <w:pPr>
        <w:pStyle w:val="Compact"/>
        <w:numPr>
          <w:ilvl w:val="0"/>
          <w:numId w:val="1745"/>
        </w:numPr>
      </w:pPr>
      <w:r>
        <w:t xml:space="preserve">WHO. ICD-11. 6B84 Pica. 2024.</w:t>
      </w:r>
    </w:p>
    <w:p>
      <w:pPr>
        <w:pStyle w:val="Compact"/>
        <w:numPr>
          <w:ilvl w:val="0"/>
          <w:numId w:val="1745"/>
        </w:numPr>
      </w:pPr>
      <w:r>
        <w:t xml:space="preserve">APA. DSM-5-TR. 2022.</w:t>
      </w:r>
    </w:p>
    <w:p>
      <w:pPr>
        <w:pStyle w:val="Compact"/>
        <w:numPr>
          <w:ilvl w:val="0"/>
          <w:numId w:val="1745"/>
        </w:numPr>
      </w:pPr>
      <w:r>
        <w:t xml:space="preserve">Young S.L. Pica in pregnancy: new ideas about an old condition. Annu Rev Nutr 2010;30:403–422.</w:t>
      </w:r>
    </w:p>
    <w:p>
      <w:pPr>
        <w:pStyle w:val="Compact"/>
        <w:numPr>
          <w:ilvl w:val="0"/>
          <w:numId w:val="1745"/>
        </w:numPr>
      </w:pPr>
      <w:r>
        <w:t xml:space="preserve">Hyman S.L. et al. AAP 2020 Clinical Report (ASD). Pediatrics 2020;145(1):e20193447.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08" w:name="Xbf00afd751979b9d227a707a04025a638df7122"/>
            <w:r>
              <w:t xml:space="preserve">6B85 RUMINATION-REGURGITATION DISORDER</w:t>
            </w:r>
            <w:bookmarkEnd w:id="1508"/>
          </w:p>
          <w:p>
            <w:pPr>
              <w:pStyle w:val="Compact"/>
              <w:ind w:firstLine="0" w:left="0"/>
            </w:pPr>
            <w:r>
              <w:rPr>
                <w:lang w:val="en"/>
              </w:rPr>
              <w:t xml:space="preserve">Rumination-regurgitation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Rumination disorder of infancy and childhood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Rumination Disorder</w:t>
            </w:r>
          </w:p>
        </w:tc>
      </w:tr>
    </w:tbl>
    <w:bookmarkStart w:id="1509" w:name="X37b14bc7ec0942b46a3dfac322f708b2db21d96"/>
    <w:p>
      <w:pPr>
        <w:pStyle w:val="Heading3"/>
      </w:pPr>
      <w:r>
        <w:t xml:space="preserve">1. Definition and nosology</w:t>
      </w:r>
    </w:p>
    <w:p>
      <w:pPr>
        <w:pStyle w:val="FirstParagraph"/>
      </w:pPr>
      <w:r>
        <w:t xml:space="preserve">Rumination-Regurgitation Disorder (ICD-11:</w:t>
      </w:r>
      <w:r>
        <w:t xml:space="preserve"> </w:t>
      </w:r>
      <w:r>
        <w:t xml:space="preserve">6B85</w:t>
      </w:r>
      <w:r>
        <w:t xml:space="preserve">; DSM-5-TR: F98.21) — characterized by voluntary or semi-voluntary regurgitation of swallowed food followed by re-chewing, re-swallowing, or spitting out. Not fully explained by a medical condition (gastroesophageal reflux or other GI disease).</w:t>
      </w:r>
    </w:p>
    <w:bookmarkEnd w:id="1509"/>
    <w:bookmarkStart w:id="1510" w:name="X369ad1decfcb1df86a7fd34750c0613c260d72e"/>
    <w:p>
      <w:pPr>
        <w:pStyle w:val="Heading3"/>
      </w:pPr>
      <w:r>
        <w:t xml:space="preserve">2. History</w:t>
      </w:r>
    </w:p>
    <w:p>
      <w:pPr>
        <w:pStyle w:val="Compact"/>
        <w:numPr>
          <w:ilvl w:val="0"/>
          <w:numId w:val="1746"/>
        </w:numPr>
      </w:pPr>
      <w:r>
        <w:t xml:space="preserve">Term ‘mericism’ in ancient times.</w:t>
      </w:r>
    </w:p>
    <w:p>
      <w:pPr>
        <w:pStyle w:val="Compact"/>
        <w:numPr>
          <w:ilvl w:val="0"/>
          <w:numId w:val="1746"/>
        </w:numPr>
      </w:pPr>
      <w:r>
        <w:t xml:space="preserve">DSM-IV — As an infant and childhood disorder.</w:t>
      </w:r>
    </w:p>
    <w:p>
      <w:pPr>
        <w:pStyle w:val="Compact"/>
        <w:numPr>
          <w:ilvl w:val="0"/>
          <w:numId w:val="1746"/>
        </w:numPr>
      </w:pPr>
      <w:r>
        <w:t xml:space="preserve">DSM-5 (2013) — diagnosis at all ages.</w:t>
      </w:r>
    </w:p>
    <w:bookmarkEnd w:id="1510"/>
    <w:bookmarkStart w:id="1511" w:name="Xf4ab88c20254e4b3492bcdb566c4a54b7f80de6"/>
    <w:p>
      <w:pPr>
        <w:pStyle w:val="Heading3"/>
      </w:pPr>
      <w:r>
        <w:t xml:space="preserve">3. Epidemiology</w:t>
      </w:r>
    </w:p>
    <w:p>
      <w:pPr>
        <w:pStyle w:val="Compact"/>
        <w:numPr>
          <w:ilvl w:val="0"/>
          <w:numId w:val="1747"/>
        </w:numPr>
      </w:pPr>
      <w:r>
        <w:t xml:space="preserve">Prevalence: rare in infants and children; 6–10% in patients with intellectual disability; increasing recognition in adults (especially comorbid with eating disorders).</w:t>
      </w:r>
    </w:p>
    <w:p>
      <w:pPr>
        <w:pStyle w:val="Compact"/>
        <w:numPr>
          <w:ilvl w:val="0"/>
          <w:numId w:val="1747"/>
        </w:numPr>
      </w:pPr>
      <w:r>
        <w:t xml:space="preserve">Comorbidity: ID, ASD, anxiety, BN, BED.</w:t>
      </w:r>
    </w:p>
    <w:bookmarkEnd w:id="1511"/>
    <w:bookmarkStart w:id="1512" w:name="X4170d668125b917df51cf6dcb78c9705a26a1f0"/>
    <w:p>
      <w:pPr>
        <w:pStyle w:val="Heading3"/>
      </w:pPr>
      <w:r>
        <w:t xml:space="preserve">4. Aetiology and pathogenesis</w:t>
      </w:r>
    </w:p>
    <w:p>
      <w:pPr>
        <w:pStyle w:val="Compact"/>
        <w:numPr>
          <w:ilvl w:val="0"/>
          <w:numId w:val="1748"/>
        </w:numPr>
      </w:pPr>
      <w:r>
        <w:t xml:space="preserve">Behavioral conditioning — ‘post-prandial belching’ followed by regurgitation as a learned behavior.</w:t>
      </w:r>
    </w:p>
    <w:p>
      <w:pPr>
        <w:pStyle w:val="Compact"/>
        <w:numPr>
          <w:ilvl w:val="0"/>
          <w:numId w:val="1748"/>
        </w:numPr>
      </w:pPr>
      <w:r>
        <w:t xml:space="preserve">Stress and anxiety.</w:t>
      </w:r>
    </w:p>
    <w:p>
      <w:pPr>
        <w:pStyle w:val="Compact"/>
        <w:numPr>
          <w:ilvl w:val="0"/>
          <w:numId w:val="1748"/>
        </w:numPr>
      </w:pPr>
      <w:r>
        <w:t xml:space="preserve">In ID/ASD, self-stimulation with food.</w:t>
      </w:r>
    </w:p>
    <w:bookmarkEnd w:id="1512"/>
    <w:bookmarkStart w:id="1513" w:name="X9b20c75f2f86812ec1ef4e3818534f6f5ec1d6f"/>
    <w:p>
      <w:pPr>
        <w:pStyle w:val="Heading3"/>
      </w:pPr>
      <w:r>
        <w:t xml:space="preserve">5. Clinical features</w:t>
      </w:r>
    </w:p>
    <w:p>
      <w:pPr>
        <w:pStyle w:val="Compact"/>
        <w:numPr>
          <w:ilvl w:val="0"/>
          <w:numId w:val="1749"/>
        </w:numPr>
      </w:pPr>
      <w:r>
        <w:t xml:space="preserve">Regurgitation minutes to hours after food intake.</w:t>
      </w:r>
    </w:p>
    <w:p>
      <w:pPr>
        <w:pStyle w:val="Compact"/>
        <w:numPr>
          <w:ilvl w:val="0"/>
          <w:numId w:val="1749"/>
        </w:numPr>
      </w:pPr>
      <w:r>
        <w:t xml:space="preserve">Eating disorder outcomes: weight loss, malnutrition, electrolyte imbalance, dental erosion, halitosis.</w:t>
      </w:r>
    </w:p>
    <w:p>
      <w:pPr>
        <w:pStyle w:val="Compact"/>
        <w:numPr>
          <w:ilvl w:val="0"/>
          <w:numId w:val="1749"/>
        </w:numPr>
      </w:pPr>
      <w:r>
        <w:t xml:space="preserve">Social consequences: shame, social isolation.</w:t>
      </w:r>
    </w:p>
    <w:bookmarkEnd w:id="1513"/>
    <w:bookmarkStart w:id="1518" w:name="Xcfd14365e9ba37c0a5994184191c7eccf8d815a"/>
    <w:p>
      <w:pPr>
        <w:pStyle w:val="Heading3"/>
      </w:pPr>
      <w:r>
        <w:t xml:space="preserve">6. Diagnosis</w:t>
      </w:r>
    </w:p>
    <w:bookmarkStart w:id="1514" w:name="unified-diagnostic-criteria-28"/>
    <w:p>
      <w:pPr>
        <w:pStyle w:val="Heading4"/>
      </w:pPr>
      <w:r>
        <w:t xml:space="preserve">6.1 Unified diagnostic criteria</w:t>
      </w:r>
    </w:p>
    <w:p>
      <w:pPr>
        <w:pStyle w:val="FirstParagraph"/>
      </w:pPr>
      <w:r>
        <w:t xml:space="preserve">A. Recurrent regurgitation of swallowed food — DSM-5-TR: ≥ 1 month; ICD-11: several times a week over at least several weeks; rechewing, swallowing, or spitting.</w:t>
      </w:r>
    </w:p>
    <w:p>
      <w:pPr>
        <w:pStyle w:val="BodyText"/>
      </w:pPr>
      <w:r>
        <w:t xml:space="preserve">B. Regurgitation is not related to a medical condition (e.g., reflux, pyloric stenosis, duodenal obstruction).</w:t>
      </w:r>
    </w:p>
    <w:p>
      <w:pPr>
        <w:pStyle w:val="BodyText"/>
      </w:pPr>
      <w:r>
        <w:t xml:space="preserve">C. Does not occur in the context of anorexia, bulimia, BED, ARFID.</w:t>
      </w:r>
    </w:p>
    <w:p>
      <w:pPr>
        <w:pStyle w:val="BodyText"/>
      </w:pPr>
      <w:r>
        <w:t xml:space="preserve">D. If occurring in the context of another mental disorder (especially ID, ASD), significant severity requires separate assessment.</w:t>
      </w:r>
    </w:p>
    <w:bookmarkEnd w:id="1514"/>
    <w:bookmarkStart w:id="1515" w:name="differences-between-sources-85"/>
    <w:p>
      <w:pPr>
        <w:pStyle w:val="Heading4"/>
      </w:pPr>
      <w:r>
        <w:t xml:space="preserve">6.2 Differences between sources</w:t>
      </w:r>
    </w:p>
    <w:p>
      <w:pPr>
        <w:pStyle w:val="Compact"/>
        <w:numPr>
          <w:ilvl w:val="0"/>
          <w:numId w:val="1750"/>
        </w:numPr>
      </w:pPr>
      <w:r>
        <w:t xml:space="preserve">DSM-5-TR / ICD-11 — criteria overlap; the duration and the age threshold differ: DSM-5-TR requires ≥ 1 month, ICD-11 requires several times a week over at least several weeks and a developmental age of ≥ 2 years.</w:t>
      </w:r>
    </w:p>
    <w:bookmarkEnd w:id="1515"/>
    <w:bookmarkStart w:id="1516" w:name="diagnostic-algorithm-48"/>
    <w:p>
      <w:pPr>
        <w:pStyle w:val="Heading4"/>
      </w:pPr>
      <w:r>
        <w:t xml:space="preserve">6.3 Diagnostic algorithm</w:t>
      </w:r>
    </w:p>
    <w:p>
      <w:pPr>
        <w:pStyle w:val="Compact"/>
        <w:numPr>
          <w:ilvl w:val="0"/>
          <w:numId w:val="1751"/>
        </w:numPr>
      </w:pPr>
      <w:r>
        <w:t xml:space="preserve">Clinical interview.</w:t>
      </w:r>
    </w:p>
    <w:p>
      <w:pPr>
        <w:pStyle w:val="Compact"/>
        <w:numPr>
          <w:ilvl w:val="0"/>
          <w:numId w:val="1751"/>
        </w:numPr>
      </w:pPr>
      <w:r>
        <w:t xml:space="preserve">Medical assessment — exclusion of GERD, pyloric pathology, gastroparesis (upper endoscopy, motility study).</w:t>
      </w:r>
    </w:p>
    <w:p>
      <w:pPr>
        <w:pStyle w:val="Compact"/>
        <w:numPr>
          <w:ilvl w:val="0"/>
          <w:numId w:val="1751"/>
        </w:numPr>
      </w:pPr>
      <w:r>
        <w:t xml:space="preserve">Manometry — confirmation of functional regurgitation.</w:t>
      </w:r>
    </w:p>
    <w:p>
      <w:pPr>
        <w:pStyle w:val="Compact"/>
        <w:numPr>
          <w:ilvl w:val="0"/>
          <w:numId w:val="1751"/>
        </w:numPr>
      </w:pPr>
      <w:r>
        <w:t xml:space="preserve">Weight and nutritional status.</w:t>
      </w:r>
    </w:p>
    <w:p>
      <w:pPr>
        <w:pStyle w:val="Compact"/>
        <w:numPr>
          <w:ilvl w:val="0"/>
          <w:numId w:val="1751"/>
        </w:numPr>
      </w:pPr>
      <w:r>
        <w:t xml:space="preserve">Comorbid eating disorder screening.</w:t>
      </w:r>
    </w:p>
    <w:bookmarkEnd w:id="1516"/>
    <w:bookmarkStart w:id="1517" w:name="differential-diagnosis-4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Typical regurgitation; pH monitoring.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Bulimia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Vomiting voluntarily for compensatory purposes.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Fear of weight.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Motility study.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Pyloric obstruction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Endoscopy.</w:t>
            </w:r>
          </w:p>
        </w:tc>
      </w:tr>
    </w:tbl>
    <w:bookmarkEnd w:id="1517"/>
    <w:bookmarkEnd w:id="1518"/>
    <w:bookmarkStart w:id="1519" w:name="X5667acd66019548333ecab2562caca4783859fb"/>
    <w:p>
      <w:pPr>
        <w:pStyle w:val="Heading3"/>
      </w:pPr>
      <w:r>
        <w:t xml:space="preserve">7. Examination and assessment</w:t>
      </w:r>
    </w:p>
    <w:p>
      <w:pPr>
        <w:pStyle w:val="Compact"/>
        <w:numPr>
          <w:ilvl w:val="0"/>
          <w:numId w:val="1752"/>
        </w:numPr>
      </w:pPr>
      <w:r>
        <w:t xml:space="preserve">Endoscopy, manometry, pH-monitoring.</w:t>
      </w:r>
    </w:p>
    <w:p>
      <w:pPr>
        <w:pStyle w:val="Compact"/>
        <w:numPr>
          <w:ilvl w:val="0"/>
          <w:numId w:val="1752"/>
        </w:numPr>
      </w:pPr>
      <w:r>
        <w:t xml:space="preserve">Complete blood count, electrolytes.</w:t>
      </w:r>
    </w:p>
    <w:bookmarkEnd w:id="1519"/>
    <w:bookmarkStart w:id="1522" w:name="X6a3fd19bbe6b6121c1433e9c54bfab330255565"/>
    <w:p>
      <w:pPr>
        <w:pStyle w:val="Heading3"/>
      </w:pPr>
      <w:r>
        <w:t xml:space="preserve">8. Treatment</w:t>
      </w:r>
    </w:p>
    <w:p>
      <w:pPr>
        <w:pStyle w:val="Compact"/>
        <w:numPr>
          <w:ilvl w:val="0"/>
          <w:numId w:val="1753"/>
        </w:numPr>
      </w:pPr>
      <w:r>
        <w:t xml:space="preserve">Diaphragmatic breathing — first-line behavioral intervention (Chitkara D.K. et al. Am J Gastroenterol 2006; effect 50–70%).</w:t>
      </w:r>
    </w:p>
    <w:p>
      <w:pPr>
        <w:pStyle w:val="Compact"/>
        <w:numPr>
          <w:ilvl w:val="0"/>
          <w:numId w:val="1753"/>
        </w:numPr>
      </w:pPr>
      <w:r>
        <w:t xml:space="preserve">Habit reversal — learning alternative behavior.</w:t>
      </w:r>
    </w:p>
    <w:p>
      <w:pPr>
        <w:pStyle w:val="Compact"/>
        <w:numPr>
          <w:ilvl w:val="0"/>
          <w:numId w:val="1753"/>
        </w:numPr>
      </w:pPr>
      <w:r>
        <w:t xml:space="preserve">Biofeedback.</w:t>
      </w:r>
    </w:p>
    <w:p>
      <w:pPr>
        <w:pStyle w:val="Compact"/>
        <w:numPr>
          <w:ilvl w:val="0"/>
          <w:numId w:val="1753"/>
        </w:numPr>
      </w:pPr>
      <w:r>
        <w:t xml:space="preserve">Stress management and CBT.</w:t>
      </w:r>
    </w:p>
    <w:p>
      <w:pPr>
        <w:pStyle w:val="Compact"/>
        <w:numPr>
          <w:ilvl w:val="0"/>
          <w:numId w:val="1753"/>
        </w:numPr>
      </w:pPr>
      <w:r>
        <w:t xml:space="preserve">In ID/ASD, functional behavior analysis and ABA.</w:t>
      </w:r>
    </w:p>
    <w:p>
      <w:pPr>
        <w:pStyle w:val="Compact"/>
        <w:numPr>
          <w:ilvl w:val="0"/>
          <w:numId w:val="1753"/>
        </w:numPr>
      </w:pPr>
      <w:r>
        <w:t xml:space="preserve">Medical: GERD with proton pump inhibitor initial intervention.</w:t>
      </w:r>
    </w:p>
    <w:bookmarkStart w:id="1520" w:name="treatment-methods-47"/>
    <w:p>
      <w:pPr>
        <w:pStyle w:val="Heading4"/>
      </w:pPr>
      <w:r>
        <w:t xml:space="preserve">8.1 Treatment methods</w:t>
      </w:r>
    </w:p>
    <w:p>
      <w:pPr>
        <w:pStyle w:val="Compact"/>
        <w:numPr>
          <w:ilvl w:val="0"/>
          <w:numId w:val="1754"/>
        </w:numPr>
      </w:pPr>
      <w:r>
        <w:t xml:space="preserve">Diaphragmatic Breathing — Slow abdominal breathing for 5–10 minutes after eating — prevents regurgitation.</w:t>
      </w:r>
    </w:p>
    <w:p>
      <w:pPr>
        <w:pStyle w:val="Compact"/>
        <w:numPr>
          <w:ilvl w:val="0"/>
          <w:numId w:val="1754"/>
        </w:numPr>
      </w:pPr>
      <w:r>
        <w:t xml:space="preserve">Habit Reversal Training (HRT — Habit Reversal Training) — Developing alternative behaviors.</w:t>
      </w:r>
    </w:p>
    <w:p>
      <w:pPr>
        <w:pStyle w:val="Compact"/>
        <w:numPr>
          <w:ilvl w:val="0"/>
          <w:numId w:val="1754"/>
        </w:numPr>
      </w:pPr>
      <w:r>
        <w:t xml:space="preserve">Biofeedback — Abdominal muscle control.</w:t>
      </w:r>
    </w:p>
    <w:p>
      <w:pPr>
        <w:pStyle w:val="Compact"/>
        <w:numPr>
          <w:ilvl w:val="0"/>
          <w:numId w:val="1754"/>
        </w:numPr>
      </w:pPr>
      <w:r>
        <w:t xml:space="preserve">FBA — functional behavior analysis (in ID/ASD) — Analysis of behavior trigger and maintainer.</w:t>
      </w:r>
    </w:p>
    <w:bookmarkEnd w:id="1520"/>
    <w:bookmarkStart w:id="1521" w:name="differences-between-sources-86"/>
    <w:p>
      <w:pPr>
        <w:pStyle w:val="Heading4"/>
      </w:pPr>
      <w:r>
        <w:t xml:space="preserve">8.2 Differences between sources</w:t>
      </w:r>
    </w:p>
    <w:p>
      <w:pPr>
        <w:pStyle w:val="Compact"/>
        <w:numPr>
          <w:ilvl w:val="0"/>
          <w:numId w:val="1755"/>
        </w:numPr>
      </w:pPr>
      <w:r>
        <w:t xml:space="preserve">Rome Foundation criteria (functional GI).</w:t>
      </w:r>
    </w:p>
    <w:p>
      <w:pPr>
        <w:pStyle w:val="Compact"/>
        <w:numPr>
          <w:ilvl w:val="0"/>
          <w:numId w:val="1755"/>
        </w:numPr>
      </w:pPr>
      <w:r>
        <w:t xml:space="preserve">NICE NG69 — general eating disorder principles.</w:t>
      </w:r>
    </w:p>
    <w:bookmarkEnd w:id="1521"/>
    <w:bookmarkEnd w:id="1522"/>
    <w:bookmarkStart w:id="1523" w:name="X35c9d010bfcc52947b9885ec661960e53b9d056"/>
    <w:p>
      <w:pPr>
        <w:pStyle w:val="Heading3"/>
      </w:pPr>
      <w:r>
        <w:t xml:space="preserve">9. Prognosis</w:t>
      </w:r>
    </w:p>
    <w:p>
      <w:pPr>
        <w:pStyle w:val="Compact"/>
        <w:numPr>
          <w:ilvl w:val="0"/>
          <w:numId w:val="1756"/>
        </w:numPr>
      </w:pPr>
      <w:r>
        <w:t xml:space="preserve">Significant improvement with diaphragmatic breathing and habit reversal.</w:t>
      </w:r>
    </w:p>
    <w:bookmarkEnd w:id="1523"/>
    <w:bookmarkStart w:id="1529" w:name="Xa26555b6fb69d4020f51864419da33299c73521"/>
    <w:p>
      <w:pPr>
        <w:pStyle w:val="Heading3"/>
      </w:pPr>
      <w:r>
        <w:t xml:space="preserve">10. Myths and misconceptions</w:t>
      </w:r>
    </w:p>
    <w:bookmarkStart w:id="1524" w:name="myth-1-rumination-is-a-form-of-gerd"/>
    <w:p>
      <w:pPr>
        <w:pStyle w:val="Heading5"/>
      </w:pPr>
      <w:r>
        <w:t xml:space="preserve">Myth 1: “Rumination is a form of GERD”</w:t>
      </w:r>
    </w:p>
    <w:p>
      <w:pPr>
        <w:pStyle w:val="FirstParagraph"/>
      </w:pPr>
      <w:r>
        <w:t xml:space="preserve">Evidence: distinct disorder; manometry and clinical model differ.</w:t>
      </w:r>
    </w:p>
    <w:bookmarkEnd w:id="1524"/>
    <w:bookmarkStart w:id="1525" w:name="X09c199d142355c0916f517503cf29df3a23fa8a"/>
    <w:p>
      <w:pPr>
        <w:pStyle w:val="Heading5"/>
      </w:pPr>
      <w:r>
        <w:t xml:space="preserve">Myth 2: “Only medical surgery (Nissen) solves it”</w:t>
      </w:r>
    </w:p>
    <w:p>
      <w:pPr>
        <w:pStyle w:val="FirstParagraph"/>
      </w:pPr>
      <w:r>
        <w:t xml:space="preserve">Evidence: Nissen fundoplication ineffective for functional rumination and contraindicated; behavioral intervention first-line.</w:t>
      </w:r>
    </w:p>
    <w:bookmarkEnd w:id="1525"/>
    <w:bookmarkStart w:id="1526" w:name="X40602e7536ebb8e9930b497d983ad9c4c64ddaf"/>
    <w:p>
      <w:pPr>
        <w:pStyle w:val="Heading5"/>
      </w:pPr>
      <w:r>
        <w:t xml:space="preserve">Myth 3: “The patient behaves ‘volitionally’, requires discipline”</w:t>
      </w:r>
    </w:p>
    <w:p>
      <w:pPr>
        <w:pStyle w:val="FirstParagraph"/>
      </w:pPr>
      <w:r>
        <w:t xml:space="preserve">Evidence: It is a semi-voluntary behavior, based on conditioning; punishment is ineffective.</w:t>
      </w:r>
    </w:p>
    <w:bookmarkEnd w:id="1526"/>
    <w:bookmarkStart w:id="1527" w:name="myth-4-antiemetics-are-effective"/>
    <w:p>
      <w:pPr>
        <w:pStyle w:val="Heading5"/>
      </w:pPr>
      <w:r>
        <w:t xml:space="preserve">Myth 4: “Antiemetics are effective”</w:t>
      </w:r>
    </w:p>
    <w:p>
      <w:pPr>
        <w:pStyle w:val="FirstParagraph"/>
      </w:pPr>
      <w:r>
        <w:t xml:space="preserve">Evidence: Antiemetics (e.g., ondansetron) ineffective in rumination.</w:t>
      </w:r>
    </w:p>
    <w:bookmarkEnd w:id="1527"/>
    <w:bookmarkStart w:id="1528" w:name="X2287259ee2d1b2b386a539213384eba4507122e"/>
    <w:p>
      <w:pPr>
        <w:pStyle w:val="Heading5"/>
      </w:pPr>
      <w:r>
        <w:t xml:space="preserve">Myth 5: “Cannot be discontinued in a patient with ID/ASD”</w:t>
      </w:r>
    </w:p>
    <w:p>
      <w:pPr>
        <w:pStyle w:val="FirstParagraph"/>
      </w:pPr>
      <w:r>
        <w:t xml:space="preserve">Evidence: Behavioral interventions are effective; active intervention is essential to prevent nutritional complications.</w:t>
      </w:r>
    </w:p>
    <w:bookmarkEnd w:id="1528"/>
    <w:bookmarkEnd w:id="1529"/>
    <w:bookmarkStart w:id="2960" w:name="Xfc9a95a44f71bdd8bfc51c579315c03e42747d4"/>
    <w:p>
      <w:pPr>
        <w:pStyle w:val="Heading3"/>
      </w:pPr>
      <w:r>
        <w:t xml:space="preserve">11. Sources</w:t>
      </w:r>
    </w:p>
    <w:p>
      <w:pPr>
        <w:pStyle w:val="Compact"/>
        <w:numPr>
          <w:ilvl w:val="0"/>
          <w:numId w:val="1757"/>
        </w:numPr>
      </w:pPr>
      <w:r>
        <w:t xml:space="preserve">WHO. ICD-11. 6B85 Rumination-regurgitation disorder. 2024.</w:t>
      </w:r>
    </w:p>
    <w:p>
      <w:pPr>
        <w:pStyle w:val="Compact"/>
        <w:numPr>
          <w:ilvl w:val="0"/>
          <w:numId w:val="1757"/>
        </w:numPr>
      </w:pPr>
      <w:r>
        <w:t xml:space="preserve">APA. DSM-5-TR. 2022.</w:t>
      </w:r>
    </w:p>
    <w:p>
      <w:pPr>
        <w:pStyle w:val="Compact"/>
        <w:numPr>
          <w:ilvl w:val="0"/>
          <w:numId w:val="1757"/>
        </w:numPr>
      </w:pPr>
      <w:r>
        <w:t xml:space="preserve">Chitkara D.K., Van Tilburg M., Whitehead W.E., Talley N.J. Teaching diaphragmatic breathing for rumination syndrome. Am J Gastroenterol 2006;101(11):2449–2452.</w:t>
      </w:r>
    </w:p>
    <w:p>
      <w:pPr>
        <w:pStyle w:val="Compact"/>
        <w:numPr>
          <w:ilvl w:val="0"/>
          <w:numId w:val="1757"/>
        </w:numPr>
      </w:pPr>
      <w:r>
        <w:t xml:space="preserve">Rome IV Diagnostic Criteria for Disorders of Gut-Brain Interaction. Rome Foundation;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30" w:name="Xadc19100ea5abfc41e46e12adea50febc5c0c38"/>
            <w:r>
              <w:t xml:space="preserve">6B83 AVOIDANT-RESTRICTIVE FOOD INTAKE DISORDER (ARFID)</w:t>
            </w:r>
            <w:bookmarkEnd w:id="1530"/>
          </w:p>
          <w:p>
            <w:pPr>
              <w:pStyle w:val="Compact"/>
              <w:ind w:firstLine="0" w:left="0"/>
            </w:pPr>
            <w:r>
              <w:rPr>
                <w:lang w:val="en"/>
              </w:rPr>
              <w:t xml:space="preserve">Avoidant-restrictive food intake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Feeding disorder of infancy and childhood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Avoidant/Restrictive Food Intake Disorder</w:t>
            </w:r>
          </w:p>
        </w:tc>
      </w:tr>
    </w:tbl>
    <w:bookmarkStart w:id="1531" w:name="X5e7d09776c4720ce72a8800d69e0bfae8b5f494"/>
    <w:p>
      <w:pPr>
        <w:pStyle w:val="Heading3"/>
      </w:pPr>
      <w:r>
        <w:t xml:space="preserve">1. Definition and nosology</w:t>
      </w:r>
    </w:p>
    <w:p>
      <w:pPr>
        <w:pStyle w:val="FirstParagraph"/>
      </w:pPr>
      <w:r>
        <w:t xml:space="preserve">Avoidant/Restrictive Food Intake Disorder (ARFID; ICD-11:</w:t>
      </w:r>
      <w:r>
        <w:t xml:space="preserve"> </w:t>
      </w:r>
      <w:r>
        <w:t xml:space="preserve">6B83</w:t>
      </w:r>
      <w:r>
        <w:t xml:space="preserve">; DSM-5-TR: F50.82) — significant weight loss, nutritional deficiency, enteral feeding dependence, or psychosocial impairment resulting from avoidance or restriction of food intake. No body image disturbance or fear of weight gain (key difference from anorexia).</w:t>
      </w:r>
    </w:p>
    <w:bookmarkEnd w:id="1531"/>
    <w:bookmarkStart w:id="1532" w:name="X2dfe99e421dcba38261604019b838b65324e859"/>
    <w:p>
      <w:pPr>
        <w:pStyle w:val="Heading3"/>
      </w:pPr>
      <w:r>
        <w:t xml:space="preserve">2. History</w:t>
      </w:r>
    </w:p>
    <w:p>
      <w:pPr>
        <w:pStyle w:val="Compact"/>
        <w:numPr>
          <w:ilvl w:val="0"/>
          <w:numId w:val="1758"/>
        </w:numPr>
      </w:pPr>
      <w:r>
        <w:t xml:space="preserve">DSM-IV ‘Feeding Disorder of Infancy or Early Childhood’ — only in children.</w:t>
      </w:r>
    </w:p>
    <w:p>
      <w:pPr>
        <w:pStyle w:val="Compact"/>
        <w:numPr>
          <w:ilvl w:val="0"/>
          <w:numId w:val="1758"/>
        </w:numPr>
      </w:pPr>
      <w:r>
        <w:t xml:space="preserve">DSM-5 (2013) — ARFID expanded to all ages.</w:t>
      </w:r>
    </w:p>
    <w:bookmarkEnd w:id="1532"/>
    <w:bookmarkStart w:id="1533" w:name="Xa137b27380e966d62db7079d259cfdddbb4d27c"/>
    <w:p>
      <w:pPr>
        <w:pStyle w:val="Heading3"/>
      </w:pPr>
      <w:r>
        <w:t xml:space="preserve">3. Epidemiology</w:t>
      </w:r>
    </w:p>
    <w:p>
      <w:pPr>
        <w:pStyle w:val="Compact"/>
        <w:numPr>
          <w:ilvl w:val="0"/>
          <w:numId w:val="1759"/>
        </w:numPr>
      </w:pPr>
      <w:r>
        <w:t xml:space="preserve">Prevalence: 0.3–3.2% (~5–14% in eating disorder clinics).</w:t>
      </w:r>
    </w:p>
    <w:p>
      <w:pPr>
        <w:pStyle w:val="Compact"/>
        <w:numPr>
          <w:ilvl w:val="0"/>
          <w:numId w:val="1759"/>
        </w:numPr>
      </w:pPr>
      <w:r>
        <w:t xml:space="preserve">Sex: approximately equal (unlike anorexia).</w:t>
      </w:r>
    </w:p>
    <w:p>
      <w:pPr>
        <w:pStyle w:val="Compact"/>
        <w:numPr>
          <w:ilvl w:val="0"/>
          <w:numId w:val="1759"/>
        </w:numPr>
      </w:pPr>
      <w:r>
        <w:t xml:space="preserve">Onset: predominantly in childhood and adolescence.</w:t>
      </w:r>
    </w:p>
    <w:p>
      <w:pPr>
        <w:pStyle w:val="Compact"/>
        <w:numPr>
          <w:ilvl w:val="0"/>
          <w:numId w:val="1759"/>
        </w:numPr>
      </w:pPr>
      <w:r>
        <w:t xml:space="preserve">Comorbidity: autism spectrum, anxiety, OCD.</w:t>
      </w:r>
    </w:p>
    <w:bookmarkEnd w:id="1533"/>
    <w:bookmarkStart w:id="1534" w:name="X2fa317540c97c6db9816307a1074c227a40cb12"/>
    <w:p>
      <w:pPr>
        <w:pStyle w:val="Heading3"/>
      </w:pPr>
      <w:r>
        <w:t xml:space="preserve">4. Aetiology and pathogenesis</w:t>
      </w:r>
    </w:p>
    <w:p>
      <w:pPr>
        <w:pStyle w:val="Compact"/>
        <w:numPr>
          <w:ilvl w:val="0"/>
          <w:numId w:val="1760"/>
        </w:numPr>
      </w:pPr>
      <w:r>
        <w:t xml:space="preserve">Sensory sensitivity (food texture, smell, appearance) — especially on autism background.</w:t>
      </w:r>
    </w:p>
    <w:p>
      <w:pPr>
        <w:pStyle w:val="Compact"/>
        <w:numPr>
          <w:ilvl w:val="0"/>
          <w:numId w:val="1760"/>
        </w:numPr>
      </w:pPr>
      <w:r>
        <w:t xml:space="preserve">Fear of choking or vomiting trauma.</w:t>
      </w:r>
    </w:p>
    <w:p>
      <w:pPr>
        <w:pStyle w:val="Compact"/>
        <w:numPr>
          <w:ilvl w:val="0"/>
          <w:numId w:val="1760"/>
        </w:numPr>
      </w:pPr>
      <w:r>
        <w:t xml:space="preserve">Low interest in food (low appetite, low food interest).</w:t>
      </w:r>
    </w:p>
    <w:bookmarkEnd w:id="1534"/>
    <w:bookmarkStart w:id="1536" w:name="X98d98e186408f850e0d3b0985d1dfe09f2eb3dd"/>
    <w:p>
      <w:pPr>
        <w:pStyle w:val="Heading3"/>
      </w:pPr>
      <w:r>
        <w:t xml:space="preserve">5. Clinical features</w:t>
      </w:r>
    </w:p>
    <w:bookmarkStart w:id="1535" w:name="three-clinical-presentations"/>
    <w:p>
      <w:pPr>
        <w:pStyle w:val="Heading4"/>
      </w:pPr>
      <w:r>
        <w:t xml:space="preserve">Three clinical presentations</w:t>
      </w:r>
    </w:p>
    <w:p>
      <w:pPr>
        <w:pStyle w:val="Compact"/>
        <w:numPr>
          <w:ilvl w:val="0"/>
          <w:numId w:val="1761"/>
        </w:numPr>
      </w:pPr>
      <w:r>
        <w:t xml:space="preserve">Sensory sensitivity — “picky eating” – limited food variety, texture sensitivity.</w:t>
      </w:r>
    </w:p>
    <w:p>
      <w:pPr>
        <w:pStyle w:val="Compact"/>
        <w:numPr>
          <w:ilvl w:val="0"/>
          <w:numId w:val="1761"/>
        </w:numPr>
      </w:pPr>
      <w:r>
        <w:t xml:space="preserve">Low interest in food — low hunger, little interest triggered by food.</w:t>
      </w:r>
    </w:p>
    <w:p>
      <w:pPr>
        <w:pStyle w:val="Compact"/>
        <w:numPr>
          <w:ilvl w:val="0"/>
          <w:numId w:val="1761"/>
        </w:numPr>
      </w:pPr>
      <w:r>
        <w:t xml:space="preserve">Fear (choking, vomiting) — avoidance following a specific triggering event.</w:t>
      </w:r>
    </w:p>
    <w:p>
      <w:pPr>
        <w:pStyle w:val="FirstParagraph"/>
      </w:pPr>
      <w:r>
        <w:t xml:space="preserve">Results: significant weight loss or insufficient weight gain (in children), nutritional deficiencies (iron, zinc, vitamins), dependence on enteral feeding, social disruption (school meals, eating with peers).</w:t>
      </w:r>
    </w:p>
    <w:bookmarkEnd w:id="1535"/>
    <w:bookmarkEnd w:id="1536"/>
    <w:bookmarkStart w:id="1541" w:name="X3bc81552d4967ab3f5fcf5e82bd79519a71bbd2"/>
    <w:p>
      <w:pPr>
        <w:pStyle w:val="Heading3"/>
      </w:pPr>
      <w:r>
        <w:t xml:space="preserve">6. Diagnosis</w:t>
      </w:r>
    </w:p>
    <w:bookmarkStart w:id="1537" w:name="unified-diagnostic-criteria-29"/>
    <w:p>
      <w:pPr>
        <w:pStyle w:val="Heading4"/>
      </w:pPr>
      <w:r>
        <w:t xml:space="preserve">6.1 Unified diagnostic criteria</w:t>
      </w:r>
    </w:p>
    <w:p>
      <w:pPr>
        <w:pStyle w:val="FirstParagraph"/>
      </w:pPr>
      <w:r>
        <w:t xml:space="preserve">A. As a result of avoidance or restriction of food intake, at least one of:</w:t>
      </w:r>
    </w:p>
    <w:p>
      <w:pPr>
        <w:pStyle w:val="Compact"/>
        <w:numPr>
          <w:ilvl w:val="0"/>
          <w:numId w:val="1762"/>
        </w:numPr>
      </w:pPr>
      <w:r>
        <w:t xml:space="preserve">Significant weight loss or failure to achieve adequate weight gain;</w:t>
      </w:r>
    </w:p>
    <w:p>
      <w:pPr>
        <w:pStyle w:val="Compact"/>
        <w:numPr>
          <w:ilvl w:val="0"/>
          <w:numId w:val="1762"/>
        </w:numPr>
      </w:pPr>
      <w:r>
        <w:t xml:space="preserve">Significant nutritional deficiency;</w:t>
      </w:r>
    </w:p>
    <w:p>
      <w:pPr>
        <w:pStyle w:val="Compact"/>
        <w:numPr>
          <w:ilvl w:val="0"/>
          <w:numId w:val="1762"/>
        </w:numPr>
      </w:pPr>
      <w:r>
        <w:t xml:space="preserve">Enteral feeding or oral nutritional supplement dependence;</w:t>
      </w:r>
    </w:p>
    <w:p>
      <w:pPr>
        <w:pStyle w:val="Compact"/>
        <w:numPr>
          <w:ilvl w:val="0"/>
          <w:numId w:val="1762"/>
        </w:numPr>
      </w:pPr>
      <w:r>
        <w:t xml:space="preserve">Significant psychosocial impairment.</w:t>
      </w:r>
    </w:p>
    <w:p>
      <w:pPr>
        <w:pStyle w:val="FirstParagraph"/>
      </w:pPr>
      <w:r>
        <w:t xml:space="preserve">B. Disorder not explained by existing nutritional deficiency or cultural experience.</w:t>
      </w:r>
    </w:p>
    <w:p>
      <w:pPr>
        <w:pStyle w:val="BodyText"/>
      </w:pPr>
      <w:r>
        <w:t xml:space="preserve">C. Does not occur in the context of anorexia or bulimia; no body image disturbance.</w:t>
      </w:r>
    </w:p>
    <w:p>
      <w:pPr>
        <w:pStyle w:val="BodyText"/>
      </w:pPr>
      <w:r>
        <w:t xml:space="preserve">D. Not better explained by another medical or mental condition (e.g., allergy, OCD).</w:t>
      </w:r>
    </w:p>
    <w:bookmarkEnd w:id="1537"/>
    <w:bookmarkStart w:id="1538" w:name="differences-between-sources-87"/>
    <w:p>
      <w:pPr>
        <w:pStyle w:val="Heading4"/>
      </w:pPr>
      <w:r>
        <w:t xml:space="preserve">6.2 Differences between sources</w:t>
      </w:r>
    </w:p>
    <w:p>
      <w:pPr>
        <w:pStyle w:val="Compact"/>
        <w:numPr>
          <w:ilvl w:val="0"/>
          <w:numId w:val="1763"/>
        </w:numPr>
      </w:pPr>
      <w:r>
        <w:t xml:space="preserve">DSM-5-TR / ICD-11 — same.</w:t>
      </w:r>
    </w:p>
    <w:p>
      <w:pPr>
        <w:pStyle w:val="Compact"/>
        <w:numPr>
          <w:ilvl w:val="0"/>
          <w:numId w:val="1763"/>
        </w:numPr>
      </w:pPr>
      <w:r>
        <w:t xml:space="preserve">NICE NG69 — specific intervention rules for ARFID.</w:t>
      </w:r>
    </w:p>
    <w:bookmarkEnd w:id="1538"/>
    <w:bookmarkStart w:id="1539" w:name="diagnostic-algorithm-49"/>
    <w:p>
      <w:pPr>
        <w:pStyle w:val="Heading4"/>
      </w:pPr>
      <w:r>
        <w:t xml:space="preserve">6.3 Diagnostic algorithm</w:t>
      </w:r>
    </w:p>
    <w:p>
      <w:pPr>
        <w:pStyle w:val="Compact"/>
        <w:numPr>
          <w:ilvl w:val="0"/>
          <w:numId w:val="1764"/>
        </w:numPr>
      </w:pPr>
      <w:r>
        <w:t xml:space="preserve">Clinical interview and dietary history.</w:t>
      </w:r>
    </w:p>
    <w:p>
      <w:pPr>
        <w:pStyle w:val="Compact"/>
        <w:numPr>
          <w:ilvl w:val="0"/>
          <w:numId w:val="1764"/>
        </w:numPr>
      </w:pPr>
      <w:r>
        <w:t xml:space="preserve">NIAS (Nine Item ARFID Screen) — screening.</w:t>
      </w:r>
    </w:p>
    <w:p>
      <w:pPr>
        <w:pStyle w:val="Compact"/>
        <w:numPr>
          <w:ilvl w:val="0"/>
          <w:numId w:val="1764"/>
        </w:numPr>
      </w:pPr>
      <w:r>
        <w:t xml:space="preserve">Medical evaluation — weight, height, BMI, laboratory nutritional deficiency.</w:t>
      </w:r>
    </w:p>
    <w:p>
      <w:pPr>
        <w:pStyle w:val="Compact"/>
        <w:numPr>
          <w:ilvl w:val="0"/>
          <w:numId w:val="1764"/>
        </w:numPr>
      </w:pPr>
      <w:r>
        <w:t xml:space="preserve">Screening for autism and OCD.</w:t>
      </w:r>
    </w:p>
    <w:p>
      <w:pPr>
        <w:pStyle w:val="Compact"/>
        <w:numPr>
          <w:ilvl w:val="0"/>
          <w:numId w:val="1764"/>
        </w:numPr>
      </w:pPr>
      <w:r>
        <w:t xml:space="preserve">Exclusion of allergy and GI pathology.</w:t>
      </w:r>
    </w:p>
    <w:bookmarkEnd w:id="1539"/>
    <w:bookmarkStart w:id="1540" w:name="differential-diagnosis-5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Body image and weight fear are central.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Sensory sensitivity component; ARFID can be comorbid with ASD.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Contamination obsessions primary; ritualized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phobia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object; multiple food types in ARFID.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Allergy / Crohn's / celiac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confirmation.</w:t>
            </w:r>
          </w:p>
        </w:tc>
      </w:tr>
    </w:tbl>
    <w:bookmarkEnd w:id="1540"/>
    <w:bookmarkEnd w:id="1541"/>
    <w:bookmarkStart w:id="1542" w:name="X2ce72ed7a83be5b11c8cb83aa45c3030bd5cc66"/>
    <w:p>
      <w:pPr>
        <w:pStyle w:val="Heading3"/>
      </w:pPr>
      <w:r>
        <w:t xml:space="preserve">7. Examination and assessment</w:t>
      </w:r>
    </w:p>
    <w:p>
      <w:pPr>
        <w:pStyle w:val="Compact"/>
        <w:numPr>
          <w:ilvl w:val="0"/>
          <w:numId w:val="1765"/>
        </w:numPr>
      </w:pPr>
      <w:r>
        <w:t xml:space="preserve">NIAS, EDE-Q.</w:t>
      </w:r>
    </w:p>
    <w:p>
      <w:pPr>
        <w:pStyle w:val="Compact"/>
        <w:numPr>
          <w:ilvl w:val="0"/>
          <w:numId w:val="1765"/>
        </w:numPr>
      </w:pPr>
      <w:r>
        <w:t xml:space="preserve">Weight, height, BMI history.</w:t>
      </w:r>
    </w:p>
    <w:p>
      <w:pPr>
        <w:pStyle w:val="Compact"/>
        <w:numPr>
          <w:ilvl w:val="0"/>
          <w:numId w:val="1765"/>
        </w:numPr>
      </w:pPr>
      <w:r>
        <w:t xml:space="preserve">Laboratory: complete blood count, ferritin, zinc, vitamin D, B12, folate.</w:t>
      </w:r>
    </w:p>
    <w:p>
      <w:pPr>
        <w:pStyle w:val="Compact"/>
        <w:numPr>
          <w:ilvl w:val="0"/>
          <w:numId w:val="1765"/>
        </w:numPr>
      </w:pPr>
      <w:r>
        <w:t xml:space="preserve">Autism screening (M-CHAT, ADOS).</w:t>
      </w:r>
    </w:p>
    <w:bookmarkEnd w:id="1542"/>
    <w:bookmarkStart w:id="1545" w:name="X3a24add84e78ce29f147d40eb1c194c5a59dd58"/>
    <w:p>
      <w:pPr>
        <w:pStyle w:val="Heading3"/>
      </w:pPr>
      <w:r>
        <w:t xml:space="preserve">8. Treatment</w:t>
      </w:r>
    </w:p>
    <w:p>
      <w:pPr>
        <w:pStyle w:val="Compact"/>
        <w:numPr>
          <w:ilvl w:val="0"/>
          <w:numId w:val="1766"/>
        </w:numPr>
      </w:pPr>
      <w:r>
        <w:t xml:space="preserve">Multidisciplinary approach: nutritionist + CBT therapist + feeding-occupational therapist.</w:t>
      </w:r>
    </w:p>
    <w:p>
      <w:pPr>
        <w:pStyle w:val="Compact"/>
        <w:numPr>
          <w:ilvl w:val="0"/>
          <w:numId w:val="1766"/>
        </w:numPr>
      </w:pPr>
      <w:r>
        <w:t xml:space="preserve">FBT-ARFID — adapted by Lock J.</w:t>
      </w:r>
    </w:p>
    <w:p>
      <w:pPr>
        <w:pStyle w:val="Compact"/>
        <w:numPr>
          <w:ilvl w:val="0"/>
          <w:numId w:val="1766"/>
        </w:numPr>
      </w:pPr>
      <w:r>
        <w:t xml:space="preserve">CBT-AR — Cognitive Behavioral Therapy for ARFID (Thomas J.J.) — manualized.</w:t>
      </w:r>
    </w:p>
    <w:p>
      <w:pPr>
        <w:pStyle w:val="Compact"/>
        <w:numPr>
          <w:ilvl w:val="0"/>
          <w:numId w:val="1766"/>
        </w:numPr>
      </w:pPr>
      <w:r>
        <w:t xml:space="preserve">Stepped food exposure — gradual introduction of new food types.</w:t>
      </w:r>
    </w:p>
    <w:p>
      <w:pPr>
        <w:pStyle w:val="Compact"/>
        <w:numPr>
          <w:ilvl w:val="0"/>
          <w:numId w:val="1766"/>
        </w:numPr>
      </w:pPr>
      <w:r>
        <w:t xml:space="preserve">Sensory integration elements (on autism background).</w:t>
      </w:r>
    </w:p>
    <w:p>
      <w:pPr>
        <w:pStyle w:val="Compact"/>
        <w:numPr>
          <w:ilvl w:val="0"/>
          <w:numId w:val="1766"/>
        </w:numPr>
      </w:pPr>
      <w:r>
        <w:t xml:space="preserve">Medical: nutritional correction; severe case enteral feeding.</w:t>
      </w:r>
    </w:p>
    <w:p>
      <w:pPr>
        <w:pStyle w:val="Compact"/>
        <w:numPr>
          <w:ilvl w:val="0"/>
          <w:numId w:val="1766"/>
        </w:numPr>
      </w:pPr>
      <w:r>
        <w:t xml:space="preserve">SSRIs for comorbid anxiety; no FDA-approved specific medication for ARFID.</w:t>
      </w:r>
    </w:p>
    <w:bookmarkStart w:id="1543" w:name="treatment-methods-48"/>
    <w:p>
      <w:pPr>
        <w:pStyle w:val="Heading4"/>
      </w:pPr>
      <w:r>
        <w:t xml:space="preserve">8.1 Treatment methods</w:t>
      </w:r>
    </w:p>
    <w:p>
      <w:pPr>
        <w:pStyle w:val="Compact"/>
        <w:numPr>
          <w:ilvl w:val="0"/>
          <w:numId w:val="1767"/>
        </w:numPr>
      </w:pPr>
      <w:r>
        <w:t xml:space="preserve">CBT for ARFID (CBT-AR — CBT for ARFID) — Thomas (Thomas J.J.) — Manualized; protocols tailored to sensory, low interest, fear subtypes.</w:t>
      </w:r>
    </w:p>
    <w:p>
      <w:pPr>
        <w:pStyle w:val="Compact"/>
        <w:numPr>
          <w:ilvl w:val="0"/>
          <w:numId w:val="1767"/>
        </w:numPr>
      </w:pPr>
      <w:r>
        <w:t xml:space="preserve">FBT-ARFID — The role of the family in the exposure to food.</w:t>
      </w:r>
    </w:p>
    <w:p>
      <w:pPr>
        <w:pStyle w:val="Compact"/>
        <w:numPr>
          <w:ilvl w:val="0"/>
          <w:numId w:val="1767"/>
        </w:numPr>
      </w:pPr>
      <w:r>
        <w:t xml:space="preserve">Stepped Food Exposure — New food approach → touch → taste → swallow steps.</w:t>
      </w:r>
    </w:p>
    <w:p>
      <w:pPr>
        <w:pStyle w:val="Compact"/>
        <w:numPr>
          <w:ilvl w:val="0"/>
          <w:numId w:val="1767"/>
        </w:numPr>
      </w:pPr>
      <w:r>
        <w:t xml:space="preserve">Nine-Item ARFID Screen (NIAS — Nine Item ARFID Screen) — 3 subtype screening.</w:t>
      </w:r>
    </w:p>
    <w:bookmarkEnd w:id="1543"/>
    <w:bookmarkStart w:id="1544" w:name="differences-between-sources-88"/>
    <w:p>
      <w:pPr>
        <w:pStyle w:val="Heading4"/>
      </w:pPr>
      <w:r>
        <w:t xml:space="preserve">8.2 Differences between sources</w:t>
      </w:r>
    </w:p>
    <w:p>
      <w:pPr>
        <w:pStyle w:val="Compact"/>
        <w:numPr>
          <w:ilvl w:val="0"/>
          <w:numId w:val="1768"/>
        </w:numPr>
      </w:pPr>
      <w:r>
        <w:t xml:space="preserve">NICE NG69 — graded food exposure.</w:t>
      </w:r>
    </w:p>
    <w:p>
      <w:pPr>
        <w:pStyle w:val="Compact"/>
        <w:numPr>
          <w:ilvl w:val="0"/>
          <w:numId w:val="1768"/>
        </w:numPr>
      </w:pPr>
      <w:r>
        <w:t xml:space="preserve">Thomas J.J. CBT-AR — a new evidence base.</w:t>
      </w:r>
    </w:p>
    <w:bookmarkEnd w:id="1544"/>
    <w:bookmarkEnd w:id="1545"/>
    <w:bookmarkStart w:id="1546" w:name="X787499d943f9b5b48484ae8b522a5c7475425f7"/>
    <w:p>
      <w:pPr>
        <w:pStyle w:val="Heading3"/>
      </w:pPr>
      <w:r>
        <w:t xml:space="preserve">9. Prognosis</w:t>
      </w:r>
    </w:p>
    <w:p>
      <w:pPr>
        <w:pStyle w:val="Compact"/>
        <w:numPr>
          <w:ilvl w:val="0"/>
          <w:numId w:val="1769"/>
        </w:numPr>
      </w:pPr>
      <w:r>
        <w:t xml:space="preserve">With a multidisciplinary approach, improvement in most patients.</w:t>
      </w:r>
    </w:p>
    <w:p>
      <w:pPr>
        <w:pStyle w:val="Compact"/>
        <w:numPr>
          <w:ilvl w:val="0"/>
          <w:numId w:val="1769"/>
        </w:numPr>
      </w:pPr>
      <w:r>
        <w:t xml:space="preserve">Long-term follow-up in the context of autism and OCD.</w:t>
      </w:r>
    </w:p>
    <w:bookmarkEnd w:id="1546"/>
    <w:bookmarkStart w:id="1552" w:name="X6f9abbdb3f470ac58adc5a4ef6384ec7e4434f9"/>
    <w:p>
      <w:pPr>
        <w:pStyle w:val="Heading3"/>
      </w:pPr>
      <w:r>
        <w:t xml:space="preserve">10. Myths and misconceptions</w:t>
      </w:r>
    </w:p>
    <w:bookmarkStart w:id="1547" w:name="myth-1-arfid-is-just-picky-eating"/>
    <w:p>
      <w:pPr>
        <w:pStyle w:val="Heading5"/>
      </w:pPr>
      <w:r>
        <w:t xml:space="preserve">Myth 1: “ARFID is just ‘picky eating’”</w:t>
      </w:r>
    </w:p>
    <w:p>
      <w:pPr>
        <w:pStyle w:val="FirstParagraph"/>
      </w:pPr>
      <w:r>
        <w:t xml:space="preserve">Evidence: Clinical diagnosis requires significant functional impairment or nutritional deficiency.</w:t>
      </w:r>
    </w:p>
    <w:bookmarkEnd w:id="1547"/>
    <w:bookmarkStart w:id="1548" w:name="X54c9fb63189489bf08560bc36dd2ee370e4a1c7"/>
    <w:p>
      <w:pPr>
        <w:pStyle w:val="Heading5"/>
      </w:pPr>
      <w:r>
        <w:t xml:space="preserve">Myth 2: “The patient can be forced to eat by starvation”</w:t>
      </w:r>
    </w:p>
    <w:p>
      <w:pPr>
        <w:pStyle w:val="FirstParagraph"/>
      </w:pPr>
      <w:r>
        <w:t xml:space="preserve">Evidence: Hunger strategy ineffective in ARFID and harmful to family-child relationship; stepwise exposure recommended.</w:t>
      </w:r>
    </w:p>
    <w:bookmarkEnd w:id="1548"/>
    <w:bookmarkStart w:id="1549" w:name="myth-3-arfid-is-a-mild-form-of-anorexia"/>
    <w:p>
      <w:pPr>
        <w:pStyle w:val="Heading5"/>
      </w:pPr>
      <w:r>
        <w:t xml:space="preserve">Myth 3: “ARFID is a ‘mild form’ of anorexia”</w:t>
      </w:r>
    </w:p>
    <w:p>
      <w:pPr>
        <w:pStyle w:val="FirstParagraph"/>
      </w:pPr>
      <w:r>
        <w:t xml:space="preserve">Evidence: distinct clinical unit; body image disturbance and weight concern absent; intervention differs.</w:t>
      </w:r>
    </w:p>
    <w:bookmarkEnd w:id="1549"/>
    <w:bookmarkStart w:id="1550" w:name="Xd311f9a5d06734bab3b2b0131cdfcff6fee8eba"/>
    <w:p>
      <w:pPr>
        <w:pStyle w:val="Heading5"/>
      </w:pPr>
      <w:r>
        <w:t xml:space="preserve">Myth 4: “ARFID on the autism spectrum cannot be treated”</w:t>
      </w:r>
    </w:p>
    <w:p>
      <w:pPr>
        <w:pStyle w:val="FirstParagraph"/>
      </w:pPr>
      <w:r>
        <w:t xml:space="preserve">Evidence: sensory integration and behavioral approaches are also effective in the context of autism.</w:t>
      </w:r>
    </w:p>
    <w:bookmarkEnd w:id="1550"/>
    <w:bookmarkStart w:id="1551" w:name="myth-5-the-patient-will-outgrow-it"/>
    <w:p>
      <w:pPr>
        <w:pStyle w:val="Heading5"/>
      </w:pPr>
      <w:r>
        <w:t xml:space="preserve">Myth 5: “The patient will outgrow it”</w:t>
      </w:r>
    </w:p>
    <w:p>
      <w:pPr>
        <w:pStyle w:val="FirstParagraph"/>
      </w:pPr>
      <w:r>
        <w:t xml:space="preserve">Evidence: It can progress without treatment; early intervention prevents nutritional complications.</w:t>
      </w:r>
    </w:p>
    <w:bookmarkEnd w:id="1551"/>
    <w:bookmarkEnd w:id="1552"/>
    <w:bookmarkStart w:id="1553" w:name="X76799fe0cfde3a87e9d68a9f1838872676194c4"/>
    <w:p>
      <w:pPr>
        <w:pStyle w:val="Heading3"/>
      </w:pPr>
      <w:r>
        <w:t xml:space="preserve">11. Sources</w:t>
      </w:r>
    </w:p>
    <w:p>
      <w:pPr>
        <w:pStyle w:val="Compact"/>
        <w:numPr>
          <w:ilvl w:val="0"/>
          <w:numId w:val="1770"/>
        </w:numPr>
      </w:pPr>
      <w:r>
        <w:t xml:space="preserve">WHO. ICD-11. 6B83 ARFID. 2024.</w:t>
      </w:r>
    </w:p>
    <w:p>
      <w:pPr>
        <w:pStyle w:val="Compact"/>
        <w:numPr>
          <w:ilvl w:val="0"/>
          <w:numId w:val="1770"/>
        </w:numPr>
      </w:pPr>
      <w:r>
        <w:t xml:space="preserve">APA. DSM-5-TR. 2022.</w:t>
      </w:r>
    </w:p>
    <w:p>
      <w:pPr>
        <w:pStyle w:val="Compact"/>
        <w:numPr>
          <w:ilvl w:val="0"/>
          <w:numId w:val="1770"/>
        </w:numPr>
      </w:pPr>
      <w:r>
        <w:t xml:space="preserve">NICE NG69. 2017/2020.</w:t>
      </w:r>
    </w:p>
    <w:p>
      <w:pPr>
        <w:pStyle w:val="Compact"/>
        <w:numPr>
          <w:ilvl w:val="0"/>
          <w:numId w:val="1770"/>
        </w:numPr>
      </w:pPr>
      <w:r>
        <w:t xml:space="preserve">Thomas J.J., Eddy K.T. Cognitive-Behavioral Therapy for ARFID. Cambridge University Press; 2018.</w:t>
      </w:r>
    </w:p>
    <w:p>
      <w:pPr>
        <w:pStyle w:val="Compact"/>
        <w:numPr>
          <w:ilvl w:val="0"/>
          <w:numId w:val="1770"/>
        </w:numPr>
      </w:pPr>
      <w:r>
        <w:t xml:space="preserve">Zickgraf H.F., Ellis J.M. Initial validation of the Nine Item Avoidant/Restrictive Food Intake Disorder Screen (NIAS). Appetite 2018;123:32–42.</w:t>
      </w:r>
    </w:p>
    <w:p>
      <w:pPr>
        <w:pStyle w:val="Compact"/>
        <w:numPr>
          <w:ilvl w:val="0"/>
          <w:numId w:val="1770"/>
        </w:numPr>
      </w:pPr>
      <w:r>
        <w:t xml:space="preserve">Lock J., Le Grange D. Treatment Manual for Anorexia Nervosa: A Family-Based Approach. 2nd ed. New York: Guilford Press, 2013.</w:t>
      </w:r>
    </w:p>
    <w:bookmarkEnd w:id="1553"/>
    <w:bookmarkStart w:id="1554" w:name="m626c006c0z-elimination-disorders"/>
    <w:p>
      <w:pPr>
        <w:pageBreakBefore/>
        <w:pStyle w:val="Heading1"/>
      </w:pPr>
      <w:r>
        <w:t xml:space="preserve">6C00–6C0Z ELIMINATION DISORDERS</w:t>
      </w:r>
    </w:p>
    <w:p>
      <w:pPr>
        <w:pStyle w:val="FirstParagraph"/>
      </w:pPr>
      <w:r>
        <w:t xml:space="preserve">Elimination disorders</w:t>
      </w:r>
    </w:p>
    <w:bookmarkEnd w:id="155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55" w:name="m636c00-enuresis"/>
            <w:r>
              <w:t xml:space="preserve">6C00 ENURESIS</w:t>
            </w:r>
            <w:bookmarkEnd w:id="1555"/>
          </w:p>
          <w:p>
            <w:pPr>
              <w:pStyle w:val="Compact"/>
              <w:ind w:firstLine="0" w:left="0"/>
            </w:pPr>
            <w:r>
              <w:rPr>
                <w:lang w:val="en"/>
              </w:rPr>
              <w:t xml:space="preserve">Enuresis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Nonorganic enuresis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Enuresis</w:t>
            </w:r>
          </w:p>
        </w:tc>
      </w:tr>
    </w:tbl>
    <w:bookmarkStart w:id="1556" w:name="Xc2a3ab1f0eb49cda7ad070b88df1406d65fb974"/>
    <w:p>
      <w:pPr>
        <w:pStyle w:val="Heading3"/>
      </w:pPr>
      <w:r>
        <w:t xml:space="preserve">1. Definition and nosology</w:t>
      </w:r>
    </w:p>
    <w:p>
      <w:pPr>
        <w:pStyle w:val="FirstParagraph"/>
      </w:pPr>
      <w:r>
        <w:t xml:space="preserve">Enuresis (ICD-11:</w:t>
      </w:r>
      <w:r>
        <w:t xml:space="preserve"> </w:t>
      </w:r>
      <w:r>
        <w:t xml:space="preserve">6C00</w:t>
      </w:r>
      <w:r>
        <w:t xml:space="preserve">; DSM-5-TR: F98.0) — involuntary urination persisting when the child's developmental age reaches at least 5 years. Frequency: at least twice a week for ≥ 3 months or significant functional impairment.</w:t>
      </w:r>
    </w:p>
    <w:p>
      <w:pPr>
        <w:pStyle w:val="BodyText"/>
      </w:pPr>
      <w:r>
        <w:t xml:space="preserve">Subtypes (ICCS — International Children's Continence Society 2014):</w:t>
      </w:r>
    </w:p>
    <w:p>
      <w:pPr>
        <w:pStyle w:val="Compact"/>
        <w:numPr>
          <w:ilvl w:val="0"/>
          <w:numId w:val="1771"/>
        </w:numPr>
      </w:pPr>
      <w:r>
        <w:t xml:space="preserve">Monosymptomatic nocturnal enuresis — only nocturnal, no daytime symptoms;</w:t>
      </w:r>
    </w:p>
    <w:p>
      <w:pPr>
        <w:pStyle w:val="Compact"/>
        <w:numPr>
          <w:ilvl w:val="0"/>
          <w:numId w:val="1771"/>
        </w:numPr>
      </w:pPr>
      <w:r>
        <w:t xml:space="preserve">Non-monosymptomatic enuresis — daytime symptoms (urgency, increased frequency, incontinence) additional;</w:t>
      </w:r>
    </w:p>
    <w:p>
      <w:pPr>
        <w:pStyle w:val="Compact"/>
        <w:numPr>
          <w:ilvl w:val="0"/>
          <w:numId w:val="1771"/>
        </w:numPr>
      </w:pPr>
      <w:r>
        <w:t xml:space="preserve">Primary — child has never achieved 6 months of sustained dryness;</w:t>
      </w:r>
    </w:p>
    <w:p>
      <w:pPr>
        <w:pStyle w:val="Compact"/>
        <w:numPr>
          <w:ilvl w:val="0"/>
          <w:numId w:val="1771"/>
        </w:numPr>
      </w:pPr>
      <w:r>
        <w:t xml:space="preserve">Secondary — relapse after a dry period.</w:t>
      </w:r>
    </w:p>
    <w:bookmarkEnd w:id="1556"/>
    <w:bookmarkStart w:id="1557" w:name="X7e70b7dfc96d4c16293475df38cfaa2e9eb4703"/>
    <w:p>
      <w:pPr>
        <w:pStyle w:val="Heading3"/>
      </w:pPr>
      <w:r>
        <w:t xml:space="preserve">2. History</w:t>
      </w:r>
    </w:p>
    <w:p>
      <w:pPr>
        <w:pStyle w:val="Compact"/>
        <w:numPr>
          <w:ilvl w:val="0"/>
          <w:numId w:val="1772"/>
        </w:numPr>
      </w:pPr>
      <w:r>
        <w:t xml:space="preserve">In the 19th century, familial clustering of enuresis began to be noted in the clinical literature.</w:t>
      </w:r>
    </w:p>
    <w:p>
      <w:pPr>
        <w:pStyle w:val="Compact"/>
        <w:numPr>
          <w:ilvl w:val="0"/>
          <w:numId w:val="1772"/>
        </w:numPr>
      </w:pPr>
      <w:r>
        <w:t xml:space="preserve">Mowrer O.H. (1938) — invented the pad-and-bell alarm.</w:t>
      </w:r>
    </w:p>
    <w:p>
      <w:pPr>
        <w:pStyle w:val="Compact"/>
        <w:numPr>
          <w:ilvl w:val="0"/>
          <w:numId w:val="1772"/>
        </w:numPr>
      </w:pPr>
      <w:r>
        <w:t xml:space="preserve">ICCS (1989) — international standardization.</w:t>
      </w:r>
    </w:p>
    <w:p>
      <w:pPr>
        <w:pStyle w:val="Compact"/>
        <w:numPr>
          <w:ilvl w:val="0"/>
          <w:numId w:val="1772"/>
        </w:numPr>
      </w:pPr>
      <w:r>
        <w:t xml:space="preserve">NICE CG111 (2010) — nocturnal enuresis clinical guideline.</w:t>
      </w:r>
    </w:p>
    <w:bookmarkEnd w:id="1557"/>
    <w:bookmarkStart w:id="1558" w:name="X3cc2b5fa537d4b70df8604ec533880113020acf"/>
    <w:p>
      <w:pPr>
        <w:pStyle w:val="Heading3"/>
      </w:pPr>
      <w:r>
        <w:t xml:space="preserve">3. Epidemiology</w:t>
      </w:r>
    </w:p>
    <w:p>
      <w:pPr>
        <w:pStyle w:val="Compact"/>
        <w:numPr>
          <w:ilvl w:val="0"/>
          <w:numId w:val="1773"/>
        </w:numPr>
      </w:pPr>
      <w:r>
        <w:t xml:space="preserve">Prevalence: Age 5: 15–20%, Age 7: 5–10%, Age 10: 3–5%, Adults: 1–2%.</w:t>
      </w:r>
    </w:p>
    <w:p>
      <w:pPr>
        <w:pStyle w:val="Compact"/>
        <w:numPr>
          <w:ilvl w:val="0"/>
          <w:numId w:val="1773"/>
        </w:numPr>
      </w:pPr>
      <w:r>
        <w:t xml:space="preserve">Sex: male 2:1.</w:t>
      </w:r>
    </w:p>
    <w:p>
      <w:pPr>
        <w:pStyle w:val="Compact"/>
        <w:numPr>
          <w:ilvl w:val="0"/>
          <w:numId w:val="1773"/>
        </w:numPr>
      </w:pPr>
      <w:r>
        <w:t xml:space="preserve">Spontaneous remission occurs in approximately 15% per year.</w:t>
      </w:r>
    </w:p>
    <w:p>
      <w:pPr>
        <w:pStyle w:val="Compact"/>
        <w:numPr>
          <w:ilvl w:val="0"/>
          <w:numId w:val="1773"/>
        </w:numPr>
      </w:pPr>
      <w:r>
        <w:t xml:space="preserve">Comorbidity: ADHD ~30%, anxiety, conduct disorders, constipation.</w:t>
      </w:r>
    </w:p>
    <w:bookmarkEnd w:id="1558"/>
    <w:bookmarkStart w:id="1559" w:name="X8753be8f1d3cc48c8334fb16238090f8ed8df9d"/>
    <w:p>
      <w:pPr>
        <w:pStyle w:val="Heading3"/>
      </w:pPr>
      <w:r>
        <w:t xml:space="preserve">4. Aetiology and pathogenesis</w:t>
      </w:r>
    </w:p>
    <w:p>
      <w:pPr>
        <w:pStyle w:val="Compact"/>
        <w:numPr>
          <w:ilvl w:val="0"/>
          <w:numId w:val="1774"/>
        </w:numPr>
      </w:pPr>
      <w:r>
        <w:t xml:space="preserve">Heritability 70% (Bayoumi R.A. reviews).</w:t>
      </w:r>
    </w:p>
    <w:p>
      <w:pPr>
        <w:pStyle w:val="Compact"/>
        <w:numPr>
          <w:ilvl w:val="0"/>
          <w:numId w:val="1774"/>
        </w:numPr>
      </w:pPr>
      <w:r>
        <w:t xml:space="preserve">Monosymptomatic nocturnal</w:t>
      </w:r>
    </w:p>
    <w:p>
      <w:pPr>
        <w:pStyle w:val="Compact"/>
        <w:numPr>
          <w:ilvl w:val="1"/>
          <w:numId w:val="1775"/>
        </w:numPr>
      </w:pPr>
      <w:r>
        <w:t xml:space="preserve">Immaturity of nocturnal vasopressin (ADH) secretion (nocturnal polyuria);</w:t>
      </w:r>
    </w:p>
    <w:p>
      <w:pPr>
        <w:pStyle w:val="Compact"/>
        <w:numPr>
          <w:ilvl w:val="1"/>
          <w:numId w:val="1775"/>
        </w:numPr>
      </w:pPr>
      <w:r>
        <w:t xml:space="preserve">Elevation of arousal threshold;</w:t>
      </w:r>
    </w:p>
    <w:p>
      <w:pPr>
        <w:pStyle w:val="Compact"/>
        <w:numPr>
          <w:ilvl w:val="1"/>
          <w:numId w:val="1775"/>
        </w:numPr>
      </w:pPr>
      <w:r>
        <w:t xml:space="preserve">Bladder capacity below age norm.</w:t>
      </w:r>
    </w:p>
    <w:p>
      <w:pPr>
        <w:pStyle w:val="Compact"/>
        <w:numPr>
          <w:ilvl w:val="0"/>
          <w:numId w:val="1774"/>
        </w:numPr>
      </w:pPr>
      <w:r>
        <w:t xml:space="preserve">Non-monosymptomatic form — bladder overactivity, constipation association.</w:t>
      </w:r>
    </w:p>
    <w:p>
      <w:pPr>
        <w:pStyle w:val="Compact"/>
        <w:numPr>
          <w:ilvl w:val="0"/>
          <w:numId w:val="1774"/>
        </w:numPr>
      </w:pPr>
      <w:r>
        <w:t xml:space="preserve">Secondary enuresis — stress, urinary infection (UTI), diabetes, psychiatric trigger.</w:t>
      </w:r>
    </w:p>
    <w:bookmarkEnd w:id="1559"/>
    <w:bookmarkStart w:id="1560" w:name="Xa0d4bd577a8c3853a955deb4111082b4fcd65f2"/>
    <w:p>
      <w:pPr>
        <w:pStyle w:val="Heading3"/>
      </w:pPr>
      <w:r>
        <w:t xml:space="preserve">5. Clinical features</w:t>
      </w:r>
    </w:p>
    <w:p>
      <w:pPr>
        <w:pStyle w:val="Compact"/>
        <w:numPr>
          <w:ilvl w:val="0"/>
          <w:numId w:val="1776"/>
        </w:numPr>
      </w:pPr>
      <w:r>
        <w:t xml:space="preserve">Nocturnal enuresis.</w:t>
      </w:r>
    </w:p>
    <w:p>
      <w:pPr>
        <w:pStyle w:val="Compact"/>
        <w:numPr>
          <w:ilvl w:val="0"/>
          <w:numId w:val="1776"/>
        </w:numPr>
      </w:pPr>
      <w:r>
        <w:t xml:space="preserve">Daytime symptoms (non-monosymptomatic): urgency, holding maneuvers (Vincent's curtsy, leg crossing), increased frequency, incontinence.</w:t>
      </w:r>
    </w:p>
    <w:p>
      <w:pPr>
        <w:pStyle w:val="Compact"/>
        <w:numPr>
          <w:ilvl w:val="0"/>
          <w:numId w:val="1776"/>
        </w:numPr>
      </w:pPr>
      <w:r>
        <w:t xml:space="preserve">Social-emotional: shame, decreased self-esteem, avoidance of social activities (camping, sleepovers).</w:t>
      </w:r>
    </w:p>
    <w:bookmarkEnd w:id="1560"/>
    <w:bookmarkStart w:id="1565" w:name="X3c6bd8db3bf0d7954173875fda93bf71c18c174"/>
    <w:p>
      <w:pPr>
        <w:pStyle w:val="Heading3"/>
      </w:pPr>
      <w:r>
        <w:t xml:space="preserve">6. Diagnosis</w:t>
      </w:r>
    </w:p>
    <w:bookmarkStart w:id="1561" w:name="X870f04d8c48ad0141f86138fc4ddc35783c0b50"/>
    <w:p>
      <w:pPr>
        <w:pStyle w:val="Heading4"/>
      </w:pPr>
      <w:r>
        <w:t xml:space="preserve">6.1 Unified diagnostic criteria (DSM-5-TR / ICD-11 / ICCS 2014)</w:t>
      </w:r>
    </w:p>
    <w:p>
      <w:pPr>
        <w:pStyle w:val="FirstParagraph"/>
      </w:pPr>
      <w:r>
        <w:t xml:space="preserve">A. Repeated urinary incontinence (in bed or clothes), voluntary or involuntary.</w:t>
      </w:r>
    </w:p>
    <w:p>
      <w:pPr>
        <w:pStyle w:val="BodyText"/>
      </w:pPr>
      <w:r>
        <w:t xml:space="preserve">B. Frequency: ≥2 times per week, ≥3 months; or significant distress/functional impairment.</w:t>
      </w:r>
    </w:p>
    <w:p>
      <w:pPr>
        <w:pStyle w:val="BodyText"/>
      </w:pPr>
      <w:r>
        <w:t xml:space="preserve">C. Developmental age ≥ 5 years.</w:t>
      </w:r>
    </w:p>
    <w:p>
      <w:pPr>
        <w:pStyle w:val="BodyText"/>
      </w:pPr>
      <w:r>
        <w:t xml:space="preserve">D. Not fully explained by substance (diuretic) or medical condition (diabetes, UTI, structural anomaly).</w:t>
      </w:r>
    </w:p>
    <w:p>
      <w:pPr>
        <w:pStyle w:val="BodyText"/>
      </w:pPr>
      <w:r>
        <w:t xml:space="preserve">Qualifiers: only nocturnal / only diurnal / nocturnal and diurnal; primary / secondary; monosymptomatic / non-monosymptomatic.</w:t>
      </w:r>
    </w:p>
    <w:bookmarkEnd w:id="1561"/>
    <w:bookmarkStart w:id="1562" w:name="differences-between-sources-89"/>
    <w:p>
      <w:pPr>
        <w:pStyle w:val="Heading4"/>
      </w:pPr>
      <w:r>
        <w:t xml:space="preserve">6.2 Differences between sources</w:t>
      </w:r>
    </w:p>
    <w:p>
      <w:pPr>
        <w:pStyle w:val="Compact"/>
        <w:numPr>
          <w:ilvl w:val="0"/>
          <w:numId w:val="1777"/>
        </w:numPr>
      </w:pPr>
      <w:r>
        <w:t xml:space="preserve">ICCS 2014 — subtype terminology standard.</w:t>
      </w:r>
    </w:p>
    <w:p>
      <w:pPr>
        <w:pStyle w:val="Compact"/>
        <w:numPr>
          <w:ilvl w:val="0"/>
          <w:numId w:val="1777"/>
        </w:numPr>
      </w:pPr>
      <w:r>
        <w:t xml:space="preserve">NICE CG111 — diagnosis and algorithm.</w:t>
      </w:r>
    </w:p>
    <w:p>
      <w:pPr>
        <w:pStyle w:val="Compact"/>
        <w:numPr>
          <w:ilvl w:val="0"/>
          <w:numId w:val="1777"/>
        </w:numPr>
      </w:pPr>
      <w:r>
        <w:t xml:space="preserve">AAP — pediatric assessment.</w:t>
      </w:r>
    </w:p>
    <w:bookmarkEnd w:id="1562"/>
    <w:bookmarkStart w:id="1563" w:name="diagnostic-algorithm-50"/>
    <w:p>
      <w:pPr>
        <w:pStyle w:val="Heading4"/>
      </w:pPr>
      <w:r>
        <w:t xml:space="preserve">6.3 Diagnostic algorithm</w:t>
      </w:r>
    </w:p>
    <w:p>
      <w:pPr>
        <w:pStyle w:val="Compact"/>
        <w:numPr>
          <w:ilvl w:val="0"/>
          <w:numId w:val="1778"/>
        </w:numPr>
      </w:pPr>
      <w:r>
        <w:t xml:space="preserve">Clinical interview — onset, frequency, daytime symptoms, family history.</w:t>
      </w:r>
    </w:p>
    <w:p>
      <w:pPr>
        <w:pStyle w:val="Compact"/>
        <w:numPr>
          <w:ilvl w:val="0"/>
          <w:numId w:val="1778"/>
        </w:numPr>
      </w:pPr>
      <w:r>
        <w:t xml:space="preserve">Urinalysis and culture — rule out UTI.</w:t>
      </w:r>
    </w:p>
    <w:p>
      <w:pPr>
        <w:pStyle w:val="Compact"/>
        <w:numPr>
          <w:ilvl w:val="0"/>
          <w:numId w:val="1778"/>
        </w:numPr>
      </w:pPr>
      <w:r>
        <w:t xml:space="preserve">Voiding diary 3 days — for daytime symptoms.</w:t>
      </w:r>
    </w:p>
    <w:p>
      <w:pPr>
        <w:pStyle w:val="Compact"/>
        <w:numPr>
          <w:ilvl w:val="0"/>
          <w:numId w:val="1778"/>
        </w:numPr>
      </w:pPr>
      <w:r>
        <w:t xml:space="preserve">Constipation assessment (Bristol Stool Chart).</w:t>
      </w:r>
    </w:p>
    <w:p>
      <w:pPr>
        <w:pStyle w:val="Compact"/>
        <w:numPr>
          <w:ilvl w:val="0"/>
          <w:numId w:val="1778"/>
        </w:numPr>
      </w:pPr>
      <w:r>
        <w:t xml:space="preserve">Medical: weight, glucose, blood pressure.</w:t>
      </w:r>
    </w:p>
    <w:p>
      <w:pPr>
        <w:pStyle w:val="Compact"/>
        <w:numPr>
          <w:ilvl w:val="0"/>
          <w:numId w:val="1778"/>
        </w:numPr>
      </w:pPr>
      <w:r>
        <w:t xml:space="preserve">If structural anomaly suspected — urinary USG; uroflowmetry in non-monosymptomatic case.</w:t>
      </w:r>
    </w:p>
    <w:bookmarkEnd w:id="1563"/>
    <w:bookmarkStart w:id="1564" w:name="differential-diagnosis-5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Urine culture positive.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Diabetes (Type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Polyuria, polydipsia; glucose high.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gravity low.</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Structural anomaly (ectopic ureter)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leakage;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Neurogenic bladder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Spinal cord pathology.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Constipation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and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bl>
    <w:bookmarkEnd w:id="1564"/>
    <w:bookmarkEnd w:id="1565"/>
    <w:bookmarkStart w:id="1566" w:name="X7bf07ac3087665965623a3514e92d8180210581"/>
    <w:p>
      <w:pPr>
        <w:pStyle w:val="Heading3"/>
      </w:pPr>
      <w:r>
        <w:t xml:space="preserve">7. Examination and assessment</w:t>
      </w:r>
    </w:p>
    <w:p>
      <w:pPr>
        <w:pStyle w:val="Compact"/>
        <w:numPr>
          <w:ilvl w:val="0"/>
          <w:numId w:val="1779"/>
        </w:numPr>
      </w:pPr>
      <w:r>
        <w:t xml:space="preserve">Urine analysis, culture.</w:t>
      </w:r>
    </w:p>
    <w:p>
      <w:pPr>
        <w:pStyle w:val="Compact"/>
        <w:numPr>
          <w:ilvl w:val="0"/>
          <w:numId w:val="1779"/>
        </w:numPr>
      </w:pPr>
      <w:r>
        <w:t xml:space="preserve">Voiding and constipation diary.</w:t>
      </w:r>
    </w:p>
    <w:p>
      <w:pPr>
        <w:pStyle w:val="Compact"/>
        <w:numPr>
          <w:ilvl w:val="0"/>
          <w:numId w:val="1779"/>
        </w:numPr>
      </w:pPr>
      <w:r>
        <w:t xml:space="preserve">Urinary ultrasound (atypical presentation).</w:t>
      </w:r>
    </w:p>
    <w:p>
      <w:pPr>
        <w:pStyle w:val="Compact"/>
        <w:numPr>
          <w:ilvl w:val="0"/>
          <w:numId w:val="1779"/>
        </w:numPr>
      </w:pPr>
      <w:r>
        <w:t xml:space="preserve">Comorbid ADHD, anxiety screening.</w:t>
      </w:r>
    </w:p>
    <w:bookmarkEnd w:id="1566"/>
    <w:bookmarkStart w:id="1570" w:name="Xc9542b0d20cd765fb73add04ef097d3b4674d47"/>
    <w:p>
      <w:pPr>
        <w:pStyle w:val="Heading3"/>
      </w:pPr>
      <w:r>
        <w:t xml:space="preserve">8. Treatment</w:t>
      </w:r>
    </w:p>
    <w:bookmarkStart w:id="1567" w:name="general-principles-iccs-2020-nice-cg111"/>
    <w:p>
      <w:pPr>
        <w:pStyle w:val="Heading4"/>
      </w:pPr>
      <w:r>
        <w:t xml:space="preserve">8.1 General principles (ICCS 2020 · NICE CG111)</w:t>
      </w:r>
    </w:p>
    <w:p>
      <w:pPr>
        <w:pStyle w:val="Compact"/>
        <w:numPr>
          <w:ilvl w:val="0"/>
          <w:numId w:val="1780"/>
        </w:numPr>
      </w:pPr>
      <w:r>
        <w:t xml:space="preserve">Behavioral intervention:</w:t>
      </w:r>
    </w:p>
    <w:p>
      <w:pPr>
        <w:pStyle w:val="Compact"/>
        <w:numPr>
          <w:ilvl w:val="1"/>
          <w:numId w:val="1781"/>
        </w:numPr>
      </w:pPr>
      <w:r>
        <w:t xml:space="preserve">Conservative recommendations — reducing fluid intake before bedtime, adequate water intake during the day, regular urination, resolving constipation.</w:t>
      </w:r>
    </w:p>
    <w:p>
      <w:pPr>
        <w:pStyle w:val="Compact"/>
        <w:numPr>
          <w:ilvl w:val="1"/>
          <w:numId w:val="1781"/>
        </w:numPr>
      </w:pPr>
      <w:r>
        <w:t xml:space="preserve">Positive reinforcement (star chart) — for dry nights.</w:t>
      </w:r>
    </w:p>
    <w:p>
      <w:pPr>
        <w:pStyle w:val="Compact"/>
        <w:numPr>
          <w:ilvl w:val="0"/>
          <w:numId w:val="1780"/>
        </w:numPr>
      </w:pPr>
      <w:r>
        <w:t xml:space="preserve">First-line specific intervention:</w:t>
      </w:r>
    </w:p>
    <w:p>
      <w:pPr>
        <w:pStyle w:val="Compact"/>
        <w:numPr>
          <w:ilvl w:val="1"/>
          <w:numId w:val="1782"/>
        </w:numPr>
      </w:pPr>
      <w:r>
        <w:t xml:space="preserve">Enuresis alarm — pad-and-bell; ≥ 6 years old, if motivated; long-term good outcome; about 50% achieve 14 consecutive dry nights and about 40% remain dry at follow-up (low-quality evidence). Evidence: Caldwell P.H. Cochrane 2020.</w:t>
      </w:r>
    </w:p>
    <w:p>
      <w:pPr>
        <w:pStyle w:val="Compact"/>
        <w:numPr>
          <w:ilvl w:val="1"/>
          <w:numId w:val="1782"/>
        </w:numPr>
      </w:pPr>
      <w:r>
        <w:t xml:space="preserve">Desmopressin — synthetic ADH analog; rapid effect, but high relapse upon discontinuation. ≥ 6–7 years.</w:t>
      </w:r>
    </w:p>
    <w:p>
      <w:pPr>
        <w:pStyle w:val="Compact"/>
        <w:numPr>
          <w:ilvl w:val="0"/>
          <w:numId w:val="1780"/>
        </w:numPr>
      </w:pPr>
      <w:r>
        <w:t xml:space="preserve">Second-line:</w:t>
      </w:r>
    </w:p>
    <w:p>
      <w:pPr>
        <w:pStyle w:val="Compact"/>
        <w:numPr>
          <w:ilvl w:val="1"/>
          <w:numId w:val="1783"/>
        </w:numPr>
      </w:pPr>
      <w:r>
        <w:t xml:space="preserve">Alarm + desmopressin combination;</w:t>
      </w:r>
    </w:p>
    <w:p>
      <w:pPr>
        <w:pStyle w:val="Compact"/>
        <w:numPr>
          <w:ilvl w:val="1"/>
          <w:numId w:val="1783"/>
        </w:numPr>
      </w:pPr>
      <w:r>
        <w:t xml:space="preserve">Anticholinergic (oxybutynin) — in the context of non-monosymptomatic overactive bladder.</w:t>
      </w:r>
    </w:p>
    <w:p>
      <w:pPr>
        <w:pStyle w:val="Compact"/>
        <w:numPr>
          <w:ilvl w:val="0"/>
          <w:numId w:val="1780"/>
        </w:numPr>
      </w:pPr>
      <w:r>
        <w:t xml:space="preserve">Refractory: imipramine (TCA) — cardiac monitoring; use cautiously, overdose toxicity.</w:t>
      </w:r>
    </w:p>
    <w:p>
      <w:pPr>
        <w:pStyle w:val="Compact"/>
        <w:numPr>
          <w:ilvl w:val="0"/>
          <w:numId w:val="1780"/>
        </w:numPr>
      </w:pPr>
      <w:r>
        <w:t xml:space="preserve">Resolving constipation — PEG (polyethylene glycol) first-line; in non-monosymptomatic or comorbid encopresis context.</w:t>
      </w:r>
    </w:p>
    <w:bookmarkEnd w:id="1567"/>
    <w:bookmarkStart w:id="1568" w:name="treatment-methods-49"/>
    <w:p>
      <w:pPr>
        <w:pStyle w:val="Heading4"/>
      </w:pPr>
      <w:r>
        <w:t xml:space="preserve">8.2 Treatment methods</w:t>
      </w:r>
    </w:p>
    <w:p>
      <w:pPr>
        <w:pStyle w:val="Compact"/>
        <w:numPr>
          <w:ilvl w:val="0"/>
          <w:numId w:val="1784"/>
        </w:numPr>
      </w:pPr>
      <w:r>
        <w:t xml:space="preserve">Enuresis Alarm — Mowrer — Bed alarm or clothing alarm (humidity sensor); ≥ 4 weeks continuous use; typical use 12–16 weeks. Cochrane meta-analysis — most evidence-based long-term method.</w:t>
      </w:r>
    </w:p>
    <w:p>
      <w:pPr>
        <w:pStyle w:val="Compact"/>
        <w:numPr>
          <w:ilvl w:val="0"/>
          <w:numId w:val="1784"/>
        </w:numPr>
      </w:pPr>
      <w:r>
        <w:t xml:space="preserve">Desmopressin — Oral 0.2–0.4 mg or sublingual; 1 hour before bedtime; limiting fluids before bedtime is important (risk of hyponatremia).</w:t>
      </w:r>
    </w:p>
    <w:p>
      <w:pPr>
        <w:pStyle w:val="Compact"/>
        <w:numPr>
          <w:ilvl w:val="0"/>
          <w:numId w:val="1784"/>
        </w:numPr>
      </w:pPr>
      <w:r>
        <w:t xml:space="preserve">Voiding and Constipation Diary — 3-day; frequency, volume, bladder capacity, daytime symptoms, defecation frequency.</w:t>
      </w:r>
    </w:p>
    <w:p>
      <w:pPr>
        <w:pStyle w:val="Compact"/>
        <w:numPr>
          <w:ilvl w:val="0"/>
          <w:numId w:val="1784"/>
        </w:numPr>
      </w:pPr>
      <w:r>
        <w:t xml:space="preserve">Anticholinergic (Oxybutynin) — Against background of over-active bladder; if daytime symptoms are present.</w:t>
      </w:r>
    </w:p>
    <w:p>
      <w:pPr>
        <w:pStyle w:val="Compact"/>
        <w:numPr>
          <w:ilvl w:val="0"/>
          <w:numId w:val="1784"/>
        </w:numPr>
      </w:pPr>
      <w:r>
        <w:t xml:space="preserve">PEG (Constipation correction) — First-line; also used in encopresis.</w:t>
      </w:r>
    </w:p>
    <w:bookmarkEnd w:id="1568"/>
    <w:bookmarkStart w:id="1569" w:name="differences-between-sources-90"/>
    <w:p>
      <w:pPr>
        <w:pStyle w:val="Heading4"/>
      </w:pPr>
      <w:r>
        <w:t xml:space="preserve">8.3 Differences between sources</w:t>
      </w:r>
    </w:p>
    <w:p>
      <w:pPr>
        <w:pStyle w:val="Compact"/>
        <w:numPr>
          <w:ilvl w:val="0"/>
          <w:numId w:val="1785"/>
        </w:numPr>
      </w:pPr>
      <w:r>
        <w:t xml:space="preserve">ICCS 2020 — alarm and desmopressin first-line; “wait and see” until age 5, then active intervention.</w:t>
      </w:r>
    </w:p>
    <w:p>
      <w:pPr>
        <w:pStyle w:val="Compact"/>
        <w:numPr>
          <w:ilvl w:val="0"/>
          <w:numId w:val="1785"/>
        </w:numPr>
      </w:pPr>
      <w:r>
        <w:t xml:space="preserve">NICE CG111 — same algorithm.</w:t>
      </w:r>
    </w:p>
    <w:p>
      <w:pPr>
        <w:pStyle w:val="Compact"/>
        <w:numPr>
          <w:ilvl w:val="0"/>
          <w:numId w:val="1785"/>
        </w:numPr>
      </w:pPr>
      <w:r>
        <w:t xml:space="preserve">AAP — pediatric recommendations.</w:t>
      </w:r>
    </w:p>
    <w:bookmarkEnd w:id="1569"/>
    <w:bookmarkEnd w:id="1570"/>
    <w:bookmarkStart w:id="1571" w:name="Xd1a58f140fc210a2207d91af47d3a216c629546"/>
    <w:p>
      <w:pPr>
        <w:pStyle w:val="Heading3"/>
      </w:pPr>
      <w:r>
        <w:t xml:space="preserve">9. Prognosis</w:t>
      </w:r>
    </w:p>
    <w:p>
      <w:pPr>
        <w:pStyle w:val="Compact"/>
        <w:numPr>
          <w:ilvl w:val="0"/>
          <w:numId w:val="1786"/>
        </w:numPr>
      </w:pPr>
      <w:r>
        <w:t xml:space="preserve">Spontaneous remission occurs in approximately 15% per year; with intervention, remission occurs in most patients.</w:t>
      </w:r>
    </w:p>
    <w:p>
      <w:pPr>
        <w:pStyle w:val="Compact"/>
        <w:numPr>
          <w:ilvl w:val="0"/>
          <w:numId w:val="1786"/>
        </w:numPr>
      </w:pPr>
      <w:r>
        <w:t xml:space="preserve">Constipation management is important.</w:t>
      </w:r>
    </w:p>
    <w:p>
      <w:pPr>
        <w:pStyle w:val="Compact"/>
        <w:numPr>
          <w:ilvl w:val="0"/>
          <w:numId w:val="1786"/>
        </w:numPr>
      </w:pPr>
      <w:r>
        <w:t xml:space="preserve">Comorbid ADHD, anxiety — parallel intervention.</w:t>
      </w:r>
    </w:p>
    <w:bookmarkEnd w:id="1571"/>
    <w:bookmarkStart w:id="1578" w:name="Xe9de16eff992f1a4b00193975e16be0d306c2cf"/>
    <w:p>
      <w:pPr>
        <w:pStyle w:val="Heading3"/>
      </w:pPr>
      <w:r>
        <w:t xml:space="preserve">10. Myths and misconceptions</w:t>
      </w:r>
    </w:p>
    <w:bookmarkStart w:id="1572" w:name="X19994c4ab962d5db75cd31afd2fdc767b661e7c"/>
    <w:p>
      <w:pPr>
        <w:pStyle w:val="Heading5"/>
      </w:pPr>
      <w:r>
        <w:t xml:space="preserve">Myth 1: “In nocturnal enuresis, electrophoresis to the groin and buttock area stimulates the urinary center”</w:t>
      </w:r>
    </w:p>
    <w:p>
      <w:pPr>
        <w:pStyle w:val="FirstParagraph"/>
      </w:pPr>
      <w:r>
        <w:t xml:space="preserve">Why it is widespread: Soviet-era physiotherapy practice; presented as “safe” by family doctors.</w:t>
      </w:r>
    </w:p>
    <w:p>
      <w:pPr>
        <w:pStyle w:val="BodyText"/>
      </w:pPr>
      <w:r>
        <w:t xml:space="preserve">Clinical logic: If daytime urine output is normal and the problem did not spontaneously arise after any illness, the problem is not at the kidney/bladder/spinal cord level. Pathogenesis is ADH dysregulation, arousal threshold and bladder capacity — electrophoresis does not affect these.</w:t>
      </w:r>
    </w:p>
    <w:p>
      <w:pPr>
        <w:pStyle w:val="BodyText"/>
      </w:pPr>
      <w:r>
        <w:t xml:space="preserve">Evidence: ICCS 2020, NICE CG111 — no international guideline includes electrophoresis. Risk: skin irritation, psychosexual burden.</w:t>
      </w:r>
    </w:p>
    <w:p>
      <w:pPr>
        <w:pStyle w:val="BodyText"/>
      </w:pPr>
      <w:r>
        <w:t xml:space="preserve">Real clinical step: Alarm or desmopressin.</w:t>
      </w:r>
    </w:p>
    <w:bookmarkEnd w:id="1572"/>
    <w:bookmarkStart w:id="1573" w:name="X968e6ffd1c7b33d687e062d939e7b7952dda3c5"/>
    <w:p>
      <w:pPr>
        <w:pStyle w:val="Heading5"/>
      </w:pPr>
      <w:r>
        <w:t xml:space="preserve">Myth 2: “It will just pass on its own, no intervention needed”</w:t>
      </w:r>
    </w:p>
    <w:p>
      <w:pPr>
        <w:pStyle w:val="FirstParagraph"/>
      </w:pPr>
      <w:r>
        <w:t xml:space="preserve">Evidence: Spontaneous remission ~15% per year, but untreated persistence creates socio-emotional burden; ICCS 2020 recommends active intervention from age 5+.</w:t>
      </w:r>
    </w:p>
    <w:bookmarkEnd w:id="1573"/>
    <w:bookmarkStart w:id="1574" w:name="Xdb153ecf87e7c818e5b9468c19e47c4bda629b6"/>
    <w:p>
      <w:pPr>
        <w:pStyle w:val="Heading5"/>
      </w:pPr>
      <w:r>
        <w:t xml:space="preserve">Myth 3: “Punishment or insult corrects a child”</w:t>
      </w:r>
    </w:p>
    <w:p>
      <w:pPr>
        <w:pStyle w:val="FirstParagraph"/>
      </w:pPr>
      <w:r>
        <w:t xml:space="preserve">Evidence: Punishment is contraindicated; self-esteem reduction, depression risk; positive reinforcement is superior.</w:t>
      </w:r>
    </w:p>
    <w:bookmarkEnd w:id="1574"/>
    <w:bookmarkStart w:id="1575" w:name="X4489867512f0ebbadeef050591b2812a2de0be9"/>
    <w:p>
      <w:pPr>
        <w:pStyle w:val="Heading5"/>
      </w:pPr>
      <w:r>
        <w:t xml:space="preserve">Myth 4: “Pre-bedtime water restriction alone is sufficient”</w:t>
      </w:r>
    </w:p>
    <w:p>
      <w:pPr>
        <w:pStyle w:val="FirstParagraph"/>
      </w:pPr>
      <w:r>
        <w:t xml:space="preserve">Evidence: Adjunct measure; ineffective alone in most patients; requires specific intervention.</w:t>
      </w:r>
    </w:p>
    <w:bookmarkEnd w:id="1575"/>
    <w:bookmarkStart w:id="1576" w:name="X8fea3099212fb07c77cb7029c2028f48c452e27"/>
    <w:p>
      <w:pPr>
        <w:pStyle w:val="Heading5"/>
      </w:pPr>
      <w:r>
        <w:t xml:space="preserve">Myth 5: “Imipramine or antidepressants are first-line”</w:t>
      </w:r>
    </w:p>
    <w:p>
      <w:pPr>
        <w:pStyle w:val="FirstParagraph"/>
      </w:pPr>
      <w:r>
        <w:t xml:space="preserve">Evidence: imipramine in refractory cases; cardiac side effects and overdose risk; alarm and desmopressin superior.</w:t>
      </w:r>
    </w:p>
    <w:bookmarkEnd w:id="1576"/>
    <w:bookmarkStart w:id="1577" w:name="X3d9f433eeec7af4a745e9726c27b3ad9e01a17a"/>
    <w:p>
      <w:pPr>
        <w:pStyle w:val="Heading5"/>
      </w:pPr>
      <w:r>
        <w:t xml:space="preserve">Myth 6: “Acupuncture and homeopathy cure enuresis”</w:t>
      </w:r>
    </w:p>
    <w:p>
      <w:pPr>
        <w:pStyle w:val="FirstParagraph"/>
      </w:pPr>
      <w:r>
        <w:t xml:space="preserve">Evidence: Cochrane reviews — the effect of these complementary interventions has not been proven.</w:t>
      </w:r>
    </w:p>
    <w:bookmarkEnd w:id="1577"/>
    <w:bookmarkEnd w:id="1578"/>
    <w:bookmarkStart w:id="2959" w:name="X552077bcaeadda97716367696102cd39a728523"/>
    <w:p>
      <w:pPr>
        <w:pStyle w:val="Heading3"/>
      </w:pPr>
      <w:r>
        <w:t xml:space="preserve">11. Sources</w:t>
      </w:r>
    </w:p>
    <w:p>
      <w:pPr>
        <w:pStyle w:val="Compact"/>
        <w:numPr>
          <w:ilvl w:val="0"/>
          <w:numId w:val="1787"/>
        </w:numPr>
      </w:pPr>
      <w:r>
        <w:t xml:space="preserve">WHO. ICD-11. 6C00 Enuresis. 2024.</w:t>
      </w:r>
    </w:p>
    <w:p>
      <w:pPr>
        <w:pStyle w:val="Compact"/>
        <w:numPr>
          <w:ilvl w:val="0"/>
          <w:numId w:val="1787"/>
        </w:numPr>
      </w:pPr>
      <w:r>
        <w:t xml:space="preserve">APA. DSM-5-TR. 2022.</w:t>
      </w:r>
    </w:p>
    <w:p>
      <w:pPr>
        <w:pStyle w:val="Compact"/>
        <w:numPr>
          <w:ilvl w:val="0"/>
          <w:numId w:val="1787"/>
        </w:numPr>
      </w:pPr>
      <w:r>
        <w:t xml:space="preserve">NICE CG111. Nocturnal enuresis in children and young people under 19. 2010.</w:t>
      </w:r>
    </w:p>
    <w:p>
      <w:pPr>
        <w:pStyle w:val="Compact"/>
        <w:numPr>
          <w:ilvl w:val="0"/>
          <w:numId w:val="1787"/>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787"/>
        </w:numPr>
      </w:pPr>
      <w:r>
        <w:t xml:space="preserve">Caldwell P.H., Codarini M., Stewart F. et al. Alarm interventions for nocturnal enuresis in children. Cochrane Database Syst Rev 2020;(5):CD002911.</w:t>
      </w:r>
    </w:p>
    <w:p>
      <w:pPr>
        <w:pStyle w:val="Compact"/>
        <w:numPr>
          <w:ilvl w:val="0"/>
          <w:numId w:val="1787"/>
        </w:numPr>
      </w:pPr>
      <w:r>
        <w:t xml:space="preserve">Bayoumi R.A., Eapen V., Al-Yahyaee S. et al. The genetic basis of inherited primary nocturnal enuresis: a UAE study. J Psychosom Res 2006;61(3):317–320.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579" w:name="m646c01-encopresis"/>
            <w:r>
              <w:t xml:space="preserve">6C01 ENCOPRESIS</w:t>
            </w:r>
            <w:bookmarkEnd w:id="1579"/>
          </w:p>
          <w:p>
            <w:pPr>
              <w:pStyle w:val="Compact"/>
              <w:ind w:firstLine="0" w:left="0"/>
            </w:pPr>
            <w:r>
              <w:rPr>
                <w:lang w:val="en"/>
              </w:rPr>
              <w:t xml:space="preserve">Encopresis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Nonorganic encopresis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Encopresis</w:t>
            </w:r>
          </w:p>
        </w:tc>
      </w:tr>
    </w:tbl>
    <w:bookmarkStart w:id="1580" w:name="Xe22ea29bfd1ce1394ccc201b9f0fddc958344d9"/>
    <w:p>
      <w:pPr>
        <w:pStyle w:val="Heading3"/>
      </w:pPr>
      <w:r>
        <w:t xml:space="preserve">1. Definition and nosology</w:t>
      </w:r>
    </w:p>
    <w:p>
      <w:pPr>
        <w:pStyle w:val="FirstParagraph"/>
      </w:pPr>
      <w:r>
        <w:t xml:space="preserve">Encopresis (ICD-11:</w:t>
      </w:r>
      <w:r>
        <w:t xml:space="preserve"> </w:t>
      </w:r>
      <w:r>
        <w:t xml:space="preserve">6C01</w:t>
      </w:r>
      <w:r>
        <w:t xml:space="preserve">; DSM-5-TR: F98.1) — voluntary or involuntary defecation into inappropriate places (clothing, floor) persisting when the child's developmental age reaches at least 4 years. Frequency: at least once a month for ≥ 3 months.</w:t>
      </w:r>
    </w:p>
    <w:p>
      <w:pPr>
        <w:pStyle w:val="BodyText"/>
      </w:pPr>
      <w:r>
        <w:t xml:space="preserve">Subtypes:</w:t>
      </w:r>
    </w:p>
    <w:p>
      <w:pPr>
        <w:pStyle w:val="Compact"/>
        <w:numPr>
          <w:ilvl w:val="0"/>
          <w:numId w:val="1788"/>
        </w:numPr>
      </w:pPr>
      <w:r>
        <w:t xml:space="preserve">Retentive (overflow incontinence) — based on constipation; ~80% of cases;</w:t>
      </w:r>
    </w:p>
    <w:p>
      <w:pPr>
        <w:pStyle w:val="Compact"/>
        <w:numPr>
          <w:ilvl w:val="0"/>
          <w:numId w:val="1788"/>
        </w:numPr>
      </w:pPr>
      <w:r>
        <w:t xml:space="preserve">Non-retentive — no constipation.</w:t>
      </w:r>
    </w:p>
    <w:bookmarkEnd w:id="1580"/>
    <w:bookmarkStart w:id="1581" w:name="X67a7ba7988a2f6c928000cd90ce53bbb1a31a1a"/>
    <w:p>
      <w:pPr>
        <w:pStyle w:val="Heading3"/>
      </w:pPr>
      <w:r>
        <w:t xml:space="preserve">2. History</w:t>
      </w:r>
    </w:p>
    <w:p>
      <w:pPr>
        <w:pStyle w:val="Compact"/>
        <w:numPr>
          <w:ilvl w:val="0"/>
          <w:numId w:val="1789"/>
        </w:numPr>
      </w:pPr>
      <w:r>
        <w:t xml:space="preserve">DSM-III (1980) — Official diagnosis.</w:t>
      </w:r>
    </w:p>
    <w:p>
      <w:pPr>
        <w:pStyle w:val="Compact"/>
        <w:numPr>
          <w:ilvl w:val="0"/>
          <w:numId w:val="1789"/>
        </w:numPr>
      </w:pPr>
      <w:r>
        <w:t xml:space="preserve">Rome IV — consensus within the functional GI framework.</w:t>
      </w:r>
    </w:p>
    <w:p>
      <w:pPr>
        <w:pStyle w:val="Compact"/>
        <w:numPr>
          <w:ilvl w:val="0"/>
          <w:numId w:val="1789"/>
        </w:numPr>
      </w:pPr>
      <w:r>
        <w:t xml:space="preserve">NASPGHAN/ESPGHAN functional constipation guideline (Tabbers M.M. et al. 2014).</w:t>
      </w:r>
    </w:p>
    <w:bookmarkEnd w:id="1581"/>
    <w:bookmarkStart w:id="1582" w:name="X0b590fea9cb4bc2f41b775e6d1a14a01ca27965"/>
    <w:p>
      <w:pPr>
        <w:pStyle w:val="Heading3"/>
      </w:pPr>
      <w:r>
        <w:t xml:space="preserve">3. Epidemiology</w:t>
      </w:r>
    </w:p>
    <w:p>
      <w:pPr>
        <w:pStyle w:val="Compact"/>
        <w:numPr>
          <w:ilvl w:val="0"/>
          <w:numId w:val="1790"/>
        </w:numPr>
      </w:pPr>
      <w:r>
        <w:t xml:space="preserve">1–4% among ages 4–17; 3–6 times higher in boys.</w:t>
      </w:r>
    </w:p>
    <w:p>
      <w:pPr>
        <w:pStyle w:val="Compact"/>
        <w:numPr>
          <w:ilvl w:val="0"/>
          <w:numId w:val="1790"/>
        </w:numPr>
      </w:pPr>
      <w:r>
        <w:t xml:space="preserve">~80% are primarily constipation-related (retentive).</w:t>
      </w:r>
    </w:p>
    <w:p>
      <w:pPr>
        <w:pStyle w:val="Compact"/>
        <w:numPr>
          <w:ilvl w:val="0"/>
          <w:numId w:val="1790"/>
        </w:numPr>
      </w:pPr>
      <w:r>
        <w:t xml:space="preserve">Comorbidity: enuresis, ADHD, anxiety, autism spectrum.</w:t>
      </w:r>
    </w:p>
    <w:bookmarkEnd w:id="1582"/>
    <w:bookmarkStart w:id="1583" w:name="Xbaa9e67792281b3bf1b3c624724db8e8f98a987"/>
    <w:p>
      <w:pPr>
        <w:pStyle w:val="Heading3"/>
      </w:pPr>
      <w:r>
        <w:t xml:space="preserve">4. Aetiology and pathogenesis</w:t>
      </w:r>
    </w:p>
    <w:p>
      <w:pPr>
        <w:pStyle w:val="Compact"/>
        <w:numPr>
          <w:ilvl w:val="0"/>
          <w:numId w:val="1791"/>
        </w:numPr>
      </w:pPr>
      <w:r>
        <w:t xml:space="preserve">Constipation — key mechanism (in retentive encopresis); painful defecation → retention → rectal dilatation → sensory reduction → overflow.</w:t>
      </w:r>
    </w:p>
    <w:p>
      <w:pPr>
        <w:pStyle w:val="Compact"/>
        <w:numPr>
          <w:ilvl w:val="0"/>
          <w:numId w:val="1791"/>
        </w:numPr>
      </w:pPr>
      <w:r>
        <w:t xml:space="preserve">Trauma, fear, discipline in toilet training process.</w:t>
      </w:r>
    </w:p>
    <w:p>
      <w:pPr>
        <w:pStyle w:val="Compact"/>
        <w:numPr>
          <w:ilvl w:val="0"/>
          <w:numId w:val="1791"/>
        </w:numPr>
      </w:pPr>
      <w:r>
        <w:t xml:space="preserve">Diet (low fiber, dehydration).</w:t>
      </w:r>
    </w:p>
    <w:p>
      <w:pPr>
        <w:pStyle w:val="Compact"/>
        <w:numPr>
          <w:ilvl w:val="0"/>
          <w:numId w:val="1791"/>
        </w:numPr>
      </w:pPr>
      <w:r>
        <w:t xml:space="preserve">Behavioral and emotional factors — oppositional, anxiety.</w:t>
      </w:r>
    </w:p>
    <w:p>
      <w:pPr>
        <w:pStyle w:val="Compact"/>
        <w:numPr>
          <w:ilvl w:val="0"/>
          <w:numId w:val="1791"/>
        </w:numPr>
      </w:pPr>
      <w:r>
        <w:t xml:space="preserve">In rare cases — Hirschsprung disease (rectal aganglionosis), spinal pathology.</w:t>
      </w:r>
    </w:p>
    <w:bookmarkEnd w:id="1583"/>
    <w:bookmarkStart w:id="1584" w:name="Xd685e06296e0ef805fde042b7082ed4053b41f4"/>
    <w:p>
      <w:pPr>
        <w:pStyle w:val="Heading3"/>
      </w:pPr>
      <w:r>
        <w:t xml:space="preserve">5. Clinical features</w:t>
      </w:r>
    </w:p>
    <w:p>
      <w:pPr>
        <w:pStyle w:val="Compact"/>
        <w:numPr>
          <w:ilvl w:val="0"/>
          <w:numId w:val="1792"/>
        </w:numPr>
      </w:pPr>
      <w:r>
        <w:t xml:space="preserve">Fecal soiling of clothing.</w:t>
      </w:r>
    </w:p>
    <w:p>
      <w:pPr>
        <w:pStyle w:val="Compact"/>
        <w:numPr>
          <w:ilvl w:val="0"/>
          <w:numId w:val="1792"/>
        </w:numPr>
      </w:pPr>
      <w:r>
        <w:t xml:space="preserve">Retentive — fecal mass on abdominal palpation; tense rectum; large (massive) defecation episodes.</w:t>
      </w:r>
    </w:p>
    <w:p>
      <w:pPr>
        <w:pStyle w:val="Compact"/>
        <w:numPr>
          <w:ilvl w:val="0"/>
          <w:numId w:val="1792"/>
        </w:numPr>
      </w:pPr>
      <w:r>
        <w:t xml:space="preserve">Social-emotional: shame, social isolation, school avoidance.</w:t>
      </w:r>
    </w:p>
    <w:bookmarkEnd w:id="1584"/>
    <w:bookmarkStart w:id="1589" w:name="Xf24d377a572225e5e17de7a66edc741ae78d5e2"/>
    <w:p>
      <w:pPr>
        <w:pStyle w:val="Heading3"/>
      </w:pPr>
      <w:r>
        <w:t xml:space="preserve">6. Diagnosis</w:t>
      </w:r>
    </w:p>
    <w:bookmarkStart w:id="1585" w:name="unified-diagnostic-criteria-30"/>
    <w:p>
      <w:pPr>
        <w:pStyle w:val="Heading4"/>
      </w:pPr>
      <w:r>
        <w:t xml:space="preserve">6.1 Unified diagnostic criteria</w:t>
      </w:r>
    </w:p>
    <w:p>
      <w:pPr>
        <w:pStyle w:val="FirstParagraph"/>
      </w:pPr>
      <w:r>
        <w:t xml:space="preserve">A. Defecation into inappropriate places (clothes, floor), voluntary or involuntary.</w:t>
      </w:r>
    </w:p>
    <w:p>
      <w:pPr>
        <w:pStyle w:val="BodyText"/>
      </w:pPr>
      <w:r>
        <w:t xml:space="preserve">B. Frequency: ≥1 times per month, ≥3 months.</w:t>
      </w:r>
    </w:p>
    <w:p>
      <w:pPr>
        <w:pStyle w:val="BodyText"/>
      </w:pPr>
      <w:r>
        <w:t xml:space="preserve">C. Developmental age ≥ 4 years.</w:t>
      </w:r>
    </w:p>
    <w:p>
      <w:pPr>
        <w:pStyle w:val="BodyText"/>
      </w:pPr>
      <w:r>
        <w:t xml:space="preserve">D. Not fully explained by substance (laxative) or medical condition (Hirschsprung, anatomical anomaly, spinal pathology).</w:t>
      </w:r>
    </w:p>
    <w:p>
      <w:pPr>
        <w:pStyle w:val="BodyText"/>
      </w:pPr>
      <w:r>
        <w:t xml:space="preserve">Qualifier: with/without constipation and overflow.</w:t>
      </w:r>
    </w:p>
    <w:bookmarkEnd w:id="1585"/>
    <w:bookmarkStart w:id="1586" w:name="differences-between-sources-91"/>
    <w:p>
      <w:pPr>
        <w:pStyle w:val="Heading4"/>
      </w:pPr>
      <w:r>
        <w:t xml:space="preserve">6.2 Differences between sources</w:t>
      </w:r>
    </w:p>
    <w:p>
      <w:pPr>
        <w:pStyle w:val="Compact"/>
        <w:numPr>
          <w:ilvl w:val="0"/>
          <w:numId w:val="1793"/>
        </w:numPr>
      </w:pPr>
      <w:r>
        <w:t xml:space="preserve">NASPGHAN/ESPGHAN 2014 — functional constipation guideline (Rome IV).</w:t>
      </w:r>
    </w:p>
    <w:p>
      <w:pPr>
        <w:pStyle w:val="Compact"/>
        <w:numPr>
          <w:ilvl w:val="0"/>
          <w:numId w:val="1793"/>
        </w:numPr>
      </w:pPr>
      <w:r>
        <w:t xml:space="preserve">NICE CG99 (2010) — constipation in children and adolescents.</w:t>
      </w:r>
    </w:p>
    <w:bookmarkEnd w:id="1586"/>
    <w:bookmarkStart w:id="1587" w:name="diagnostic-algorithm-51"/>
    <w:p>
      <w:pPr>
        <w:pStyle w:val="Heading4"/>
      </w:pPr>
      <w:r>
        <w:t xml:space="preserve">6.3 Diagnostic algorithm</w:t>
      </w:r>
    </w:p>
    <w:p>
      <w:pPr>
        <w:pStyle w:val="Compact"/>
        <w:numPr>
          <w:ilvl w:val="0"/>
          <w:numId w:val="1794"/>
        </w:numPr>
      </w:pPr>
      <w:r>
        <w:t xml:space="preserve">Clinical interview — defecation frequency, pain, toilet training history.</w:t>
      </w:r>
    </w:p>
    <w:p>
      <w:pPr>
        <w:pStyle w:val="Compact"/>
        <w:numPr>
          <w:ilvl w:val="0"/>
          <w:numId w:val="1794"/>
        </w:numPr>
      </w:pPr>
      <w:r>
        <w:t xml:space="preserve">Abdominal palpation — fecal mass.</w:t>
      </w:r>
    </w:p>
    <w:p>
      <w:pPr>
        <w:pStyle w:val="Compact"/>
        <w:numPr>
          <w:ilvl w:val="0"/>
          <w:numId w:val="1794"/>
        </w:numPr>
      </w:pPr>
      <w:r>
        <w:t xml:space="preserve">Rectal examination — fecal impaction (or other findings, if clinically indicated).</w:t>
      </w:r>
    </w:p>
    <w:p>
      <w:pPr>
        <w:pStyle w:val="Compact"/>
        <w:numPr>
          <w:ilvl w:val="0"/>
          <w:numId w:val="1794"/>
        </w:numPr>
      </w:pPr>
      <w:r>
        <w:t xml:space="preserve">Defecation diary (Bristol Stool Chart)</w:t>
      </w:r>
    </w:p>
    <w:p>
      <w:pPr>
        <w:pStyle w:val="Compact"/>
        <w:numPr>
          <w:ilvl w:val="0"/>
          <w:numId w:val="1794"/>
        </w:numPr>
      </w:pPr>
      <w:r>
        <w:t xml:space="preserve">Medical: thyroid (hypothyroid constipation), serum calcium, celiac disease screening.</w:t>
      </w:r>
    </w:p>
    <w:p>
      <w:pPr>
        <w:pStyle w:val="Compact"/>
        <w:numPr>
          <w:ilvl w:val="0"/>
          <w:numId w:val="1794"/>
        </w:numPr>
      </w:pPr>
      <w:r>
        <w:t xml:space="preserve">Atypical presentation: ultrasound, anorectal manometry, suction biopsy (Hirschsprung).</w:t>
      </w:r>
    </w:p>
    <w:bookmarkEnd w:id="1587"/>
    <w:bookmarkStart w:id="1588" w:name="differential-diagnosis-5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Hirschsprung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Congenital constipation; narrow on rectal exam; biopsy aganglionosis.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Spinal pathology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Neurological signs; 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Celiac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Anal structural anomaly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Physical examination, USG.</w:t>
            </w:r>
          </w:p>
        </w:tc>
      </w:tr>
    </w:tbl>
    <w:bookmarkEnd w:id="1588"/>
    <w:bookmarkEnd w:id="1589"/>
    <w:bookmarkStart w:id="1590" w:name="Xeb1b01251e1c1fdf93e805a5f9357c7eaf7c4ba"/>
    <w:p>
      <w:pPr>
        <w:pStyle w:val="Heading3"/>
      </w:pPr>
      <w:r>
        <w:t xml:space="preserve">7. Examination and assessment</w:t>
      </w:r>
    </w:p>
    <w:p>
      <w:pPr>
        <w:pStyle w:val="Compact"/>
        <w:numPr>
          <w:ilvl w:val="0"/>
          <w:numId w:val="1795"/>
        </w:numPr>
      </w:pPr>
      <w:r>
        <w:t xml:space="preserve">Abdominal and rectal examination.</w:t>
      </w:r>
    </w:p>
    <w:p>
      <w:pPr>
        <w:pStyle w:val="Compact"/>
        <w:numPr>
          <w:ilvl w:val="0"/>
          <w:numId w:val="1795"/>
        </w:numPr>
      </w:pPr>
      <w:r>
        <w:t xml:space="preserve">Bristol Stool, defecation diary.</w:t>
      </w:r>
    </w:p>
    <w:p>
      <w:pPr>
        <w:pStyle w:val="Compact"/>
        <w:numPr>
          <w:ilvl w:val="0"/>
          <w:numId w:val="1795"/>
        </w:numPr>
      </w:pPr>
      <w:r>
        <w:t xml:space="preserve">TSH, calcium, anti-TTG selectively.</w:t>
      </w:r>
    </w:p>
    <w:p>
      <w:pPr>
        <w:pStyle w:val="Compact"/>
        <w:numPr>
          <w:ilvl w:val="0"/>
          <w:numId w:val="1795"/>
        </w:numPr>
      </w:pPr>
      <w:r>
        <w:t xml:space="preserve">Ultrasound, manometry in atypical cases.</w:t>
      </w:r>
    </w:p>
    <w:bookmarkEnd w:id="1590"/>
    <w:bookmarkStart w:id="1594" w:name="X1f61204da25ada87ad9bce57cfc61ae9d6a3686"/>
    <w:p>
      <w:pPr>
        <w:pStyle w:val="Heading3"/>
      </w:pPr>
      <w:r>
        <w:t xml:space="preserve">8. Treatment</w:t>
      </w:r>
    </w:p>
    <w:bookmarkStart w:id="1591" w:name="X6231fae351b828376ef5646402ffbed68fe2e47"/>
    <w:p>
      <w:pPr>
        <w:pStyle w:val="Heading4"/>
      </w:pPr>
      <w:r>
        <w:t xml:space="preserve">8.1 General principles (NASPGHAN/ESPGHAN · NICE CG99)</w:t>
      </w:r>
    </w:p>
    <w:p>
      <w:pPr>
        <w:pStyle w:val="Compact"/>
        <w:numPr>
          <w:ilvl w:val="0"/>
          <w:numId w:val="1796"/>
        </w:numPr>
      </w:pPr>
      <w:r>
        <w:t xml:space="preserve">Removal of impaction (disimpaction) — PEG (polyethylene glycol) high dose for 3–7 days; oral route preferred; enemas are not recommended — traumatic.</w:t>
      </w:r>
    </w:p>
    <w:p>
      <w:pPr>
        <w:pStyle w:val="Compact"/>
        <w:numPr>
          <w:ilvl w:val="0"/>
          <w:numId w:val="1796"/>
        </w:numPr>
      </w:pPr>
      <w:r>
        <w:t xml:space="preserve">Maintenance — PEG 0.4 g/kg/day for months to years; keeps defecation regular and painless.</w:t>
      </w:r>
    </w:p>
    <w:p>
      <w:pPr>
        <w:pStyle w:val="Compact"/>
        <w:numPr>
          <w:ilvl w:val="0"/>
          <w:numId w:val="1796"/>
        </w:numPr>
      </w:pPr>
      <w:r>
        <w:t xml:space="preserve">Behavioral intervention:</w:t>
      </w:r>
    </w:p>
    <w:p>
      <w:pPr>
        <w:pStyle w:val="Compact"/>
        <w:numPr>
          <w:ilvl w:val="1"/>
          <w:numId w:val="1797"/>
        </w:numPr>
      </w:pPr>
      <w:r>
        <w:t xml:space="preserve">Regular toilet time (15–20 minutes after meals, gastrocolic reflex);</w:t>
      </w:r>
    </w:p>
    <w:p>
      <w:pPr>
        <w:pStyle w:val="Compact"/>
        <w:numPr>
          <w:ilvl w:val="1"/>
          <w:numId w:val="1797"/>
        </w:numPr>
      </w:pPr>
      <w:r>
        <w:t xml:space="preserve">Correct foot support (defecation position);</w:t>
      </w:r>
    </w:p>
    <w:p>
      <w:pPr>
        <w:pStyle w:val="Compact"/>
        <w:numPr>
          <w:ilvl w:val="1"/>
          <w:numId w:val="1797"/>
        </w:numPr>
      </w:pPr>
      <w:r>
        <w:t xml:space="preserve">Positive reinforcement (no punishment).</w:t>
      </w:r>
    </w:p>
    <w:p>
      <w:pPr>
        <w:pStyle w:val="Compact"/>
        <w:numPr>
          <w:ilvl w:val="0"/>
          <w:numId w:val="1796"/>
        </w:numPr>
      </w:pPr>
      <w:r>
        <w:t xml:space="preserve">Dietary regimen: Increase fiber, water intake (moderate effect; does not replace PEG).</w:t>
      </w:r>
    </w:p>
    <w:p>
      <w:pPr>
        <w:pStyle w:val="Compact"/>
        <w:numPr>
          <w:ilvl w:val="0"/>
          <w:numId w:val="1796"/>
        </w:numPr>
      </w:pPr>
      <w:r>
        <w:t xml:space="preserve">Psychological support: anxiety reduction, family training.</w:t>
      </w:r>
    </w:p>
    <w:p>
      <w:pPr>
        <w:pStyle w:val="Compact"/>
        <w:numPr>
          <w:ilvl w:val="0"/>
          <w:numId w:val="1796"/>
        </w:numPr>
      </w:pPr>
      <w:r>
        <w:t xml:space="preserve">In refractory cases biofeedback, multidisciplinary approach; surgery rare (Malone antegrade colonic enema).</w:t>
      </w:r>
    </w:p>
    <w:bookmarkEnd w:id="1591"/>
    <w:bookmarkStart w:id="1592" w:name="treatment-methods-50"/>
    <w:p>
      <w:pPr>
        <w:pStyle w:val="Heading4"/>
      </w:pPr>
      <w:r>
        <w:t xml:space="preserve">8.2 Treatment methods</w:t>
      </w:r>
    </w:p>
    <w:p>
      <w:pPr>
        <w:pStyle w:val="Compact"/>
        <w:numPr>
          <w:ilvl w:val="0"/>
          <w:numId w:val="1798"/>
        </w:numPr>
      </w:pPr>
      <w:r>
        <w:t xml:space="preserve">PEG (Polyethylene Glycol) — Osmotic laxative; disimpaction 1–1.5 g/kg/day × 3 days; maintenance 0.4 g/kg/day; months-years; side effects minimal.</w:t>
      </w:r>
    </w:p>
    <w:p>
      <w:pPr>
        <w:pStyle w:val="Compact"/>
        <w:numPr>
          <w:ilvl w:val="0"/>
          <w:numId w:val="1798"/>
        </w:numPr>
      </w:pPr>
      <w:r>
        <w:t xml:space="preserve">Toilet Time and Position — 5–10 minutes toilet time 15–20 minutes after meals; foot support — hip flexion straightens the anorectal angle and reduces straining; on videomanometry the angle during defecation is ~100° when sitting and ~126° when squatting (Sakakibara R. et al. LUTS 2010).</w:t>
      </w:r>
    </w:p>
    <w:p>
      <w:pPr>
        <w:pStyle w:val="Compact"/>
        <w:numPr>
          <w:ilvl w:val="0"/>
          <w:numId w:val="1798"/>
        </w:numPr>
      </w:pPr>
      <w:r>
        <w:t xml:space="preserve">Positive Reinforcement (Star Chart) — Positive behavior reward instead of punishment.</w:t>
      </w:r>
    </w:p>
    <w:p>
      <w:pPr>
        <w:pStyle w:val="Compact"/>
        <w:numPr>
          <w:ilvl w:val="0"/>
          <w:numId w:val="1798"/>
        </w:numPr>
      </w:pPr>
      <w:r>
        <w:t xml:space="preserve">Biofeedback — In refractory cases; anorectal coordination training.</w:t>
      </w:r>
    </w:p>
    <w:bookmarkEnd w:id="1592"/>
    <w:bookmarkStart w:id="1593" w:name="differences-between-sources-92"/>
    <w:p>
      <w:pPr>
        <w:pStyle w:val="Heading4"/>
      </w:pPr>
      <w:r>
        <w:t xml:space="preserve">8.3 Differences between sources</w:t>
      </w:r>
    </w:p>
    <w:p>
      <w:pPr>
        <w:pStyle w:val="Compact"/>
        <w:numPr>
          <w:ilvl w:val="0"/>
          <w:numId w:val="1799"/>
        </w:numPr>
      </w:pPr>
      <w:r>
        <w:t xml:space="preserve">NASPGHAN/ESPGHAN 2014 — PEG first-line; enema traumatic and second-line.</w:t>
      </w:r>
    </w:p>
    <w:p>
      <w:pPr>
        <w:pStyle w:val="Compact"/>
        <w:numPr>
          <w:ilvl w:val="0"/>
          <w:numId w:val="1799"/>
        </w:numPr>
      </w:pPr>
      <w:r>
        <w:t xml:space="preserve">NICE CG99 — same.</w:t>
      </w:r>
    </w:p>
    <w:p>
      <w:pPr>
        <w:pStyle w:val="Compact"/>
        <w:numPr>
          <w:ilvl w:val="0"/>
          <w:numId w:val="1799"/>
        </w:numPr>
      </w:pPr>
      <w:r>
        <w:t xml:space="preserve">Cochrane (Gordon M. et al. 2016) — PEG superior to lactulose.</w:t>
      </w:r>
    </w:p>
    <w:bookmarkEnd w:id="1593"/>
    <w:bookmarkEnd w:id="1594"/>
    <w:bookmarkStart w:id="1595" w:name="X02a9fd0aad3af0c8c37ee49189cbc704a9a0a86"/>
    <w:p>
      <w:pPr>
        <w:pStyle w:val="Heading3"/>
      </w:pPr>
      <w:r>
        <w:t xml:space="preserve">9. Prognosis</w:t>
      </w:r>
    </w:p>
    <w:p>
      <w:pPr>
        <w:pStyle w:val="Compact"/>
        <w:numPr>
          <w:ilvl w:val="0"/>
          <w:numId w:val="1800"/>
        </w:numPr>
      </w:pPr>
      <w:r>
        <w:t xml:space="preserve">PEG and behavioral intervention lead to remission in most patients (50–80% within 1 year).</w:t>
      </w:r>
    </w:p>
    <w:p>
      <w:pPr>
        <w:pStyle w:val="Compact"/>
        <w:numPr>
          <w:ilvl w:val="0"/>
          <w:numId w:val="1800"/>
        </w:numPr>
      </w:pPr>
      <w:r>
        <w:t xml:space="preserve">Long-term maintenance therapy is recommended; early discontinuation creates relapse risk.</w:t>
      </w:r>
    </w:p>
    <w:bookmarkEnd w:id="1595"/>
    <w:bookmarkStart w:id="1602" w:name="X8f948c01bea3c1bf75a8959b9448b2781a7156d"/>
    <w:p>
      <w:pPr>
        <w:pStyle w:val="Heading3"/>
      </w:pPr>
      <w:r>
        <w:t xml:space="preserve">10. Myths and misconceptions</w:t>
      </w:r>
    </w:p>
    <w:bookmarkStart w:id="1596" w:name="X4cc86ba959598c2dd733142a0e6038e7d271161"/>
    <w:p>
      <w:pPr>
        <w:pStyle w:val="Heading5"/>
      </w:pPr>
      <w:r>
        <w:t xml:space="preserve">Myth 1: “Encopresis results from psychological ‘stubbornness’ or emotional disorder”</w:t>
      </w:r>
    </w:p>
    <w:p>
      <w:pPr>
        <w:pStyle w:val="FirstParagraph"/>
      </w:pPr>
      <w:r>
        <w:t xml:space="preserve">Evidence: Approximately 80% of cases are primarily due to constipation; medical/behavioral consultation is the first-line approach, not psychological. The patient's explanation of “intentional” behavior is incorrect.</w:t>
      </w:r>
    </w:p>
    <w:bookmarkEnd w:id="1596"/>
    <w:bookmarkStart w:id="1597" w:name="X8d57a61c0d521c51b99028a528f0611e648cba6"/>
    <w:p>
      <w:pPr>
        <w:pStyle w:val="Heading5"/>
      </w:pPr>
      <w:r>
        <w:t xml:space="preserve">Myth 2: “A child can be corrected through punishment”</w:t>
      </w:r>
    </w:p>
    <w:p>
      <w:pPr>
        <w:pStyle w:val="FirstParagraph"/>
      </w:pPr>
      <w:r>
        <w:t xml:space="preserve">Evidence: NASPGHAN/ESPGHAN — punishment is contraindicated; increases self-blame and distress.</w:t>
      </w:r>
    </w:p>
    <w:bookmarkEnd w:id="1597"/>
    <w:bookmarkStart w:id="1598" w:name="X13815b0821ad27640bfcc39562a44b30d94d530"/>
    <w:p>
      <w:pPr>
        <w:pStyle w:val="Heading5"/>
      </w:pPr>
      <w:r>
        <w:t xml:space="preserve">Myth 3: “Enema is a first-line intervention”</w:t>
      </w:r>
    </w:p>
    <w:p>
      <w:pPr>
        <w:pStyle w:val="FirstParagraph"/>
      </w:pPr>
      <w:r>
        <w:t xml:space="preserve">Evidence: Oral PEG is superior; enema is traumatic, second-line.</w:t>
      </w:r>
    </w:p>
    <w:bookmarkEnd w:id="1598"/>
    <w:bookmarkStart w:id="1599" w:name="X5658f8586f150aa8def49162479b541d3f1d780"/>
    <w:p>
      <w:pPr>
        <w:pStyle w:val="Heading5"/>
      </w:pPr>
      <w:r>
        <w:t xml:space="preserve">Myth 4: “Dietary change alone is sufficient”</w:t>
      </w:r>
    </w:p>
    <w:p>
      <w:pPr>
        <w:pStyle w:val="FirstParagraph"/>
      </w:pPr>
      <w:r>
        <w:t xml:space="preserve">Evidence: Fiber/water mild adjunct effect; impaction correction and maintenance require PEG.</w:t>
      </w:r>
    </w:p>
    <w:bookmarkEnd w:id="1599"/>
    <w:bookmarkStart w:id="1600" w:name="Xdd01a57f29cd6547ad90e3a2dbc573ffd6998ca"/>
    <w:p>
      <w:pPr>
        <w:pStyle w:val="Heading5"/>
      </w:pPr>
      <w:r>
        <w:t xml:space="preserve">Myth 5: “Encopresis resolves with age, requires no treatment”</w:t>
      </w:r>
    </w:p>
    <w:p>
      <w:pPr>
        <w:pStyle w:val="FirstParagraph"/>
      </w:pPr>
      <w:r>
        <w:t xml:space="preserve">Evidence: Chronic progression without treatment, social-emotional burden; active intervention recommended.</w:t>
      </w:r>
    </w:p>
    <w:bookmarkEnd w:id="1600"/>
    <w:bookmarkStart w:id="1601" w:name="myth-6-probiotics-cure-encopresis"/>
    <w:p>
      <w:pPr>
        <w:pStyle w:val="Heading5"/>
      </w:pPr>
      <w:r>
        <w:t xml:space="preserve">Myth 6: “Probiotics cure encopresis”</w:t>
      </w:r>
    </w:p>
    <w:p>
      <w:pPr>
        <w:pStyle w:val="FirstParagraph"/>
      </w:pPr>
      <w:r>
        <w:t xml:space="preserve">Evidence: Cochrane — the significant effect of probiotics has not been proven.</w:t>
      </w:r>
    </w:p>
    <w:bookmarkEnd w:id="1601"/>
    <w:bookmarkEnd w:id="1602"/>
    <w:bookmarkStart w:id="1603" w:name="Xf3047feccc733a279bd1fd28fe80c6b42a9c556"/>
    <w:p>
      <w:pPr>
        <w:pStyle w:val="Heading3"/>
      </w:pPr>
      <w:r>
        <w:t xml:space="preserve">11. Sources</w:t>
      </w:r>
    </w:p>
    <w:p>
      <w:pPr>
        <w:pStyle w:val="Compact"/>
        <w:numPr>
          <w:ilvl w:val="0"/>
          <w:numId w:val="1801"/>
        </w:numPr>
      </w:pPr>
      <w:r>
        <w:t xml:space="preserve">WHO. ICD-11. 6C01 Encopresis. 2024.</w:t>
      </w:r>
    </w:p>
    <w:p>
      <w:pPr>
        <w:pStyle w:val="Compact"/>
        <w:numPr>
          <w:ilvl w:val="0"/>
          <w:numId w:val="1801"/>
        </w:numPr>
      </w:pPr>
      <w:r>
        <w:t xml:space="preserve">APA. DSM-5-TR. 2022.</w:t>
      </w:r>
    </w:p>
    <w:p>
      <w:pPr>
        <w:pStyle w:val="Compact"/>
        <w:numPr>
          <w:ilvl w:val="0"/>
          <w:numId w:val="180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01"/>
        </w:numPr>
      </w:pPr>
      <w:r>
        <w:t xml:space="preserve">NICE CG99. Constipation in children and young people. 2010.</w:t>
      </w:r>
    </w:p>
    <w:p>
      <w:pPr>
        <w:pStyle w:val="Compact"/>
        <w:numPr>
          <w:ilvl w:val="0"/>
          <w:numId w:val="1801"/>
        </w:numPr>
      </w:pPr>
      <w:r>
        <w:t xml:space="preserve">Gordon M. et al. Osmotic and stimulant laxatives for the management of childhood constipation. Cochrane Database Syst Rev 2016;(8):CD009118.</w:t>
      </w:r>
    </w:p>
    <w:p>
      <w:pPr>
        <w:pStyle w:val="Compact"/>
        <w:numPr>
          <w:ilvl w:val="0"/>
          <w:numId w:val="1801"/>
        </w:numPr>
      </w:pPr>
      <w:r>
        <w:t xml:space="preserve">Sakakibara R., Tsunoyama K., Hosoi H. et al. Influence of body position on defecation in humans. LUTS: Lower Urinary Tract Symptoms 2010;2(1):16–21.</w:t>
      </w:r>
    </w:p>
    <w:bookmarkEnd w:id="1603"/>
    <w:bookmarkStart w:id="1604" w:name="m656c20-bodily-distress"/>
    <w:p>
      <w:pPr>
        <w:pageBreakBefore/>
        <w:pStyle w:val="Heading1"/>
      </w:pPr>
      <w:r>
        <w:t xml:space="preserve">6C20 BODILY DISTRESS</w:t>
      </w:r>
    </w:p>
    <w:p>
      <w:pPr>
        <w:pStyle w:val="FirstParagraph"/>
      </w:pPr>
      <w:r>
        <w:t xml:space="preserve">Disorders of bodily distress or bodily experience</w:t>
      </w:r>
    </w:p>
    <w:bookmarkEnd w:id="16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05" w:name="m666c20-bodily-distress-disorder"/>
            <w:r>
              <w:t xml:space="preserve">6C20 BODILY DISTRESS DISORDER</w:t>
            </w:r>
            <w:bookmarkEnd w:id="1605"/>
          </w:p>
          <w:p>
            <w:pPr>
              <w:pStyle w:val="Compact"/>
              <w:ind w:firstLine="0" w:left="0"/>
            </w:pPr>
            <w:r>
              <w:rPr>
                <w:lang w:val="en"/>
              </w:rPr>
              <w:t xml:space="preserve">Bodily distress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Somatization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Somatic Symptom Disorder</w:t>
            </w:r>
          </w:p>
        </w:tc>
      </w:tr>
    </w:tbl>
    <w:bookmarkStart w:id="1606" w:name="X27f84c5f3f3508015d121ef61f81296944504b9"/>
    <w:p>
      <w:pPr>
        <w:pStyle w:val="Heading3"/>
      </w:pPr>
      <w:r>
        <w:t xml:space="preserve">1. Definition and nosology</w:t>
      </w:r>
    </w:p>
    <w:p>
      <w:pPr>
        <w:pStyle w:val="FirstParagraph"/>
      </w:pPr>
      <w:r>
        <w:t xml:space="preserve">ICD-11:</w:t>
      </w:r>
      <w:r>
        <w:t xml:space="preserve"> </w:t>
      </w:r>
      <w:r>
        <w:t xml:space="preserve">6C20</w:t>
      </w:r>
      <w:r>
        <w:t xml:space="preserve"> </w:t>
      </w:r>
      <w:r>
        <w:t xml:space="preserve">Bodily Distress Disorder; DSM-5-TR: F45.1 Somatic Symptom Disorder — a psychiatric disorder characterized by excessive focus, worry, and behavioral interference created by somatic complaints (pain, fatigue, gastrointestinal or cardiopulmonary symptoms), accompanied by functional impairment. Clinical diagnosis is made not on the ‘inexplicability’ of symptoms, but on persistent preoccupation and distress (major change in DSM-5-TR update).</w:t>
      </w:r>
    </w:p>
    <w:bookmarkEnd w:id="1606"/>
    <w:bookmarkStart w:id="1607" w:name="X7ec1ef206019becc40306ae572a22b86a176ad3"/>
    <w:p>
      <w:pPr>
        <w:pStyle w:val="Heading3"/>
      </w:pPr>
      <w:r>
        <w:t xml:space="preserve">2. History</w:t>
      </w:r>
    </w:p>
    <w:p>
      <w:pPr>
        <w:pStyle w:val="Compact"/>
        <w:numPr>
          <w:ilvl w:val="0"/>
          <w:numId w:val="1802"/>
        </w:numPr>
      </w:pPr>
      <w:r>
        <w:t xml:space="preserve">Briquet P. (1859) — “hysteria” with multiple somatic symptoms.</w:t>
      </w:r>
    </w:p>
    <w:p>
      <w:pPr>
        <w:pStyle w:val="Compact"/>
        <w:numPr>
          <w:ilvl w:val="0"/>
          <w:numId w:val="1802"/>
        </w:numPr>
      </w:pPr>
      <w:r>
        <w:t xml:space="preserve">DSM-III (1980) — “Somatoform Disorders” group.</w:t>
      </w:r>
    </w:p>
    <w:p>
      <w:pPr>
        <w:pStyle w:val="Compact"/>
        <w:numPr>
          <w:ilvl w:val="0"/>
          <w:numId w:val="1802"/>
        </w:numPr>
      </w:pPr>
      <w:r>
        <w:t xml:space="preserve">DSM-5 (2013) — Fundamental change: requirement for “medically unexplained symptoms” removed; whether the somatic symptom is real or not is not a criterion — the patient's reaction is the diagnostic focus.</w:t>
      </w:r>
    </w:p>
    <w:p>
      <w:pPr>
        <w:pStyle w:val="Compact"/>
        <w:numPr>
          <w:ilvl w:val="0"/>
          <w:numId w:val="1802"/>
        </w:numPr>
      </w:pPr>
      <w:r>
        <w:t xml:space="preserve">ICD-11 (2019) — “Bodily Distress Disorder” — based on the European model on bodily distress (Fink P., Schröder A.).</w:t>
      </w:r>
    </w:p>
    <w:bookmarkEnd w:id="1607"/>
    <w:bookmarkStart w:id="1608" w:name="X2e22f4788387752346cc2e4305d5c6cfa9972ea"/>
    <w:p>
      <w:pPr>
        <w:pStyle w:val="Heading3"/>
      </w:pPr>
      <w:r>
        <w:t xml:space="preserve">3. Epidemiology</w:t>
      </w:r>
    </w:p>
    <w:p>
      <w:pPr>
        <w:pStyle w:val="Compact"/>
        <w:numPr>
          <w:ilvl w:val="0"/>
          <w:numId w:val="1803"/>
        </w:numPr>
      </w:pPr>
      <w:r>
        <w:t xml:space="preserve">In primary care: 5–15%.</w:t>
      </w:r>
    </w:p>
    <w:p>
      <w:pPr>
        <w:pStyle w:val="Compact"/>
        <w:numPr>
          <w:ilvl w:val="0"/>
          <w:numId w:val="1803"/>
        </w:numPr>
      </w:pPr>
      <w:r>
        <w:t xml:space="preserve">Sex: 2–3 times higher in females.</w:t>
      </w:r>
    </w:p>
    <w:p>
      <w:pPr>
        <w:pStyle w:val="Compact"/>
        <w:numPr>
          <w:ilvl w:val="0"/>
          <w:numId w:val="1803"/>
        </w:numPr>
      </w:pPr>
      <w:r>
        <w:t xml:space="preserve">Comorbidity: MDD, anxiety, panic, factitious, real medical illnesses.</w:t>
      </w:r>
    </w:p>
    <w:p>
      <w:pPr>
        <w:pStyle w:val="Compact"/>
        <w:numPr>
          <w:ilvl w:val="0"/>
          <w:numId w:val="1803"/>
        </w:numPr>
      </w:pPr>
      <w:r>
        <w:t xml:space="preserve">High healthcare utilization and costs.</w:t>
      </w:r>
    </w:p>
    <w:bookmarkEnd w:id="1608"/>
    <w:bookmarkStart w:id="1609" w:name="X542e695229e80d022afdc8a5c01b36e139f5973"/>
    <w:p>
      <w:pPr>
        <w:pStyle w:val="Heading3"/>
      </w:pPr>
      <w:r>
        <w:t xml:space="preserve">4. Aetiology and pathogenesis</w:t>
      </w:r>
    </w:p>
    <w:p>
      <w:pPr>
        <w:pStyle w:val="Compact"/>
        <w:numPr>
          <w:ilvl w:val="0"/>
          <w:numId w:val="1804"/>
        </w:numPr>
      </w:pPr>
      <w:r>
        <w:t xml:space="preserve">Biopsychosocial model — biological vulnerability + cognitive-affective emotional components + social reinforcement.</w:t>
      </w:r>
    </w:p>
    <w:p>
      <w:pPr>
        <w:pStyle w:val="Compact"/>
        <w:numPr>
          <w:ilvl w:val="0"/>
          <w:numId w:val="1804"/>
        </w:numPr>
      </w:pPr>
      <w:r>
        <w:t xml:space="preserve">Trauma and childhood illness history.</w:t>
      </w:r>
    </w:p>
    <w:p>
      <w:pPr>
        <w:pStyle w:val="Compact"/>
        <w:numPr>
          <w:ilvl w:val="0"/>
          <w:numId w:val="1804"/>
        </w:numPr>
      </w:pPr>
      <w:r>
        <w:t xml:space="preserve">Cognitive — catastrophizing and hypervigilance to bodily sensations.</w:t>
      </w:r>
    </w:p>
    <w:bookmarkEnd w:id="1609"/>
    <w:bookmarkStart w:id="1610" w:name="Xe07ee59ee44d1a6c1a5882d7116348685b08979"/>
    <w:p>
      <w:pPr>
        <w:pStyle w:val="Heading3"/>
      </w:pPr>
      <w:r>
        <w:t xml:space="preserve">5. Clinical features</w:t>
      </w:r>
    </w:p>
    <w:p>
      <w:pPr>
        <w:pStyle w:val="Compact"/>
        <w:numPr>
          <w:ilvl w:val="0"/>
          <w:numId w:val="1805"/>
        </w:numPr>
      </w:pPr>
      <w:r>
        <w:t xml:space="preserve">Persistent somatic symptoms (pain, fatigue, gastrointestinal, cardiopulmonary).</w:t>
      </w:r>
    </w:p>
    <w:p>
      <w:pPr>
        <w:pStyle w:val="Compact"/>
        <w:numPr>
          <w:ilvl w:val="0"/>
          <w:numId w:val="1805"/>
        </w:numPr>
      </w:pPr>
      <w:r>
        <w:t xml:space="preserve">≥ 1 of the following:</w:t>
      </w:r>
    </w:p>
    <w:p>
      <w:pPr>
        <w:pStyle w:val="Compact"/>
        <w:numPr>
          <w:ilvl w:val="1"/>
          <w:numId w:val="1806"/>
        </w:numPr>
      </w:pPr>
      <w:r>
        <w:t xml:space="preserve">Excessive and persistent thoughts about the severity of symptoms;</w:t>
      </w:r>
    </w:p>
    <w:p>
      <w:pPr>
        <w:pStyle w:val="Compact"/>
        <w:numPr>
          <w:ilvl w:val="1"/>
          <w:numId w:val="1806"/>
        </w:numPr>
      </w:pPr>
      <w:r>
        <w:t xml:space="preserve">High anxiety about health;</w:t>
      </w:r>
    </w:p>
    <w:p>
      <w:pPr>
        <w:pStyle w:val="Compact"/>
        <w:numPr>
          <w:ilvl w:val="1"/>
          <w:numId w:val="1806"/>
        </w:numPr>
      </w:pPr>
      <w:r>
        <w:t xml:space="preserve">Excessive time and energy devoted to symptoms.</w:t>
      </w:r>
    </w:p>
    <w:p>
      <w:pPr>
        <w:pStyle w:val="Compact"/>
        <w:numPr>
          <w:ilvl w:val="0"/>
          <w:numId w:val="1805"/>
        </w:numPr>
      </w:pPr>
      <w:r>
        <w:t xml:space="preserve">Duration ≥ 6 months.</w:t>
      </w:r>
    </w:p>
    <w:p>
      <w:pPr>
        <w:pStyle w:val="Compact"/>
        <w:numPr>
          <w:ilvl w:val="0"/>
          <w:numId w:val="1805"/>
        </w:numPr>
      </w:pPr>
      <w:r>
        <w:t xml:space="preserve">Functional impairment.</w:t>
      </w:r>
    </w:p>
    <w:p>
      <w:pPr>
        <w:pStyle w:val="Compact"/>
        <w:numPr>
          <w:ilvl w:val="0"/>
          <w:numId w:val="1805"/>
        </w:numPr>
      </w:pPr>
      <w:r>
        <w:t xml:space="preserve">“Doctor shopping”, repeated checking, avoidance behavior.</w:t>
      </w:r>
    </w:p>
    <w:bookmarkEnd w:id="1610"/>
    <w:bookmarkStart w:id="1615" w:name="Xfcc3e0f5d27bb3fd9882dd2b041bee04558e674"/>
    <w:p>
      <w:pPr>
        <w:pStyle w:val="Heading3"/>
      </w:pPr>
      <w:r>
        <w:t xml:space="preserve">6. Diagnosis</w:t>
      </w:r>
    </w:p>
    <w:bookmarkStart w:id="1611" w:name="unified-diagnostic-criteria-31"/>
    <w:p>
      <w:pPr>
        <w:pStyle w:val="Heading4"/>
      </w:pPr>
      <w:r>
        <w:t xml:space="preserve">6.1 Unified diagnostic criteria</w:t>
      </w:r>
    </w:p>
    <w:p>
      <w:pPr>
        <w:pStyle w:val="FirstParagraph"/>
      </w:pPr>
      <w:r>
        <w:t xml:space="preserve">A. One or more somatic symptoms — causing distress or functional impairment to the patient.</w:t>
      </w:r>
    </w:p>
    <w:p>
      <w:pPr>
        <w:pStyle w:val="BodyText"/>
      </w:pPr>
      <w:r>
        <w:t xml:space="preserve">B. ≥ 1 of the following:</w:t>
      </w:r>
    </w:p>
    <w:p>
      <w:pPr>
        <w:pStyle w:val="Compact"/>
        <w:numPr>
          <w:ilvl w:val="0"/>
          <w:numId w:val="1807"/>
        </w:numPr>
      </w:pPr>
      <w:r>
        <w:t xml:space="preserve">Excessive thoughts about the severity of symptoms;</w:t>
      </w:r>
    </w:p>
    <w:p>
      <w:pPr>
        <w:pStyle w:val="Compact"/>
        <w:numPr>
          <w:ilvl w:val="0"/>
          <w:numId w:val="1807"/>
        </w:numPr>
      </w:pPr>
      <w:r>
        <w:t xml:space="preserve">High anxiety about health;</w:t>
      </w:r>
    </w:p>
    <w:p>
      <w:pPr>
        <w:pStyle w:val="Compact"/>
        <w:numPr>
          <w:ilvl w:val="0"/>
          <w:numId w:val="1807"/>
        </w:numPr>
      </w:pPr>
      <w:r>
        <w:t xml:space="preserve">Excessive time/energy on symptoms.</w:t>
      </w:r>
    </w:p>
    <w:p>
      <w:pPr>
        <w:pStyle w:val="FirstParagraph"/>
      </w:pPr>
      <w:r>
        <w:t xml:space="preserve">C. Persistence ≥ 6 months.</w:t>
      </w:r>
    </w:p>
    <w:bookmarkEnd w:id="1611"/>
    <w:bookmarkStart w:id="1612" w:name="differences-between-sources-93"/>
    <w:p>
      <w:pPr>
        <w:pStyle w:val="Heading4"/>
      </w:pPr>
      <w:r>
        <w:t xml:space="preserve">6.2 Differences between sources</w:t>
      </w:r>
    </w:p>
    <w:p>
      <w:pPr>
        <w:pStyle w:val="Compact"/>
        <w:numPr>
          <w:ilvl w:val="0"/>
          <w:numId w:val="1808"/>
        </w:numPr>
      </w:pPr>
      <w:r>
        <w:t xml:space="preserve">DSM-5-TR — “with predominant pain” and severity specifiers.</w:t>
      </w:r>
    </w:p>
    <w:p>
      <w:pPr>
        <w:pStyle w:val="Compact"/>
        <w:numPr>
          <w:ilvl w:val="0"/>
          <w:numId w:val="1808"/>
        </w:numPr>
      </w:pPr>
      <w:r>
        <w:t xml:space="preserve">ICD-11 — ‘Bodily Distress Disorder’ — close to the European ‘bodily distress syndrome’ concept (Fink P.); severity (mild, moderate, severe).</w:t>
      </w:r>
    </w:p>
    <w:p>
      <w:pPr>
        <w:pStyle w:val="Compact"/>
        <w:numPr>
          <w:ilvl w:val="0"/>
          <w:numId w:val="1808"/>
        </w:numPr>
      </w:pPr>
      <w:r>
        <w:t xml:space="preserve">German S3 Guideline (Funktionelle Körperbeschwerden, 2018) — biopsychosocial approach.</w:t>
      </w:r>
    </w:p>
    <w:bookmarkEnd w:id="1612"/>
    <w:bookmarkStart w:id="1613" w:name="diagnostic-algorithm-52"/>
    <w:p>
      <w:pPr>
        <w:pStyle w:val="Heading4"/>
      </w:pPr>
      <w:r>
        <w:t xml:space="preserve">6.3 Diagnostic algorithm</w:t>
      </w:r>
    </w:p>
    <w:p>
      <w:pPr>
        <w:pStyle w:val="Compact"/>
        <w:numPr>
          <w:ilvl w:val="0"/>
          <w:numId w:val="1809"/>
        </w:numPr>
      </w:pPr>
      <w:r>
        <w:t xml:space="preserve">Clinical interview.</w:t>
      </w:r>
    </w:p>
    <w:p>
      <w:pPr>
        <w:pStyle w:val="Compact"/>
        <w:numPr>
          <w:ilvl w:val="0"/>
          <w:numId w:val="1809"/>
        </w:numPr>
      </w:pPr>
      <w:r>
        <w:t xml:space="preserve">PHQ-15 (somatic symptom scale), SSS-8.</w:t>
      </w:r>
    </w:p>
    <w:p>
      <w:pPr>
        <w:pStyle w:val="Compact"/>
        <w:numPr>
          <w:ilvl w:val="0"/>
          <w:numId w:val="1809"/>
        </w:numPr>
      </w:pPr>
      <w:r>
        <w:t xml:space="preserve">Medical assessment — exclusion of somatic illness (but avoid excessive testing).</w:t>
      </w:r>
    </w:p>
    <w:p>
      <w:pPr>
        <w:pStyle w:val="Compact"/>
        <w:numPr>
          <w:ilvl w:val="0"/>
          <w:numId w:val="1809"/>
        </w:numPr>
      </w:pPr>
      <w:r>
        <w:t xml:space="preserve">Comorbidity (MDD, anxiety, factitious, real illnesses).</w:t>
      </w:r>
    </w:p>
    <w:bookmarkEnd w:id="1613"/>
    <w:bookmarkStart w:id="1614" w:name="differential-diagnosis-5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Hypochondriasis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Illness preoccupation dominant; somatic symptoms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and laboratory confirmation; however, somatic symptom disorder may be comorbid.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neurological symptoms;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Conscious lie; motivation for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Overt material/legal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somatic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predominate.</w:t>
            </w:r>
          </w:p>
        </w:tc>
      </w:tr>
    </w:tbl>
    <w:bookmarkEnd w:id="1614"/>
    <w:bookmarkEnd w:id="1615"/>
    <w:bookmarkStart w:id="1616" w:name="X541c104852dea2a12e30507708bc114dbe13081"/>
    <w:p>
      <w:pPr>
        <w:pStyle w:val="Heading3"/>
      </w:pPr>
      <w:r>
        <w:t xml:space="preserve">7. Examination and assessment</w:t>
      </w:r>
    </w:p>
    <w:p>
      <w:pPr>
        <w:pStyle w:val="Compact"/>
        <w:numPr>
          <w:ilvl w:val="0"/>
          <w:numId w:val="1810"/>
        </w:numPr>
      </w:pPr>
      <w:r>
        <w:t xml:space="preserve">PHQ-15, SSS-8, Whiteley Index (overlap).</w:t>
      </w:r>
    </w:p>
    <w:p>
      <w:pPr>
        <w:pStyle w:val="Compact"/>
        <w:numPr>
          <w:ilvl w:val="0"/>
          <w:numId w:val="1810"/>
        </w:numPr>
      </w:pPr>
      <w:r>
        <w:t xml:space="preserve">One-time comprehensive medical examination; then minimal repetition.</w:t>
      </w:r>
    </w:p>
    <w:p>
      <w:pPr>
        <w:pStyle w:val="Compact"/>
        <w:numPr>
          <w:ilvl w:val="0"/>
          <w:numId w:val="1810"/>
        </w:numPr>
      </w:pPr>
      <w:r>
        <w:t xml:space="preserve">Comorbidity scales.</w:t>
      </w:r>
    </w:p>
    <w:bookmarkEnd w:id="1616"/>
    <w:bookmarkStart w:id="1619" w:name="Xaad82c4ffa808319fe46b2d1cfb4de30a23a277"/>
    <w:p>
      <w:pPr>
        <w:pStyle w:val="Heading3"/>
      </w:pPr>
      <w:r>
        <w:t xml:space="preserve">8. Treatment</w:t>
      </w:r>
    </w:p>
    <w:p>
      <w:pPr>
        <w:pStyle w:val="Compact"/>
        <w:numPr>
          <w:ilvl w:val="0"/>
          <w:numId w:val="1811"/>
        </w:numPr>
      </w:pPr>
      <w:r>
        <w:t xml:space="preserve">Biopsychosocial approach and stepped care — primary care physician at the centre, psychiatrist/psychologist adjunct.</w:t>
      </w:r>
    </w:p>
    <w:p>
      <w:pPr>
        <w:pStyle w:val="Compact"/>
        <w:numPr>
          <w:ilvl w:val="0"/>
          <w:numId w:val="1811"/>
        </w:numPr>
      </w:pPr>
      <w:r>
        <w:t xml:space="preserve">Single physician model (single physician approach) — all complaints are managed through that physician.</w:t>
      </w:r>
    </w:p>
    <w:p>
      <w:pPr>
        <w:pStyle w:val="Compact"/>
        <w:numPr>
          <w:ilvl w:val="0"/>
          <w:numId w:val="1811"/>
        </w:numPr>
      </w:pPr>
      <w:r>
        <w:t xml:space="preserve">CBT — cognitive restructuring, reduction of catastrophic interpretation of bodily sensations, behavioral activation. Evidence: van Dessel N. Cochrane 2014 (CD011142).</w:t>
      </w:r>
    </w:p>
    <w:p>
      <w:pPr>
        <w:pStyle w:val="Compact"/>
        <w:numPr>
          <w:ilvl w:val="0"/>
          <w:numId w:val="1811"/>
        </w:numPr>
      </w:pPr>
      <w:r>
        <w:t xml:space="preserve">SSRI — for comorbid MDD/anxiety; duloxetine, amitriptyline when pain is dominant.</w:t>
      </w:r>
    </w:p>
    <w:p>
      <w:pPr>
        <w:pStyle w:val="Compact"/>
        <w:numPr>
          <w:ilvl w:val="0"/>
          <w:numId w:val="1811"/>
        </w:numPr>
      </w:pPr>
      <w:r>
        <w:t xml:space="preserve">Structured limited checking — a single comprehensive examination of the patient, then limited ‘reassurance’.</w:t>
      </w:r>
    </w:p>
    <w:p>
      <w:pPr>
        <w:pStyle w:val="Compact"/>
        <w:numPr>
          <w:ilvl w:val="0"/>
          <w:numId w:val="1811"/>
        </w:numPr>
      </w:pPr>
      <w:r>
        <w:t xml:space="preserve">Mindfulness, physical activity, occupational rehabilitation.</w:t>
      </w:r>
    </w:p>
    <w:bookmarkStart w:id="1617" w:name="treatment-methods-51"/>
    <w:p>
      <w:pPr>
        <w:pStyle w:val="Heading4"/>
      </w:pPr>
      <w:r>
        <w:t xml:space="preserve">8.1 Treatment methods</w:t>
      </w:r>
    </w:p>
    <w:p>
      <w:pPr>
        <w:pStyle w:val="Compact"/>
        <w:numPr>
          <w:ilvl w:val="0"/>
          <w:numId w:val="1812"/>
        </w:numPr>
      </w:pPr>
      <w:r>
        <w:t xml:space="preserve">CBT for Somatic Symptom — Cognitive restructuring + behavioral intervention (avoidance reduction, exposure). van Dessel N. Cochrane 2014 (CD011142).</w:t>
      </w:r>
    </w:p>
    <w:p>
      <w:pPr>
        <w:pStyle w:val="Compact"/>
        <w:numPr>
          <w:ilvl w:val="0"/>
          <w:numId w:val="1812"/>
        </w:numPr>
      </w:pPr>
      <w:r>
        <w:t xml:space="preserve">Single Physician Model — Structured visit; limited number of checks; sequential explanation.</w:t>
      </w:r>
    </w:p>
    <w:p>
      <w:pPr>
        <w:pStyle w:val="Compact"/>
        <w:numPr>
          <w:ilvl w:val="0"/>
          <w:numId w:val="1812"/>
        </w:numPr>
      </w:pPr>
      <w:r>
        <w:t xml:space="preserve">PHQ-15, SSS-8 — Somatic complaint scales.</w:t>
      </w:r>
    </w:p>
    <w:p>
      <w:pPr>
        <w:pStyle w:val="Compact"/>
        <w:numPr>
          <w:ilvl w:val="0"/>
          <w:numId w:val="1812"/>
        </w:numPr>
      </w:pPr>
      <w:r>
        <w:t xml:space="preserve">Stepped Care — CBT-based brief intervention at the primary care level; then specialized service.</w:t>
      </w:r>
    </w:p>
    <w:bookmarkEnd w:id="1617"/>
    <w:bookmarkStart w:id="1618" w:name="differences-between-sources-94"/>
    <w:p>
      <w:pPr>
        <w:pStyle w:val="Heading4"/>
      </w:pPr>
      <w:r>
        <w:t xml:space="preserve">8.2 Differences between sources</w:t>
      </w:r>
    </w:p>
    <w:p>
      <w:pPr>
        <w:pStyle w:val="Compact"/>
        <w:numPr>
          <w:ilvl w:val="0"/>
          <w:numId w:val="1813"/>
        </w:numPr>
      </w:pPr>
      <w:r>
        <w:t xml:space="preserve">German S3 Guideline — integrated care at the primary care level.</w:t>
      </w:r>
    </w:p>
    <w:p>
      <w:pPr>
        <w:pStyle w:val="Compact"/>
        <w:numPr>
          <w:ilvl w:val="0"/>
          <w:numId w:val="1813"/>
        </w:numPr>
      </w:pPr>
      <w:r>
        <w:t xml:space="preserve">NICE — no separate guideline for somatic symptom disorder; general principles.</w:t>
      </w:r>
    </w:p>
    <w:bookmarkEnd w:id="1618"/>
    <w:bookmarkEnd w:id="1619"/>
    <w:bookmarkStart w:id="1620" w:name="X4eeed653a066308c6ec4239ebc09349e53c76c6"/>
    <w:p>
      <w:pPr>
        <w:pStyle w:val="Heading3"/>
      </w:pPr>
      <w:r>
        <w:t xml:space="preserve">9. Prognosis</w:t>
      </w:r>
    </w:p>
    <w:p>
      <w:pPr>
        <w:pStyle w:val="Compact"/>
        <w:numPr>
          <w:ilvl w:val="0"/>
          <w:numId w:val="1814"/>
        </w:numPr>
      </w:pPr>
      <w:r>
        <w:t xml:space="preserve">CBT and a multidisciplinary approach lead to significant improvement; chronic course.</w:t>
      </w:r>
    </w:p>
    <w:bookmarkEnd w:id="1620"/>
    <w:bookmarkStart w:id="1626" w:name="X5dfd7608e2b32be2a57918b03e11370eb7aca25"/>
    <w:p>
      <w:pPr>
        <w:pStyle w:val="Heading3"/>
      </w:pPr>
      <w:r>
        <w:t xml:space="preserve">10. Myths and misconceptions</w:t>
      </w:r>
    </w:p>
    <w:bookmarkStart w:id="1621" w:name="myth-1-the-patient-is-faking-symptoms"/>
    <w:p>
      <w:pPr>
        <w:pStyle w:val="Heading5"/>
      </w:pPr>
      <w:r>
        <w:t xml:space="preserve">Myth 1: “The patient is ‘faking’ symptoms”</w:t>
      </w:r>
    </w:p>
    <w:p>
      <w:pPr>
        <w:pStyle w:val="FirstParagraph"/>
      </w:pPr>
      <w:r>
        <w:t xml:space="preserve">Evidence: symptoms are real for the patient; somatic disorder is a clinical condition, not simulation.</w:t>
      </w:r>
    </w:p>
    <w:bookmarkEnd w:id="1621"/>
    <w:bookmarkStart w:id="1622" w:name="Xc2d903029865367ac0496602c9a47d23366af0c"/>
    <w:p>
      <w:pPr>
        <w:pStyle w:val="Heading5"/>
      </w:pPr>
      <w:r>
        <w:t xml:space="preserve">Myth 2: “Saying ‘nothing is wrong’ after a medical exam will reassure the patient”</w:t>
      </w:r>
    </w:p>
    <w:p>
      <w:pPr>
        <w:pStyle w:val="FirstParagraph"/>
      </w:pPr>
      <w:r>
        <w:t xml:space="preserve">Evidence: Negative reassurance is short-term; maintains long-term anxiety. Structured explanation and biopsychosocial model are superior.</w:t>
      </w:r>
    </w:p>
    <w:bookmarkEnd w:id="1622"/>
    <w:bookmarkStart w:id="1623" w:name="Xa31fdc08aab35b6a0c4d48c5a7f9c70d2938cf1"/>
    <w:p>
      <w:pPr>
        <w:pStyle w:val="Heading5"/>
      </w:pPr>
      <w:r>
        <w:t xml:space="preserve">Myth 3: “Only a prolonged medical investigation will reveal the diagnosis”</w:t>
      </w:r>
    </w:p>
    <w:p>
      <w:pPr>
        <w:pStyle w:val="FirstParagraph"/>
      </w:pPr>
      <w:r>
        <w:t xml:space="preserve">Evidence: repeated checking increases somatic focus and costs; one-time comprehensive assessment, then limited.</w:t>
      </w:r>
    </w:p>
    <w:bookmarkEnd w:id="1623"/>
    <w:bookmarkStart w:id="1624" w:name="X223aa00d039bc5c3fdfde7cef61a6cfa6b52a76"/>
    <w:p>
      <w:pPr>
        <w:pStyle w:val="Heading5"/>
      </w:pPr>
      <w:r>
        <w:t xml:space="preserve">Myth 4: “Somatic symptom disorder is only a ‘mental illness’”</w:t>
      </w:r>
    </w:p>
    <w:p>
      <w:pPr>
        <w:pStyle w:val="FirstParagraph"/>
      </w:pPr>
      <w:r>
        <w:t xml:space="preserve">Evidence: biopsychosocial disorder; biological components (sensory sensitivity, gut-brain axis) are real.</w:t>
      </w:r>
    </w:p>
    <w:bookmarkEnd w:id="1624"/>
    <w:bookmarkStart w:id="1625" w:name="X38e40ae51983ad0cfbbb4d0c37e7d05d7a402c2"/>
    <w:p>
      <w:pPr>
        <w:pStyle w:val="Heading5"/>
      </w:pPr>
      <w:r>
        <w:t xml:space="preserve">Myth 5: “Antidepressant is the ‘treatment’ for somatic symptom disorder”</w:t>
      </w:r>
    </w:p>
    <w:p>
      <w:pPr>
        <w:pStyle w:val="FirstParagraph"/>
      </w:pPr>
      <w:r>
        <w:t xml:space="preserve">Evidence: SSRI for comorbid symptoms; CBT first-line.</w:t>
      </w:r>
    </w:p>
    <w:bookmarkEnd w:id="1625"/>
    <w:bookmarkEnd w:id="1626"/>
    <w:bookmarkStart w:id="1627" w:name="X54a44cbb7fb9dbf89334c25bd3fb1f1eddbe974"/>
    <w:p>
      <w:pPr>
        <w:pStyle w:val="Heading3"/>
      </w:pPr>
      <w:r>
        <w:t xml:space="preserve">11. Sources</w:t>
      </w:r>
    </w:p>
    <w:p>
      <w:pPr>
        <w:pStyle w:val="Compact"/>
        <w:numPr>
          <w:ilvl w:val="0"/>
          <w:numId w:val="1815"/>
        </w:numPr>
      </w:pPr>
      <w:r>
        <w:t xml:space="preserve">WHO. ICD-11. 6C20 Bodily distress disorder. 2024.</w:t>
      </w:r>
    </w:p>
    <w:p>
      <w:pPr>
        <w:pStyle w:val="Compact"/>
        <w:numPr>
          <w:ilvl w:val="0"/>
          <w:numId w:val="1815"/>
        </w:numPr>
      </w:pPr>
      <w:r>
        <w:t xml:space="preserve">APA. DSM-5-TR. 2022.</w:t>
      </w:r>
    </w:p>
    <w:p>
      <w:pPr>
        <w:pStyle w:val="Compact"/>
        <w:numPr>
          <w:ilvl w:val="0"/>
          <w:numId w:val="1815"/>
        </w:numPr>
      </w:pPr>
      <w:r>
        <w:t xml:space="preserve">Kleinstäuber M. et al. Pharmacological interventions for somatoform disorders in adults. Cochrane Database Syst Rev 2014;(11):CD010628.</w:t>
      </w:r>
    </w:p>
    <w:p>
      <w:pPr>
        <w:pStyle w:val="Compact"/>
        <w:numPr>
          <w:ilvl w:val="0"/>
          <w:numId w:val="1815"/>
        </w:numPr>
      </w:pPr>
      <w:r>
        <w:t xml:space="preserve">Henningsen P. et al. Management of somatic symptom disorder. Dialogues Clin Neurosci 2018;20(1):23–31.</w:t>
      </w:r>
    </w:p>
    <w:p>
      <w:pPr>
        <w:pStyle w:val="Compact"/>
        <w:numPr>
          <w:ilvl w:val="0"/>
          <w:numId w:val="1815"/>
        </w:numPr>
      </w:pPr>
      <w:r>
        <w:t xml:space="preserve">Schaefert R. et al. Non-specific, functional, and somatoform bodily complaints. Dtsch Arztebl Int 2012;109(47):803–813.</w:t>
      </w:r>
    </w:p>
    <w:p>
      <w:pPr>
        <w:pStyle w:val="Compact"/>
        <w:numPr>
          <w:ilvl w:val="0"/>
          <w:numId w:val="1815"/>
        </w:numPr>
      </w:pPr>
      <w:r>
        <w:t xml:space="preserve">van Dessel N., den Boeft M., van der Wouden J.C. et al. Non-pharmacological interventions for somatoform disorders and medically unexplained physical symptoms (MUPS) in adults. Cochrane Database Syst Rev 2014;(11):CD011142.</w:t>
      </w:r>
    </w:p>
    <w:bookmarkEnd w:id="1627"/>
    <w:bookmarkStart w:id="1628" w:name="m676c406c5z-substance-related"/>
    <w:p>
      <w:pPr>
        <w:pageBreakBefore/>
        <w:pStyle w:val="Heading1"/>
      </w:pPr>
      <w:r>
        <w:t xml:space="preserve">6C40–6C5Z SUBSTANCE-RELATED</w:t>
      </w:r>
    </w:p>
    <w:p>
      <w:pPr>
        <w:pStyle w:val="FirstParagraph"/>
      </w:pPr>
      <w:r>
        <w:t xml:space="preserve">Disorders due to substance use or addictive behaviours</w:t>
      </w:r>
    </w:p>
    <w:bookmarkEnd w:id="162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29" w:name="m686c40-disorders-due-to-use-of-alcohol"/>
            <w:r>
              <w:t xml:space="preserve">6C40 DISORDERS DUE TO USE OF ALCOHOL</w:t>
            </w:r>
            <w:bookmarkEnd w:id="1629"/>
          </w:p>
          <w:p>
            <w:pPr>
              <w:pStyle w:val="Compact"/>
              <w:ind w:firstLine="0" w:left="0"/>
            </w:pPr>
            <w:r>
              <w:rPr>
                <w:lang w:val="en"/>
              </w:rPr>
              <w:t xml:space="preserve">Disorders due to use of alcohol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alcohol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Alcohol Use Disorder, Moderate or Severe</w:t>
            </w:r>
          </w:p>
        </w:tc>
      </w:tr>
    </w:tbl>
    <w:bookmarkStart w:id="1630" w:name="X7c6304bc0eea12833c9c5ca080fb20768b938cd"/>
    <w:p>
      <w:pPr>
        <w:pStyle w:val="Heading3"/>
      </w:pPr>
      <w:r>
        <w:t xml:space="preserve">1. Definition and nosology</w:t>
      </w:r>
    </w:p>
    <w:p>
      <w:pPr>
        <w:pStyle w:val="FirstParagraph"/>
      </w:pPr>
      <w:r>
        <w:t xml:space="preserve">Disorders due to use of alcohol (ICD-11:</w:t>
      </w:r>
      <w:r>
        <w:t xml:space="preserve"> </w:t>
      </w:r>
      <w:r>
        <w:t xml:space="preserve">6C40</w:t>
      </w:r>
      <w:r>
        <w:t xml:space="preserve">; DSM-5-TR: F10.20 Alcohol Use Disorder, AUD) — a group of disorders characterized by impaired control over alcohol use, continued use despite physical or psychological harm. ICD-11 subtypes: harmful pattern of use (6C40.1), alcohol dependence (6C40.2), intoxication (6C40.3), withdrawal syndrome (6C40.4), alcohol-induced delirium, psychotic, mood, anxiety disorders.</w:t>
      </w:r>
    </w:p>
    <w:bookmarkEnd w:id="1630"/>
    <w:bookmarkStart w:id="1631" w:name="Xf70fbbc669116284441d1a55bad272c7637d3b0"/>
    <w:p>
      <w:pPr>
        <w:pStyle w:val="Heading3"/>
      </w:pPr>
      <w:r>
        <w:t xml:space="preserve">2. History</w:t>
      </w:r>
    </w:p>
    <w:p>
      <w:pPr>
        <w:pStyle w:val="Compact"/>
        <w:numPr>
          <w:ilvl w:val="0"/>
          <w:numId w:val="1816"/>
        </w:numPr>
      </w:pPr>
      <w:r>
        <w:t xml:space="preserve">Jellinek E.M. (1960) — ‘The Disease Concept of Alcoholism’ — alcoholism as a disease.</w:t>
      </w:r>
    </w:p>
    <w:p>
      <w:pPr>
        <w:pStyle w:val="Compact"/>
        <w:numPr>
          <w:ilvl w:val="0"/>
          <w:numId w:val="1816"/>
        </w:numPr>
      </w:pPr>
      <w:r>
        <w:t xml:space="preserve">DSM-IV — ‘Abuse’ and ‘Dependence’ as separate categories.</w:t>
      </w:r>
    </w:p>
    <w:p>
      <w:pPr>
        <w:pStyle w:val="Compact"/>
        <w:numPr>
          <w:ilvl w:val="0"/>
          <w:numId w:val="1816"/>
        </w:numPr>
      </w:pPr>
      <w:r>
        <w:t xml:space="preserve">DSM-5 (2013) — unified ‘Alcohol Use Disorder’ (mild, moderate, severe).</w:t>
      </w:r>
    </w:p>
    <w:p>
      <w:pPr>
        <w:pStyle w:val="Compact"/>
        <w:numPr>
          <w:ilvl w:val="0"/>
          <w:numId w:val="1816"/>
        </w:numPr>
      </w:pPr>
      <w:r>
        <w:t xml:space="preserve">ICD-11 — episodic harmful use or addiction pattern separated.</w:t>
      </w:r>
    </w:p>
    <w:bookmarkEnd w:id="1631"/>
    <w:bookmarkStart w:id="1632" w:name="X42352ed3932d1fd2f9622ce467eb316f75c706a"/>
    <w:p>
      <w:pPr>
        <w:pStyle w:val="Heading3"/>
      </w:pPr>
      <w:r>
        <w:t xml:space="preserve">3. Epidemiology</w:t>
      </w:r>
    </w:p>
    <w:p>
      <w:pPr>
        <w:pStyle w:val="Compact"/>
        <w:numPr>
          <w:ilvl w:val="0"/>
          <w:numId w:val="1817"/>
        </w:numPr>
      </w:pPr>
      <w:r>
        <w:t xml:space="preserve">Lifetime prevalence: 14–29% (NIAAA NESARC); annual 5–14%.</w:t>
      </w:r>
    </w:p>
    <w:p>
      <w:pPr>
        <w:pStyle w:val="Compact"/>
        <w:numPr>
          <w:ilvl w:val="0"/>
          <w:numId w:val="1817"/>
        </w:numPr>
      </w:pPr>
      <w:r>
        <w:t xml:space="preserve">Sex: 2–3 times higher in males, but increasing in females.</w:t>
      </w:r>
    </w:p>
    <w:p>
      <w:pPr>
        <w:pStyle w:val="Compact"/>
        <w:numPr>
          <w:ilvl w:val="0"/>
          <w:numId w:val="1817"/>
        </w:numPr>
      </w:pPr>
      <w:r>
        <w:t xml:space="preserve">Mortality: 3 million deaths per year worldwide (WHO).</w:t>
      </w:r>
    </w:p>
    <w:p>
      <w:pPr>
        <w:pStyle w:val="Compact"/>
        <w:numPr>
          <w:ilvl w:val="0"/>
          <w:numId w:val="1817"/>
        </w:numPr>
      </w:pPr>
      <w:r>
        <w:t xml:space="preserve">Comorbidity: MDD, anxiety, PTSD, BPD, other substance use, liver disease, cardiovascular.</w:t>
      </w:r>
    </w:p>
    <w:bookmarkEnd w:id="1632"/>
    <w:bookmarkStart w:id="1633" w:name="X1600d9db39c0448e426b95c037d6d9f245f81b7"/>
    <w:p>
      <w:pPr>
        <w:pStyle w:val="Heading3"/>
      </w:pPr>
      <w:r>
        <w:t xml:space="preserve">4. Aetiology and pathogenesis</w:t>
      </w:r>
    </w:p>
    <w:p>
      <w:pPr>
        <w:pStyle w:val="Compact"/>
        <w:numPr>
          <w:ilvl w:val="0"/>
          <w:numId w:val="1818"/>
        </w:numPr>
      </w:pPr>
      <w:r>
        <w:t xml:space="preserve">Heritability ~49% (95% CI 43–53) (Verhulst B. et al. Psychol Med 2015).</w:t>
      </w:r>
    </w:p>
    <w:p>
      <w:pPr>
        <w:pStyle w:val="Compact"/>
        <w:numPr>
          <w:ilvl w:val="0"/>
          <w:numId w:val="1818"/>
        </w:numPr>
      </w:pPr>
      <w:r>
        <w:t xml:space="preserve">Neurobiological — dopamine reward circuit, GABA, glutamate, opioid systems.</w:t>
      </w:r>
    </w:p>
    <w:p>
      <w:pPr>
        <w:pStyle w:val="Compact"/>
        <w:numPr>
          <w:ilvl w:val="0"/>
          <w:numId w:val="1818"/>
        </w:numPr>
      </w:pPr>
      <w:r>
        <w:t xml:space="preserve">Environment — peers, stress, alcohol availability, cultural norms.</w:t>
      </w:r>
    </w:p>
    <w:p>
      <w:pPr>
        <w:pStyle w:val="Compact"/>
        <w:numPr>
          <w:ilvl w:val="0"/>
          <w:numId w:val="1818"/>
        </w:numPr>
      </w:pPr>
      <w:r>
        <w:t xml:space="preserve">Genetic markers — ADH1B, ALDH2 (protective in Asian population).</w:t>
      </w:r>
    </w:p>
    <w:bookmarkEnd w:id="1633"/>
    <w:bookmarkStart w:id="1638" w:name="Xb6ba66dbde4c741f3b20f3c7b90e0dcc2e06926"/>
    <w:p>
      <w:pPr>
        <w:pStyle w:val="Heading3"/>
      </w:pPr>
      <w:r>
        <w:t xml:space="preserve">5. Clinical features</w:t>
      </w:r>
    </w:p>
    <w:bookmarkStart w:id="1634" w:name="X5e70af0a14b8c9a5ccc9dabdc222e09c2b33cc1"/>
    <w:p>
      <w:pPr>
        <w:pStyle w:val="Heading4"/>
      </w:pPr>
      <w:r>
        <w:t xml:space="preserve">5.1 Dependence syndrome (DSM-5-TR criteria, ≥ 2 out of 11)</w:t>
      </w:r>
    </w:p>
    <w:p>
      <w:pPr>
        <w:pStyle w:val="Compact"/>
        <w:numPr>
          <w:ilvl w:val="0"/>
          <w:numId w:val="1819"/>
        </w:numPr>
      </w:pPr>
      <w:r>
        <w:t xml:space="preserve">More/prolonged use;</w:t>
      </w:r>
    </w:p>
    <w:p>
      <w:pPr>
        <w:pStyle w:val="Compact"/>
        <w:numPr>
          <w:ilvl w:val="0"/>
          <w:numId w:val="1819"/>
        </w:numPr>
      </w:pPr>
      <w:r>
        <w:t xml:space="preserve">Attempts to reduce are unsuccessful;</w:t>
      </w:r>
    </w:p>
    <w:p>
      <w:pPr>
        <w:pStyle w:val="Compact"/>
        <w:numPr>
          <w:ilvl w:val="0"/>
          <w:numId w:val="1819"/>
        </w:numPr>
      </w:pPr>
      <w:r>
        <w:t xml:space="preserve">Most time spent obtaining, using, recovering from substance</w:t>
      </w:r>
    </w:p>
    <w:p>
      <w:pPr>
        <w:pStyle w:val="Compact"/>
        <w:numPr>
          <w:ilvl w:val="0"/>
          <w:numId w:val="1819"/>
        </w:numPr>
      </w:pPr>
      <w:r>
        <w:t xml:space="preserve">Craving;</w:t>
      </w:r>
    </w:p>
    <w:p>
      <w:pPr>
        <w:pStyle w:val="Compact"/>
        <w:numPr>
          <w:ilvl w:val="0"/>
          <w:numId w:val="1819"/>
        </w:numPr>
      </w:pPr>
      <w:r>
        <w:t xml:space="preserve">Work/school disruption;</w:t>
      </w:r>
    </w:p>
    <w:p>
      <w:pPr>
        <w:pStyle w:val="Compact"/>
        <w:numPr>
          <w:ilvl w:val="0"/>
          <w:numId w:val="1819"/>
        </w:numPr>
      </w:pPr>
      <w:r>
        <w:t xml:space="preserve">Continues despite social-interpersonal problem.</w:t>
      </w:r>
    </w:p>
    <w:p>
      <w:pPr>
        <w:pStyle w:val="Compact"/>
        <w:numPr>
          <w:ilvl w:val="0"/>
          <w:numId w:val="1819"/>
        </w:numPr>
      </w:pPr>
      <w:r>
        <w:t xml:space="preserve">Refusal of important activities;</w:t>
      </w:r>
    </w:p>
    <w:p>
      <w:pPr>
        <w:pStyle w:val="Compact"/>
        <w:numPr>
          <w:ilvl w:val="0"/>
          <w:numId w:val="1819"/>
        </w:numPr>
      </w:pPr>
      <w:r>
        <w:t xml:space="preserve">Use in a dangerous situation;</w:t>
      </w:r>
    </w:p>
    <w:p>
      <w:pPr>
        <w:pStyle w:val="Compact"/>
        <w:numPr>
          <w:ilvl w:val="0"/>
          <w:numId w:val="1819"/>
        </w:numPr>
      </w:pPr>
      <w:r>
        <w:t xml:space="preserve">Continuation despite physical/psychological problem;</w:t>
      </w:r>
    </w:p>
    <w:p>
      <w:pPr>
        <w:pStyle w:val="Compact"/>
        <w:numPr>
          <w:ilvl w:val="0"/>
          <w:numId w:val="1819"/>
        </w:numPr>
      </w:pPr>
      <w:r>
        <w:t xml:space="preserve">Tolerance;</w:t>
      </w:r>
    </w:p>
    <w:p>
      <w:pPr>
        <w:pStyle w:val="Compact"/>
        <w:numPr>
          <w:ilvl w:val="0"/>
          <w:numId w:val="1819"/>
        </w:numPr>
      </w:pPr>
      <w:r>
        <w:t xml:space="preserve">Withdrawal syndrome.</w:t>
      </w:r>
    </w:p>
    <w:bookmarkEnd w:id="1634"/>
    <w:bookmarkStart w:id="1635" w:name="intoxication"/>
    <w:p>
      <w:pPr>
        <w:pStyle w:val="Heading4"/>
      </w:pPr>
      <w:r>
        <w:t xml:space="preserve">5.2 Intoxication</w:t>
      </w:r>
    </w:p>
    <w:p>
      <w:pPr>
        <w:pStyle w:val="Compact"/>
        <w:numPr>
          <w:ilvl w:val="0"/>
          <w:numId w:val="1820"/>
        </w:numPr>
      </w:pPr>
      <w:r>
        <w:t xml:space="preserve">Disinhibition, dysarthria, ataxia, nystagmus, cognitive impairment.</w:t>
      </w:r>
    </w:p>
    <w:p>
      <w:pPr>
        <w:pStyle w:val="Compact"/>
        <w:numPr>
          <w:ilvl w:val="0"/>
          <w:numId w:val="1820"/>
        </w:numPr>
      </w:pPr>
      <w:r>
        <w:t xml:space="preserve">Severe intoxication — coma, respiratory depression, hypoglycemia, death.</w:t>
      </w:r>
    </w:p>
    <w:bookmarkEnd w:id="1635"/>
    <w:bookmarkStart w:id="1636" w:name="withdrawal"/>
    <w:p>
      <w:pPr>
        <w:pStyle w:val="Heading4"/>
      </w:pPr>
      <w:r>
        <w:t xml:space="preserve">5.3 Withdrawal</w:t>
      </w:r>
    </w:p>
    <w:p>
      <w:pPr>
        <w:pStyle w:val="Compact"/>
        <w:numPr>
          <w:ilvl w:val="0"/>
          <w:numId w:val="1821"/>
        </w:numPr>
      </w:pPr>
      <w:r>
        <w:t xml:space="preserve">Mild: tremor, sweating, tachycardia, anxiety, nausea (6–24 hours after last drink).</w:t>
      </w:r>
    </w:p>
    <w:p>
      <w:pPr>
        <w:pStyle w:val="Compact"/>
        <w:numPr>
          <w:ilvl w:val="0"/>
          <w:numId w:val="1821"/>
        </w:numPr>
      </w:pPr>
      <w:r>
        <w:t xml:space="preserve">Moderate: autonomic hyperactivity, hallucinations (alcoholic hallucinosis).</w:t>
      </w:r>
    </w:p>
    <w:p>
      <w:pPr>
        <w:pStyle w:val="Compact"/>
        <w:numPr>
          <w:ilvl w:val="0"/>
          <w:numId w:val="1821"/>
        </w:numPr>
      </w:pPr>
      <w:r>
        <w:t xml:space="preserve">Severe: delirium tremens (DT) — 48–96 hours; altered consciousness, hallucinations, autonomic crisis; mortality ~1–4% among hospitalised patients (Schuckit M.A. N Engl J Med 2014); substantially higher in historical untreated series; seizures.</w:t>
      </w:r>
    </w:p>
    <w:bookmarkEnd w:id="1636"/>
    <w:bookmarkStart w:id="1637" w:name="complications"/>
    <w:p>
      <w:pPr>
        <w:pStyle w:val="Heading4"/>
      </w:pPr>
      <w:r>
        <w:t xml:space="preserve">5.4 Complications</w:t>
      </w:r>
    </w:p>
    <w:p>
      <w:pPr>
        <w:pStyle w:val="Compact"/>
        <w:numPr>
          <w:ilvl w:val="0"/>
          <w:numId w:val="1822"/>
        </w:numPr>
      </w:pPr>
      <w:r>
        <w:t xml:space="preserve">Wernicke-Korsakoff (B1 deficiency), alcoholic liver disease, cardiomyopathy, polyneuropathy, FAS during pregnancy.</w:t>
      </w:r>
    </w:p>
    <w:bookmarkEnd w:id="1637"/>
    <w:bookmarkEnd w:id="1638"/>
    <w:bookmarkStart w:id="1643" w:name="Xc22c55481e10d125f6a5cc8c22ddfde636d1daa"/>
    <w:p>
      <w:pPr>
        <w:pStyle w:val="Heading3"/>
      </w:pPr>
      <w:r>
        <w:t xml:space="preserve">6. Diagnosis</w:t>
      </w:r>
    </w:p>
    <w:bookmarkStart w:id="1639" w:name="unified-diagnostic-criteria-32"/>
    <w:p>
      <w:pPr>
        <w:pStyle w:val="Heading4"/>
      </w:pPr>
      <w:r>
        <w:t xml:space="preserve">6.1 Unified diagnostic criteria</w:t>
      </w:r>
    </w:p>
    <w:p>
      <w:pPr>
        <w:pStyle w:val="FirstParagraph"/>
      </w:pPr>
      <w:r>
        <w:t xml:space="preserve">DSM-5-TR — ≥2 of 11 criteria (mild 2–3, moderate 4–5, severe ≥6); ICD-11 — pattern of use (single episode of harmful use, harmful pattern of use, dependence); hazardous use belongs to QE10, not to 6C4x. ICD-11 duration requirement: harmful pattern of use — at least 12 months if use is episodic, at least 1 month if continuous; dependence — at least 12 months, or at least 3 months if use is continuous (daily or almost daily).</w:t>
      </w:r>
    </w:p>
    <w:bookmarkEnd w:id="1639"/>
    <w:bookmarkStart w:id="1640" w:name="differences-between-sources-95"/>
    <w:p>
      <w:pPr>
        <w:pStyle w:val="Heading4"/>
      </w:pPr>
      <w:r>
        <w:t xml:space="preserve">6.2 Differences between sources</w:t>
      </w:r>
    </w:p>
    <w:p>
      <w:pPr>
        <w:pStyle w:val="Compact"/>
        <w:numPr>
          <w:ilvl w:val="0"/>
          <w:numId w:val="1823"/>
        </w:numPr>
      </w:pPr>
      <w:r>
        <w:t xml:space="preserve">WHO AUDIT (Saunders 1993) — 10-item screening.</w:t>
      </w:r>
    </w:p>
    <w:p>
      <w:pPr>
        <w:pStyle w:val="Compact"/>
        <w:numPr>
          <w:ilvl w:val="0"/>
          <w:numId w:val="1823"/>
        </w:numPr>
      </w:pPr>
      <w:r>
        <w:t xml:space="preserve">NICE CG115 — diagnosis and treatment of alcohol disorders.</w:t>
      </w:r>
    </w:p>
    <w:p>
      <w:pPr>
        <w:pStyle w:val="Compact"/>
        <w:numPr>
          <w:ilvl w:val="0"/>
          <w:numId w:val="1823"/>
        </w:numPr>
      </w:pPr>
      <w:r>
        <w:t xml:space="preserve">SAMHSA TIP — international protocols.</w:t>
      </w:r>
    </w:p>
    <w:bookmarkEnd w:id="1640"/>
    <w:bookmarkStart w:id="1641" w:name="diagnostic-algorithm-53"/>
    <w:p>
      <w:pPr>
        <w:pStyle w:val="Heading4"/>
      </w:pPr>
      <w:r>
        <w:t xml:space="preserve">6.3 Diagnostic algorithm</w:t>
      </w:r>
    </w:p>
    <w:p>
      <w:pPr>
        <w:pStyle w:val="Compact"/>
        <w:numPr>
          <w:ilvl w:val="0"/>
          <w:numId w:val="1824"/>
        </w:numPr>
      </w:pPr>
      <w:r>
        <w:t xml:space="preserve">AUDIT, AUDIT-C screening at primary care level.</w:t>
      </w:r>
    </w:p>
    <w:p>
      <w:pPr>
        <w:pStyle w:val="Compact"/>
        <w:numPr>
          <w:ilvl w:val="0"/>
          <w:numId w:val="1824"/>
        </w:numPr>
      </w:pPr>
      <w:r>
        <w:t xml:space="preserve">Clinical interview — TLFB (Timeline Followback) use pattern.</w:t>
      </w:r>
    </w:p>
    <w:p>
      <w:pPr>
        <w:pStyle w:val="Compact"/>
        <w:numPr>
          <w:ilvl w:val="0"/>
          <w:numId w:val="1824"/>
        </w:numPr>
      </w:pPr>
      <w:r>
        <w:t xml:space="preserve">Laboratory: GGT, AST/ALT, MCV, CDT (carbohydrate-deficient transferrin), complete blood count.</w:t>
      </w:r>
    </w:p>
    <w:p>
      <w:pPr>
        <w:pStyle w:val="Compact"/>
        <w:numPr>
          <w:ilvl w:val="0"/>
          <w:numId w:val="1824"/>
        </w:numPr>
      </w:pPr>
      <w:r>
        <w:t xml:space="preserve">Comorbidity (MDD, anxiety, PTSD, somatic illnesses).</w:t>
      </w:r>
    </w:p>
    <w:p>
      <w:pPr>
        <w:pStyle w:val="Compact"/>
        <w:numPr>
          <w:ilvl w:val="0"/>
          <w:numId w:val="1824"/>
        </w:numPr>
      </w:pPr>
      <w:r>
        <w:t xml:space="preserve">Withdrawal risk (CIWA-Ar).</w:t>
      </w:r>
    </w:p>
    <w:bookmarkEnd w:id="1641"/>
    <w:bookmarkStart w:id="1642" w:name="differential-diagnosis-5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substance use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 screening.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with self-medication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are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episodes.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bl>
    <w:bookmarkEnd w:id="1642"/>
    <w:bookmarkEnd w:id="1643"/>
    <w:bookmarkStart w:id="1644" w:name="X99265fce0e758dbe52ef1f861811280b4a8107b"/>
    <w:p>
      <w:pPr>
        <w:pStyle w:val="Heading3"/>
      </w:pPr>
      <w:r>
        <w:t xml:space="preserve">7. Examination and assessment</w:t>
      </w:r>
    </w:p>
    <w:p>
      <w:pPr>
        <w:pStyle w:val="Compact"/>
        <w:numPr>
          <w:ilvl w:val="0"/>
          <w:numId w:val="1825"/>
        </w:numPr>
      </w:pPr>
      <w:r>
        <w:t xml:space="preserve">AUDIT, CIWA-Ar (withdrawal severity).</w:t>
      </w:r>
    </w:p>
    <w:p>
      <w:pPr>
        <w:pStyle w:val="Compact"/>
        <w:numPr>
          <w:ilvl w:val="0"/>
          <w:numId w:val="1825"/>
        </w:numPr>
      </w:pPr>
      <w:r>
        <w:t xml:space="preserve">GGT, MCV, CDT, transaminases.</w:t>
      </w:r>
    </w:p>
    <w:p>
      <w:pPr>
        <w:pStyle w:val="Compact"/>
        <w:numPr>
          <w:ilvl w:val="0"/>
          <w:numId w:val="1825"/>
        </w:numPr>
      </w:pPr>
      <w:r>
        <w:t xml:space="preserve">Thiamine level.</w:t>
      </w:r>
    </w:p>
    <w:p>
      <w:pPr>
        <w:pStyle w:val="Compact"/>
        <w:numPr>
          <w:ilvl w:val="0"/>
          <w:numId w:val="1825"/>
        </w:numPr>
      </w:pPr>
      <w:r>
        <w:t xml:space="preserve">EKG, cardiac USG (cardiomyopathy).</w:t>
      </w:r>
    </w:p>
    <w:p>
      <w:pPr>
        <w:pStyle w:val="Compact"/>
        <w:numPr>
          <w:ilvl w:val="0"/>
          <w:numId w:val="1825"/>
        </w:numPr>
      </w:pPr>
      <w:r>
        <w:t xml:space="preserve">Comorbidity screening.</w:t>
      </w:r>
    </w:p>
    <w:bookmarkEnd w:id="1644"/>
    <w:bookmarkStart w:id="1648" w:name="Xedd60dddf33385f1d5d772f9011795a8665a986"/>
    <w:p>
      <w:pPr>
        <w:pStyle w:val="Heading3"/>
      </w:pPr>
      <w:r>
        <w:t xml:space="preserve">8. Treatment</w:t>
      </w:r>
    </w:p>
    <w:bookmarkStart w:id="1645" w:name="X484a4941ae43a02a2284bd3211e08c888548c75"/>
    <w:p>
      <w:pPr>
        <w:pStyle w:val="Heading4"/>
      </w:pPr>
      <w:r>
        <w:t xml:space="preserve">8.1 General principles (NICE CG115 · SAMHSA TIP 49 · APA 2018)</w:t>
      </w:r>
    </w:p>
    <w:p>
      <w:pPr>
        <w:pStyle w:val="Compact"/>
        <w:numPr>
          <w:ilvl w:val="0"/>
          <w:numId w:val="1826"/>
        </w:numPr>
      </w:pPr>
      <w:r>
        <w:t xml:space="preserve">Detoxification:</w:t>
      </w:r>
    </w:p>
    <w:p>
      <w:pPr>
        <w:pStyle w:val="Compact"/>
        <w:numPr>
          <w:ilvl w:val="1"/>
          <w:numId w:val="1827"/>
        </w:numPr>
      </w:pPr>
      <w:r>
        <w:t xml:space="preserve">Mild (CIWA-Ar &lt;10) — outpatient;</w:t>
      </w:r>
    </w:p>
    <w:p>
      <w:pPr>
        <w:pStyle w:val="Compact"/>
        <w:numPr>
          <w:ilvl w:val="1"/>
          <w:numId w:val="1827"/>
        </w:numPr>
      </w:pPr>
      <w:r>
        <w:t xml:space="preserve">Moderate-severe — inpatient (hospitalization);</w:t>
      </w:r>
    </w:p>
    <w:p>
      <w:pPr>
        <w:pStyle w:val="Compact"/>
        <w:numPr>
          <w:ilvl w:val="1"/>
          <w:numId w:val="1827"/>
        </w:numPr>
      </w:pPr>
      <w:r>
        <w:t xml:space="preserve">Benzodiazepine (lorazepam, diazepam) — gold standard for withdrawal treatment;</w:t>
      </w:r>
    </w:p>
    <w:p>
      <w:pPr>
        <w:pStyle w:val="Compact"/>
        <w:numPr>
          <w:ilvl w:val="1"/>
          <w:numId w:val="1827"/>
        </w:numPr>
      </w:pPr>
      <w:r>
        <w:t xml:space="preserve">Thiamine 100–300 mg IV/IM × 3–5 days (Wernicke prophylaxis — BEFORE glucose).</w:t>
      </w:r>
    </w:p>
    <w:p>
      <w:pPr>
        <w:pStyle w:val="Compact"/>
        <w:numPr>
          <w:ilvl w:val="1"/>
          <w:numId w:val="1827"/>
        </w:numPr>
      </w:pPr>
      <w:r>
        <w:t xml:space="preserve">Hydration, electrolyte correction.</w:t>
      </w:r>
    </w:p>
    <w:p>
      <w:pPr>
        <w:pStyle w:val="Compact"/>
        <w:numPr>
          <w:ilvl w:val="0"/>
          <w:numId w:val="1826"/>
        </w:numPr>
      </w:pPr>
      <w:r>
        <w:t xml:space="preserve">Pharmacotherapy for relapse prevention:</w:t>
      </w:r>
    </w:p>
    <w:p>
      <w:pPr>
        <w:pStyle w:val="Compact"/>
        <w:numPr>
          <w:ilvl w:val="1"/>
          <w:numId w:val="1828"/>
        </w:numPr>
      </w:pPr>
      <w:r>
        <w:t xml:space="preserve">Naltrexone (oral 50 mg or IM Vivitrol 380 mg monthly) — first-line; reduces cravings.</w:t>
      </w:r>
    </w:p>
    <w:p>
      <w:pPr>
        <w:pStyle w:val="Compact"/>
        <w:numPr>
          <w:ilvl w:val="1"/>
          <w:numId w:val="1828"/>
        </w:numPr>
      </w:pPr>
      <w:r>
        <w:t xml:space="preserve">Acamprosate (666 mg × 3 times/day) — first line; maintenance of abstinence.</w:t>
      </w:r>
    </w:p>
    <w:p>
      <w:pPr>
        <w:pStyle w:val="Compact"/>
        <w:numPr>
          <w:ilvl w:val="1"/>
          <w:numId w:val="1828"/>
        </w:numPr>
      </w:pPr>
      <w:r>
        <w:t xml:space="preserve">Disulfiram — second-line; in motivated patient; aversive reaction.</w:t>
      </w:r>
    </w:p>
    <w:p>
      <w:pPr>
        <w:pStyle w:val="Compact"/>
        <w:numPr>
          <w:ilvl w:val="1"/>
          <w:numId w:val="1828"/>
        </w:numPr>
      </w:pPr>
      <w:r>
        <w:t xml:space="preserve">Topiramate, gabapentin — off-label.</w:t>
      </w:r>
    </w:p>
    <w:p>
      <w:pPr>
        <w:pStyle w:val="Compact"/>
        <w:numPr>
          <w:ilvl w:val="0"/>
          <w:numId w:val="1826"/>
        </w:numPr>
      </w:pPr>
      <w:r>
        <w:t xml:space="preserve">Psychosocial: Motivational Interviewing (MI), CBT, 12-Step facilitation (AA, NA), contingency management.</w:t>
      </w:r>
    </w:p>
    <w:p>
      <w:pPr>
        <w:pStyle w:val="Compact"/>
        <w:numPr>
          <w:ilvl w:val="0"/>
          <w:numId w:val="1826"/>
        </w:numPr>
      </w:pPr>
      <w:r>
        <w:t xml:space="preserve">SAMHSA — co-occurring substance use disorder and psychiatric comorbidity (dual diagnosis).</w:t>
      </w:r>
    </w:p>
    <w:p>
      <w:pPr>
        <w:pStyle w:val="Compact"/>
        <w:numPr>
          <w:ilvl w:val="0"/>
          <w:numId w:val="1826"/>
        </w:numPr>
      </w:pPr>
      <w:r>
        <w:t xml:space="preserve">Long-term relapse prophylaxis.</w:t>
      </w:r>
    </w:p>
    <w:bookmarkEnd w:id="1645"/>
    <w:bookmarkStart w:id="1646" w:name="treatment-methods-52"/>
    <w:p>
      <w:pPr>
        <w:pStyle w:val="Heading4"/>
      </w:pPr>
      <w:r>
        <w:t xml:space="preserve">8.2 Treatment methods</w:t>
      </w:r>
    </w:p>
    <w:p>
      <w:pPr>
        <w:pStyle w:val="Compact"/>
        <w:numPr>
          <w:ilvl w:val="0"/>
          <w:numId w:val="1829"/>
        </w:numPr>
      </w:pPr>
      <w:r>
        <w:t xml:space="preserve">Motivational Interviewing (MI) — Miller W.R., Rollnick S — Enhancing readiness for behavior change; targets “ambivalence”.</w:t>
      </w:r>
    </w:p>
    <w:p>
      <w:pPr>
        <w:pStyle w:val="Compact"/>
        <w:numPr>
          <w:ilvl w:val="0"/>
          <w:numId w:val="1829"/>
        </w:numPr>
      </w:pPr>
      <w:r>
        <w:t xml:space="preserve">CBT for substance use — Trigger recognition, cravings management, coping skills, relapse prevention.</w:t>
      </w:r>
    </w:p>
    <w:p>
      <w:pPr>
        <w:pStyle w:val="Compact"/>
        <w:numPr>
          <w:ilvl w:val="0"/>
          <w:numId w:val="1829"/>
        </w:numPr>
      </w:pPr>
      <w:r>
        <w:t xml:space="preserve">Naltrexone, Acamprosate, Disulfiram — Pharmacotherapy against relapse.</w:t>
      </w:r>
    </w:p>
    <w:p>
      <w:pPr>
        <w:pStyle w:val="Compact"/>
        <w:numPr>
          <w:ilvl w:val="0"/>
          <w:numId w:val="1829"/>
        </w:numPr>
      </w:pPr>
      <w:r>
        <w:t xml:space="preserve">12-Step Facilitation (AA, NA) — Project MATCH RCT — comparative effectiveness of CBT and MI.</w:t>
      </w:r>
    </w:p>
    <w:p>
      <w:pPr>
        <w:pStyle w:val="Compact"/>
        <w:numPr>
          <w:ilvl w:val="0"/>
          <w:numId w:val="1829"/>
        </w:numPr>
      </w:pPr>
      <w:r>
        <w:t xml:space="preserve">AUDIT, CIWA-Ar — Screening and withdrawal severity.</w:t>
      </w:r>
    </w:p>
    <w:bookmarkEnd w:id="1646"/>
    <w:bookmarkStart w:id="1647" w:name="differences-between-sources-96"/>
    <w:p>
      <w:pPr>
        <w:pStyle w:val="Heading4"/>
      </w:pPr>
      <w:r>
        <w:t xml:space="preserve">8.3 Differences between sources</w:t>
      </w:r>
    </w:p>
    <w:p>
      <w:pPr>
        <w:pStyle w:val="Compact"/>
        <w:numPr>
          <w:ilvl w:val="0"/>
          <w:numId w:val="1830"/>
        </w:numPr>
      </w:pPr>
      <w:r>
        <w:t xml:space="preserve">NICE CG115 (2011).</w:t>
      </w:r>
    </w:p>
    <w:p>
      <w:pPr>
        <w:pStyle w:val="Compact"/>
        <w:numPr>
          <w:ilvl w:val="0"/>
          <w:numId w:val="1830"/>
        </w:numPr>
      </w:pPr>
      <w:r>
        <w:t xml:space="preserve">APA Practice Guideline for the Pharmacological Treatment of Patients with Alcohol Use Disorder (2018).</w:t>
      </w:r>
    </w:p>
    <w:p>
      <w:pPr>
        <w:pStyle w:val="Compact"/>
        <w:numPr>
          <w:ilvl w:val="0"/>
          <w:numId w:val="1830"/>
        </w:numPr>
      </w:pPr>
      <w:r>
        <w:t xml:space="preserve">SAMHSA TIP 49 (2009).</w:t>
      </w:r>
    </w:p>
    <w:bookmarkEnd w:id="1647"/>
    <w:bookmarkEnd w:id="1648"/>
    <w:bookmarkStart w:id="1649" w:name="X904477180e5e44b74eb4d808daf4d55f081a0fd"/>
    <w:p>
      <w:pPr>
        <w:pStyle w:val="Heading3"/>
      </w:pPr>
      <w:r>
        <w:t xml:space="preserve">9. Prognosis</w:t>
      </w:r>
    </w:p>
    <w:p>
      <w:pPr>
        <w:pStyle w:val="Compact"/>
        <w:numPr>
          <w:ilvl w:val="0"/>
          <w:numId w:val="1831"/>
        </w:numPr>
      </w:pPr>
      <w:r>
        <w:t xml:space="preserve">With multimodal approach, 40–50% long-term remission.</w:t>
      </w:r>
    </w:p>
    <w:p>
      <w:pPr>
        <w:pStyle w:val="Compact"/>
        <w:numPr>
          <w:ilvl w:val="0"/>
          <w:numId w:val="1831"/>
        </w:numPr>
      </w:pPr>
      <w:r>
        <w:t xml:space="preserve">Comorbid MDD, BPD, other substance — poor prognosis.</w:t>
      </w:r>
    </w:p>
    <w:bookmarkEnd w:id="1649"/>
    <w:bookmarkStart w:id="1656" w:name="X8c632422fb9029511f34d5eb6dcc0289402aa8f"/>
    <w:p>
      <w:pPr>
        <w:pStyle w:val="Heading3"/>
      </w:pPr>
      <w:r>
        <w:t xml:space="preserve">10. Myths and misconceptions</w:t>
      </w:r>
    </w:p>
    <w:bookmarkStart w:id="1650" w:name="Xc733651d49e46ef66461f039317194e4c7310f8"/>
    <w:p>
      <w:pPr>
        <w:pStyle w:val="Heading5"/>
      </w:pPr>
      <w:r>
        <w:t xml:space="preserve">Myth 1: “Alcoholism is a character weakness”</w:t>
      </w:r>
    </w:p>
    <w:p>
      <w:pPr>
        <w:pStyle w:val="FirstParagraph"/>
      </w:pPr>
      <w:r>
        <w:t xml:space="preserve">Evidence: Jellinek 1960; WHO — alcohol use disorder is a medical condition; heritability 50–60%.</w:t>
      </w:r>
    </w:p>
    <w:bookmarkEnd w:id="1650"/>
    <w:bookmarkStart w:id="1651" w:name="myth-2-detoxification-alone-is-treatment"/>
    <w:p>
      <w:pPr>
        <w:pStyle w:val="Heading5"/>
      </w:pPr>
      <w:r>
        <w:t xml:space="preserve">Myth 2: “Detoxification alone is treatment”</w:t>
      </w:r>
    </w:p>
    <w:p>
      <w:pPr>
        <w:pStyle w:val="FirstParagraph"/>
      </w:pPr>
      <w:r>
        <w:t xml:space="preserve">Evidence: Detoxification is the initial step; intervention against relapse is required; detox alone leads to 90%+ relapse.</w:t>
      </w:r>
    </w:p>
    <w:bookmarkEnd w:id="1651"/>
    <w:bookmarkStart w:id="1652" w:name="X2c1387715d0ce626a68c094d4e55a800224f1a2"/>
    <w:p>
      <w:pPr>
        <w:pStyle w:val="Heading5"/>
      </w:pPr>
      <w:r>
        <w:t xml:space="preserve">Myth 3: “Naltrexone makes alcohol ‘unacceptable’”</w:t>
      </w:r>
    </w:p>
    <w:p>
      <w:pPr>
        <w:pStyle w:val="FirstParagraph"/>
      </w:pPr>
      <w:r>
        <w:t xml:space="preserve">Evidence: Naltrexone reduces craving and diminishes alcohol's ‘reward’ effect; differs from disulfiram.</w:t>
      </w:r>
    </w:p>
    <w:bookmarkEnd w:id="1652"/>
    <w:bookmarkStart w:id="1653" w:name="X173dabf3fce0431618ac7e0a49e0c768c955af2"/>
    <w:p>
      <w:pPr>
        <w:pStyle w:val="Heading5"/>
      </w:pPr>
      <w:r>
        <w:t xml:space="preserve">Myth 4: “The patient must hit ‘rock bottom’ before treatment begins”</w:t>
      </w:r>
    </w:p>
    <w:p>
      <w:pPr>
        <w:pStyle w:val="FirstParagraph"/>
      </w:pPr>
      <w:r>
        <w:t xml:space="preserve">Evidence: Early intervention is more effective; the “rock bottom” concept is not evidence-based.</w:t>
      </w:r>
    </w:p>
    <w:bookmarkEnd w:id="1653"/>
    <w:bookmarkStart w:id="1654" w:name="X8d3d0cd93ef2903a00fb632135a34c0103e6f5c"/>
    <w:p>
      <w:pPr>
        <w:pStyle w:val="Heading5"/>
      </w:pPr>
      <w:r>
        <w:t xml:space="preserve">Myth 5: “Alcohol is the safest substance, requires no treatment”</w:t>
      </w:r>
    </w:p>
    <w:p>
      <w:pPr>
        <w:pStyle w:val="FirstParagraph"/>
      </w:pPr>
      <w:r>
        <w:t xml:space="preserve">Evidence: WHO — alcohol causes 2.6 million deaths annually (WHO 2024, 2019 data); DT mortality is ~1–4% among hospitalised patients (Schuckit M.A. N Engl J Med 2014); substantially higher in historical untreated series.</w:t>
      </w:r>
    </w:p>
    <w:bookmarkEnd w:id="1654"/>
    <w:bookmarkStart w:id="1655" w:name="X71708759c6117801117773aba2d47c955a67921"/>
    <w:p>
      <w:pPr>
        <w:pStyle w:val="Heading5"/>
      </w:pPr>
      <w:r>
        <w:t xml:space="preserve">Myth 6: “‘A little alcohol is safe’ in pregnant women”</w:t>
      </w:r>
    </w:p>
    <w:p>
      <w:pPr>
        <w:pStyle w:val="FirstParagraph"/>
      </w:pPr>
      <w:r>
        <w:t xml:space="preserve">Evidence: CDC, AAP — any amount of alcohol during pregnancy creates a risk of FAS; there is no ‘safe’ dose.</w:t>
      </w:r>
    </w:p>
    <w:bookmarkEnd w:id="1655"/>
    <w:bookmarkEnd w:id="1656"/>
    <w:bookmarkStart w:id="2958" w:name="Xf2e2c13380cd122e73501424a9d752aeacd0b6c"/>
    <w:p>
      <w:pPr>
        <w:pStyle w:val="Heading3"/>
      </w:pPr>
      <w:r>
        <w:t xml:space="preserve">11. Sources</w:t>
      </w:r>
    </w:p>
    <w:p>
      <w:pPr>
        <w:pStyle w:val="Compact"/>
        <w:numPr>
          <w:ilvl w:val="0"/>
          <w:numId w:val="1832"/>
        </w:numPr>
      </w:pPr>
      <w:r>
        <w:t xml:space="preserve">WHO. ICD-11. 6C40 Disorders due to use of alcohol. 2024.</w:t>
      </w:r>
    </w:p>
    <w:p>
      <w:pPr>
        <w:pStyle w:val="Compact"/>
        <w:numPr>
          <w:ilvl w:val="0"/>
          <w:numId w:val="1832"/>
        </w:numPr>
      </w:pPr>
      <w:r>
        <w:t xml:space="preserve">APA. DSM-5-TR. 2022.</w:t>
      </w:r>
    </w:p>
    <w:p>
      <w:pPr>
        <w:pStyle w:val="Compact"/>
        <w:numPr>
          <w:ilvl w:val="0"/>
          <w:numId w:val="1832"/>
        </w:numPr>
      </w:pPr>
      <w:r>
        <w:t xml:space="preserve">NICE CG115. Alcohol-use disorders: diagnosis, assessment and management. 2011.</w:t>
      </w:r>
    </w:p>
    <w:p>
      <w:pPr>
        <w:pStyle w:val="Compact"/>
        <w:numPr>
          <w:ilvl w:val="0"/>
          <w:numId w:val="1832"/>
        </w:numPr>
      </w:pPr>
      <w:r>
        <w:t xml:space="preserve">APA. Practice Guideline for the Pharmacological Treatment of Patients with AUD. 2018.</w:t>
      </w:r>
    </w:p>
    <w:p>
      <w:pPr>
        <w:pStyle w:val="Compact"/>
        <w:numPr>
          <w:ilvl w:val="0"/>
          <w:numId w:val="1832"/>
        </w:numPr>
      </w:pPr>
      <w:r>
        <w:t xml:space="preserve">SAMHSA. TIP 49: Incorporating Alcohol Pharmacotherapies Into Medical Practice. 2009.</w:t>
      </w:r>
    </w:p>
    <w:p>
      <w:pPr>
        <w:pStyle w:val="Compact"/>
        <w:numPr>
          <w:ilvl w:val="0"/>
          <w:numId w:val="1832"/>
        </w:numPr>
      </w:pPr>
      <w:r>
        <w:t xml:space="preserve">Anton R.F. et al. COMBINE trial. JAMA 2006;295(17):2003–2017.</w:t>
      </w:r>
    </w:p>
    <w:p>
      <w:pPr>
        <w:pStyle w:val="Compact"/>
        <w:numPr>
          <w:ilvl w:val="0"/>
          <w:numId w:val="1832"/>
        </w:numPr>
      </w:pPr>
      <w:r>
        <w:t xml:space="preserve">Project MATCH Research Group. Matching alcoholism treatments to client heterogeneity. J Stud Alcohol 1997;58(1):7–29.</w:t>
      </w:r>
    </w:p>
    <w:p>
      <w:pPr>
        <w:pStyle w:val="Compact"/>
        <w:numPr>
          <w:ilvl w:val="0"/>
          <w:numId w:val="1832"/>
        </w:numPr>
      </w:pPr>
      <w:r>
        <w:t xml:space="preserve">Verhulst B., Neale M.C., Kendler K.S. The heritability of alcohol use disorders: a meta-analysis of twin and adoption studies. Psychol Med 2015;45(5):1061–1072.</w:t>
      </w:r>
    </w:p>
    <w:p>
      <w:pPr>
        <w:pStyle w:val="Compact"/>
        <w:numPr>
          <w:ilvl w:val="0"/>
          <w:numId w:val="1832"/>
        </w:numPr>
      </w:pPr>
      <w:r>
        <w:t xml:space="preserve">Schuckit M.A. Recognition and management of withdrawal delirium (delirium tremens). N Engl J Med 2014;371(22):2109–2113.</w:t>
      </w:r>
    </w:p>
    <w:p>
      <w:pPr>
        <w:pStyle w:val="Compact"/>
        <w:numPr>
          <w:ilvl w:val="0"/>
          <w:numId w:val="1832"/>
        </w:numPr>
      </w:pPr>
      <w:r>
        <w:t xml:space="preserve">Saunders J.B., Aasland O.G., Babor T.F. et al. Development of the Alcohol Use Disorders Identification Test (AUDIT). Addiction 1993;88(6):791–804.</w:t>
      </w:r>
    </w:p>
    <w:p>
      <w:pPr>
        <w:pStyle w:val="Compact"/>
        <w:numPr>
          <w:ilvl w:val="0"/>
          <w:numId w:val="1832"/>
        </w:numPr>
      </w:pPr>
      <w:r>
        <w:t xml:space="preserve">Miller W.R., Rollnick S. Motivational Interviewing: Helping People Change. 3rd ed. New York: Guilford Press, 2013.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57" w:name="m696c43-disorders-due-to-use-of-opioids"/>
            <w:r>
              <w:t xml:space="preserve">6C43 DISORDERS DUE TO USE OF OPIOIDS</w:t>
            </w:r>
            <w:bookmarkEnd w:id="1657"/>
          </w:p>
          <w:p>
            <w:pPr>
              <w:pStyle w:val="Compact"/>
              <w:ind w:firstLine="0" w:left="0"/>
            </w:pPr>
            <w:r>
              <w:rPr>
                <w:lang w:val="en"/>
              </w:rPr>
              <w:t xml:space="preserve">Disorders due to use of opioids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opioids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 Use Disorder, Moderate or Severe</w:t>
            </w:r>
          </w:p>
        </w:tc>
      </w:tr>
    </w:tbl>
    <w:bookmarkStart w:id="1658" w:name="X6cf9817540efdaacbdf0ef165eafead74295c5a"/>
    <w:p>
      <w:pPr>
        <w:pStyle w:val="Heading3"/>
      </w:pPr>
      <w:r>
        <w:t xml:space="preserve">1. Definition and nosology</w:t>
      </w:r>
    </w:p>
    <w:p>
      <w:pPr>
        <w:pStyle w:val="FirstParagraph"/>
      </w:pPr>
      <w:r>
        <w:t xml:space="preserve">Disorders due to use of opioids (ICD-11:</w:t>
      </w:r>
      <w:r>
        <w:t xml:space="preserve"> </w:t>
      </w:r>
      <w:r>
        <w:t xml:space="preserve">6C43</w:t>
      </w:r>
      <w:r>
        <w:t xml:space="preserve">; DSM-5-TR: F11.20 Opioid Use Disorder, OUD) — impaired control over opioid use (heroin, morphine, oxycodone, fentanyl, etc.) or harmful pattern of use. High mortality (overdose) related to medical-criminal context.</w:t>
      </w:r>
    </w:p>
    <w:bookmarkEnd w:id="1658"/>
    <w:bookmarkStart w:id="1659" w:name="X85a1fa345b5e91ff8e6e92726f320e859ffb69b"/>
    <w:p>
      <w:pPr>
        <w:pStyle w:val="Heading3"/>
      </w:pPr>
      <w:r>
        <w:t xml:space="preserve">2. History</w:t>
      </w:r>
    </w:p>
    <w:p>
      <w:pPr>
        <w:pStyle w:val="Compact"/>
        <w:numPr>
          <w:ilvl w:val="0"/>
          <w:numId w:val="1833"/>
        </w:numPr>
      </w:pPr>
      <w:r>
        <w:t xml:space="preserve">Dole V.P., Nyswander M. (1965) — initial studies of methadone maintenance therapy.</w:t>
      </w:r>
    </w:p>
    <w:p>
      <w:pPr>
        <w:pStyle w:val="Compact"/>
        <w:numPr>
          <w:ilvl w:val="0"/>
          <w:numId w:val="1833"/>
        </w:numPr>
      </w:pPr>
      <w:r>
        <w:t xml:space="preserve">2010+ US opioid epidemic — starting with prescription opioids, leading to fentanyl overdose crisis.</w:t>
      </w:r>
    </w:p>
    <w:p>
      <w:pPr>
        <w:pStyle w:val="Compact"/>
        <w:numPr>
          <w:ilvl w:val="0"/>
          <w:numId w:val="1833"/>
        </w:numPr>
      </w:pPr>
      <w:r>
        <w:t xml:space="preserve">WHO, SAMHSA, NICE — opioid agonist maintenance therapy (OAT) is the gold standard.</w:t>
      </w:r>
    </w:p>
    <w:bookmarkEnd w:id="1659"/>
    <w:bookmarkStart w:id="1660" w:name="X0786e78111c6fc1462045dd05693ff8b8718e0e"/>
    <w:p>
      <w:pPr>
        <w:pStyle w:val="Heading3"/>
      </w:pPr>
      <w:r>
        <w:t xml:space="preserve">3. Epidemiology</w:t>
      </w:r>
    </w:p>
    <w:p>
      <w:pPr>
        <w:pStyle w:val="Compact"/>
        <w:numPr>
          <w:ilvl w:val="0"/>
          <w:numId w:val="1834"/>
        </w:numPr>
      </w:pPr>
      <w:r>
        <w:t xml:space="preserve">Global: 40 mln+ patients (UNODC); US annual 80,000+ overdose deaths.</w:t>
      </w:r>
    </w:p>
    <w:p>
      <w:pPr>
        <w:pStyle w:val="Compact"/>
        <w:numPr>
          <w:ilvl w:val="0"/>
          <w:numId w:val="1834"/>
        </w:numPr>
      </w:pPr>
      <w:r>
        <w:t xml:space="preserve">Sex: 2 times higher in males.</w:t>
      </w:r>
    </w:p>
    <w:p>
      <w:pPr>
        <w:pStyle w:val="Compact"/>
        <w:numPr>
          <w:ilvl w:val="0"/>
          <w:numId w:val="1834"/>
        </w:numPr>
      </w:pPr>
      <w:r>
        <w:t xml:space="preserve">Comorbidity: MDD, anxiety, PTSD, BPD, HIV/HCV, cardiac.</w:t>
      </w:r>
    </w:p>
    <w:p>
      <w:pPr>
        <w:pStyle w:val="Compact"/>
        <w:numPr>
          <w:ilvl w:val="0"/>
          <w:numId w:val="1834"/>
        </w:numPr>
      </w:pPr>
      <w:r>
        <w:t xml:space="preserve">Mortality: in treated OUD patients, 10–20 times higher compared to the population.</w:t>
      </w:r>
    </w:p>
    <w:bookmarkEnd w:id="1660"/>
    <w:bookmarkStart w:id="1661" w:name="X54def254863649a7580a0568edabad3f5f2b25c"/>
    <w:p>
      <w:pPr>
        <w:pStyle w:val="Heading3"/>
      </w:pPr>
      <w:r>
        <w:t xml:space="preserve">4. Aetiology and pathogenesis</w:t>
      </w:r>
    </w:p>
    <w:p>
      <w:pPr>
        <w:pStyle w:val="Compact"/>
        <w:numPr>
          <w:ilvl w:val="0"/>
          <w:numId w:val="1835"/>
        </w:numPr>
      </w:pPr>
      <w:r>
        <w:t xml:space="preserve">Heritability 50%.</w:t>
      </w:r>
    </w:p>
    <w:p>
      <w:pPr>
        <w:pStyle w:val="Compact"/>
        <w:numPr>
          <w:ilvl w:val="0"/>
          <w:numId w:val="1835"/>
        </w:numPr>
      </w:pPr>
      <w:r>
        <w:t xml:space="preserve">Neurobiological — effect of the μ-opioid receptor system on the dopaminergic reward circuit.</w:t>
      </w:r>
    </w:p>
    <w:p>
      <w:pPr>
        <w:pStyle w:val="Compact"/>
        <w:numPr>
          <w:ilvl w:val="0"/>
          <w:numId w:val="1835"/>
        </w:numPr>
      </w:pPr>
      <w:r>
        <w:t xml:space="preserve">Environment — prescription opioid availability, socioeconomic factors.</w:t>
      </w:r>
    </w:p>
    <w:p>
      <w:pPr>
        <w:pStyle w:val="Compact"/>
        <w:numPr>
          <w:ilvl w:val="0"/>
          <w:numId w:val="1835"/>
        </w:numPr>
      </w:pPr>
      <w:r>
        <w:t xml:space="preserve">Pain syndromes — transition from prescription initiation to dependence.</w:t>
      </w:r>
    </w:p>
    <w:bookmarkEnd w:id="1661"/>
    <w:bookmarkStart w:id="1662" w:name="X444195e472bd9e32408e7b7cc4d225bb0064980"/>
    <w:p>
      <w:pPr>
        <w:pStyle w:val="Heading3"/>
      </w:pPr>
      <w:r>
        <w:t xml:space="preserve">5. Clinical features</w:t>
      </w:r>
    </w:p>
    <w:p>
      <w:pPr>
        <w:pStyle w:val="Compact"/>
        <w:numPr>
          <w:ilvl w:val="0"/>
          <w:numId w:val="1836"/>
        </w:numPr>
      </w:pPr>
      <w:r>
        <w:t xml:space="preserve">Dependence syndrome (same criteria as AUD).</w:t>
      </w:r>
    </w:p>
    <w:p>
      <w:pPr>
        <w:pStyle w:val="Compact"/>
        <w:numPr>
          <w:ilvl w:val="0"/>
          <w:numId w:val="1836"/>
        </w:numPr>
      </w:pPr>
      <w:r>
        <w:t xml:space="preserve">Intoxication — miosis, sedation, respiratory depression, hypotension, coma.</w:t>
      </w:r>
    </w:p>
    <w:p>
      <w:pPr>
        <w:pStyle w:val="Compact"/>
        <w:numPr>
          <w:ilvl w:val="0"/>
          <w:numId w:val="1836"/>
        </w:numPr>
      </w:pPr>
      <w:r>
        <w:t xml:space="preserve">Overdose — respiratory depression is main cause of death; naloxone antidote.</w:t>
      </w:r>
    </w:p>
    <w:p>
      <w:pPr>
        <w:pStyle w:val="Compact"/>
        <w:numPr>
          <w:ilvl w:val="0"/>
          <w:numId w:val="1836"/>
        </w:numPr>
      </w:pPr>
      <w:r>
        <w:t xml:space="preserve">Withdrawal — onset 8–24 hours (short-acting), 36–72 hours (long-acting methadone); rhinorrhea, lacrimation, mydriasis, anxiety, tachycardia, abdominal cramps, diarrhea, piloerection.</w:t>
      </w:r>
    </w:p>
    <w:p>
      <w:pPr>
        <w:pStyle w:val="Compact"/>
        <w:numPr>
          <w:ilvl w:val="0"/>
          <w:numId w:val="1836"/>
        </w:numPr>
      </w:pPr>
      <w:r>
        <w:t xml:space="preserve">Withdrawal is not life-threatening in adults (unlike alcohol/sedatives), but severe in neonates (NAS — Neonatal Abstinence Syndrome).</w:t>
      </w:r>
    </w:p>
    <w:bookmarkEnd w:id="1662"/>
    <w:bookmarkStart w:id="1667" w:name="Xf22271b7487944d8434bfdced23f3439da61147"/>
    <w:p>
      <w:pPr>
        <w:pStyle w:val="Heading3"/>
      </w:pPr>
      <w:r>
        <w:t xml:space="preserve">6. Diagnosis</w:t>
      </w:r>
    </w:p>
    <w:bookmarkStart w:id="1663" w:name="unified-diagnostic-criteria-33"/>
    <w:p>
      <w:pPr>
        <w:pStyle w:val="Heading4"/>
      </w:pPr>
      <w:r>
        <w:t xml:space="preserve">6.1 Unified diagnostic criteria</w:t>
      </w:r>
    </w:p>
    <w:p>
      <w:pPr>
        <w:pStyle w:val="FirstParagraph"/>
      </w:pPr>
      <w:r>
        <w:t xml:space="preserve">DSM-5-TR: same 11-criteria structure as AUD (mild/moderate/severe).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663"/>
    <w:bookmarkStart w:id="1664" w:name="differences-between-sources-97"/>
    <w:p>
      <w:pPr>
        <w:pStyle w:val="Heading4"/>
      </w:pPr>
      <w:r>
        <w:t xml:space="preserve">6.2 Differences between sources</w:t>
      </w:r>
    </w:p>
    <w:p>
      <w:pPr>
        <w:pStyle w:val="Compact"/>
        <w:numPr>
          <w:ilvl w:val="0"/>
          <w:numId w:val="1837"/>
        </w:numPr>
      </w:pPr>
      <w:r>
        <w:t xml:space="preserve">SAMHSA TIP 63 — Medications for Opioid Use Disorder.</w:t>
      </w:r>
    </w:p>
    <w:p>
      <w:pPr>
        <w:pStyle w:val="Compact"/>
        <w:numPr>
          <w:ilvl w:val="0"/>
          <w:numId w:val="1837"/>
        </w:numPr>
      </w:pPr>
      <w:r>
        <w:t xml:space="preserve">NICE CG52 — opioid dependence.</w:t>
      </w:r>
    </w:p>
    <w:p>
      <w:pPr>
        <w:pStyle w:val="Compact"/>
        <w:numPr>
          <w:ilvl w:val="0"/>
          <w:numId w:val="1837"/>
        </w:numPr>
      </w:pPr>
      <w:r>
        <w:t xml:space="preserve">WHO mhGAP.</w:t>
      </w:r>
    </w:p>
    <w:bookmarkEnd w:id="1664"/>
    <w:bookmarkStart w:id="1665" w:name="diagnostic-algorithm-54"/>
    <w:p>
      <w:pPr>
        <w:pStyle w:val="Heading4"/>
      </w:pPr>
      <w:r>
        <w:t xml:space="preserve">6.3 Diagnostic algorithm</w:t>
      </w:r>
    </w:p>
    <w:p>
      <w:pPr>
        <w:pStyle w:val="Compact"/>
        <w:numPr>
          <w:ilvl w:val="0"/>
          <w:numId w:val="1838"/>
        </w:numPr>
      </w:pPr>
      <w:r>
        <w:t xml:space="preserve">Clinical interview.</w:t>
      </w:r>
    </w:p>
    <w:p>
      <w:pPr>
        <w:pStyle w:val="Compact"/>
        <w:numPr>
          <w:ilvl w:val="0"/>
          <w:numId w:val="1838"/>
        </w:numPr>
      </w:pPr>
      <w:r>
        <w:t xml:space="preserve">Toxicology screening (urine).</w:t>
      </w:r>
    </w:p>
    <w:p>
      <w:pPr>
        <w:pStyle w:val="Compact"/>
        <w:numPr>
          <w:ilvl w:val="0"/>
          <w:numId w:val="1838"/>
        </w:numPr>
      </w:pPr>
      <w:r>
        <w:t xml:space="preserve">HIV, HCV, syphilis, pregnancy test.</w:t>
      </w:r>
    </w:p>
    <w:p>
      <w:pPr>
        <w:pStyle w:val="Compact"/>
        <w:numPr>
          <w:ilvl w:val="0"/>
          <w:numId w:val="1838"/>
        </w:numPr>
      </w:pPr>
      <w:r>
        <w:t xml:space="preserve">Comorbidity and overdose history.</w:t>
      </w:r>
    </w:p>
    <w:p>
      <w:pPr>
        <w:pStyle w:val="Compact"/>
        <w:numPr>
          <w:ilvl w:val="0"/>
          <w:numId w:val="1838"/>
        </w:numPr>
      </w:pPr>
      <w:r>
        <w:t xml:space="preserve">COWS (Clinical Opiate Withdrawal Scale) — withdrawal severity.</w:t>
      </w:r>
    </w:p>
    <w:bookmarkEnd w:id="1665"/>
    <w:bookmarkStart w:id="1666" w:name="differential-diagnosis-5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Chronic pain (without dependence)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indication; pattern of use.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substance use (sedatives, alcohol)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Functional GI/piloerection (gooseflesh) (discontinuation difference)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evaluation.</w:t>
            </w:r>
          </w:p>
        </w:tc>
      </w:tr>
    </w:tbl>
    <w:bookmarkEnd w:id="1666"/>
    <w:bookmarkEnd w:id="1667"/>
    <w:bookmarkStart w:id="1668" w:name="X41b36f28483a04089cdea3d7bc78b1d2f139f2c"/>
    <w:p>
      <w:pPr>
        <w:pStyle w:val="Heading3"/>
      </w:pPr>
      <w:r>
        <w:t xml:space="preserve">7. Examination and assessment</w:t>
      </w:r>
    </w:p>
    <w:p>
      <w:pPr>
        <w:pStyle w:val="Compact"/>
        <w:numPr>
          <w:ilvl w:val="0"/>
          <w:numId w:val="1839"/>
        </w:numPr>
      </w:pPr>
      <w:r>
        <w:t xml:space="preserve">Toxicology screening.</w:t>
      </w:r>
    </w:p>
    <w:p>
      <w:pPr>
        <w:pStyle w:val="Compact"/>
        <w:numPr>
          <w:ilvl w:val="0"/>
          <w:numId w:val="1839"/>
        </w:numPr>
      </w:pPr>
      <w:r>
        <w:t xml:space="preserve">COWS scale.</w:t>
      </w:r>
    </w:p>
    <w:p>
      <w:pPr>
        <w:pStyle w:val="Compact"/>
        <w:numPr>
          <w:ilvl w:val="0"/>
          <w:numId w:val="1839"/>
        </w:numPr>
      </w:pPr>
      <w:r>
        <w:t xml:space="preserve">HIV, HCV, HBV, syphilis.</w:t>
      </w:r>
    </w:p>
    <w:p>
      <w:pPr>
        <w:pStyle w:val="Compact"/>
        <w:numPr>
          <w:ilvl w:val="0"/>
          <w:numId w:val="1839"/>
        </w:numPr>
      </w:pPr>
      <w:r>
        <w:t xml:space="preserve">EKG (before starting methadone — QTc).</w:t>
      </w:r>
    </w:p>
    <w:p>
      <w:pPr>
        <w:pStyle w:val="Compact"/>
        <w:numPr>
          <w:ilvl w:val="0"/>
          <w:numId w:val="1839"/>
        </w:numPr>
      </w:pPr>
      <w:r>
        <w:t xml:space="preserve">Pregnancy test.</w:t>
      </w:r>
    </w:p>
    <w:bookmarkEnd w:id="1668"/>
    <w:bookmarkStart w:id="1675" w:name="Xfc2784db98ffe4fc29b842a55c7dfd1e97bb9dd"/>
    <w:p>
      <w:pPr>
        <w:pStyle w:val="Heading3"/>
      </w:pPr>
      <w:r>
        <w:t xml:space="preserve">8. Treatment</w:t>
      </w:r>
    </w:p>
    <w:bookmarkStart w:id="1669" w:name="oat-opioid-agonist-therapy-gold-standard"/>
    <w:p>
      <w:pPr>
        <w:pStyle w:val="Heading4"/>
      </w:pPr>
      <w:r>
        <w:t xml:space="preserve">8.1 OAT — Opioid Agonist Therapy (gold standard)</w:t>
      </w:r>
    </w:p>
    <w:p>
      <w:pPr>
        <w:pStyle w:val="Compact"/>
        <w:numPr>
          <w:ilvl w:val="0"/>
          <w:numId w:val="1840"/>
        </w:numPr>
      </w:pPr>
      <w:r>
        <w:t xml:space="preserve">Methadone (in a maintenance clinic, under daily supervision) — full μ-agonist; 60–120 mg/day; long half-life; QTc monitoring.</w:t>
      </w:r>
    </w:p>
    <w:p>
      <w:pPr>
        <w:pStyle w:val="Compact"/>
        <w:numPr>
          <w:ilvl w:val="0"/>
          <w:numId w:val="1840"/>
        </w:numPr>
      </w:pPr>
      <w:r>
        <w:t xml:space="preserve">Buprenorphine/naloxone (Suboxone) — partial μ-agonist + naloxone; office-based prescription; low overdose potential; “induction” — started in mild withdrawal condition.</w:t>
      </w:r>
    </w:p>
    <w:p>
      <w:pPr>
        <w:pStyle w:val="Compact"/>
        <w:numPr>
          <w:ilvl w:val="0"/>
          <w:numId w:val="1840"/>
        </w:numPr>
      </w:pPr>
      <w:r>
        <w:t xml:space="preserve">OAT significantly reduces mortality (Sordo L. et al. BMJ 2017;357:j1550 meta-analysis) and HIV transmission (MacArthur G.J. et al. BMJ 2012 meta-analysis).</w:t>
      </w:r>
    </w:p>
    <w:p>
      <w:pPr>
        <w:pStyle w:val="Compact"/>
        <w:numPr>
          <w:ilvl w:val="0"/>
          <w:numId w:val="1840"/>
        </w:numPr>
      </w:pPr>
      <w:r>
        <w:t xml:space="preserve">OAT is superior to psychosocial intervention in mortality reduction; however, combination with psychosocial intervention (MI, CBT, contingency management, peer support, 12-step — see “Treatment methods”) is optimal.</w:t>
      </w:r>
    </w:p>
    <w:bookmarkEnd w:id="1669"/>
    <w:bookmarkStart w:id="1670" w:name="antagonist"/>
    <w:p>
      <w:pPr>
        <w:pStyle w:val="Heading4"/>
      </w:pPr>
      <w:r>
        <w:t xml:space="preserve">8.2 Antagonist</w:t>
      </w:r>
    </w:p>
    <w:p>
      <w:pPr>
        <w:pStyle w:val="Compact"/>
        <w:numPr>
          <w:ilvl w:val="0"/>
          <w:numId w:val="1841"/>
        </w:numPr>
      </w:pPr>
      <w:r>
        <w:t xml:space="preserve">Naltrexone (oral 50 mg or IM Vivitrol 380 mg monthly) — patient must be abstinent for 7–10 days before initiation; in motivated patients or in the absence of formal maintenance programs.</w:t>
      </w:r>
    </w:p>
    <w:bookmarkEnd w:id="1670"/>
    <w:bookmarkStart w:id="1671" w:name="overdose-management"/>
    <w:p>
      <w:pPr>
        <w:pStyle w:val="Heading4"/>
      </w:pPr>
      <w:r>
        <w:t xml:space="preserve">8.3 Overdose Management</w:t>
      </w:r>
    </w:p>
    <w:p>
      <w:pPr>
        <w:pStyle w:val="Compact"/>
        <w:numPr>
          <w:ilvl w:val="0"/>
          <w:numId w:val="1842"/>
        </w:numPr>
      </w:pPr>
      <w:r>
        <w:t xml:space="preserve">Naloxone — IM/IN; widespread; “take-home” programs (community-based) reduce mortality.</w:t>
      </w:r>
    </w:p>
    <w:bookmarkEnd w:id="1671"/>
    <w:bookmarkStart w:id="1672" w:name="in-pregnancy"/>
    <w:p>
      <w:pPr>
        <w:pStyle w:val="Heading4"/>
      </w:pPr>
      <w:r>
        <w:t xml:space="preserve">8.4 In Pregnancy</w:t>
      </w:r>
    </w:p>
    <w:p>
      <w:pPr>
        <w:pStyle w:val="Compact"/>
        <w:numPr>
          <w:ilvl w:val="0"/>
          <w:numId w:val="1843"/>
        </w:numPr>
      </w:pPr>
      <w:r>
        <w:t xml:space="preserve">Methadone or buprenorphine — OAT is continued during pregnancy; detox is contraindicated (risk of relapse and pregnancy loss).</w:t>
      </w:r>
    </w:p>
    <w:p>
      <w:pPr>
        <w:pStyle w:val="Compact"/>
        <w:numPr>
          <w:ilvl w:val="0"/>
          <w:numId w:val="1843"/>
        </w:numPr>
      </w:pPr>
      <w:r>
        <w:t xml:space="preserve">NAS intervention in the newborn — morphine or methadone.</w:t>
      </w:r>
    </w:p>
    <w:bookmarkEnd w:id="1672"/>
    <w:bookmarkStart w:id="1673" w:name="treatment-methods-53"/>
    <w:p>
      <w:pPr>
        <w:pStyle w:val="Heading4"/>
      </w:pPr>
      <w:r>
        <w:t xml:space="preserve">8.5 Treatment methods</w:t>
      </w:r>
    </w:p>
    <w:p>
      <w:pPr>
        <w:pStyle w:val="Compact"/>
        <w:numPr>
          <w:ilvl w:val="0"/>
          <w:numId w:val="1844"/>
        </w:numPr>
      </w:pPr>
      <w:r>
        <w:t xml:space="preserve">Methadone Maintenance Therapy (MMT) — Dole-Nyswander model; clinic-based.</w:t>
      </w:r>
    </w:p>
    <w:p>
      <w:pPr>
        <w:pStyle w:val="Compact"/>
        <w:numPr>
          <w:ilvl w:val="0"/>
          <w:numId w:val="1844"/>
        </w:numPr>
      </w:pPr>
      <w:r>
        <w:t xml:space="preserve">Buprenorphine/Naloxone — Office-based; “Suboxone induction” protocol; the ceiling effect gives lower overdose potential.</w:t>
      </w:r>
    </w:p>
    <w:p>
      <w:pPr>
        <w:pStyle w:val="Compact"/>
        <w:numPr>
          <w:ilvl w:val="0"/>
          <w:numId w:val="1844"/>
        </w:numPr>
      </w:pPr>
      <w:r>
        <w:t xml:space="preserve">Naloxone Take-Home Program — Community-based; antidote training for family.</w:t>
      </w:r>
    </w:p>
    <w:p>
      <w:pPr>
        <w:pStyle w:val="Compact"/>
        <w:numPr>
          <w:ilvl w:val="0"/>
          <w:numId w:val="1844"/>
        </w:numPr>
      </w:pPr>
      <w:r>
        <w:t xml:space="preserve">Clinical Opiate Withdrawal Scale (COWS) — 11 items; crucial in induction.</w:t>
      </w:r>
    </w:p>
    <w:p>
      <w:pPr>
        <w:pStyle w:val="Compact"/>
        <w:numPr>
          <w:ilvl w:val="0"/>
          <w:numId w:val="1844"/>
        </w:numPr>
      </w:pPr>
      <w:r>
        <w:t xml:space="preserve">Naltrexone IM (Vivitrol) — Monthly; in an abstinent patient.</w:t>
      </w:r>
    </w:p>
    <w:bookmarkEnd w:id="1673"/>
    <w:bookmarkStart w:id="1674" w:name="differences-between-sources-98"/>
    <w:p>
      <w:pPr>
        <w:pStyle w:val="Heading4"/>
      </w:pPr>
      <w:r>
        <w:t xml:space="preserve">8.6 Differences between sources</w:t>
      </w:r>
    </w:p>
    <w:p>
      <w:pPr>
        <w:pStyle w:val="Compact"/>
        <w:numPr>
          <w:ilvl w:val="0"/>
          <w:numId w:val="1845"/>
        </w:numPr>
      </w:pPr>
      <w:r>
        <w:t xml:space="preserve">SAMHSA TIP 63 (2021).</w:t>
      </w:r>
    </w:p>
    <w:p>
      <w:pPr>
        <w:pStyle w:val="Compact"/>
        <w:numPr>
          <w:ilvl w:val="0"/>
          <w:numId w:val="1845"/>
        </w:numPr>
      </w:pPr>
      <w:r>
        <w:t xml:space="preserve">NICE CG52 (opioid detoxification) and CG51 (psychosocial interventions).</w:t>
      </w:r>
    </w:p>
    <w:p>
      <w:pPr>
        <w:pStyle w:val="Compact"/>
        <w:numPr>
          <w:ilvl w:val="0"/>
          <w:numId w:val="1845"/>
        </w:numPr>
      </w:pPr>
      <w:r>
        <w:t xml:space="preserve">WHO — OAT is the gold standard, superior to abstinence-oriented approach.</w:t>
      </w:r>
    </w:p>
    <w:bookmarkEnd w:id="1674"/>
    <w:bookmarkEnd w:id="1675"/>
    <w:bookmarkStart w:id="1676" w:name="X40833fb72b4370583252356ccdab7376629f9d6"/>
    <w:p>
      <w:pPr>
        <w:pStyle w:val="Heading3"/>
      </w:pPr>
      <w:r>
        <w:t xml:space="preserve">9. Prognosis</w:t>
      </w:r>
    </w:p>
    <w:p>
      <w:pPr>
        <w:pStyle w:val="Compact"/>
        <w:numPr>
          <w:ilvl w:val="0"/>
          <w:numId w:val="1846"/>
        </w:numPr>
      </w:pPr>
      <w:r>
        <w:t xml:space="preserve">Long-term stabilization and mortality reduction with OAT.</w:t>
      </w:r>
    </w:p>
    <w:p>
      <w:pPr>
        <w:pStyle w:val="Compact"/>
        <w:numPr>
          <w:ilvl w:val="0"/>
          <w:numId w:val="1846"/>
        </w:numPr>
      </w:pPr>
      <w:r>
        <w:t xml:space="preserve">Comorbidity intervention important.</w:t>
      </w:r>
    </w:p>
    <w:bookmarkEnd w:id="1676"/>
    <w:bookmarkStart w:id="1684" w:name="X6ad0c17c89e445120642481c7215523d64e2a2c"/>
    <w:p>
      <w:pPr>
        <w:pStyle w:val="Heading3"/>
      </w:pPr>
      <w:r>
        <w:t xml:space="preserve">10. Myths and misconceptions</w:t>
      </w:r>
    </w:p>
    <w:bookmarkStart w:id="1677" w:name="X9e2216950217a0d39122a504fed8987860fbeee"/>
    <w:p>
      <w:pPr>
        <w:pStyle w:val="Heading5"/>
      </w:pPr>
      <w:r>
        <w:t xml:space="preserve">Myth 1: “OAT (methadone, buprenorphine) replaces one addiction with another”</w:t>
      </w:r>
    </w:p>
    <w:p>
      <w:pPr>
        <w:pStyle w:val="FirstParagraph"/>
      </w:pPr>
      <w:r>
        <w:t xml:space="preserve">Evidence: OAT is medical treatment — significantly reduces mortality, HIV, crime, social disruption; “sensitive” anti-OAT stance is not evidence-based. WHO, SAMHSA, NICE — OAT is the gold standard.</w:t>
      </w:r>
    </w:p>
    <w:bookmarkEnd w:id="1677"/>
    <w:bookmarkStart w:id="1678" w:name="Xf987b7cb83649ef1bc8832cb105e5b1831fcb45"/>
    <w:p>
      <w:pPr>
        <w:pStyle w:val="Heading5"/>
      </w:pPr>
      <w:r>
        <w:t xml:space="preserve">Myth 2: “Detoxification is sufficient, OAT is not needed”</w:t>
      </w:r>
    </w:p>
    <w:p>
      <w:pPr>
        <w:pStyle w:val="FirstParagraph"/>
      </w:pPr>
      <w:r>
        <w:t xml:space="preserve">Evidence: detox alone 90%+ relapse; overdose mortality highest immediately after detox (loss of tolerance). OAT reduces mortality by 50%+.</w:t>
      </w:r>
    </w:p>
    <w:bookmarkEnd w:id="1678"/>
    <w:bookmarkStart w:id="1679" w:name="X5faa1812931cb3943c0a57002ed3329d37da260"/>
    <w:p>
      <w:pPr>
        <w:pStyle w:val="Heading5"/>
      </w:pPr>
      <w:r>
        <w:t xml:space="preserve">Myth 3: “Ultra-Rapid Opioid Detoxification (UROD) is effective”</w:t>
      </w:r>
    </w:p>
    <w:p>
      <w:pPr>
        <w:pStyle w:val="FirstParagraph"/>
      </w:pPr>
      <w:r>
        <w:t xml:space="preserve">Evidence: UROD associated with deaths and serious adverse effects; no evidence of efficacy; SAMHSA and NICE do not recommend.</w:t>
      </w:r>
    </w:p>
    <w:bookmarkEnd w:id="1679"/>
    <w:bookmarkStart w:id="1680" w:name="Xe0a25ee87429abd6a69819fcc9c5f0249044fba"/>
    <w:p>
      <w:pPr>
        <w:pStyle w:val="Heading5"/>
      </w:pPr>
      <w:r>
        <w:t xml:space="preserve">Myth 4: “Detox is needed in a pregnant woman”</w:t>
      </w:r>
    </w:p>
    <w:p>
      <w:pPr>
        <w:pStyle w:val="FirstParagraph"/>
      </w:pPr>
      <w:r>
        <w:t xml:space="preserve">Evidence: detox in pregnancy is contraindicated; OAT (methadone or buprenorphine) is maintained.</w:t>
      </w:r>
    </w:p>
    <w:bookmarkEnd w:id="1680"/>
    <w:bookmarkStart w:id="1681" w:name="X3ffa2b9bd999fa6fdb790f3bdc8c69f47441922"/>
    <w:p>
      <w:pPr>
        <w:pStyle w:val="Heading5"/>
      </w:pPr>
      <w:r>
        <w:t xml:space="preserve">Myth 5: “Ibogaine or ayahuasca cures opioid addiction”</w:t>
      </w:r>
    </w:p>
    <w:p>
      <w:pPr>
        <w:pStyle w:val="FirstParagraph"/>
      </w:pPr>
      <w:r>
        <w:t xml:space="preserve">Evidence: Not evidenced; ibogaine accompanied by cardiac arrhythmia and fatal cases (FDA warning); not in standard practice.</w:t>
      </w:r>
    </w:p>
    <w:bookmarkEnd w:id="1681"/>
    <w:bookmarkStart w:id="1682" w:name="myth-6-naltrexone-is-first-line-for-oud"/>
    <w:p>
      <w:pPr>
        <w:pStyle w:val="Heading5"/>
      </w:pPr>
      <w:r>
        <w:t xml:space="preserve">Myth 6: “Naltrexone is first-line for OUD”</w:t>
      </w:r>
    </w:p>
    <w:p>
      <w:pPr>
        <w:pStyle w:val="FirstParagraph"/>
      </w:pPr>
      <w:r>
        <w:t xml:space="preserve">Evidence: SAMHSA TIP 63 — methadone and buprenorphine are more effective in reducing mortality; naltrexone in motivated abstinent patients.</w:t>
      </w:r>
    </w:p>
    <w:bookmarkEnd w:id="1682"/>
    <w:bookmarkStart w:id="1683" w:name="Xb1c2458c58159592b2c51be453ce40078825d4e"/>
    <w:p>
      <w:pPr>
        <w:pStyle w:val="Heading5"/>
      </w:pPr>
      <w:r>
        <w:t xml:space="preserve">Myth 7: “Naloxone take-home programs encourage use”</w:t>
      </w:r>
    </w:p>
    <w:p>
      <w:pPr>
        <w:pStyle w:val="FirstParagraph"/>
      </w:pPr>
      <w:r>
        <w:t xml:space="preserve">Evidence: Walley A.Y. et al. BMJ 2013 — community naloxone programs significantly reduce overdose deaths; do not increase use.</w:t>
      </w:r>
    </w:p>
    <w:bookmarkEnd w:id="1683"/>
    <w:bookmarkEnd w:id="1684"/>
    <w:bookmarkStart w:id="2957" w:name="Xbf94080d52c7014125c943a2b4a515ac6fac122"/>
    <w:p>
      <w:pPr>
        <w:pStyle w:val="Heading3"/>
      </w:pPr>
      <w:r>
        <w:t xml:space="preserve">11. Sources</w:t>
      </w:r>
    </w:p>
    <w:p>
      <w:pPr>
        <w:pStyle w:val="Compact"/>
        <w:numPr>
          <w:ilvl w:val="0"/>
          <w:numId w:val="1847"/>
        </w:numPr>
      </w:pPr>
      <w:r>
        <w:t xml:space="preserve">WHO. ICD-11. 6C43 Disorders due to use of opioids. 2024.</w:t>
      </w:r>
    </w:p>
    <w:p>
      <w:pPr>
        <w:pStyle w:val="Compact"/>
        <w:numPr>
          <w:ilvl w:val="0"/>
          <w:numId w:val="1847"/>
        </w:numPr>
      </w:pPr>
      <w:r>
        <w:t xml:space="preserve">APA. DSM-5-TR. 2022.</w:t>
      </w:r>
    </w:p>
    <w:p>
      <w:pPr>
        <w:pStyle w:val="Compact"/>
        <w:numPr>
          <w:ilvl w:val="0"/>
          <w:numId w:val="1847"/>
        </w:numPr>
      </w:pPr>
      <w:r>
        <w:t xml:space="preserve">SAMHSA. TIP 63: Medications for Opioid Use Disorder. 2021.</w:t>
      </w:r>
    </w:p>
    <w:p>
      <w:pPr>
        <w:pStyle w:val="Compact"/>
        <w:numPr>
          <w:ilvl w:val="0"/>
          <w:numId w:val="1847"/>
        </w:numPr>
      </w:pPr>
      <w:r>
        <w:t xml:space="preserve">NICE CG52; NICE CG51.</w:t>
      </w:r>
    </w:p>
    <w:p>
      <w:pPr>
        <w:pStyle w:val="Compact"/>
        <w:numPr>
          <w:ilvl w:val="0"/>
          <w:numId w:val="1847"/>
        </w:numPr>
      </w:pPr>
      <w:r>
        <w:t xml:space="preserve">MacArthur G.J. et al. Opioid substitution treatment and HIV transmission in people who inject drugs. BMJ 2012;345:e5945.</w:t>
      </w:r>
    </w:p>
    <w:p>
      <w:pPr>
        <w:pStyle w:val="Compact"/>
        <w:numPr>
          <w:ilvl w:val="0"/>
          <w:numId w:val="1847"/>
        </w:numPr>
      </w:pPr>
      <w:r>
        <w:t xml:space="preserve">Sordo L., Barrio G., Bravo M.J. et al. Mortality risk during and after opioid substitution treatment: systematic review and meta-analysis of cohort studies. BMJ 2017;357:j1550.</w:t>
      </w:r>
    </w:p>
    <w:p>
      <w:pPr>
        <w:pStyle w:val="Compact"/>
        <w:numPr>
          <w:ilvl w:val="0"/>
          <w:numId w:val="1847"/>
        </w:numPr>
      </w:pPr>
      <w:r>
        <w:t xml:space="preserve">Walley A.Y. et al. Opioid overdose rates and implementation of overdose education and nasal naloxone distribution. BMJ 2013;346:f174.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685" w:name="m706c41-disorders-due-to-use-of-cannabis"/>
            <w:r>
              <w:t xml:space="preserve">6C41 DISORDERS DUE TO USE OF CANNABIS</w:t>
            </w:r>
            <w:bookmarkEnd w:id="1685"/>
          </w:p>
          <w:p>
            <w:pPr>
              <w:pStyle w:val="Compact"/>
              <w:ind w:firstLine="0" w:left="0"/>
            </w:pPr>
            <w:r>
              <w:rPr>
                <w:lang w:val="en"/>
              </w:rPr>
              <w:t xml:space="preserve">Disorders due to use of cannabis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cannabinoids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Cannabis Use Disorder, Moderate or Severe</w:t>
            </w:r>
          </w:p>
        </w:tc>
      </w:tr>
    </w:tbl>
    <w:bookmarkStart w:id="1686" w:name="X65730a179d85d9b976b455aa5184f244c8e04c3"/>
    <w:p>
      <w:pPr>
        <w:pStyle w:val="Heading3"/>
      </w:pPr>
      <w:r>
        <w:t xml:space="preserve">1. Definition and nosology</w:t>
      </w:r>
    </w:p>
    <w:p>
      <w:pPr>
        <w:pStyle w:val="FirstParagraph"/>
      </w:pPr>
      <w:r>
        <w:t xml:space="preserve">Disorders due to use of cannabis (ICD-11:</w:t>
      </w:r>
      <w:r>
        <w:t xml:space="preserve"> </w:t>
      </w:r>
      <w:r>
        <w:t xml:space="preserve">6C41</w:t>
      </w:r>
      <w:r>
        <w:t xml:space="preserve">; DSM-5-TR: F12.20) — impaired control over use of THC-containing cannabis and/or harmful use. Synthetic cannabinoids are coded separately in ICD-11 (6C42).</w:t>
      </w:r>
    </w:p>
    <w:bookmarkEnd w:id="1686"/>
    <w:bookmarkStart w:id="1687" w:name="X9dd2c9d4bbc5e2e9036f5fa198bdc1fcff453ce"/>
    <w:p>
      <w:pPr>
        <w:pStyle w:val="Heading3"/>
      </w:pPr>
      <w:r>
        <w:t xml:space="preserve">2. History</w:t>
      </w:r>
    </w:p>
    <w:p>
      <w:pPr>
        <w:pStyle w:val="Compact"/>
        <w:numPr>
          <w:ilvl w:val="0"/>
          <w:numId w:val="1848"/>
        </w:numPr>
      </w:pPr>
      <w:r>
        <w:t xml:space="preserve">DSM-III (1980) — Cannabis Dependence as an official diagnosis.</w:t>
      </w:r>
    </w:p>
    <w:p>
      <w:pPr>
        <w:pStyle w:val="Compact"/>
        <w:numPr>
          <w:ilvl w:val="0"/>
          <w:numId w:val="1848"/>
        </w:numPr>
      </w:pPr>
      <w:r>
        <w:t xml:space="preserve">DSM-5 (2013) — “cannabis withdrawal” added as a formal category.</w:t>
      </w:r>
    </w:p>
    <w:p>
      <w:pPr>
        <w:pStyle w:val="Compact"/>
        <w:numPr>
          <w:ilvl w:val="0"/>
          <w:numId w:val="1848"/>
        </w:numPr>
      </w:pPr>
      <w:r>
        <w:t xml:space="preserve">2010+ — high-potency cannabis and synthetic cannabinoids (“Spice”, “K2”) epidemic.</w:t>
      </w:r>
    </w:p>
    <w:bookmarkEnd w:id="1687"/>
    <w:bookmarkStart w:id="1688" w:name="Xd47d111f54e5311ea0d5c7882ccbc7801478a53"/>
    <w:p>
      <w:pPr>
        <w:pStyle w:val="Heading3"/>
      </w:pPr>
      <w:r>
        <w:t xml:space="preserve">3. Epidemiology</w:t>
      </w:r>
    </w:p>
    <w:p>
      <w:pPr>
        <w:pStyle w:val="Compact"/>
        <w:numPr>
          <w:ilvl w:val="0"/>
          <w:numId w:val="1849"/>
        </w:numPr>
      </w:pPr>
      <w:r>
        <w:t xml:space="preserve">Lifetime prevalence: 7–9% cannabis users develop addiction; risk 17% in those who start in adolescence.</w:t>
      </w:r>
    </w:p>
    <w:p>
      <w:pPr>
        <w:pStyle w:val="Compact"/>
        <w:numPr>
          <w:ilvl w:val="0"/>
          <w:numId w:val="1849"/>
        </w:numPr>
      </w:pPr>
      <w:r>
        <w:t xml:space="preserve">Sex: higher in males.</w:t>
      </w:r>
    </w:p>
    <w:p>
      <w:pPr>
        <w:pStyle w:val="Compact"/>
        <w:numPr>
          <w:ilvl w:val="0"/>
          <w:numId w:val="1849"/>
        </w:numPr>
      </w:pPr>
      <w:r>
        <w:t xml:space="preserve">Comorbidity: psychosis risk, anxiety, MDD, ADHD, other substance use.</w:t>
      </w:r>
    </w:p>
    <w:bookmarkEnd w:id="1688"/>
    <w:bookmarkStart w:id="1689" w:name="X799249db4c641b04d3bffa7bb50b5f7ba514c6b"/>
    <w:p>
      <w:pPr>
        <w:pStyle w:val="Heading3"/>
      </w:pPr>
      <w:r>
        <w:t xml:space="preserve">4. Aetiology and pathogenesis</w:t>
      </w:r>
    </w:p>
    <w:p>
      <w:pPr>
        <w:pStyle w:val="Compact"/>
        <w:numPr>
          <w:ilvl w:val="0"/>
          <w:numId w:val="1850"/>
        </w:numPr>
      </w:pPr>
      <w:r>
        <w:t xml:space="preserve">Heritability 50–60%.</w:t>
      </w:r>
    </w:p>
    <w:p>
      <w:pPr>
        <w:pStyle w:val="Compact"/>
        <w:numPr>
          <w:ilvl w:val="0"/>
          <w:numId w:val="1850"/>
        </w:numPr>
      </w:pPr>
      <w:r>
        <w:t xml:space="preserve">Endocannabinoid system.</w:t>
      </w:r>
    </w:p>
    <w:p>
      <w:pPr>
        <w:pStyle w:val="Compact"/>
        <w:numPr>
          <w:ilvl w:val="0"/>
          <w:numId w:val="1850"/>
        </w:numPr>
      </w:pPr>
      <w:r>
        <w:t xml:space="preserve">Social and cultural factors; accessibility.</w:t>
      </w:r>
    </w:p>
    <w:bookmarkEnd w:id="1689"/>
    <w:bookmarkStart w:id="1690" w:name="X5531c2c575b35e2a4af73b2c5289a24001fb0ad"/>
    <w:p>
      <w:pPr>
        <w:pStyle w:val="Heading3"/>
      </w:pPr>
      <w:r>
        <w:t xml:space="preserve">5. Clinical features</w:t>
      </w:r>
    </w:p>
    <w:p>
      <w:pPr>
        <w:pStyle w:val="Compact"/>
        <w:numPr>
          <w:ilvl w:val="0"/>
          <w:numId w:val="1851"/>
        </w:numPr>
      </w:pPr>
      <w:r>
        <w:t xml:space="preserve">Dependence syndrome (same criteria as AUD).</w:t>
      </w:r>
    </w:p>
    <w:p>
      <w:pPr>
        <w:pStyle w:val="Compact"/>
        <w:numPr>
          <w:ilvl w:val="0"/>
          <w:numId w:val="1851"/>
        </w:numPr>
      </w:pPr>
      <w:r>
        <w:t xml:space="preserve">Intoxication — red eyes (conjunctival injection), tachycardia, increased appetite (“munchies”), time perception impairment, paranoid feelings.</w:t>
      </w:r>
    </w:p>
    <w:p>
      <w:pPr>
        <w:pStyle w:val="Compact"/>
        <w:numPr>
          <w:ilvl w:val="0"/>
          <w:numId w:val="1851"/>
        </w:numPr>
      </w:pPr>
      <w:r>
        <w:t xml:space="preserve">Severe intoxication — cannabinoid hyperemesis syndrome (vomiting syndrome with chronic use), panic, psychosis.</w:t>
      </w:r>
    </w:p>
    <w:p>
      <w:pPr>
        <w:pStyle w:val="Compact"/>
        <w:numPr>
          <w:ilvl w:val="0"/>
          <w:numId w:val="1851"/>
        </w:numPr>
      </w:pPr>
      <w:r>
        <w:t xml:space="preserve">Withdrawal (DSM-5 new): irritability, anxiety, sleep disturbance, decreased appetite, mood lowering, somatic complaints; onset within 24–72 hours, duration 1–2 weeks.</w:t>
      </w:r>
    </w:p>
    <w:p>
      <w:pPr>
        <w:pStyle w:val="Compact"/>
        <w:numPr>
          <w:ilvl w:val="0"/>
          <w:numId w:val="1851"/>
        </w:numPr>
      </w:pPr>
      <w:r>
        <w:t xml:space="preserve">Synthetic cannabinoids (‘Spice’, “K2”) — stronger, unpredictable; severe intoxication, acute psychosis, fatalities.</w:t>
      </w:r>
    </w:p>
    <w:bookmarkEnd w:id="1690"/>
    <w:bookmarkStart w:id="1695" w:name="X82a1bfeef571f73aefe26b0766645df8590023a"/>
    <w:p>
      <w:pPr>
        <w:pStyle w:val="Heading3"/>
      </w:pPr>
      <w:r>
        <w:t xml:space="preserve">6. Diagnosis</w:t>
      </w:r>
    </w:p>
    <w:bookmarkStart w:id="1691" w:name="unified-diagnostic-criteria-34"/>
    <w:p>
      <w:pPr>
        <w:pStyle w:val="Heading4"/>
      </w:pPr>
      <w:r>
        <w:t xml:space="preserve">6.1 Unified diagnostic criteria</w:t>
      </w:r>
    </w:p>
    <w:p>
      <w:pPr>
        <w:pStyle w:val="FirstParagraph"/>
      </w:pPr>
      <w:r>
        <w:t xml:space="preserve">DSM-5-TR —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691"/>
    <w:bookmarkStart w:id="1692" w:name="differences-between-sources-99"/>
    <w:p>
      <w:pPr>
        <w:pStyle w:val="Heading4"/>
      </w:pPr>
      <w:r>
        <w:t xml:space="preserve">6.2 Differences between sources</w:t>
      </w:r>
    </w:p>
    <w:p>
      <w:pPr>
        <w:pStyle w:val="Compact"/>
        <w:numPr>
          <w:ilvl w:val="0"/>
          <w:numId w:val="1852"/>
        </w:numPr>
      </w:pPr>
      <w:r>
        <w:t xml:space="preserve">NIDA — principles of cannabis use disorder.</w:t>
      </w:r>
    </w:p>
    <w:p>
      <w:pPr>
        <w:pStyle w:val="Compact"/>
        <w:numPr>
          <w:ilvl w:val="0"/>
          <w:numId w:val="1852"/>
        </w:numPr>
      </w:pPr>
      <w:r>
        <w:t xml:space="preserve">WHO mhGAP — assessment at the primary care level.</w:t>
      </w:r>
    </w:p>
    <w:bookmarkEnd w:id="1692"/>
    <w:bookmarkStart w:id="1693" w:name="diagnostic-algorithm-55"/>
    <w:p>
      <w:pPr>
        <w:pStyle w:val="Heading4"/>
      </w:pPr>
      <w:r>
        <w:t xml:space="preserve">6.3 Diagnostic algorithm</w:t>
      </w:r>
    </w:p>
    <w:p>
      <w:pPr>
        <w:pStyle w:val="Compact"/>
        <w:numPr>
          <w:ilvl w:val="0"/>
          <w:numId w:val="1853"/>
        </w:numPr>
      </w:pPr>
      <w:r>
        <w:t xml:space="preserve">Clinical interview.</w:t>
      </w:r>
    </w:p>
    <w:p>
      <w:pPr>
        <w:pStyle w:val="Compact"/>
        <w:numPr>
          <w:ilvl w:val="0"/>
          <w:numId w:val="1853"/>
        </w:numPr>
      </w:pPr>
      <w:r>
        <w:t xml:space="preserve">CUDIT-R (Cannabis Use Disorders Identification Test-Revised).</w:t>
      </w:r>
    </w:p>
    <w:p>
      <w:pPr>
        <w:pStyle w:val="Compact"/>
        <w:numPr>
          <w:ilvl w:val="0"/>
          <w:numId w:val="1853"/>
        </w:numPr>
      </w:pPr>
      <w:r>
        <w:t xml:space="preserve">Toxicology screening (urine THC).</w:t>
      </w:r>
    </w:p>
    <w:p>
      <w:pPr>
        <w:pStyle w:val="Compact"/>
        <w:numPr>
          <w:ilvl w:val="0"/>
          <w:numId w:val="1853"/>
        </w:numPr>
      </w:pPr>
      <w:r>
        <w:t xml:space="preserve">Comorbid psychosis, anxiety, MDD.</w:t>
      </w:r>
    </w:p>
    <w:bookmarkEnd w:id="1693"/>
    <w:bookmarkStart w:id="1694" w:name="differential-diagnosis-5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Synthetic cannabinoid disorder (6C42)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Stronger psychotic and autonomic effect.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Psychosis (cannabis-induced or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Depending on residual state after substance withdrawal.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Functional GI (cannabis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Remission with discontinuation of use.</w:t>
            </w:r>
          </w:p>
        </w:tc>
      </w:tr>
    </w:tbl>
    <w:bookmarkEnd w:id="1694"/>
    <w:bookmarkEnd w:id="1695"/>
    <w:bookmarkStart w:id="1696" w:name="X9cb3a8bfd9748a2426cc6e853358bccfa669cfc"/>
    <w:p>
      <w:pPr>
        <w:pStyle w:val="Heading3"/>
      </w:pPr>
      <w:r>
        <w:t xml:space="preserve">7. Examination and assessment</w:t>
      </w:r>
    </w:p>
    <w:p>
      <w:pPr>
        <w:pStyle w:val="Compact"/>
        <w:numPr>
          <w:ilvl w:val="0"/>
          <w:numId w:val="1854"/>
        </w:numPr>
      </w:pPr>
      <w:r>
        <w:t xml:space="preserve">CUDIT-R.</w:t>
      </w:r>
    </w:p>
    <w:p>
      <w:pPr>
        <w:pStyle w:val="Compact"/>
        <w:numPr>
          <w:ilvl w:val="0"/>
          <w:numId w:val="1854"/>
        </w:numPr>
      </w:pPr>
      <w:r>
        <w:t xml:space="preserve">Toxicology.</w:t>
      </w:r>
    </w:p>
    <w:p>
      <w:pPr>
        <w:pStyle w:val="Compact"/>
        <w:numPr>
          <w:ilvl w:val="0"/>
          <w:numId w:val="1854"/>
        </w:numPr>
      </w:pPr>
      <w:r>
        <w:t xml:space="preserve">Comorbidity (psychosis, anxiety, MDD).</w:t>
      </w:r>
    </w:p>
    <w:bookmarkEnd w:id="1696"/>
    <w:bookmarkStart w:id="1699" w:name="X8d482678c7bb10c908a6c3a319a67c1008c8a37"/>
    <w:p>
      <w:pPr>
        <w:pStyle w:val="Heading3"/>
      </w:pPr>
      <w:r>
        <w:t xml:space="preserve">8. Treatment</w:t>
      </w:r>
    </w:p>
    <w:p>
      <w:pPr>
        <w:pStyle w:val="Compact"/>
        <w:numPr>
          <w:ilvl w:val="0"/>
          <w:numId w:val="1855"/>
        </w:numPr>
      </w:pPr>
      <w:r>
        <w:t xml:space="preserve">First-line psychosocial intervention — MI, CBT, contingency management. Evidence: Davis M.L. et al. Eval Health Prof 2015 meta-analysis.</w:t>
      </w:r>
    </w:p>
    <w:p>
      <w:pPr>
        <w:pStyle w:val="Compact"/>
        <w:numPr>
          <w:ilvl w:val="0"/>
          <w:numId w:val="1855"/>
        </w:numPr>
      </w:pPr>
      <w:r>
        <w:t xml:space="preserve">No specific FDA-approved pharmacotherapy exists. Off-label: N-acetylcysteine (in adolescents Gray K.M. Am J Psychiatry 2012 RCT positive — only on a contingency management platform; in adults Gray K.M. Drug Alcohol Depend 2017 RCT negative), gabapentin.</w:t>
      </w:r>
    </w:p>
    <w:p>
      <w:pPr>
        <w:pStyle w:val="Compact"/>
        <w:numPr>
          <w:ilvl w:val="0"/>
          <w:numId w:val="1855"/>
        </w:numPr>
      </w:pPr>
      <w:r>
        <w:t xml:space="preserve">Comorbid psychosis — antipsychotic; cannabis abstinence critical.</w:t>
      </w:r>
    </w:p>
    <w:p>
      <w:pPr>
        <w:pStyle w:val="Compact"/>
        <w:numPr>
          <w:ilvl w:val="0"/>
          <w:numId w:val="1855"/>
        </w:numPr>
      </w:pPr>
      <w:r>
        <w:t xml:space="preserve">Synthetic cannabinoid intoxication — supportive, atypical antipsychotic if necessary.</w:t>
      </w:r>
    </w:p>
    <w:bookmarkStart w:id="1697" w:name="treatment-methods-54"/>
    <w:p>
      <w:pPr>
        <w:pStyle w:val="Heading4"/>
      </w:pPr>
      <w:r>
        <w:t xml:space="preserve">8.1 Treatment methods</w:t>
      </w:r>
    </w:p>
    <w:p>
      <w:pPr>
        <w:pStyle w:val="Compact"/>
        <w:numPr>
          <w:ilvl w:val="0"/>
          <w:numId w:val="1856"/>
        </w:numPr>
      </w:pPr>
      <w:r>
        <w:t xml:space="preserve">CBT and Motivational Interviewing (MI) — Trigger management, motivation, behavior change.</w:t>
      </w:r>
    </w:p>
    <w:p>
      <w:pPr>
        <w:pStyle w:val="Compact"/>
        <w:numPr>
          <w:ilvl w:val="0"/>
          <w:numId w:val="1856"/>
        </w:numPr>
      </w:pPr>
      <w:r>
        <w:t xml:space="preserve">Contingency Management — Reward for negative toxicology tests.</w:t>
      </w:r>
    </w:p>
    <w:p>
      <w:pPr>
        <w:pStyle w:val="Compact"/>
        <w:numPr>
          <w:ilvl w:val="0"/>
          <w:numId w:val="1856"/>
        </w:numPr>
      </w:pPr>
      <w:r>
        <w:t xml:space="preserve">CUDIT-R — 8-item screening.</w:t>
      </w:r>
    </w:p>
    <w:p>
      <w:pPr>
        <w:pStyle w:val="Compact"/>
        <w:numPr>
          <w:ilvl w:val="0"/>
          <w:numId w:val="1856"/>
        </w:numPr>
      </w:pPr>
      <w:r>
        <w:t xml:space="preserve">N-acetylcysteine (NAC) — Early positive adolescent finding did not replicate (Cochrane 2025 RR 1.17; 95% CI 0.73–1.88) — experimental; off-label.</w:t>
      </w:r>
    </w:p>
    <w:bookmarkEnd w:id="1697"/>
    <w:bookmarkStart w:id="1698" w:name="differences-between-sources-100"/>
    <w:p>
      <w:pPr>
        <w:pStyle w:val="Heading4"/>
      </w:pPr>
      <w:r>
        <w:t xml:space="preserve">8.2 Differences between sources</w:t>
      </w:r>
    </w:p>
    <w:p>
      <w:pPr>
        <w:pStyle w:val="Compact"/>
        <w:numPr>
          <w:ilvl w:val="0"/>
          <w:numId w:val="1857"/>
        </w:numPr>
      </w:pPr>
      <w:r>
        <w:t xml:space="preserve">NIDA — CBT and contingency management first-line.</w:t>
      </w:r>
    </w:p>
    <w:p>
      <w:pPr>
        <w:pStyle w:val="Compact"/>
        <w:numPr>
          <w:ilvl w:val="0"/>
          <w:numId w:val="1857"/>
        </w:numPr>
      </w:pPr>
      <w:r>
        <w:t xml:space="preserve">WHO mhGAP.</w:t>
      </w:r>
    </w:p>
    <w:bookmarkEnd w:id="1698"/>
    <w:bookmarkEnd w:id="1699"/>
    <w:bookmarkStart w:id="1700" w:name="X258c5ba7d8902431dbaab0e22df9f93939973e7"/>
    <w:p>
      <w:pPr>
        <w:pStyle w:val="Heading3"/>
      </w:pPr>
      <w:r>
        <w:t xml:space="preserve">9. Prognosis</w:t>
      </w:r>
    </w:p>
    <w:p>
      <w:pPr>
        <w:pStyle w:val="Compact"/>
        <w:numPr>
          <w:ilvl w:val="0"/>
          <w:numId w:val="1858"/>
        </w:numPr>
      </w:pPr>
      <w:r>
        <w:t xml:space="preserve">Significant improvement with psychosocial intervention.</w:t>
      </w:r>
    </w:p>
    <w:p>
      <w:pPr>
        <w:pStyle w:val="Compact"/>
        <w:numPr>
          <w:ilvl w:val="0"/>
          <w:numId w:val="1858"/>
        </w:numPr>
      </w:pPr>
      <w:r>
        <w:t xml:space="preserve">Early onset of use — poor prognosis.</w:t>
      </w:r>
    </w:p>
    <w:bookmarkEnd w:id="1700"/>
    <w:bookmarkStart w:id="1707" w:name="X335b67734527833ce243c109ee4d10658e4f7b3"/>
    <w:p>
      <w:pPr>
        <w:pStyle w:val="Heading3"/>
      </w:pPr>
      <w:r>
        <w:t xml:space="preserve">10. Myths and misconceptions</w:t>
      </w:r>
    </w:p>
    <w:bookmarkStart w:id="1701" w:name="myth-1-cannabis-is-natural-not-addictive"/>
    <w:p>
      <w:pPr>
        <w:pStyle w:val="Heading5"/>
      </w:pPr>
      <w:r>
        <w:t xml:space="preserve">Myth 1: “Cannabis is ‘natural’, not addictive”</w:t>
      </w:r>
    </w:p>
    <w:p>
      <w:pPr>
        <w:pStyle w:val="FirstParagraph"/>
      </w:pPr>
      <w:r>
        <w:t xml:space="preserve">Evidence: CUD develops in 7–9% of lifetime users; 17% in adolescents.</w:t>
      </w:r>
    </w:p>
    <w:bookmarkEnd w:id="1701"/>
    <w:bookmarkStart w:id="1702" w:name="Xad760b3259b5815873191637c78208fb4e7e23b"/>
    <w:p>
      <w:pPr>
        <w:pStyle w:val="Heading5"/>
      </w:pPr>
      <w:r>
        <w:t xml:space="preserve">Myth 2: “Cannabis withdrawal syndrome does not exist”</w:t>
      </w:r>
    </w:p>
    <w:p>
      <w:pPr>
        <w:pStyle w:val="FirstParagraph"/>
      </w:pPr>
      <w:r>
        <w:t xml:space="preserve">Evidence: DSM-5 (2013) — withdrawal syndrome as an official category; irritability, sleep, appetite disturbance.</w:t>
      </w:r>
    </w:p>
    <w:bookmarkEnd w:id="1702"/>
    <w:bookmarkStart w:id="1703" w:name="X42c59db0f0c70b93b39afafead51cf72661ec4c"/>
    <w:p>
      <w:pPr>
        <w:pStyle w:val="Heading5"/>
      </w:pPr>
      <w:r>
        <w:t xml:space="preserve">Myth 3: “Medical cannabis reduces psychosis risk”</w:t>
      </w:r>
    </w:p>
    <w:p>
      <w:pPr>
        <w:pStyle w:val="FirstParagraph"/>
      </w:pPr>
      <w:r>
        <w:t xml:space="preserve">Evidence: Marconi 2016 — THC raises psychosis risk in a dose-dependent way: about twofold at average use (OR 1.97) and about fourfold in the heaviest users (OR 3.90); preliminary evidence for CBD, not a clinical recommendation.</w:t>
      </w:r>
    </w:p>
    <w:bookmarkEnd w:id="1703"/>
    <w:bookmarkStart w:id="1704" w:name="myth-4-cannabis-is-not-a-gateway-drug"/>
    <w:p>
      <w:pPr>
        <w:pStyle w:val="Heading5"/>
      </w:pPr>
      <w:r>
        <w:t xml:space="preserve">Myth 4: “Cannabis is not a ‘gateway drug’”</w:t>
      </w:r>
    </w:p>
    <w:p>
      <w:pPr>
        <w:pStyle w:val="FirstParagraph"/>
      </w:pPr>
      <w:r>
        <w:t xml:space="preserve">Evidence: “Gateway” concept is controversial, but sequential use pattern is statistically evident; causality has different explanations.</w:t>
      </w:r>
    </w:p>
    <w:bookmarkEnd w:id="1704"/>
    <w:bookmarkStart w:id="1705" w:name="Xfb8d1da928a48b244a6ca469a0cae4f1717ec5f"/>
    <w:p>
      <w:pPr>
        <w:pStyle w:val="Heading5"/>
      </w:pPr>
      <w:r>
        <w:t xml:space="preserve">Myth 5: “High-THC cannabis is safer than regular cannabis”</w:t>
      </w:r>
    </w:p>
    <w:p>
      <w:pPr>
        <w:pStyle w:val="FirstParagraph"/>
      </w:pPr>
      <w:r>
        <w:t xml:space="preserve">Evidence: THC dose correlates with risk of psychosis, addiction, cognitive impairment; ‘potency creep’ over recent decades.</w:t>
      </w:r>
    </w:p>
    <w:bookmarkEnd w:id="1705"/>
    <w:bookmarkStart w:id="1706" w:name="X232f660a123f25b0ee1ed79bfa465d1d8dbf235"/>
    <w:p>
      <w:pPr>
        <w:pStyle w:val="Heading5"/>
      </w:pPr>
      <w:r>
        <w:t xml:space="preserve">Myth 6: “Synthetic cannabinoids (‘Spice’) are safe”</w:t>
      </w:r>
    </w:p>
    <w:p>
      <w:pPr>
        <w:pStyle w:val="FirstParagraph"/>
      </w:pPr>
      <w:r>
        <w:t xml:space="preserve">Evidence: synthetic cannabinoids are very potent, unpredictable; acute psychosis and death cases have been recorded.</w:t>
      </w:r>
    </w:p>
    <w:bookmarkEnd w:id="1706"/>
    <w:bookmarkEnd w:id="1707"/>
    <w:bookmarkStart w:id="2956" w:name="Xe13c6a37990cbb189862a00539fb1517e46d982"/>
    <w:p>
      <w:pPr>
        <w:pStyle w:val="Heading3"/>
      </w:pPr>
      <w:r>
        <w:t xml:space="preserve">11. Sources</w:t>
      </w:r>
    </w:p>
    <w:p>
      <w:pPr>
        <w:pStyle w:val="Compact"/>
        <w:numPr>
          <w:ilvl w:val="0"/>
          <w:numId w:val="1859"/>
        </w:numPr>
      </w:pPr>
      <w:r>
        <w:t xml:space="preserve">WHO. ICD-11. 6C41 Disorders due to use of cannabis. 2024.</w:t>
      </w:r>
    </w:p>
    <w:p>
      <w:pPr>
        <w:pStyle w:val="Compact"/>
        <w:numPr>
          <w:ilvl w:val="0"/>
          <w:numId w:val="1859"/>
        </w:numPr>
      </w:pPr>
      <w:r>
        <w:t xml:space="preserve">APA. DSM-5-TR. 2022.</w:t>
      </w:r>
    </w:p>
    <w:p>
      <w:pPr>
        <w:pStyle w:val="Compact"/>
        <w:numPr>
          <w:ilvl w:val="0"/>
          <w:numId w:val="1859"/>
        </w:numPr>
      </w:pPr>
      <w:r>
        <w:t xml:space="preserve">NIDA. Research Report on Cannabis. 2020.</w:t>
      </w:r>
    </w:p>
    <w:p>
      <w:pPr>
        <w:pStyle w:val="Compact"/>
        <w:numPr>
          <w:ilvl w:val="0"/>
          <w:numId w:val="1859"/>
        </w:numPr>
      </w:pPr>
      <w:r>
        <w:t xml:space="preserve">Davis M.L. et al. Behavioral therapies for treatment-seeking cannabis users: a meta-analysis of randomized controlled trials. Eval Health Prof 2015;38(1):94–114.</w:t>
      </w:r>
    </w:p>
    <w:p>
      <w:pPr>
        <w:pStyle w:val="Compact"/>
        <w:numPr>
          <w:ilvl w:val="0"/>
          <w:numId w:val="1859"/>
        </w:numPr>
      </w:pPr>
      <w:r>
        <w:t xml:space="preserve">Gray K.M. et al. A randomized placebo-controlled trial of N-acetylcysteine for cannabis use disorder in adults. Drug Alcohol Depend 2017;177:249–257.</w:t>
      </w:r>
    </w:p>
    <w:p>
      <w:pPr>
        <w:pStyle w:val="Compact"/>
        <w:numPr>
          <w:ilvl w:val="0"/>
          <w:numId w:val="1859"/>
        </w:numPr>
      </w:pPr>
      <w:r>
        <w:t xml:space="preserve">Marconi A. et al. Schizophr Bull 2016;42(5):1262–1269.</w:t>
      </w:r>
    </w:p>
    <w:p>
      <w:pPr>
        <w:pStyle w:val="Compact"/>
        <w:numPr>
          <w:ilvl w:val="0"/>
          <w:numId w:val="1859"/>
        </w:numPr>
      </w:pPr>
      <w:r>
        <w:t xml:space="preserve">Spiga F., Parkhouse T., Tang V.M. et al. Pharmacotherapies for cannabis use disorder. Cochrane Database Syst Rev 2025;9(9):CD008940.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08" w:name="Xdbb09024417820e69ff4685f02854016df9d272"/>
            <w:r>
              <w:t xml:space="preserve">6C44 DISORDERS DUE TO USE OF SEDATIVES, HYPNOTICS OR ANXIOLYTICS</w:t>
            </w:r>
            <w:bookmarkEnd w:id="1708"/>
          </w:p>
          <w:p>
            <w:pPr>
              <w:pStyle w:val="Compact"/>
              <w:ind w:firstLine="0" w:left="0"/>
            </w:pPr>
            <w:r>
              <w:rPr>
                <w:lang w:val="en"/>
              </w:rPr>
              <w:t xml:space="preserve">Disorders due to use of sedatives, hypnotics or anxiolytics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sedatives or hypnotics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Sedative, Hypnotic, or Anxiolytic Use Disorder, Moderate or Severe</w:t>
            </w:r>
          </w:p>
        </w:tc>
      </w:tr>
    </w:tbl>
    <w:bookmarkStart w:id="1709" w:name="X9445f635ab85570ba05136e71380ac203e134e3"/>
    <w:p>
      <w:pPr>
        <w:pStyle w:val="Heading3"/>
      </w:pPr>
      <w:r>
        <w:t xml:space="preserve">1. Definition and nosology</w:t>
      </w:r>
    </w:p>
    <w:p>
      <w:pPr>
        <w:pStyle w:val="FirstParagraph"/>
      </w:pPr>
      <w:r>
        <w:t xml:space="preserve">Disorders due to use of sedatives, hypnotics or anxiolytics (ICD-11:</w:t>
      </w:r>
      <w:r>
        <w:t xml:space="preserve"> </w:t>
      </w:r>
      <w:r>
        <w:t xml:space="preserve">6C44</w:t>
      </w:r>
      <w:r>
        <w:t xml:space="preserve">; DSM-5-TR: F13.20 Sedative, Hypnotic, or Anxiolytic Use Disorder) — impaired control over use of benzodiazepines, z-drugs (zolpidem, zopiclone), barbiturates, and other anxiolytics. Often begins with medical prescription in clinical practice; ‘iatrogenic dependence’ is common.</w:t>
      </w:r>
    </w:p>
    <w:bookmarkEnd w:id="1709"/>
    <w:bookmarkStart w:id="1710" w:name="X7f054dfaacfc93a8e9669d3bad13826458ccf68"/>
    <w:p>
      <w:pPr>
        <w:pStyle w:val="Heading3"/>
      </w:pPr>
      <w:r>
        <w:t xml:space="preserve">2. History</w:t>
      </w:r>
    </w:p>
    <w:p>
      <w:pPr>
        <w:pStyle w:val="Compact"/>
        <w:numPr>
          <w:ilvl w:val="0"/>
          <w:numId w:val="1860"/>
        </w:numPr>
      </w:pPr>
      <w:r>
        <w:t xml:space="preserve">1960s — clinical introduction of benzodiazepines (chlordiazepoxide 1960, diazepam 1963).</w:t>
      </w:r>
    </w:p>
    <w:p>
      <w:pPr>
        <w:pStyle w:val="Compact"/>
        <w:numPr>
          <w:ilvl w:val="0"/>
          <w:numId w:val="1860"/>
        </w:numPr>
      </w:pPr>
      <w:r>
        <w:t xml:space="preserve">1980s — recognition of the dependence potential of long-term use.</w:t>
      </w:r>
    </w:p>
    <w:p>
      <w:pPr>
        <w:pStyle w:val="Compact"/>
        <w:numPr>
          <w:ilvl w:val="0"/>
          <w:numId w:val="1860"/>
        </w:numPr>
      </w:pPr>
      <w:r>
        <w:t xml:space="preserve">NICE and APA — short-term use recommendation (2–4 weeks).</w:t>
      </w:r>
    </w:p>
    <w:bookmarkEnd w:id="1710"/>
    <w:bookmarkStart w:id="1711" w:name="X7325de33fee7112ebb1f9480500f13ae557be46"/>
    <w:p>
      <w:pPr>
        <w:pStyle w:val="Heading3"/>
      </w:pPr>
      <w:r>
        <w:t xml:space="preserve">3. Epidemiology</w:t>
      </w:r>
    </w:p>
    <w:p>
      <w:pPr>
        <w:pStyle w:val="Compact"/>
        <w:numPr>
          <w:ilvl w:val="0"/>
          <w:numId w:val="1861"/>
        </w:numPr>
      </w:pPr>
      <w:r>
        <w:t xml:space="preserve">Long-term benzodiazepine use in the elderly: 10–20%; problem identification is low.</w:t>
      </w:r>
    </w:p>
    <w:p>
      <w:pPr>
        <w:pStyle w:val="Compact"/>
        <w:numPr>
          <w:ilvl w:val="0"/>
          <w:numId w:val="1861"/>
        </w:numPr>
      </w:pPr>
      <w:r>
        <w:t xml:space="preserve">Sex: higher prescription rates in women.</w:t>
      </w:r>
    </w:p>
    <w:p>
      <w:pPr>
        <w:pStyle w:val="Compact"/>
        <w:numPr>
          <w:ilvl w:val="0"/>
          <w:numId w:val="1861"/>
        </w:numPr>
      </w:pPr>
      <w:r>
        <w:t xml:space="preserve">Comorbidity: alcohol and opioid use (dangerous combination — overdose risk).</w:t>
      </w:r>
    </w:p>
    <w:bookmarkEnd w:id="1711"/>
    <w:bookmarkStart w:id="1712" w:name="X245dfe3d33d63c26b4ae43473a7e96fcfa604e6"/>
    <w:p>
      <w:pPr>
        <w:pStyle w:val="Heading3"/>
      </w:pPr>
      <w:r>
        <w:t xml:space="preserve">4. Aetiology and pathogenesis</w:t>
      </w:r>
    </w:p>
    <w:p>
      <w:pPr>
        <w:pStyle w:val="Compact"/>
        <w:numPr>
          <w:ilvl w:val="0"/>
          <w:numId w:val="1862"/>
        </w:numPr>
      </w:pPr>
      <w:r>
        <w:t xml:space="preserve">Iatrogenesis — long-term prescriptions.</w:t>
      </w:r>
    </w:p>
    <w:p>
      <w:pPr>
        <w:pStyle w:val="Compact"/>
        <w:numPr>
          <w:ilvl w:val="0"/>
          <w:numId w:val="1862"/>
        </w:numPr>
      </w:pPr>
      <w:r>
        <w:t xml:space="preserve">Adaptation to the GABA-A receptor system — tolerance and discontinuation.</w:t>
      </w:r>
    </w:p>
    <w:p>
      <w:pPr>
        <w:pStyle w:val="Compact"/>
        <w:numPr>
          <w:ilvl w:val="0"/>
          <w:numId w:val="1862"/>
        </w:numPr>
      </w:pPr>
      <w:r>
        <w:t xml:space="preserve">Self-medication pattern in patients with anxiety, sleep disturbance.</w:t>
      </w:r>
    </w:p>
    <w:bookmarkEnd w:id="1712"/>
    <w:bookmarkStart w:id="1713" w:name="X1e95683cd0d5b73a5985746fb89e2397d0786b0"/>
    <w:p>
      <w:pPr>
        <w:pStyle w:val="Heading3"/>
      </w:pPr>
      <w:r>
        <w:t xml:space="preserve">5. Clinical features</w:t>
      </w:r>
    </w:p>
    <w:p>
      <w:pPr>
        <w:pStyle w:val="Compact"/>
        <w:numPr>
          <w:ilvl w:val="0"/>
          <w:numId w:val="1863"/>
        </w:numPr>
      </w:pPr>
      <w:r>
        <w:t xml:space="preserve">Dependence syndrome — loss of control, tolerance, withdrawal.</w:t>
      </w:r>
    </w:p>
    <w:p>
      <w:pPr>
        <w:pStyle w:val="Compact"/>
        <w:numPr>
          <w:ilvl w:val="0"/>
          <w:numId w:val="1863"/>
        </w:numPr>
      </w:pPr>
      <w:r>
        <w:t xml:space="preserve">Intoxication — sedation, ataxia, dysarthria, disinhibition, anterograde amnesia.</w:t>
      </w:r>
    </w:p>
    <w:p>
      <w:pPr>
        <w:pStyle w:val="Compact"/>
        <w:numPr>
          <w:ilvl w:val="0"/>
          <w:numId w:val="1863"/>
        </w:numPr>
      </w:pPr>
      <w:r>
        <w:t xml:space="preserve">Overdose — life-threatening respiratory depression with opioids.</w:t>
      </w:r>
    </w:p>
    <w:p>
      <w:pPr>
        <w:pStyle w:val="Compact"/>
        <w:numPr>
          <w:ilvl w:val="0"/>
          <w:numId w:val="1863"/>
        </w:numPr>
      </w:pPr>
      <w:r>
        <w:t xml:space="preserve">Withdrawal — life-threatening (like alcohol): tremor, anxiety, tachycardia, hypertension; severe cases: seizures and DT-like syndrome.</w:t>
      </w:r>
    </w:p>
    <w:bookmarkEnd w:id="1713"/>
    <w:bookmarkStart w:id="1718" w:name="Xe25a4c2e5737435762949f1b5d9be19319110a1"/>
    <w:p>
      <w:pPr>
        <w:pStyle w:val="Heading3"/>
      </w:pPr>
      <w:r>
        <w:t xml:space="preserve">6. Diagnosis</w:t>
      </w:r>
    </w:p>
    <w:bookmarkStart w:id="1714" w:name="unified-diagnostic-criteria-35"/>
    <w:p>
      <w:pPr>
        <w:pStyle w:val="Heading4"/>
      </w:pPr>
      <w:r>
        <w:t xml:space="preserve">6.1 Unified diagnostic criteria</w:t>
      </w:r>
    </w:p>
    <w:p>
      <w:pPr>
        <w:pStyle w:val="FirstParagraph"/>
      </w:pPr>
      <w:r>
        <w:t xml:space="preserve">DSM-5-TR —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14"/>
    <w:bookmarkStart w:id="1715" w:name="differences-between-sources-101"/>
    <w:p>
      <w:pPr>
        <w:pStyle w:val="Heading4"/>
      </w:pPr>
      <w:r>
        <w:t xml:space="preserve">6.2 Differences between sources</w:t>
      </w:r>
    </w:p>
    <w:p>
      <w:pPr>
        <w:pStyle w:val="Compact"/>
        <w:numPr>
          <w:ilvl w:val="0"/>
          <w:numId w:val="1864"/>
        </w:numPr>
      </w:pPr>
      <w:r>
        <w:t xml:space="preserve">NICE — benzodiazepine prescription 2–4 weeks; long-term use should be reassessed.</w:t>
      </w:r>
    </w:p>
    <w:p>
      <w:pPr>
        <w:pStyle w:val="Compact"/>
        <w:numPr>
          <w:ilvl w:val="0"/>
          <w:numId w:val="1864"/>
        </w:numPr>
      </w:pPr>
      <w:r>
        <w:t xml:space="preserve">Beers Criteria — avoid benzodiazepines in the elderly.</w:t>
      </w:r>
    </w:p>
    <w:bookmarkEnd w:id="1715"/>
    <w:bookmarkStart w:id="1716" w:name="diagnostic-algorithm-56"/>
    <w:p>
      <w:pPr>
        <w:pStyle w:val="Heading4"/>
      </w:pPr>
      <w:r>
        <w:t xml:space="preserve">6.3 Diagnostic algorithm</w:t>
      </w:r>
    </w:p>
    <w:p>
      <w:pPr>
        <w:pStyle w:val="Compact"/>
        <w:numPr>
          <w:ilvl w:val="0"/>
          <w:numId w:val="1865"/>
        </w:numPr>
      </w:pPr>
      <w:r>
        <w:t xml:space="preserve">Clinical interview + prescription history.</w:t>
      </w:r>
    </w:p>
    <w:p>
      <w:pPr>
        <w:pStyle w:val="Compact"/>
        <w:numPr>
          <w:ilvl w:val="0"/>
          <w:numId w:val="1865"/>
        </w:numPr>
      </w:pPr>
      <w:r>
        <w:t xml:space="preserve">Toxicology screening.</w:t>
      </w:r>
    </w:p>
    <w:p>
      <w:pPr>
        <w:pStyle w:val="Compact"/>
        <w:numPr>
          <w:ilvl w:val="0"/>
          <w:numId w:val="1865"/>
        </w:numPr>
      </w:pPr>
      <w:r>
        <w:t xml:space="preserve">Comorbid alcohol and opioid use (especially overdose risk).</w:t>
      </w:r>
    </w:p>
    <w:p>
      <w:pPr>
        <w:pStyle w:val="Compact"/>
        <w:numPr>
          <w:ilvl w:val="0"/>
          <w:numId w:val="1865"/>
        </w:numPr>
      </w:pPr>
      <w:r>
        <w:t xml:space="preserve">Clinical examination — withdrawal signs.</w:t>
      </w:r>
    </w:p>
    <w:bookmarkEnd w:id="1716"/>
    <w:bookmarkStart w:id="1717" w:name="differential-diagnosis-5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worry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Comorbid; substance use is symptomatic.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Alcohol use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Frequently comorbid.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Opioid use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Comorbid; overdose risk high.</w:t>
            </w:r>
          </w:p>
        </w:tc>
      </w:tr>
    </w:tbl>
    <w:bookmarkEnd w:id="1717"/>
    <w:bookmarkEnd w:id="1718"/>
    <w:bookmarkStart w:id="1719" w:name="X2148d3ec84bb3ac8ea875f0d6504a2079e0405e"/>
    <w:p>
      <w:pPr>
        <w:pStyle w:val="Heading3"/>
      </w:pPr>
      <w:r>
        <w:t xml:space="preserve">7. Examination and assessment</w:t>
      </w:r>
    </w:p>
    <w:p>
      <w:pPr>
        <w:pStyle w:val="Compact"/>
        <w:numPr>
          <w:ilvl w:val="0"/>
          <w:numId w:val="1866"/>
        </w:numPr>
      </w:pPr>
      <w:r>
        <w:t xml:space="preserve">Toxicology screening.</w:t>
      </w:r>
    </w:p>
    <w:p>
      <w:pPr>
        <w:pStyle w:val="Compact"/>
        <w:numPr>
          <w:ilvl w:val="0"/>
          <w:numId w:val="1866"/>
        </w:numPr>
      </w:pPr>
      <w:r>
        <w:t xml:space="preserve">Vital signs (discontinuation)</w:t>
      </w:r>
    </w:p>
    <w:bookmarkEnd w:id="1719"/>
    <w:bookmarkStart w:id="1722" w:name="Xc205eab861038b6abc1c382182e48f5dfe2cc64"/>
    <w:p>
      <w:pPr>
        <w:pStyle w:val="Heading3"/>
      </w:pPr>
      <w:r>
        <w:t xml:space="preserve">8. Treatment</w:t>
      </w:r>
    </w:p>
    <w:p>
      <w:pPr>
        <w:pStyle w:val="Compact"/>
        <w:numPr>
          <w:ilvl w:val="0"/>
          <w:numId w:val="1867"/>
        </w:numPr>
      </w:pPr>
      <w:r>
        <w:t xml:space="preserve">Gradual discontinuation (taper) is the gold standard: conversion to equivalent dose of long-acting benzodiazepine (diazepam), then reduction by 10–25% per week; total 6–12 weeks (sometimes months). Rapid discontinuation life-threatening.</w:t>
      </w:r>
    </w:p>
    <w:p>
      <w:pPr>
        <w:pStyle w:val="Compact"/>
        <w:numPr>
          <w:ilvl w:val="0"/>
          <w:numId w:val="1867"/>
        </w:numPr>
      </w:pPr>
      <w:r>
        <w:t xml:space="preserve">Hospitalisation — severe withdrawal or comorbid substance use.</w:t>
      </w:r>
    </w:p>
    <w:p>
      <w:pPr>
        <w:pStyle w:val="Compact"/>
        <w:numPr>
          <w:ilvl w:val="0"/>
          <w:numId w:val="1867"/>
        </w:numPr>
      </w:pPr>
      <w:r>
        <w:t xml:space="preserve">Psychosocial intervention — CBT for anxiety or sleep disorder; this reduces need for pharmacotherapy.</w:t>
      </w:r>
    </w:p>
    <w:p>
      <w:pPr>
        <w:pStyle w:val="Compact"/>
        <w:numPr>
          <w:ilvl w:val="0"/>
          <w:numId w:val="1867"/>
        </w:numPr>
      </w:pPr>
      <w:r>
        <w:t xml:space="preserve">Comorbid disorders treatment (anxiety, depression, sleep).</w:t>
      </w:r>
    </w:p>
    <w:p>
      <w:pPr>
        <w:pStyle w:val="Compact"/>
        <w:numPr>
          <w:ilvl w:val="0"/>
          <w:numId w:val="1867"/>
        </w:numPr>
      </w:pPr>
      <w:r>
        <w:t xml:space="preserve">Prescription management — at the primary healthcare level.</w:t>
      </w:r>
    </w:p>
    <w:bookmarkStart w:id="1720" w:name="treatment-methods-55"/>
    <w:p>
      <w:pPr>
        <w:pStyle w:val="Heading4"/>
      </w:pPr>
      <w:r>
        <w:t xml:space="preserve">8.1 Treatment methods</w:t>
      </w:r>
    </w:p>
    <w:p>
      <w:pPr>
        <w:pStyle w:val="Compact"/>
        <w:numPr>
          <w:ilvl w:val="0"/>
          <w:numId w:val="1868"/>
        </w:numPr>
      </w:pPr>
      <w:r>
        <w:t xml:space="preserve">Ashton Manual Taper — Conversion to diazepam equivalent, then gradual reduction; family support.</w:t>
      </w:r>
    </w:p>
    <w:p>
      <w:pPr>
        <w:pStyle w:val="Compact"/>
        <w:numPr>
          <w:ilvl w:val="0"/>
          <w:numId w:val="1868"/>
        </w:numPr>
      </w:pPr>
      <w:r>
        <w:t xml:space="preserve">CBT for Anxiety and Sleep — Alternative to benzodiazepine use; CBT-I for sleep.</w:t>
      </w:r>
    </w:p>
    <w:p>
      <w:pPr>
        <w:pStyle w:val="Compact"/>
        <w:numPr>
          <w:ilvl w:val="0"/>
          <w:numId w:val="1868"/>
        </w:numPr>
      </w:pPr>
      <w:r>
        <w:t xml:space="preserve">Toxicological Monitoring — During maintenance period.</w:t>
      </w:r>
    </w:p>
    <w:bookmarkEnd w:id="1720"/>
    <w:bookmarkStart w:id="1721" w:name="differences-between-sources-102"/>
    <w:p>
      <w:pPr>
        <w:pStyle w:val="Heading4"/>
      </w:pPr>
      <w:r>
        <w:t xml:space="preserve">8.2 Differences between sources</w:t>
      </w:r>
    </w:p>
    <w:p>
      <w:pPr>
        <w:pStyle w:val="Compact"/>
        <w:numPr>
          <w:ilvl w:val="0"/>
          <w:numId w:val="1869"/>
        </w:numPr>
      </w:pPr>
      <w:r>
        <w:t xml:space="preserve">NICE, BNF — taper protocols.</w:t>
      </w:r>
    </w:p>
    <w:p>
      <w:pPr>
        <w:pStyle w:val="Compact"/>
        <w:numPr>
          <w:ilvl w:val="0"/>
          <w:numId w:val="1869"/>
        </w:numPr>
      </w:pPr>
      <w:r>
        <w:t xml:space="preserve">Ashton Manual — practical clinical guide by Heather Ashton (C.H. Ashton); 1999 edition, revised 2002.</w:t>
      </w:r>
    </w:p>
    <w:bookmarkEnd w:id="1721"/>
    <w:bookmarkEnd w:id="1722"/>
    <w:bookmarkStart w:id="1723" w:name="Xda320fbb9ee29e86883f0edb4e493e6dd11b2fb"/>
    <w:p>
      <w:pPr>
        <w:pStyle w:val="Heading3"/>
      </w:pPr>
      <w:r>
        <w:t xml:space="preserve">9. Prognosis</w:t>
      </w:r>
    </w:p>
    <w:p>
      <w:pPr>
        <w:pStyle w:val="Compact"/>
        <w:numPr>
          <w:ilvl w:val="0"/>
          <w:numId w:val="1870"/>
        </w:numPr>
      </w:pPr>
      <w:r>
        <w:t xml:space="preserve">Significant improvement with gradual taper and CBT.</w:t>
      </w:r>
    </w:p>
    <w:p>
      <w:pPr>
        <w:pStyle w:val="Compact"/>
        <w:numPr>
          <w:ilvl w:val="0"/>
          <w:numId w:val="1870"/>
        </w:numPr>
      </w:pPr>
      <w:r>
        <w:t xml:space="preserve">In older adults, discontinuation is both medically and psychologically difficult.</w:t>
      </w:r>
    </w:p>
    <w:bookmarkEnd w:id="1723"/>
    <w:bookmarkStart w:id="1729" w:name="X7a58d430c349651e3b4b766d15e739649608ba5"/>
    <w:p>
      <w:pPr>
        <w:pStyle w:val="Heading3"/>
      </w:pPr>
      <w:r>
        <w:t xml:space="preserve">10. Myths and misconceptions</w:t>
      </w:r>
    </w:p>
    <w:bookmarkStart w:id="1724" w:name="Xb1f03c096d957647120eceb208098a09ce2a805"/>
    <w:p>
      <w:pPr>
        <w:pStyle w:val="Heading5"/>
      </w:pPr>
      <w:r>
        <w:t xml:space="preserve">Myth 1: “Benzodiazepines can be taken safely for life”</w:t>
      </w:r>
    </w:p>
    <w:p>
      <w:pPr>
        <w:pStyle w:val="FirstParagraph"/>
      </w:pPr>
      <w:r>
        <w:t xml:space="preserve">Evidence: long-term use — tolerance, dependence, cognitive impairment, fall risk (in elderly). NICE — short-term use.</w:t>
      </w:r>
    </w:p>
    <w:bookmarkEnd w:id="1724"/>
    <w:bookmarkStart w:id="1725" w:name="myth-2-rapid-discontinuation-is-safe"/>
    <w:p>
      <w:pPr>
        <w:pStyle w:val="Heading5"/>
      </w:pPr>
      <w:r>
        <w:t xml:space="preserve">Myth 2: “Rapid discontinuation is safe”</w:t>
      </w:r>
    </w:p>
    <w:p>
      <w:pPr>
        <w:pStyle w:val="FirstParagraph"/>
      </w:pPr>
      <w:r>
        <w:t xml:space="preserve">Evidence: Rapid discontinuation seizure and death risk; gradual taper critical.</w:t>
      </w:r>
    </w:p>
    <w:bookmarkEnd w:id="1725"/>
    <w:bookmarkStart w:id="1726" w:name="Xca560c34522cecd958b0b5dcb666041d1aab906"/>
    <w:p>
      <w:pPr>
        <w:pStyle w:val="Heading5"/>
      </w:pPr>
      <w:r>
        <w:t xml:space="preserve">Myth 3: “Z-drugs (zolpidem) are not addictive”</w:t>
      </w:r>
    </w:p>
    <w:p>
      <w:pPr>
        <w:pStyle w:val="FirstParagraph"/>
      </w:pPr>
      <w:r>
        <w:t xml:space="preserve">Evidence: Z-drugs also cause dependence; AAFP and NICE recommend short-term use.</w:t>
      </w:r>
    </w:p>
    <w:bookmarkEnd w:id="1726"/>
    <w:bookmarkStart w:id="1727" w:name="myth-4-benzodiazepine-opioid-is-safe"/>
    <w:p>
      <w:pPr>
        <w:pStyle w:val="Heading5"/>
      </w:pPr>
      <w:r>
        <w:t xml:space="preserve">Myth 4: “Benzodiazepine + opioid is safe”</w:t>
      </w:r>
    </w:p>
    <w:p>
      <w:pPr>
        <w:pStyle w:val="FirstParagraph"/>
      </w:pPr>
      <w:r>
        <w:t xml:space="preserve">Evidence: FDA black box warning — this combination significantly increases risk of respiratory depression and death.</w:t>
      </w:r>
    </w:p>
    <w:bookmarkEnd w:id="1727"/>
    <w:bookmarkStart w:id="1728" w:name="myth-5-detoxification-is-sufficient"/>
    <w:p>
      <w:pPr>
        <w:pStyle w:val="Heading5"/>
      </w:pPr>
      <w:r>
        <w:t xml:space="preserve">Myth 5: “Detoxification is sufficient”</w:t>
      </w:r>
    </w:p>
    <w:p>
      <w:pPr>
        <w:pStyle w:val="FirstParagraph"/>
      </w:pPr>
      <w:r>
        <w:t xml:space="preserve">Evidence: After discontinuation, alternative treatment (CBT, anxiety management) is required.</w:t>
      </w:r>
    </w:p>
    <w:bookmarkEnd w:id="1728"/>
    <w:bookmarkEnd w:id="1729"/>
    <w:bookmarkStart w:id="2955" w:name="X83ecf5d6fc245f3b033a8b0c87e8647fc2be6f8"/>
    <w:p>
      <w:pPr>
        <w:pStyle w:val="Heading3"/>
      </w:pPr>
      <w:r>
        <w:t xml:space="preserve">11. Sources</w:t>
      </w:r>
    </w:p>
    <w:p>
      <w:pPr>
        <w:pStyle w:val="Compact"/>
        <w:numPr>
          <w:ilvl w:val="0"/>
          <w:numId w:val="1871"/>
        </w:numPr>
      </w:pPr>
      <w:r>
        <w:t xml:space="preserve">WHO. ICD-11. 6C44 Disorders due to sedative, hypnotic, anxiolytic. 2024.</w:t>
      </w:r>
    </w:p>
    <w:p>
      <w:pPr>
        <w:pStyle w:val="Compact"/>
        <w:numPr>
          <w:ilvl w:val="0"/>
          <w:numId w:val="1871"/>
        </w:numPr>
      </w:pPr>
      <w:r>
        <w:t xml:space="preserve">APA. DSM-5-TR. 2022.</w:t>
      </w:r>
    </w:p>
    <w:p>
      <w:pPr>
        <w:pStyle w:val="Compact"/>
        <w:numPr>
          <w:ilvl w:val="0"/>
          <w:numId w:val="1871"/>
        </w:numPr>
      </w:pPr>
      <w:r>
        <w:t xml:space="preserve">NICE Quick Reference Guide. Benzodiazepines.</w:t>
      </w:r>
    </w:p>
    <w:p>
      <w:pPr>
        <w:pStyle w:val="Compact"/>
        <w:numPr>
          <w:ilvl w:val="0"/>
          <w:numId w:val="1871"/>
        </w:numPr>
      </w:pPr>
      <w:r>
        <w:t xml:space="preserve">Ashton C.H. Benzodiazepines: How They Work and How to Withdraw (Ashton Manual). 2002.</w:t>
      </w:r>
    </w:p>
    <w:p>
      <w:pPr>
        <w:pStyle w:val="Compact"/>
        <w:numPr>
          <w:ilvl w:val="0"/>
          <w:numId w:val="1871"/>
        </w:numPr>
      </w:pPr>
      <w:r>
        <w:t xml:space="preserve">FDA Drug Safety Communication. Opioid pain or cough medicines combined with benzodiazepines: serious side effects. 2016.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30" w:name="m726c45-disorders-due-to-use-of-cocaine"/>
            <w:r>
              <w:t xml:space="preserve">6C45 DISORDERS DUE TO USE OF COCAINE</w:t>
            </w:r>
            <w:bookmarkEnd w:id="1730"/>
          </w:p>
          <w:p>
            <w:pPr>
              <w:pStyle w:val="Compact"/>
              <w:ind w:firstLine="0" w:left="0"/>
            </w:pPr>
            <w:r>
              <w:rPr>
                <w:lang w:val="en"/>
              </w:rPr>
              <w:t xml:space="preserve">Disorders due to use of cocaine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cocaine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Stimulant Use Disorder, Cocaine, Moderate or Severe</w:t>
            </w:r>
          </w:p>
        </w:tc>
      </w:tr>
    </w:tbl>
    <w:bookmarkStart w:id="1731" w:name="X04b2fa7cc317833c7b353f96377e2e5ec782cba"/>
    <w:p>
      <w:pPr>
        <w:pStyle w:val="Heading3"/>
      </w:pPr>
      <w:r>
        <w:t xml:space="preserve">1. Definition and nosology</w:t>
      </w:r>
    </w:p>
    <w:p>
      <w:pPr>
        <w:pStyle w:val="FirstParagraph"/>
      </w:pPr>
      <w:r>
        <w:t xml:space="preserve">Disorders due to use of cocaine (ICD-11:</w:t>
      </w:r>
      <w:r>
        <w:t xml:space="preserve"> </w:t>
      </w:r>
      <w:r>
        <w:t xml:space="preserve">6C45</w:t>
      </w:r>
      <w:r>
        <w:t xml:space="preserve">; DSM-5-TR: F14.20) — impaired control over cocaine use or harmful use. Includes intoxication, withdrawal, harmful pattern of use, dependence, induced psychotic and mood disorders.</w:t>
      </w:r>
    </w:p>
    <w:bookmarkEnd w:id="1731"/>
    <w:bookmarkStart w:id="1732" w:name="X24e179658bbe591e0ad4119031e17a81fc4674e"/>
    <w:p>
      <w:pPr>
        <w:pStyle w:val="Heading3"/>
      </w:pPr>
      <w:r>
        <w:t xml:space="preserve">2. History</w:t>
      </w:r>
    </w:p>
    <w:p>
      <w:pPr>
        <w:pStyle w:val="Compact"/>
        <w:numPr>
          <w:ilvl w:val="0"/>
          <w:numId w:val="1872"/>
        </w:numPr>
      </w:pPr>
      <w:r>
        <w:t xml:space="preserve">Coca leaves have been used in the Andes for thousands of years.</w:t>
      </w:r>
    </w:p>
    <w:p>
      <w:pPr>
        <w:pStyle w:val="Compact"/>
        <w:numPr>
          <w:ilvl w:val="0"/>
          <w:numId w:val="1872"/>
        </w:numPr>
      </w:pPr>
      <w:r>
        <w:t xml:space="preserve">Niemann A. (1860) — cocaine isolation.</w:t>
      </w:r>
    </w:p>
    <w:p>
      <w:pPr>
        <w:pStyle w:val="Compact"/>
        <w:numPr>
          <w:ilvl w:val="0"/>
          <w:numId w:val="1872"/>
        </w:numPr>
      </w:pPr>
      <w:r>
        <w:t xml:space="preserve">Freud (1884) — “Über Coca” — later criticized the clinical effect.</w:t>
      </w:r>
    </w:p>
    <w:p>
      <w:pPr>
        <w:pStyle w:val="Compact"/>
        <w:numPr>
          <w:ilvl w:val="0"/>
          <w:numId w:val="1872"/>
        </w:numPr>
      </w:pPr>
      <w:r>
        <w:t xml:space="preserve">1970s–1980s — ‘crack’ epidemic in the USA.</w:t>
      </w:r>
    </w:p>
    <w:bookmarkEnd w:id="1732"/>
    <w:bookmarkStart w:id="1733" w:name="Xc9040d247bfaa5ea92199641ee0fb4049c845a3"/>
    <w:p>
      <w:pPr>
        <w:pStyle w:val="Heading3"/>
      </w:pPr>
      <w:r>
        <w:t xml:space="preserve">3. Epidemiology</w:t>
      </w:r>
    </w:p>
    <w:p>
      <w:pPr>
        <w:pStyle w:val="Compact"/>
        <w:numPr>
          <w:ilvl w:val="0"/>
          <w:numId w:val="1873"/>
        </w:numPr>
      </w:pPr>
      <w:r>
        <w:t xml:space="preserve">Annual global users 21 mln (UNODC).</w:t>
      </w:r>
    </w:p>
    <w:p>
      <w:pPr>
        <w:pStyle w:val="Compact"/>
        <w:numPr>
          <w:ilvl w:val="0"/>
          <w:numId w:val="1873"/>
        </w:numPr>
      </w:pPr>
      <w:r>
        <w:t xml:space="preserve">Sex: 2 times higher in males.</w:t>
      </w:r>
    </w:p>
    <w:p>
      <w:pPr>
        <w:pStyle w:val="Compact"/>
        <w:numPr>
          <w:ilvl w:val="0"/>
          <w:numId w:val="1873"/>
        </w:numPr>
      </w:pPr>
      <w:r>
        <w:t xml:space="preserve">Comorbidity: alcohol, opioids, MDD, BPD, psychosis, cardiovascular mortality.</w:t>
      </w:r>
    </w:p>
    <w:bookmarkEnd w:id="1733"/>
    <w:bookmarkStart w:id="1734" w:name="Xe06fd9f9abcc3065fdd87d0ec5ababa83a1caec"/>
    <w:p>
      <w:pPr>
        <w:pStyle w:val="Heading3"/>
      </w:pPr>
      <w:r>
        <w:t xml:space="preserve">4. Aetiology and pathogenesis</w:t>
      </w:r>
    </w:p>
    <w:p>
      <w:pPr>
        <w:pStyle w:val="Compact"/>
        <w:numPr>
          <w:ilvl w:val="0"/>
          <w:numId w:val="1874"/>
        </w:numPr>
      </w:pPr>
      <w:r>
        <w:t xml:space="preserve">Heritability 40–50%.</w:t>
      </w:r>
    </w:p>
    <w:p>
      <w:pPr>
        <w:pStyle w:val="Compact"/>
        <w:numPr>
          <w:ilvl w:val="0"/>
          <w:numId w:val="1874"/>
        </w:numPr>
      </w:pPr>
      <w:r>
        <w:t xml:space="preserve">Neurobiological — blockade of dopamine reuptake → increased mesolimbic reward; tolerance and down-regulation.</w:t>
      </w:r>
    </w:p>
    <w:p>
      <w:pPr>
        <w:pStyle w:val="Compact"/>
        <w:numPr>
          <w:ilvl w:val="0"/>
          <w:numId w:val="1874"/>
        </w:numPr>
      </w:pPr>
      <w:r>
        <w:t xml:space="preserve">Social-cultural — peer, accessibility, socio-economic.</w:t>
      </w:r>
    </w:p>
    <w:bookmarkEnd w:id="1734"/>
    <w:bookmarkStart w:id="1735" w:name="X7dba8ec115c59c9b1f9da0a6d53ffae78912505"/>
    <w:p>
      <w:pPr>
        <w:pStyle w:val="Heading3"/>
      </w:pPr>
      <w:r>
        <w:t xml:space="preserve">5. Clinical features</w:t>
      </w:r>
    </w:p>
    <w:p>
      <w:pPr>
        <w:pStyle w:val="Compact"/>
        <w:numPr>
          <w:ilvl w:val="0"/>
          <w:numId w:val="1875"/>
        </w:numPr>
      </w:pPr>
      <w:r>
        <w:t xml:space="preserve">Dependence syndrome (DSM-5-TR criteria).</w:t>
      </w:r>
    </w:p>
    <w:p>
      <w:pPr>
        <w:pStyle w:val="Compact"/>
        <w:numPr>
          <w:ilvl w:val="0"/>
          <w:numId w:val="1875"/>
        </w:numPr>
      </w:pPr>
      <w:r>
        <w:t xml:space="preserve">Intoxication — euphoria, hypervigilance, mydriasis, tachycardia, hypertension, hyperthermia; in severe cases, paranoid delusions, hallucinations, agitation, myocardial infarction, stroke, seizures.</w:t>
      </w:r>
    </w:p>
    <w:p>
      <w:pPr>
        <w:pStyle w:val="Compact"/>
        <w:numPr>
          <w:ilvl w:val="0"/>
          <w:numId w:val="1875"/>
        </w:numPr>
      </w:pPr>
      <w:r>
        <w:t xml:space="preserve">Withdrawal — “crash” — depressive mood, anhedonia, fatigue, hypersomnia, increased appetite, intense cravings; high suicide risk.</w:t>
      </w:r>
    </w:p>
    <w:bookmarkEnd w:id="1735"/>
    <w:bookmarkStart w:id="1740" w:name="X79ede3a7168afa970474a5acfafce7be5b8230e"/>
    <w:p>
      <w:pPr>
        <w:pStyle w:val="Heading3"/>
      </w:pPr>
      <w:r>
        <w:t xml:space="preserve">6. Diagnosis</w:t>
      </w:r>
    </w:p>
    <w:bookmarkStart w:id="1736" w:name="unified-diagnostic-criteria-36"/>
    <w:p>
      <w:pPr>
        <w:pStyle w:val="Heading4"/>
      </w:pPr>
      <w:r>
        <w:t xml:space="preserve">6.1 Unified diagnostic criteria</w:t>
      </w:r>
    </w:p>
    <w:p>
      <w:pPr>
        <w:pStyle w:val="FirstParagraph"/>
      </w:pPr>
      <w:r>
        <w:t xml:space="preserve">DSM-5-TR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36"/>
    <w:bookmarkStart w:id="1737" w:name="differences-between-sources-103"/>
    <w:p>
      <w:pPr>
        <w:pStyle w:val="Heading4"/>
      </w:pPr>
      <w:r>
        <w:t xml:space="preserve">6.2 Differences between sources</w:t>
      </w:r>
    </w:p>
    <w:p>
      <w:pPr>
        <w:pStyle w:val="Compact"/>
        <w:numPr>
          <w:ilvl w:val="0"/>
          <w:numId w:val="1876"/>
        </w:numPr>
      </w:pPr>
      <w:r>
        <w:t xml:space="preserve">SAMHSA TIP 33 — stimulant use.</w:t>
      </w:r>
    </w:p>
    <w:bookmarkEnd w:id="1737"/>
    <w:bookmarkStart w:id="1738" w:name="diagnostic-algorithm-57"/>
    <w:p>
      <w:pPr>
        <w:pStyle w:val="Heading4"/>
      </w:pPr>
      <w:r>
        <w:t xml:space="preserve">6.3 Diagnostic algorithm</w:t>
      </w:r>
    </w:p>
    <w:p>
      <w:pPr>
        <w:pStyle w:val="Compact"/>
        <w:numPr>
          <w:ilvl w:val="0"/>
          <w:numId w:val="1877"/>
        </w:numPr>
      </w:pPr>
      <w:r>
        <w:t xml:space="preserve">Clinical interview + toxicology.</w:t>
      </w:r>
    </w:p>
    <w:p>
      <w:pPr>
        <w:pStyle w:val="Compact"/>
        <w:numPr>
          <w:ilvl w:val="0"/>
          <w:numId w:val="1877"/>
        </w:numPr>
      </w:pPr>
      <w:r>
        <w:t xml:space="preserve">EKG, troponin (especially if chest pain).</w:t>
      </w:r>
    </w:p>
    <w:p>
      <w:pPr>
        <w:pStyle w:val="Compact"/>
        <w:numPr>
          <w:ilvl w:val="0"/>
          <w:numId w:val="1877"/>
        </w:numPr>
      </w:pPr>
      <w:r>
        <w:t xml:space="preserve">HIV, HCV, syphilis.</w:t>
      </w:r>
    </w:p>
    <w:p>
      <w:pPr>
        <w:pStyle w:val="Compact"/>
        <w:numPr>
          <w:ilvl w:val="0"/>
          <w:numId w:val="1877"/>
        </w:numPr>
      </w:pPr>
      <w:r>
        <w:t xml:space="preserve">Comorbidity and suicide risk (high during withdrawal).</w:t>
      </w:r>
    </w:p>
    <w:bookmarkEnd w:id="1738"/>
    <w:bookmarkStart w:id="1739" w:name="differential-diagnosis-5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Amphetamine/stimulant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 differential.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 history and temporal relationship.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Psychosis (cocaine-induced and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Remission after substance elimination.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 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Endocrine tests.</w:t>
            </w:r>
          </w:p>
        </w:tc>
      </w:tr>
    </w:tbl>
    <w:bookmarkEnd w:id="1739"/>
    <w:bookmarkEnd w:id="1740"/>
    <w:bookmarkStart w:id="1741" w:name="Xe3bde0f34d2a42a3f80195f384c4c60754c8f82"/>
    <w:p>
      <w:pPr>
        <w:pStyle w:val="Heading3"/>
      </w:pPr>
      <w:r>
        <w:t xml:space="preserve">7. Examination and assessment</w:t>
      </w:r>
    </w:p>
    <w:p>
      <w:pPr>
        <w:pStyle w:val="Compact"/>
        <w:numPr>
          <w:ilvl w:val="0"/>
          <w:numId w:val="1878"/>
        </w:numPr>
      </w:pPr>
      <w:r>
        <w:t xml:space="preserve">Toxicology.</w:t>
      </w:r>
    </w:p>
    <w:p>
      <w:pPr>
        <w:pStyle w:val="Compact"/>
        <w:numPr>
          <w:ilvl w:val="0"/>
          <w:numId w:val="1878"/>
        </w:numPr>
      </w:pPr>
      <w:r>
        <w:t xml:space="preserve">EKG, troponin, cardiac assessment.</w:t>
      </w:r>
    </w:p>
    <w:p>
      <w:pPr>
        <w:pStyle w:val="Compact"/>
        <w:numPr>
          <w:ilvl w:val="0"/>
          <w:numId w:val="1878"/>
        </w:numPr>
      </w:pPr>
      <w:r>
        <w:t xml:space="preserve">HIV, HCV.</w:t>
      </w:r>
    </w:p>
    <w:p>
      <w:pPr>
        <w:pStyle w:val="Compact"/>
        <w:numPr>
          <w:ilvl w:val="0"/>
          <w:numId w:val="1878"/>
        </w:numPr>
      </w:pPr>
      <w:r>
        <w:t xml:space="preserve">C-SSRS.</w:t>
      </w:r>
    </w:p>
    <w:bookmarkEnd w:id="1741"/>
    <w:bookmarkStart w:id="1744" w:name="X851e7d56f9374af09041973e7ccfff3773ad7f1"/>
    <w:p>
      <w:pPr>
        <w:pStyle w:val="Heading3"/>
      </w:pPr>
      <w:r>
        <w:t xml:space="preserve">8. Treatment</w:t>
      </w:r>
    </w:p>
    <w:p>
      <w:pPr>
        <w:pStyle w:val="Compact"/>
        <w:numPr>
          <w:ilvl w:val="0"/>
          <w:numId w:val="1879"/>
        </w:numPr>
      </w:pPr>
      <w:r>
        <w:t xml:space="preserve">Psychosocial — first line:</w:t>
      </w:r>
    </w:p>
    <w:p>
      <w:pPr>
        <w:pStyle w:val="Compact"/>
        <w:numPr>
          <w:ilvl w:val="1"/>
          <w:numId w:val="1880"/>
        </w:numPr>
      </w:pPr>
      <w:r>
        <w:t xml:space="preserve">Contingency management — strongest evidence base (Petry N.M. reviews).</w:t>
      </w:r>
    </w:p>
    <w:p>
      <w:pPr>
        <w:pStyle w:val="Compact"/>
        <w:numPr>
          <w:ilvl w:val="1"/>
          <w:numId w:val="1880"/>
        </w:numPr>
      </w:pPr>
      <w:r>
        <w:t xml:space="preserve">CBT;</w:t>
      </w:r>
    </w:p>
    <w:p>
      <w:pPr>
        <w:pStyle w:val="Compact"/>
        <w:numPr>
          <w:ilvl w:val="1"/>
          <w:numId w:val="1880"/>
        </w:numPr>
      </w:pPr>
      <w:r>
        <w:t xml:space="preserve">MI;</w:t>
      </w:r>
    </w:p>
    <w:p>
      <w:pPr>
        <w:pStyle w:val="Compact"/>
        <w:numPr>
          <w:ilvl w:val="1"/>
          <w:numId w:val="1880"/>
        </w:numPr>
      </w:pPr>
      <w:r>
        <w:t xml:space="preserve">Community Reinforcement Approach (CRA).</w:t>
      </w:r>
    </w:p>
    <w:p>
      <w:pPr>
        <w:pStyle w:val="Compact"/>
        <w:numPr>
          <w:ilvl w:val="0"/>
          <w:numId w:val="1879"/>
        </w:numPr>
      </w:pPr>
      <w:r>
        <w:t xml:space="preserve">Pharmacotherapy — No medication is approved by the FDA for this indication. Off-label studies — disulfiram, modafinil, topiramate — mixed results.</w:t>
      </w:r>
    </w:p>
    <w:p>
      <w:pPr>
        <w:pStyle w:val="Compact"/>
        <w:numPr>
          <w:ilvl w:val="0"/>
          <w:numId w:val="1879"/>
        </w:numPr>
      </w:pPr>
      <w:r>
        <w:t xml:space="preserve">Comorbidity treatment.</w:t>
      </w:r>
    </w:p>
    <w:p>
      <w:pPr>
        <w:pStyle w:val="Compact"/>
        <w:numPr>
          <w:ilvl w:val="0"/>
          <w:numId w:val="1879"/>
        </w:numPr>
      </w:pPr>
      <w:r>
        <w:t xml:space="preserve">Acute intoxication — benzodiazepine (lorazepam); cardiac monitoring; antipsychotic in psychosis.</w:t>
      </w:r>
    </w:p>
    <w:bookmarkStart w:id="1742" w:name="treatment-methods-56"/>
    <w:p>
      <w:pPr>
        <w:pStyle w:val="Heading4"/>
      </w:pPr>
      <w:r>
        <w:t xml:space="preserve">8.1 Treatment methods</w:t>
      </w:r>
    </w:p>
    <w:p>
      <w:pPr>
        <w:pStyle w:val="Compact"/>
        <w:numPr>
          <w:ilvl w:val="0"/>
          <w:numId w:val="1881"/>
        </w:numPr>
      </w:pPr>
      <w:r>
        <w:t xml:space="preserve">Contingency Management — Petry (Petry N.M.), Higgins (Higgins S.) — Voucher/reward for negative toxicology tests; evidence base strongest for cocaine.</w:t>
      </w:r>
    </w:p>
    <w:p>
      <w:pPr>
        <w:pStyle w:val="Compact"/>
        <w:numPr>
          <w:ilvl w:val="0"/>
          <w:numId w:val="1881"/>
        </w:numPr>
      </w:pPr>
      <w:r>
        <w:t xml:space="preserve">CBT and Community Reinforcement Approach (CRA) — Trigger management, alternative rewarding activities.</w:t>
      </w:r>
    </w:p>
    <w:p>
      <w:pPr>
        <w:pStyle w:val="Compact"/>
        <w:numPr>
          <w:ilvl w:val="0"/>
          <w:numId w:val="1881"/>
        </w:numPr>
      </w:pPr>
      <w:r>
        <w:t xml:space="preserve">MI — Motivation for behavior change.</w:t>
      </w:r>
    </w:p>
    <w:bookmarkEnd w:id="1742"/>
    <w:bookmarkStart w:id="1743" w:name="differences-between-sources-104"/>
    <w:p>
      <w:pPr>
        <w:pStyle w:val="Heading4"/>
      </w:pPr>
      <w:r>
        <w:t xml:space="preserve">8.2 Differences between sources</w:t>
      </w:r>
    </w:p>
    <w:p>
      <w:pPr>
        <w:pStyle w:val="Compact"/>
        <w:numPr>
          <w:ilvl w:val="0"/>
          <w:numId w:val="1882"/>
        </w:numPr>
      </w:pPr>
      <w:r>
        <w:t xml:space="preserve">SAMHSA TIP 33 — contingency management gold standard.</w:t>
      </w:r>
    </w:p>
    <w:p>
      <w:pPr>
        <w:pStyle w:val="Compact"/>
        <w:numPr>
          <w:ilvl w:val="0"/>
          <w:numId w:val="1882"/>
        </w:numPr>
      </w:pPr>
      <w:r>
        <w:t xml:space="preserve">NIDA — no specific pharmacotherapy for cocaine.</w:t>
      </w:r>
    </w:p>
    <w:bookmarkEnd w:id="1743"/>
    <w:bookmarkEnd w:id="1744"/>
    <w:bookmarkStart w:id="1745" w:name="X358d847943328eecfaf635e6cdecddfc1807739"/>
    <w:p>
      <w:pPr>
        <w:pStyle w:val="Heading3"/>
      </w:pPr>
      <w:r>
        <w:t xml:space="preserve">9. Prognosis</w:t>
      </w:r>
    </w:p>
    <w:p>
      <w:pPr>
        <w:pStyle w:val="Compact"/>
        <w:numPr>
          <w:ilvl w:val="0"/>
          <w:numId w:val="1883"/>
        </w:numPr>
      </w:pPr>
      <w:r>
        <w:t xml:space="preserve">Significant improvement with contingency management.</w:t>
      </w:r>
    </w:p>
    <w:p>
      <w:pPr>
        <w:pStyle w:val="Compact"/>
        <w:numPr>
          <w:ilvl w:val="0"/>
          <w:numId w:val="1883"/>
        </w:numPr>
      </w:pPr>
      <w:r>
        <w:t xml:space="preserve">Comorbid substance use and psychiatric disorder poor prognosis.</w:t>
      </w:r>
    </w:p>
    <w:bookmarkEnd w:id="1745"/>
    <w:bookmarkStart w:id="1751" w:name="Xa2051353ebd291746d150730136a15f55af56a2"/>
    <w:p>
      <w:pPr>
        <w:pStyle w:val="Heading3"/>
      </w:pPr>
      <w:r>
        <w:t xml:space="preserve">10. Myths and misconceptions</w:t>
      </w:r>
    </w:p>
    <w:bookmarkStart w:id="1746" w:name="Xebfae768711339263c5d0dfc0a3b6d26cd2afee"/>
    <w:p>
      <w:pPr>
        <w:pStyle w:val="Heading5"/>
      </w:pPr>
      <w:r>
        <w:t xml:space="preserve">Myth 1: “Cocaine is a ‘recreational’ substance, not addictive”</w:t>
      </w:r>
    </w:p>
    <w:p>
      <w:pPr>
        <w:pStyle w:val="FirstParagraph"/>
      </w:pPr>
      <w:r>
        <w:t xml:space="preserve">Evidence: Cocaine has high addiction potential; cardiovascular mortality, psychosis, social impairment.</w:t>
      </w:r>
    </w:p>
    <w:bookmarkEnd w:id="1746"/>
    <w:bookmarkStart w:id="1747" w:name="X28a4f8811a5d5f411df80a92f3dcea58bb6df2b"/>
    <w:p>
      <w:pPr>
        <w:pStyle w:val="Heading5"/>
      </w:pPr>
      <w:r>
        <w:t xml:space="preserve">Myth 2: “FDA-approved treatment for cocaine exists”</w:t>
      </w:r>
    </w:p>
    <w:p>
      <w:pPr>
        <w:pStyle w:val="FirstParagraph"/>
      </w:pPr>
      <w:r>
        <w:t xml:space="preserve">Evidence: none yet; psychosocial intervention first-line.</w:t>
      </w:r>
    </w:p>
    <w:bookmarkEnd w:id="1747"/>
    <w:bookmarkStart w:id="1748" w:name="X680dea58cee4fe3bd75382d2c5acdcb26ad4804"/>
    <w:p>
      <w:pPr>
        <w:pStyle w:val="Heading5"/>
      </w:pPr>
      <w:r>
        <w:t xml:space="preserve">Myth 3: “Cocaine ‘crash’ is safe, requires no treatment”</w:t>
      </w:r>
    </w:p>
    <w:p>
      <w:pPr>
        <w:pStyle w:val="FirstParagraph"/>
      </w:pPr>
      <w:r>
        <w:t xml:space="preserve">Evidence: Suicide risk is high during the withdrawal period; active monitoring is required.</w:t>
      </w:r>
    </w:p>
    <w:bookmarkEnd w:id="1748"/>
    <w:bookmarkStart w:id="1749" w:name="Xe7f43e5d4efa41fdff12b81395fdab55355d85e"/>
    <w:p>
      <w:pPr>
        <w:pStyle w:val="Heading5"/>
      </w:pPr>
      <w:r>
        <w:t xml:space="preserve">Myth 4: “Crack and cocaine powder are different disorders”</w:t>
      </w:r>
    </w:p>
    <w:p>
      <w:pPr>
        <w:pStyle w:val="FirstParagraph"/>
      </w:pPr>
      <w:r>
        <w:t xml:space="preserve">Evidence: Same substance (cocaine); route of administration (smoked vs intranasal) alters pharmacokinetics and addiction speed.</w:t>
      </w:r>
    </w:p>
    <w:bookmarkEnd w:id="1749"/>
    <w:bookmarkStart w:id="1750" w:name="Xc7f331b96a90135fa0f6d2e2b6040a98c86139b"/>
    <w:p>
      <w:pPr>
        <w:pStyle w:val="Heading5"/>
      </w:pPr>
      <w:r>
        <w:t xml:space="preserve">Myth 5: “The ‘crack baby’ concept in pregnancy — lasting harm in children”</w:t>
      </w:r>
    </w:p>
    <w:p>
      <w:pPr>
        <w:pStyle w:val="FirstParagraph"/>
      </w:pPr>
      <w:r>
        <w:t xml:space="preserve">Evidence: latest reviews — long-term effects of prenatal cocaine exposure are less than initially thought; socio-economic factors have a stronger impact (Frank D.A. JAMA 2001 review).</w:t>
      </w:r>
    </w:p>
    <w:bookmarkEnd w:id="1750"/>
    <w:bookmarkEnd w:id="1751"/>
    <w:bookmarkStart w:id="2954" w:name="Xa51d3d55d1768c6eb4735efdab55a1d4a07affc"/>
    <w:p>
      <w:pPr>
        <w:pStyle w:val="Heading3"/>
      </w:pPr>
      <w:r>
        <w:t xml:space="preserve">11. Sources</w:t>
      </w:r>
    </w:p>
    <w:p>
      <w:pPr>
        <w:pStyle w:val="Compact"/>
        <w:numPr>
          <w:ilvl w:val="0"/>
          <w:numId w:val="1884"/>
        </w:numPr>
      </w:pPr>
      <w:r>
        <w:t xml:space="preserve">WHO. ICD-11. 6C45 Disorders due to use of cocaine. 2024.</w:t>
      </w:r>
    </w:p>
    <w:p>
      <w:pPr>
        <w:pStyle w:val="Compact"/>
        <w:numPr>
          <w:ilvl w:val="0"/>
          <w:numId w:val="1884"/>
        </w:numPr>
      </w:pPr>
      <w:r>
        <w:t xml:space="preserve">APA. DSM-5-TR. 2022.</w:t>
      </w:r>
    </w:p>
    <w:p>
      <w:pPr>
        <w:pStyle w:val="Compact"/>
        <w:numPr>
          <w:ilvl w:val="0"/>
          <w:numId w:val="1884"/>
        </w:numPr>
      </w:pPr>
      <w:r>
        <w:t xml:space="preserve">SAMHSA. TIP 33: Treatment for Stimulant Use Disorders. 2021 update.</w:t>
      </w:r>
    </w:p>
    <w:p>
      <w:pPr>
        <w:pStyle w:val="Compact"/>
        <w:numPr>
          <w:ilvl w:val="0"/>
          <w:numId w:val="1884"/>
        </w:numPr>
      </w:pPr>
      <w:r>
        <w:t xml:space="preserve">NIDA. Research Report: Cocaine. 2016.</w:t>
      </w:r>
    </w:p>
    <w:p>
      <w:pPr>
        <w:pStyle w:val="Compact"/>
        <w:numPr>
          <w:ilvl w:val="0"/>
          <w:numId w:val="1884"/>
        </w:numPr>
      </w:pPr>
      <w:r>
        <w:t xml:space="preserve">Petry N.M., Alessi S.M., Olmstead T.A. Contingency management treatment for substance use disorders. Psychol Addict Behav 2017;31(8):897–906.</w:t>
      </w:r>
    </w:p>
    <w:p>
      <w:pPr>
        <w:pStyle w:val="Compact"/>
        <w:numPr>
          <w:ilvl w:val="0"/>
          <w:numId w:val="1884"/>
        </w:numPr>
      </w:pPr>
      <w:r>
        <w:t xml:space="preserve">Frank D.A. et al. Growth, development, and behavior in early childhood following prenatal cocaine exposure. JAMA 2001;285(12):1613–1625.</w:t>
      </w:r>
    </w:p>
    <w:p>
      <w:pPr>
        <w:pStyle w:val="Compact"/>
        <w:numPr>
          <w:ilvl w:val="0"/>
          <w:numId w:val="1884"/>
        </w:numPr>
      </w:pPr>
      <w:r>
        <w:t xml:space="preserve">Higgins S.T., Budney A.J., Bickel W.K. et al. Incentives improve outcome in outpatient behavioral treatment of cocaine dependence. Arch Gen Psychiatry 1994;51(7):568–576.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52" w:name="Xacf41295a71cc896831cc5326ce044e07fbfa38"/>
            <w:r>
              <w:t xml:space="preserve">6C46 DISORDERS DUE TO USE OF STIMULANTS INCLUDING AMPHETAMINES, METHAMPHETAMINE OR METHCATHINONE</w:t>
            </w:r>
            <w:bookmarkEnd w:id="1752"/>
          </w:p>
          <w:p>
            <w:pPr>
              <w:pStyle w:val="Compact"/>
              <w:ind w:firstLine="0" w:left="0"/>
            </w:pPr>
            <w:r>
              <w:rPr>
                <w:lang w:val="en"/>
              </w:rPr>
              <w:t xml:space="preserve">Disorders due to use of stimulants including amphetamines, methamphetamine or methcathinone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other stimulants, including caffeine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Stimulant Use Disorder, Amphetamine-Type Substance, Moderate or Severe</w:t>
            </w:r>
          </w:p>
        </w:tc>
      </w:tr>
    </w:tbl>
    <w:bookmarkStart w:id="1753" w:name="Xa570663ac4a8349270e07fb832311d0b2643612"/>
    <w:p>
      <w:pPr>
        <w:pStyle w:val="Heading3"/>
      </w:pPr>
      <w:r>
        <w:t xml:space="preserve">1. Definition and nosology</w:t>
      </w:r>
    </w:p>
    <w:p>
      <w:pPr>
        <w:pStyle w:val="FirstParagraph"/>
      </w:pPr>
      <w:r>
        <w:t xml:space="preserve">Disorders due to use of stimulants including amphetamines, methamphetamine or methcathinone (ICD-11:</w:t>
      </w:r>
      <w:r>
        <w:t xml:space="preserve"> </w:t>
      </w:r>
      <w:r>
        <w:t xml:space="preserve">6C46</w:t>
      </w:r>
      <w:r>
        <w:t xml:space="preserve">; DSM-5-TR: F15.20 Stimulant Use Disorder) — disorders developing from use of amphetamine, methamphetamine, methcathinone and other stimulants. Coded separately: cocaine (6C45), synthetic cathinones including mephedrone (6C47), caffeine (6C48), MDMA or related drugs including MDA (6C4C).</w:t>
      </w:r>
    </w:p>
    <w:bookmarkEnd w:id="1753"/>
    <w:bookmarkStart w:id="1754" w:name="X3bdaca41f4849370dd43585a6e6dc011c15cef5"/>
    <w:p>
      <w:pPr>
        <w:pStyle w:val="Heading3"/>
      </w:pPr>
      <w:r>
        <w:t xml:space="preserve">2. History</w:t>
      </w:r>
    </w:p>
    <w:p>
      <w:pPr>
        <w:pStyle w:val="Compact"/>
        <w:numPr>
          <w:ilvl w:val="0"/>
          <w:numId w:val="1885"/>
        </w:numPr>
      </w:pPr>
      <w:r>
        <w:t xml:space="preserve">Amphetamine first synthesized by Edeleano L. (1887); widespread use in World War II.</w:t>
      </w:r>
    </w:p>
    <w:p>
      <w:pPr>
        <w:pStyle w:val="Compact"/>
        <w:numPr>
          <w:ilvl w:val="0"/>
          <w:numId w:val="1885"/>
        </w:numPr>
      </w:pPr>
      <w:r>
        <w:t xml:space="preserve">1950s–1960s — pharmacy-prescription epidemic.</w:t>
      </w:r>
    </w:p>
    <w:p>
      <w:pPr>
        <w:pStyle w:val="Compact"/>
        <w:numPr>
          <w:ilvl w:val="0"/>
          <w:numId w:val="1885"/>
        </w:numPr>
      </w:pPr>
      <w:r>
        <w:t xml:space="preserve">Methamphetamine epidemic since the 1990s.</w:t>
      </w:r>
    </w:p>
    <w:p>
      <w:pPr>
        <w:pStyle w:val="Compact"/>
        <w:numPr>
          <w:ilvl w:val="0"/>
          <w:numId w:val="1885"/>
        </w:numPr>
      </w:pPr>
      <w:r>
        <w:t xml:space="preserve">“Bath salts” (synthetic cathinones) — epidemic of 2010+. “Krokodil” (desomorphine) is an opioid and is coded separately in ICD-11 (6C43).</w:t>
      </w:r>
    </w:p>
    <w:bookmarkEnd w:id="1754"/>
    <w:bookmarkStart w:id="1755" w:name="X9fbe78ebdf8bd38f3c25ac7e1560ee4d999f781"/>
    <w:p>
      <w:pPr>
        <w:pStyle w:val="Heading3"/>
      </w:pPr>
      <w:r>
        <w:t xml:space="preserve">3. Epidemiology</w:t>
      </w:r>
    </w:p>
    <w:p>
      <w:pPr>
        <w:pStyle w:val="Compact"/>
        <w:numPr>
          <w:ilvl w:val="0"/>
          <w:numId w:val="1886"/>
        </w:numPr>
      </w:pPr>
      <w:r>
        <w:t xml:space="preserve">Global users: amphetamine 30 mln+ (UNODC).</w:t>
      </w:r>
    </w:p>
    <w:p>
      <w:pPr>
        <w:pStyle w:val="Compact"/>
        <w:numPr>
          <w:ilvl w:val="0"/>
          <w:numId w:val="1886"/>
        </w:numPr>
      </w:pPr>
      <w:r>
        <w:t xml:space="preserve">Sex: higher in males.</w:t>
      </w:r>
    </w:p>
    <w:p>
      <w:pPr>
        <w:pStyle w:val="Compact"/>
        <w:numPr>
          <w:ilvl w:val="0"/>
          <w:numId w:val="1886"/>
        </w:numPr>
      </w:pPr>
      <w:r>
        <w:t xml:space="preserve">Comorbidity: psychosis, MDD, anxiety, cardiovascular, skin lesions (self-excoriation, ‘meth mouth’).</w:t>
      </w:r>
    </w:p>
    <w:bookmarkEnd w:id="1755"/>
    <w:bookmarkStart w:id="1756" w:name="Xd12ce94e97816783bdc3130a32349b05f4b779e"/>
    <w:p>
      <w:pPr>
        <w:pStyle w:val="Heading3"/>
      </w:pPr>
      <w:r>
        <w:t xml:space="preserve">4. Aetiology and pathogenesis</w:t>
      </w:r>
    </w:p>
    <w:p>
      <w:pPr>
        <w:pStyle w:val="Compact"/>
        <w:numPr>
          <w:ilvl w:val="0"/>
          <w:numId w:val="1887"/>
        </w:numPr>
      </w:pPr>
      <w:r>
        <w:t xml:space="preserve">Heritability 40–50%.</w:t>
      </w:r>
    </w:p>
    <w:p>
      <w:pPr>
        <w:pStyle w:val="Compact"/>
        <w:numPr>
          <w:ilvl w:val="0"/>
          <w:numId w:val="1887"/>
        </w:numPr>
      </w:pPr>
      <w:r>
        <w:t xml:space="preserve">Neurobiological — release of dopamine and norepinephrine and blockade of their reuptake; severe neurotoxicity (especially methamphetamine — to dopamine neurons).</w:t>
      </w:r>
    </w:p>
    <w:bookmarkEnd w:id="1756"/>
    <w:bookmarkStart w:id="1757" w:name="X60abe9e9013ca2c5ae04c7509a398c823f195e0"/>
    <w:p>
      <w:pPr>
        <w:pStyle w:val="Heading3"/>
      </w:pPr>
      <w:r>
        <w:t xml:space="preserve">5. Clinical features</w:t>
      </w:r>
    </w:p>
    <w:p>
      <w:pPr>
        <w:pStyle w:val="Compact"/>
        <w:numPr>
          <w:ilvl w:val="0"/>
          <w:numId w:val="1888"/>
        </w:numPr>
      </w:pPr>
      <w:r>
        <w:t xml:space="preserve">Intoxication — euphoria, hypervigilance, mydriasis, tachycardia, hypertension, hyperthermia; in severe cases: paranoid psychosis, agitation, myocardial infarction, stroke, seizures, rhabdomyolysis.</w:t>
      </w:r>
    </w:p>
    <w:p>
      <w:pPr>
        <w:pStyle w:val="Compact"/>
        <w:numPr>
          <w:ilvl w:val="0"/>
          <w:numId w:val="1888"/>
        </w:numPr>
      </w:pPr>
      <w:r>
        <w:t xml:space="preserve">Withdrawal — “crash” — depressive mood, anhedonia, fatigue, hypersomnia, increased appetite, intense cravings; high suicide risk.</w:t>
      </w:r>
    </w:p>
    <w:p>
      <w:pPr>
        <w:pStyle w:val="Compact"/>
        <w:numPr>
          <w:ilvl w:val="0"/>
          <w:numId w:val="1888"/>
        </w:numPr>
      </w:pPr>
      <w:r>
        <w:t xml:space="preserve">Chronic use — psychosis (paranoid delusions, hallucinations), cognitive deficit, “meth mouth” (tooth decay), skin picking.</w:t>
      </w:r>
    </w:p>
    <w:p>
      <w:pPr>
        <w:pStyle w:val="Compact"/>
        <w:numPr>
          <w:ilvl w:val="0"/>
          <w:numId w:val="1888"/>
        </w:numPr>
      </w:pPr>
      <w:r>
        <w:t xml:space="preserve">MDMA (6C4C) — hyponatremia, hyperthermia, serotonin syndrome, neurotoxicity.</w:t>
      </w:r>
    </w:p>
    <w:bookmarkEnd w:id="1757"/>
    <w:bookmarkStart w:id="1762" w:name="X116a70ac32a9b0cf4a5448f449bd3b80487ec63"/>
    <w:p>
      <w:pPr>
        <w:pStyle w:val="Heading3"/>
      </w:pPr>
      <w:r>
        <w:t xml:space="preserve">6. Diagnosis</w:t>
      </w:r>
    </w:p>
    <w:bookmarkStart w:id="1758" w:name="unified-diagnostic-criteria-37"/>
    <w:p>
      <w:pPr>
        <w:pStyle w:val="Heading4"/>
      </w:pPr>
      <w:r>
        <w:t xml:space="preserve">6.1 Unified diagnostic criteria</w:t>
      </w:r>
    </w:p>
    <w:p>
      <w:pPr>
        <w:pStyle w:val="FirstParagraph"/>
      </w:pPr>
      <w:r>
        <w:t xml:space="preserve">DSM-5-TR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58"/>
    <w:bookmarkStart w:id="1759" w:name="differences-between-sources-105"/>
    <w:p>
      <w:pPr>
        <w:pStyle w:val="Heading4"/>
      </w:pPr>
      <w:r>
        <w:t xml:space="preserve">6.2 Differences between sources</w:t>
      </w:r>
    </w:p>
    <w:p>
      <w:pPr>
        <w:pStyle w:val="Compact"/>
        <w:numPr>
          <w:ilvl w:val="0"/>
          <w:numId w:val="1889"/>
        </w:numPr>
      </w:pPr>
      <w:r>
        <w:t xml:space="preserve">SAMHSA TIP 33 — stimulant use.</w:t>
      </w:r>
    </w:p>
    <w:p>
      <w:pPr>
        <w:pStyle w:val="Compact"/>
        <w:numPr>
          <w:ilvl w:val="0"/>
          <w:numId w:val="1889"/>
        </w:numPr>
      </w:pPr>
      <w:r>
        <w:t xml:space="preserve">NIDA — methamphetamine research reports.</w:t>
      </w:r>
    </w:p>
    <w:bookmarkEnd w:id="1759"/>
    <w:bookmarkStart w:id="1760" w:name="diagnostic-algorithm-58"/>
    <w:p>
      <w:pPr>
        <w:pStyle w:val="Heading4"/>
      </w:pPr>
      <w:r>
        <w:t xml:space="preserve">6.3 Diagnostic algorithm</w:t>
      </w:r>
    </w:p>
    <w:p>
      <w:pPr>
        <w:pStyle w:val="Compact"/>
        <w:numPr>
          <w:ilvl w:val="0"/>
          <w:numId w:val="1890"/>
        </w:numPr>
      </w:pPr>
      <w:r>
        <w:t xml:space="preserve">Clinical interview.</w:t>
      </w:r>
    </w:p>
    <w:p>
      <w:pPr>
        <w:pStyle w:val="Compact"/>
        <w:numPr>
          <w:ilvl w:val="0"/>
          <w:numId w:val="1890"/>
        </w:numPr>
      </w:pPr>
      <w:r>
        <w:t xml:space="preserve">Toxicology.</w:t>
      </w:r>
    </w:p>
    <w:p>
      <w:pPr>
        <w:pStyle w:val="Compact"/>
        <w:numPr>
          <w:ilvl w:val="0"/>
          <w:numId w:val="1890"/>
        </w:numPr>
      </w:pPr>
      <w:r>
        <w:t xml:space="preserve">EKG, troponin.</w:t>
      </w:r>
    </w:p>
    <w:p>
      <w:pPr>
        <w:pStyle w:val="Compact"/>
        <w:numPr>
          <w:ilvl w:val="0"/>
          <w:numId w:val="1890"/>
        </w:numPr>
      </w:pPr>
      <w:r>
        <w:t xml:space="preserve">Comorbidity (psychosis, MDD, cardiovascular).</w:t>
      </w:r>
    </w:p>
    <w:bookmarkEnd w:id="1760"/>
    <w:bookmarkStart w:id="1761" w:name="differential-diagnosis-5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Cocaine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 temporal relationship.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remission after substance elimination.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 pheochromocytoma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Endocrine.</w:t>
            </w:r>
          </w:p>
        </w:tc>
      </w:tr>
    </w:tbl>
    <w:bookmarkEnd w:id="1761"/>
    <w:bookmarkEnd w:id="1762"/>
    <w:bookmarkStart w:id="1763" w:name="X33a12ddce236c8d0394ac6a11a4cf5dec748a03"/>
    <w:p>
      <w:pPr>
        <w:pStyle w:val="Heading3"/>
      </w:pPr>
      <w:r>
        <w:t xml:space="preserve">7. Examination and assessment</w:t>
      </w:r>
    </w:p>
    <w:p>
      <w:pPr>
        <w:pStyle w:val="Compact"/>
        <w:numPr>
          <w:ilvl w:val="0"/>
          <w:numId w:val="1891"/>
        </w:numPr>
      </w:pPr>
      <w:r>
        <w:t xml:space="preserve">Toxicology.</w:t>
      </w:r>
    </w:p>
    <w:p>
      <w:pPr>
        <w:pStyle w:val="Compact"/>
        <w:numPr>
          <w:ilvl w:val="0"/>
          <w:numId w:val="1891"/>
        </w:numPr>
      </w:pPr>
      <w:r>
        <w:t xml:space="preserve">EKG, troponin, CPK (rhabdomyolysis).</w:t>
      </w:r>
    </w:p>
    <w:p>
      <w:pPr>
        <w:pStyle w:val="Compact"/>
        <w:numPr>
          <w:ilvl w:val="0"/>
          <w:numId w:val="1891"/>
        </w:numPr>
      </w:pPr>
      <w:r>
        <w:t xml:space="preserve">Dental and skin examination.</w:t>
      </w:r>
    </w:p>
    <w:p>
      <w:pPr>
        <w:pStyle w:val="Compact"/>
        <w:numPr>
          <w:ilvl w:val="0"/>
          <w:numId w:val="1891"/>
        </w:numPr>
      </w:pPr>
      <w:r>
        <w:t xml:space="preserve">C-SSRS.</w:t>
      </w:r>
    </w:p>
    <w:bookmarkEnd w:id="1763"/>
    <w:bookmarkStart w:id="1766" w:name="X8429fb867ffcb9caee26aaaec339644cf15bdd7"/>
    <w:p>
      <w:pPr>
        <w:pStyle w:val="Heading3"/>
      </w:pPr>
      <w:r>
        <w:t xml:space="preserve">8. Treatment</w:t>
      </w:r>
    </w:p>
    <w:p>
      <w:pPr>
        <w:pStyle w:val="Compact"/>
        <w:numPr>
          <w:ilvl w:val="0"/>
          <w:numId w:val="1892"/>
        </w:numPr>
      </w:pPr>
      <w:r>
        <w:t xml:space="preserve">Psychosocial — first line:</w:t>
      </w:r>
    </w:p>
    <w:p>
      <w:pPr>
        <w:pStyle w:val="Compact"/>
        <w:numPr>
          <w:ilvl w:val="1"/>
          <w:numId w:val="1893"/>
        </w:numPr>
      </w:pPr>
      <w:r>
        <w:t xml:space="preserve">Contingency management;</w:t>
      </w:r>
    </w:p>
    <w:p>
      <w:pPr>
        <w:pStyle w:val="Compact"/>
        <w:numPr>
          <w:ilvl w:val="1"/>
          <w:numId w:val="1893"/>
        </w:numPr>
      </w:pPr>
      <w:r>
        <w:t xml:space="preserve">CBT;</w:t>
      </w:r>
    </w:p>
    <w:p>
      <w:pPr>
        <w:pStyle w:val="Compact"/>
        <w:numPr>
          <w:ilvl w:val="1"/>
          <w:numId w:val="1893"/>
        </w:numPr>
      </w:pPr>
      <w:r>
        <w:t xml:space="preserve">MI;</w:t>
      </w:r>
    </w:p>
    <w:p>
      <w:pPr>
        <w:pStyle w:val="Compact"/>
        <w:numPr>
          <w:ilvl w:val="1"/>
          <w:numId w:val="1893"/>
        </w:numPr>
      </w:pPr>
      <w:r>
        <w:t xml:space="preserve">Matrix Model — manualized comprehensive program for amphetamine dependence.</w:t>
      </w:r>
    </w:p>
    <w:p>
      <w:pPr>
        <w:pStyle w:val="Compact"/>
        <w:numPr>
          <w:ilvl w:val="0"/>
          <w:numId w:val="1892"/>
        </w:numPr>
      </w:pPr>
      <w:r>
        <w:t xml:space="preserve">Pharmacotherapy — No specific FDA-approved medication exists; off-label: mirtazapine, naltrexone + bupropion (Trivedi M.H. NEJM 2021 — ADAPT-2 trial combination for methamphetamine — modest effect).</w:t>
      </w:r>
    </w:p>
    <w:p>
      <w:pPr>
        <w:pStyle w:val="Compact"/>
        <w:numPr>
          <w:ilvl w:val="0"/>
          <w:numId w:val="1892"/>
        </w:numPr>
      </w:pPr>
      <w:r>
        <w:t xml:space="preserve">Acute intoxication — benzodiazepine for agitation; antipsychotic in psychosis.</w:t>
      </w:r>
    </w:p>
    <w:p>
      <w:pPr>
        <w:pStyle w:val="Compact"/>
        <w:numPr>
          <w:ilvl w:val="0"/>
          <w:numId w:val="1892"/>
        </w:numPr>
      </w:pPr>
      <w:r>
        <w:t xml:space="preserve">Comorbid psychosis — parallel treatment.</w:t>
      </w:r>
    </w:p>
    <w:bookmarkStart w:id="1764" w:name="treatment-methods-57"/>
    <w:p>
      <w:pPr>
        <w:pStyle w:val="Heading4"/>
      </w:pPr>
      <w:r>
        <w:t xml:space="preserve">8.1 Treatment methods</w:t>
      </w:r>
    </w:p>
    <w:p>
      <w:pPr>
        <w:pStyle w:val="Compact"/>
        <w:numPr>
          <w:ilvl w:val="0"/>
          <w:numId w:val="1894"/>
        </w:numPr>
      </w:pPr>
      <w:r>
        <w:t xml:space="preserve">Matrix Model — 16-week structured program — CBT + family + 12-step + single physician. Evidence base for amphetamine/methamphetamine.</w:t>
      </w:r>
    </w:p>
    <w:p>
      <w:pPr>
        <w:pStyle w:val="Compact"/>
        <w:numPr>
          <w:ilvl w:val="0"/>
          <w:numId w:val="1894"/>
        </w:numPr>
      </w:pPr>
      <w:r>
        <w:t xml:space="preserve">Contingency Management — Reward for negative test.</w:t>
      </w:r>
    </w:p>
    <w:p>
      <w:pPr>
        <w:pStyle w:val="Compact"/>
        <w:numPr>
          <w:ilvl w:val="0"/>
          <w:numId w:val="1894"/>
        </w:numPr>
      </w:pPr>
      <w:r>
        <w:t xml:space="preserve">Naltrexone + Bupropion (ADAPT-2) — Primary RCT evidence in methamphetamine addiction; off-label.</w:t>
      </w:r>
    </w:p>
    <w:bookmarkEnd w:id="1764"/>
    <w:bookmarkStart w:id="1765" w:name="differences-between-sources-106"/>
    <w:p>
      <w:pPr>
        <w:pStyle w:val="Heading4"/>
      </w:pPr>
      <w:r>
        <w:t xml:space="preserve">8.2 Differences between sources</w:t>
      </w:r>
    </w:p>
    <w:p>
      <w:pPr>
        <w:pStyle w:val="Compact"/>
        <w:numPr>
          <w:ilvl w:val="0"/>
          <w:numId w:val="1895"/>
        </w:numPr>
      </w:pPr>
      <w:r>
        <w:t xml:space="preserve">SAMHSA TIP 33.</w:t>
      </w:r>
    </w:p>
    <w:p>
      <w:pPr>
        <w:pStyle w:val="Compact"/>
        <w:numPr>
          <w:ilvl w:val="0"/>
          <w:numId w:val="1895"/>
        </w:numPr>
      </w:pPr>
      <w:r>
        <w:t xml:space="preserve">NIDA.</w:t>
      </w:r>
    </w:p>
    <w:p>
      <w:pPr>
        <w:pStyle w:val="Compact"/>
        <w:numPr>
          <w:ilvl w:val="0"/>
          <w:numId w:val="1895"/>
        </w:numPr>
      </w:pPr>
      <w:r>
        <w:t xml:space="preserve">Trivedi M.H. et al. NEJM 2021 — initial evidence base for naltrexone + bupropion in methamphetamine dependence.</w:t>
      </w:r>
    </w:p>
    <w:bookmarkEnd w:id="1765"/>
    <w:bookmarkEnd w:id="1766"/>
    <w:bookmarkStart w:id="1767" w:name="Xad0a23ddedda6e3d19fc221d14b0c53513b7f16"/>
    <w:p>
      <w:pPr>
        <w:pStyle w:val="Heading3"/>
      </w:pPr>
      <w:r>
        <w:t xml:space="preserve">9. Prognosis</w:t>
      </w:r>
    </w:p>
    <w:p>
      <w:pPr>
        <w:pStyle w:val="Compact"/>
        <w:numPr>
          <w:ilvl w:val="0"/>
          <w:numId w:val="1896"/>
        </w:numPr>
      </w:pPr>
      <w:r>
        <w:t xml:space="preserve">With multimodal approach, remission 30–50%.</w:t>
      </w:r>
    </w:p>
    <w:p>
      <w:pPr>
        <w:pStyle w:val="Compact"/>
        <w:numPr>
          <w:ilvl w:val="0"/>
          <w:numId w:val="1896"/>
        </w:numPr>
      </w:pPr>
      <w:r>
        <w:t xml:space="preserve">Comorbid psychosis indicates a poor prognosis.</w:t>
      </w:r>
    </w:p>
    <w:bookmarkEnd w:id="1767"/>
    <w:bookmarkStart w:id="1773" w:name="X7181eaed2198d50d09a0adb660e68f2f0edfa63"/>
    <w:p>
      <w:pPr>
        <w:pStyle w:val="Heading3"/>
      </w:pPr>
      <w:r>
        <w:t xml:space="preserve">10. Myths and misconceptions</w:t>
      </w:r>
    </w:p>
    <w:bookmarkStart w:id="1768" w:name="Xa02db5f95c7a7cd4f696100ffeaf43b099d057d"/>
    <w:p>
      <w:pPr>
        <w:pStyle w:val="Heading5"/>
      </w:pPr>
      <w:r>
        <w:t xml:space="preserve">Myth 1: “Methamphetamine is safer than ‘Spice’ or other ‘designer drugs’”</w:t>
      </w:r>
    </w:p>
    <w:p>
      <w:pPr>
        <w:pStyle w:val="FirstParagraph"/>
      </w:pPr>
      <w:r>
        <w:t xml:space="preserve">Evidence: Methamphetamine induces high neurotoxicity, psychosis, and mortality.</w:t>
      </w:r>
    </w:p>
    <w:bookmarkEnd w:id="1768"/>
    <w:bookmarkStart w:id="1769" w:name="myth-2-mdma-is-safe-as-a-pure-substance"/>
    <w:p>
      <w:pPr>
        <w:pStyle w:val="Heading5"/>
      </w:pPr>
      <w:r>
        <w:t xml:space="preserve">Myth 2: “MDMA is safe as a ‘pure’ substance”</w:t>
      </w:r>
    </w:p>
    <w:p>
      <w:pPr>
        <w:pStyle w:val="FirstParagraph"/>
      </w:pPr>
      <w:r>
        <w:t xml:space="preserve">Evidence: MDMA — hyperthermia, hyponatremia, serotonin syndrome; ‘pure’ substance is typically adulterated (synthetic cathinones, fentanyl).</w:t>
      </w:r>
    </w:p>
    <w:bookmarkEnd w:id="1769"/>
    <w:bookmarkStart w:id="1770" w:name="X743867330899b8f6fe260b41ee6d564d4085352"/>
    <w:p>
      <w:pPr>
        <w:pStyle w:val="Heading5"/>
      </w:pPr>
      <w:r>
        <w:t xml:space="preserve">Myth 3: “Detoxification is sufficient for stimulant dependence”</w:t>
      </w:r>
    </w:p>
    <w:p>
      <w:pPr>
        <w:pStyle w:val="FirstParagraph"/>
      </w:pPr>
      <w:r>
        <w:t xml:space="preserve">Evidence: Contingency management and CBT-based; sole detox leads to relapse &gt;90%.</w:t>
      </w:r>
    </w:p>
    <w:bookmarkEnd w:id="1770"/>
    <w:bookmarkStart w:id="1771" w:name="X74f1709c733fc231d7622db90d208573f64b83f"/>
    <w:p>
      <w:pPr>
        <w:pStyle w:val="Heading5"/>
      </w:pPr>
      <w:r>
        <w:t xml:space="preserve">Myth 4: “Antidepressants cure stimulant addiction”</w:t>
      </w:r>
    </w:p>
    <w:p>
      <w:pPr>
        <w:pStyle w:val="FirstParagraph"/>
      </w:pPr>
      <w:r>
        <w:t xml:space="preserve">Evidence: single antidepressant ineffective; ADAPT-2 provides preliminary evidence for combination.</w:t>
      </w:r>
    </w:p>
    <w:bookmarkEnd w:id="1771"/>
    <w:bookmarkStart w:id="1772" w:name="X6fdabae2970695092fa469e1555a442a9c06865"/>
    <w:p>
      <w:pPr>
        <w:pStyle w:val="Heading5"/>
      </w:pPr>
      <w:r>
        <w:t xml:space="preserve">Myth 5: “Stimulant users are ‘productive’ and do not require intervention”</w:t>
      </w:r>
    </w:p>
    <w:p>
      <w:pPr>
        <w:pStyle w:val="FirstParagraph"/>
      </w:pPr>
      <w:r>
        <w:t xml:space="preserve">Evidence: Short-term performance boost illusion; long-term cognitive, psychiatric, cardiac complications.</w:t>
      </w:r>
    </w:p>
    <w:bookmarkEnd w:id="1772"/>
    <w:bookmarkEnd w:id="1773"/>
    <w:bookmarkStart w:id="2953" w:name="Xea1e34f556393b7a8ca12a375fabdb06c7dc166"/>
    <w:p>
      <w:pPr>
        <w:pStyle w:val="Heading3"/>
      </w:pPr>
      <w:r>
        <w:t xml:space="preserve">11. Sources</w:t>
      </w:r>
    </w:p>
    <w:p>
      <w:pPr>
        <w:pStyle w:val="Compact"/>
        <w:numPr>
          <w:ilvl w:val="0"/>
          <w:numId w:val="1897"/>
        </w:numPr>
      </w:pPr>
      <w:r>
        <w:t xml:space="preserve">WHO. ICD-11. 6C46 Disorders due to use of stimulants. 2024.</w:t>
      </w:r>
    </w:p>
    <w:p>
      <w:pPr>
        <w:pStyle w:val="Compact"/>
        <w:numPr>
          <w:ilvl w:val="0"/>
          <w:numId w:val="1897"/>
        </w:numPr>
      </w:pPr>
      <w:r>
        <w:t xml:space="preserve">APA. DSM-5-TR. 2022.</w:t>
      </w:r>
    </w:p>
    <w:p>
      <w:pPr>
        <w:pStyle w:val="Compact"/>
        <w:numPr>
          <w:ilvl w:val="0"/>
          <w:numId w:val="1897"/>
        </w:numPr>
      </w:pPr>
      <w:r>
        <w:t xml:space="preserve">SAMHSA. TIP 33. 2021.</w:t>
      </w:r>
    </w:p>
    <w:p>
      <w:pPr>
        <w:pStyle w:val="Compact"/>
        <w:numPr>
          <w:ilvl w:val="0"/>
          <w:numId w:val="1897"/>
        </w:numPr>
      </w:pPr>
      <w:r>
        <w:t xml:space="preserve">NIDA. Methamphetamine Research Report. 2019.</w:t>
      </w:r>
    </w:p>
    <w:p>
      <w:pPr>
        <w:pStyle w:val="Compact"/>
        <w:numPr>
          <w:ilvl w:val="0"/>
          <w:numId w:val="1897"/>
        </w:numPr>
      </w:pPr>
      <w:r>
        <w:t xml:space="preserve">Trivedi M.H. et al. Bupropion and Naltrexone in Methamphetamine Use Disorder. NEJM 2021;384(2):140–153.</w:t>
      </w:r>
    </w:p>
    <w:p>
      <w:pPr>
        <w:pStyle w:val="Compact"/>
        <w:numPr>
          <w:ilvl w:val="0"/>
          <w:numId w:val="1897"/>
        </w:numPr>
      </w:pPr>
      <w:r>
        <w:t xml:space="preserve">Rawson R.A. et al. Matrix Model. SAMHSA.</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74" w:name="X3d04119094b24f9f0b3badd217c53cd3e7094ae"/>
            <w:r>
              <w:t xml:space="preserve">6C49 DISORDERS DUE TO USE OF HALLUCINOGENS</w:t>
            </w:r>
            <w:bookmarkEnd w:id="1774"/>
          </w:p>
          <w:p>
            <w:pPr>
              <w:pStyle w:val="Compact"/>
              <w:ind w:firstLine="0" w:left="0"/>
            </w:pPr>
            <w:r>
              <w:rPr>
                <w:lang w:val="en"/>
              </w:rPr>
              <w:t xml:space="preserve">Disorders due to use of hallucinogens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hallucinogens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Hallucinogen Use Disorder, Moderate or Severe</w:t>
            </w:r>
          </w:p>
        </w:tc>
      </w:tr>
    </w:tbl>
    <w:bookmarkStart w:id="1775" w:name="X8085175dcaea577821f46f5617d794f32683783"/>
    <w:p>
      <w:pPr>
        <w:pStyle w:val="Heading3"/>
      </w:pPr>
      <w:r>
        <w:t xml:space="preserve">1. Definition and nosology</w:t>
      </w:r>
    </w:p>
    <w:p>
      <w:pPr>
        <w:pStyle w:val="FirstParagraph"/>
      </w:pPr>
      <w:r>
        <w:t xml:space="preserve">Disorders due to use of hallucinogens (ICD-11:</w:t>
      </w:r>
      <w:r>
        <w:t xml:space="preserve"> </w:t>
      </w:r>
      <w:r>
        <w:t xml:space="preserve">6C49</w:t>
      </w:r>
      <w:r>
        <w:t xml:space="preserve">; DSM-5-TR: F16.20 Hallucinogen Use Disorder) — disorders related to use of LSD, psilocybin, mescaline, DMT, ayahuasca, and similar substances. Dissociative drugs — ketamine and phencyclidine (PCP) — are coded separately in ICD-11 (6C4D).</w:t>
      </w:r>
    </w:p>
    <w:bookmarkEnd w:id="1775"/>
    <w:bookmarkStart w:id="1776" w:name="Xc71d2a16635c5f45040ab794d53437947cef301"/>
    <w:p>
      <w:pPr>
        <w:pStyle w:val="Heading3"/>
      </w:pPr>
      <w:r>
        <w:t xml:space="preserve">2. History</w:t>
      </w:r>
    </w:p>
    <w:p>
      <w:pPr>
        <w:pStyle w:val="Compact"/>
        <w:numPr>
          <w:ilvl w:val="0"/>
          <w:numId w:val="1898"/>
        </w:numPr>
      </w:pPr>
      <w:r>
        <w:t xml:space="preserve">Hofmann A. (1943) — accidental discovery of LSD's hallucinogenic effect.</w:t>
      </w:r>
    </w:p>
    <w:p>
      <w:pPr>
        <w:pStyle w:val="Compact"/>
        <w:numPr>
          <w:ilvl w:val="0"/>
          <w:numId w:val="1898"/>
        </w:numPr>
      </w:pPr>
      <w:r>
        <w:t xml:space="preserve">1950s–1960s — clinical research (depression, schizophrenia).</w:t>
      </w:r>
    </w:p>
    <w:p>
      <w:pPr>
        <w:pStyle w:val="Compact"/>
        <w:numPr>
          <w:ilvl w:val="0"/>
          <w:numId w:val="1898"/>
        </w:numPr>
      </w:pPr>
      <w:r>
        <w:t xml:space="preserve">1970 — Controlled Substances Act in the USA, Schedule I.</w:t>
      </w:r>
    </w:p>
    <w:p>
      <w:pPr>
        <w:pStyle w:val="Compact"/>
        <w:numPr>
          <w:ilvl w:val="0"/>
          <w:numId w:val="1898"/>
        </w:numPr>
      </w:pPr>
      <w:r>
        <w:t xml:space="preserve">2020+ — psilocybin and ketamine “psychedelic therapy” research renaissance.</w:t>
      </w:r>
    </w:p>
    <w:bookmarkEnd w:id="1776"/>
    <w:bookmarkStart w:id="1777" w:name="X2c524937d2a671b76b7cff5e1f5680f08b6b43c"/>
    <w:p>
      <w:pPr>
        <w:pStyle w:val="Heading3"/>
      </w:pPr>
      <w:r>
        <w:t xml:space="preserve">3. Epidemiology</w:t>
      </w:r>
    </w:p>
    <w:p>
      <w:pPr>
        <w:pStyle w:val="Compact"/>
        <w:numPr>
          <w:ilvl w:val="0"/>
          <w:numId w:val="1899"/>
        </w:numPr>
      </w:pPr>
      <w:r>
        <w:t xml:space="preserve">Dependence is relatively rare (unlike other substances); typical use is episodic.</w:t>
      </w:r>
    </w:p>
    <w:p>
      <w:pPr>
        <w:pStyle w:val="Compact"/>
        <w:numPr>
          <w:ilvl w:val="0"/>
          <w:numId w:val="1899"/>
        </w:numPr>
      </w:pPr>
      <w:r>
        <w:t xml:space="preserve">Hallucinogen Persisting Perception Disorder (HPPD) — flashback-like experiences.</w:t>
      </w:r>
    </w:p>
    <w:bookmarkEnd w:id="1777"/>
    <w:bookmarkStart w:id="1778" w:name="X28f192818bcf864b276afb828cc3332d9449581"/>
    <w:p>
      <w:pPr>
        <w:pStyle w:val="Heading3"/>
      </w:pPr>
      <w:r>
        <w:t xml:space="preserve">4. Aetiology and pathogenesis</w:t>
      </w:r>
    </w:p>
    <w:p>
      <w:pPr>
        <w:pStyle w:val="Compact"/>
        <w:numPr>
          <w:ilvl w:val="0"/>
          <w:numId w:val="1900"/>
        </w:numPr>
      </w:pPr>
      <w:r>
        <w:t xml:space="preserve">Effect on serotonergic (5-HT2A) or NMDA (ketamine, PCP) receptors.</w:t>
      </w:r>
    </w:p>
    <w:p>
      <w:pPr>
        <w:pStyle w:val="Compact"/>
        <w:numPr>
          <w:ilvl w:val="0"/>
          <w:numId w:val="1900"/>
        </w:numPr>
      </w:pPr>
      <w:r>
        <w:t xml:space="preserve">Environment, peers, experimentation.</w:t>
      </w:r>
    </w:p>
    <w:bookmarkEnd w:id="1778"/>
    <w:bookmarkStart w:id="1779" w:name="X57563f26f3b026ce7cd6ffd87ba958136df9a45"/>
    <w:p>
      <w:pPr>
        <w:pStyle w:val="Heading3"/>
      </w:pPr>
      <w:r>
        <w:t xml:space="preserve">5. Clinical features</w:t>
      </w:r>
    </w:p>
    <w:p>
      <w:pPr>
        <w:pStyle w:val="Compact"/>
        <w:numPr>
          <w:ilvl w:val="0"/>
          <w:numId w:val="1901"/>
        </w:numPr>
      </w:pPr>
      <w:r>
        <w:t xml:space="preserve">Intoxication — visual hallucinations, synesthesia, time distortion, depersonalization, derealization, “bad trip” (panic, paranoia).</w:t>
      </w:r>
    </w:p>
    <w:p>
      <w:pPr>
        <w:pStyle w:val="Compact"/>
        <w:numPr>
          <w:ilvl w:val="0"/>
          <w:numId w:val="1901"/>
        </w:numPr>
      </w:pPr>
      <w:r>
        <w:t xml:space="preserve">In severe cases — psychosis, fatal accidents.</w:t>
      </w:r>
    </w:p>
    <w:p>
      <w:pPr>
        <w:pStyle w:val="Compact"/>
        <w:numPr>
          <w:ilvl w:val="0"/>
          <w:numId w:val="1901"/>
        </w:numPr>
      </w:pPr>
      <w:r>
        <w:t xml:space="preserve">“Persisting Perception Disorder” (HPPD) — persistent visual phenomena (flashbacks) after use.</w:t>
      </w:r>
    </w:p>
    <w:p>
      <w:pPr>
        <w:pStyle w:val="Compact"/>
        <w:numPr>
          <w:ilvl w:val="0"/>
          <w:numId w:val="1901"/>
        </w:numPr>
      </w:pPr>
      <w:r>
        <w:t xml:space="preserve">Ketamine — dissociation, “K-hole”; chronic use — urinary bladder syndrome.</w:t>
      </w:r>
    </w:p>
    <w:p>
      <w:pPr>
        <w:pStyle w:val="Compact"/>
        <w:numPr>
          <w:ilvl w:val="0"/>
          <w:numId w:val="1901"/>
        </w:numPr>
      </w:pPr>
      <w:r>
        <w:t xml:space="preserve">PCP — aggressive behavior, analgesia, disorganized behavior.</w:t>
      </w:r>
    </w:p>
    <w:bookmarkEnd w:id="1779"/>
    <w:bookmarkStart w:id="1784" w:name="X8f8ef984c14340b0cb5699b137307fd7a77a7a2"/>
    <w:p>
      <w:pPr>
        <w:pStyle w:val="Heading3"/>
      </w:pPr>
      <w:r>
        <w:t xml:space="preserve">6. Diagnosis</w:t>
      </w:r>
    </w:p>
    <w:bookmarkStart w:id="1780" w:name="unified-diagnostic-criteria-38"/>
    <w:p>
      <w:pPr>
        <w:pStyle w:val="Heading4"/>
      </w:pPr>
      <w:r>
        <w:t xml:space="preserve">6.1 Unified diagnostic criteria</w:t>
      </w:r>
    </w:p>
    <w:p>
      <w:pPr>
        <w:pStyle w:val="FirstParagraph"/>
      </w:pPr>
      <w:r>
        <w:t xml:space="preserve">DSM-5-TR 11 criteria; HPPD separate diagnosis (DSM-5).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780"/>
    <w:bookmarkStart w:id="1781" w:name="differences-between-sources-107"/>
    <w:p>
      <w:pPr>
        <w:pStyle w:val="Heading4"/>
      </w:pPr>
      <w:r>
        <w:t xml:space="preserve">6.2 Differences between sources</w:t>
      </w:r>
    </w:p>
    <w:p>
      <w:pPr>
        <w:pStyle w:val="Compact"/>
        <w:numPr>
          <w:ilvl w:val="0"/>
          <w:numId w:val="1902"/>
        </w:numPr>
      </w:pPr>
      <w:r>
        <w:t xml:space="preserve">NIDA, SAMHSA.</w:t>
      </w:r>
    </w:p>
    <w:bookmarkEnd w:id="1781"/>
    <w:bookmarkStart w:id="1782" w:name="diagnostic-algorithm-59"/>
    <w:p>
      <w:pPr>
        <w:pStyle w:val="Heading4"/>
      </w:pPr>
      <w:r>
        <w:t xml:space="preserve">6.3 Diagnostic algorithm</w:t>
      </w:r>
    </w:p>
    <w:p>
      <w:pPr>
        <w:pStyle w:val="Compact"/>
        <w:numPr>
          <w:ilvl w:val="0"/>
          <w:numId w:val="1903"/>
        </w:numPr>
      </w:pPr>
      <w:r>
        <w:t xml:space="preserve">Clinical interview.</w:t>
      </w:r>
    </w:p>
    <w:p>
      <w:pPr>
        <w:pStyle w:val="Compact"/>
        <w:numPr>
          <w:ilvl w:val="0"/>
          <w:numId w:val="1903"/>
        </w:numPr>
      </w:pPr>
      <w:r>
        <w:t xml:space="preserve">Toxicology (LSD not in standard panels).</w:t>
      </w:r>
    </w:p>
    <w:p>
      <w:pPr>
        <w:pStyle w:val="Compact"/>
        <w:numPr>
          <w:ilvl w:val="0"/>
          <w:numId w:val="1903"/>
        </w:numPr>
      </w:pPr>
      <w:r>
        <w:t xml:space="preserve">Comorbid psychosis, anxiety, MDD.</w:t>
      </w:r>
    </w:p>
    <w:bookmarkEnd w:id="1782"/>
    <w:bookmarkStart w:id="1783" w:name="differential-diagnosis-6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Depersonalization-derealization disorder (6B66)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Reality testing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bl>
    <w:bookmarkEnd w:id="1783"/>
    <w:bookmarkEnd w:id="1784"/>
    <w:bookmarkStart w:id="1785" w:name="X3723f0e93ffe380442667f30e1eb1ddcb626194"/>
    <w:p>
      <w:pPr>
        <w:pStyle w:val="Heading3"/>
      </w:pPr>
      <w:r>
        <w:t xml:space="preserve">7. Examination and assessment</w:t>
      </w:r>
    </w:p>
    <w:p>
      <w:pPr>
        <w:pStyle w:val="Compact"/>
        <w:numPr>
          <w:ilvl w:val="0"/>
          <w:numId w:val="1904"/>
        </w:numPr>
      </w:pPr>
      <w:r>
        <w:t xml:space="preserve">Toxicology.</w:t>
      </w:r>
    </w:p>
    <w:p>
      <w:pPr>
        <w:pStyle w:val="Compact"/>
        <w:numPr>
          <w:ilvl w:val="0"/>
          <w:numId w:val="1904"/>
        </w:numPr>
      </w:pPr>
      <w:r>
        <w:t xml:space="preserve">Comorbidity scales.</w:t>
      </w:r>
    </w:p>
    <w:bookmarkEnd w:id="1785"/>
    <w:bookmarkStart w:id="1788" w:name="Xcfab09359f265588e9f1fcdb8c1c6aa3ae3ae5a"/>
    <w:p>
      <w:pPr>
        <w:pStyle w:val="Heading3"/>
      </w:pPr>
      <w:r>
        <w:t xml:space="preserve">8. Treatment</w:t>
      </w:r>
    </w:p>
    <w:p>
      <w:pPr>
        <w:pStyle w:val="Compact"/>
        <w:numPr>
          <w:ilvl w:val="0"/>
          <w:numId w:val="1905"/>
        </w:numPr>
      </w:pPr>
      <w:r>
        <w:t xml:space="preserve">Acute intoxication (“bad trip”) — calm environment, benzodiazepine (lorazepam); antipsychotic (haloperidol) only in severe psychotic state; caution.</w:t>
      </w:r>
    </w:p>
    <w:p>
      <w:pPr>
        <w:pStyle w:val="Compact"/>
        <w:numPr>
          <w:ilvl w:val="0"/>
          <w:numId w:val="1905"/>
        </w:numPr>
      </w:pPr>
      <w:r>
        <w:t xml:space="preserve">Dependence rare; psychosocial intervention (MI, CBT).</w:t>
      </w:r>
    </w:p>
    <w:p>
      <w:pPr>
        <w:pStyle w:val="Compact"/>
        <w:numPr>
          <w:ilvl w:val="0"/>
          <w:numId w:val="1905"/>
        </w:numPr>
      </w:pPr>
      <w:r>
        <w:t xml:space="preserve">HPPD — antipsychotics usually ineffective; clonazepam helps some patients; long-term monitoring.</w:t>
      </w:r>
    </w:p>
    <w:p>
      <w:pPr>
        <w:pStyle w:val="Compact"/>
        <w:numPr>
          <w:ilvl w:val="0"/>
          <w:numId w:val="1905"/>
        </w:numPr>
      </w:pPr>
      <w:r>
        <w:t xml:space="preserve">Psilocybin and ketamine therapeutic research (refractory MDD, PTSD) — used under supervision in research protocols; approved protocols in standard clinical practice are still limited (FDA esketamine Spravato is an exception).</w:t>
      </w:r>
    </w:p>
    <w:bookmarkStart w:id="1786" w:name="treatment-methods-58"/>
    <w:p>
      <w:pPr>
        <w:pStyle w:val="Heading4"/>
      </w:pPr>
      <w:r>
        <w:t xml:space="preserve">8.1 Treatment methods</w:t>
      </w:r>
    </w:p>
    <w:p>
      <w:pPr>
        <w:pStyle w:val="Compact"/>
        <w:numPr>
          <w:ilvl w:val="0"/>
          <w:numId w:val="1906"/>
        </w:numPr>
      </w:pPr>
      <w:r>
        <w:t xml:space="preserve">“Bad trip” management — Calm environment, reassurance, benzodiazepine as needed.</w:t>
      </w:r>
    </w:p>
    <w:p>
      <w:pPr>
        <w:pStyle w:val="Compact"/>
        <w:numPr>
          <w:ilvl w:val="0"/>
          <w:numId w:val="1906"/>
        </w:numPr>
      </w:pPr>
      <w:r>
        <w:t xml:space="preserve">Clonazepam for HPPD — Off-label; evidence base small.</w:t>
      </w:r>
    </w:p>
    <w:p>
      <w:pPr>
        <w:pStyle w:val="Compact"/>
        <w:numPr>
          <w:ilvl w:val="0"/>
          <w:numId w:val="1906"/>
        </w:numPr>
      </w:pPr>
      <w:r>
        <w:t xml:space="preserve">Psychedelic-assisted therapy (research phase) — Psilocybin + psychotherapy, ketamine + psychotherapy; in clinical trial protocols.</w:t>
      </w:r>
    </w:p>
    <w:bookmarkEnd w:id="1786"/>
    <w:bookmarkStart w:id="1787" w:name="differences-between-sources-108"/>
    <w:p>
      <w:pPr>
        <w:pStyle w:val="Heading4"/>
      </w:pPr>
      <w:r>
        <w:t xml:space="preserve">8.2 Differences between sources</w:t>
      </w:r>
    </w:p>
    <w:p>
      <w:pPr>
        <w:pStyle w:val="Compact"/>
        <w:numPr>
          <w:ilvl w:val="0"/>
          <w:numId w:val="1907"/>
        </w:numPr>
      </w:pPr>
      <w:r>
        <w:t xml:space="preserve">NIDA — psychedelic research renaissance; clinical recommendation still pending.</w:t>
      </w:r>
    </w:p>
    <w:bookmarkEnd w:id="1787"/>
    <w:bookmarkEnd w:id="1788"/>
    <w:bookmarkStart w:id="1789" w:name="X6225340e72d822b9581cfeb750ee90e8999e7ae"/>
    <w:p>
      <w:pPr>
        <w:pStyle w:val="Heading3"/>
      </w:pPr>
      <w:r>
        <w:t xml:space="preserve">9. Prognosis</w:t>
      </w:r>
    </w:p>
    <w:p>
      <w:pPr>
        <w:pStyle w:val="Compact"/>
        <w:numPr>
          <w:ilvl w:val="0"/>
          <w:numId w:val="1908"/>
        </w:numPr>
      </w:pPr>
      <w:r>
        <w:t xml:space="preserve">Most users do not develop dependence.</w:t>
      </w:r>
    </w:p>
    <w:p>
      <w:pPr>
        <w:pStyle w:val="Compact"/>
        <w:numPr>
          <w:ilvl w:val="0"/>
          <w:numId w:val="1908"/>
        </w:numPr>
      </w:pPr>
      <w:r>
        <w:t xml:space="preserve">Chronic course in patients with severe psychotic or HPPD complications.</w:t>
      </w:r>
    </w:p>
    <w:bookmarkEnd w:id="1789"/>
    <w:bookmarkStart w:id="1795" w:name="X45c03f41145f8e144d0cde55f80cda26be3f52d"/>
    <w:p>
      <w:pPr>
        <w:pStyle w:val="Heading3"/>
      </w:pPr>
      <w:r>
        <w:t xml:space="preserve">10. Myths and misconceptions</w:t>
      </w:r>
    </w:p>
    <w:bookmarkStart w:id="1790" w:name="X9d451c8222e069b4416fbb7b5e7fb9aa3540beb"/>
    <w:p>
      <w:pPr>
        <w:pStyle w:val="Heading5"/>
      </w:pPr>
      <w:r>
        <w:t xml:space="preserve">Myth 1: “Hallucinogens are not addictive, they are completely safe”</w:t>
      </w:r>
    </w:p>
    <w:p>
      <w:pPr>
        <w:pStyle w:val="FirstParagraph"/>
      </w:pPr>
      <w:r>
        <w:t xml:space="preserve">Evidence: Physical dependence rare, but psychological dependence and severe psychotic episodes possible; HPPD is a long-term complication.</w:t>
      </w:r>
    </w:p>
    <w:bookmarkEnd w:id="1790"/>
    <w:bookmarkStart w:id="1791" w:name="X9d38517236fecf1d400fac43133ca02350f90b1"/>
    <w:p>
      <w:pPr>
        <w:pStyle w:val="Heading5"/>
      </w:pPr>
      <w:r>
        <w:t xml:space="preserve">Myth 2: “Psilocybin therapy is approved for all depression”</w:t>
      </w:r>
    </w:p>
    <w:p>
      <w:pPr>
        <w:pStyle w:val="FirstParagraph"/>
      </w:pPr>
      <w:r>
        <w:t xml:space="preserve">Evidence: still under research phase; not fully approved into standard clinical practice. FDA ‘Breakthrough Therapy’ status, but broad recommendation premature.</w:t>
      </w:r>
    </w:p>
    <w:bookmarkEnd w:id="1791"/>
    <w:bookmarkStart w:id="1792" w:name="X7327d49274d9681d51c184e3e8b9612a7b7bd86"/>
    <w:p>
      <w:pPr>
        <w:pStyle w:val="Heading5"/>
      </w:pPr>
      <w:r>
        <w:t xml:space="preserve">Myth 3: “Ayahuasca is safe for religious ritual”</w:t>
      </w:r>
    </w:p>
    <w:p>
      <w:pPr>
        <w:pStyle w:val="FirstParagraph"/>
      </w:pPr>
      <w:r>
        <w:t xml:space="preserve">Evidence: serotonin syndrome (interaction with SSRI), psychotic decompensation cases have been reported.</w:t>
      </w:r>
    </w:p>
    <w:bookmarkEnd w:id="1792"/>
    <w:bookmarkStart w:id="1793" w:name="X3f60a88e6825debe42b4d44286d52bd00444f81"/>
    <w:p>
      <w:pPr>
        <w:pStyle w:val="Heading5"/>
      </w:pPr>
      <w:r>
        <w:t xml:space="preserve">Myth 4: “Ketamine is a ‘club drug’, no medical use”</w:t>
      </w:r>
    </w:p>
    <w:p>
      <w:pPr>
        <w:pStyle w:val="FirstParagraph"/>
      </w:pPr>
      <w:r>
        <w:t xml:space="preserve">Evidence: Ketamine used as anesthetic for decades; intranasal esketamine (Spravato) FDA approved in 2019 for severe refractory depression.</w:t>
      </w:r>
    </w:p>
    <w:bookmarkEnd w:id="1793"/>
    <w:bookmarkStart w:id="1794" w:name="myth-5-lsd-flashback-is-a-myth"/>
    <w:p>
      <w:pPr>
        <w:pStyle w:val="Heading5"/>
      </w:pPr>
      <w:r>
        <w:t xml:space="preserve">Myth 5: “LSD ‘flashback’ is a myth”</w:t>
      </w:r>
    </w:p>
    <w:p>
      <w:pPr>
        <w:pStyle w:val="FirstParagraph"/>
      </w:pPr>
      <w:r>
        <w:t xml:space="preserve">Evidence: HPPD DSM-5 official diagnosis; some patients have persistent visual disturbances.</w:t>
      </w:r>
    </w:p>
    <w:bookmarkEnd w:id="1794"/>
    <w:bookmarkEnd w:id="1795"/>
    <w:bookmarkStart w:id="2952" w:name="Xf5b603c62327bd92108df4833661e0184f41b99"/>
    <w:p>
      <w:pPr>
        <w:pStyle w:val="Heading3"/>
      </w:pPr>
      <w:r>
        <w:t xml:space="preserve">11. Sources</w:t>
      </w:r>
    </w:p>
    <w:p>
      <w:pPr>
        <w:pStyle w:val="Compact"/>
        <w:numPr>
          <w:ilvl w:val="0"/>
          <w:numId w:val="1909"/>
        </w:numPr>
      </w:pPr>
      <w:r>
        <w:t xml:space="preserve">WHO. ICD-11. 6C49 Disorders due to use of hallucinogens. 2024.</w:t>
      </w:r>
    </w:p>
    <w:p>
      <w:pPr>
        <w:pStyle w:val="Compact"/>
        <w:numPr>
          <w:ilvl w:val="0"/>
          <w:numId w:val="1909"/>
        </w:numPr>
      </w:pPr>
      <w:r>
        <w:t xml:space="preserve">APA. DSM-5-TR. 2022.</w:t>
      </w:r>
    </w:p>
    <w:p>
      <w:pPr>
        <w:pStyle w:val="Compact"/>
        <w:numPr>
          <w:ilvl w:val="0"/>
          <w:numId w:val="1909"/>
        </w:numPr>
      </w:pPr>
      <w:r>
        <w:t xml:space="preserve">NIDA. Hallucinogens DrugFacts. 2019.</w:t>
      </w:r>
    </w:p>
    <w:p>
      <w:pPr>
        <w:pStyle w:val="Compact"/>
        <w:numPr>
          <w:ilvl w:val="0"/>
          <w:numId w:val="1909"/>
        </w:numPr>
      </w:pPr>
      <w:r>
        <w:t xml:space="preserve">Halpern J.H., Lerner A.G., Passie T. A review of Hallucinogen Persisting Perception Disorder (HPPD). Curr Top Behav Neurosci 2018;36:333–360.</w:t>
      </w:r>
    </w:p>
    <w:p>
      <w:pPr>
        <w:pStyle w:val="Compact"/>
        <w:numPr>
          <w:ilvl w:val="0"/>
          <w:numId w:val="1909"/>
        </w:numPr>
      </w:pPr>
      <w:r>
        <w:t xml:space="preserve">Carhart-Harris R.L. et al. Trial of psilocybin versus escitalopram for depression. NEJM 2021;384(15):1402–1411.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796" w:name="m756c4a-disorders-due-to-use-of-nicotine"/>
            <w:r>
              <w:t xml:space="preserve">6C4A DISORDERS DUE TO USE OF NICOTINE</w:t>
            </w:r>
            <w:bookmarkEnd w:id="1796"/>
          </w:p>
          <w:p>
            <w:pPr>
              <w:pStyle w:val="Compact"/>
              <w:ind w:firstLine="0" w:left="0"/>
            </w:pPr>
            <w:r>
              <w:rPr>
                <w:lang w:val="en"/>
              </w:rPr>
              <w:t xml:space="preserve">Disorders due to use of nicotine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Mental and behavioural disorders due to use of tobacco</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Tobacco Use Disorder, Moderate or Severe</w:t>
            </w:r>
          </w:p>
        </w:tc>
      </w:tr>
    </w:tbl>
    <w:bookmarkStart w:id="1797" w:name="X17e1ac7a45d78cf6f6f7fb56099a538c08af694"/>
    <w:p>
      <w:pPr>
        <w:pStyle w:val="Heading3"/>
      </w:pPr>
      <w:r>
        <w:t xml:space="preserve">1. Definition and nosology</w:t>
      </w:r>
    </w:p>
    <w:p>
      <w:pPr>
        <w:pStyle w:val="FirstParagraph"/>
      </w:pPr>
      <w:r>
        <w:t xml:space="preserve">Disorders due to use of nicotine (ICD-11:</w:t>
      </w:r>
      <w:r>
        <w:t xml:space="preserve"> </w:t>
      </w:r>
      <w:r>
        <w:t xml:space="preserve">6C4A</w:t>
      </w:r>
      <w:r>
        <w:t xml:space="preserve">; DSM-5-TR: F17.200 Tobacco Use Disorder) — impaired control over use of cigarettes, tobacco products, e-cigarettes, or other nicotine substances. Leading preventable cause of mortality worldwide.</w:t>
      </w:r>
    </w:p>
    <w:bookmarkEnd w:id="1797"/>
    <w:bookmarkStart w:id="1798" w:name="X34084cb7342a297a86db9232a9f181796b8f993"/>
    <w:p>
      <w:pPr>
        <w:pStyle w:val="Heading3"/>
      </w:pPr>
      <w:r>
        <w:t xml:space="preserve">2. History</w:t>
      </w:r>
    </w:p>
    <w:p>
      <w:pPr>
        <w:pStyle w:val="Compact"/>
        <w:numPr>
          <w:ilvl w:val="0"/>
          <w:numId w:val="1910"/>
        </w:numPr>
      </w:pPr>
      <w:r>
        <w:t xml:space="preserve">1964 — Surgeon General Report (USA) — recognition of tobacco as a cause of disease.</w:t>
      </w:r>
    </w:p>
    <w:p>
      <w:pPr>
        <w:pStyle w:val="Compact"/>
        <w:numPr>
          <w:ilvl w:val="0"/>
          <w:numId w:val="1910"/>
        </w:numPr>
      </w:pPr>
      <w:r>
        <w:t xml:space="preserve">DSM-IV — Nicotine Dependence; DSM-5 — Tobacco Use Disorder.</w:t>
      </w:r>
    </w:p>
    <w:p>
      <w:pPr>
        <w:pStyle w:val="Compact"/>
        <w:numPr>
          <w:ilvl w:val="0"/>
          <w:numId w:val="1910"/>
        </w:numPr>
      </w:pPr>
      <w:r>
        <w:t xml:space="preserve">2003 — WHO FCTC (Framework Convention on Tobacco Control).</w:t>
      </w:r>
    </w:p>
    <w:p>
      <w:pPr>
        <w:pStyle w:val="Compact"/>
        <w:numPr>
          <w:ilvl w:val="0"/>
          <w:numId w:val="1910"/>
        </w:numPr>
      </w:pPr>
      <w:r>
        <w:t xml:space="preserve">2010+ — e-cigarette epidemic, “EVALI” (e-cigarette/vaping product use-associated lung injury).</w:t>
      </w:r>
    </w:p>
    <w:bookmarkEnd w:id="1798"/>
    <w:bookmarkStart w:id="1799" w:name="Xab81c456b7e43a754d5c31bb3ee6e4da5733a8a"/>
    <w:p>
      <w:pPr>
        <w:pStyle w:val="Heading3"/>
      </w:pPr>
      <w:r>
        <w:t xml:space="preserve">3. Epidemiology</w:t>
      </w:r>
    </w:p>
    <w:p>
      <w:pPr>
        <w:pStyle w:val="Compact"/>
        <w:numPr>
          <w:ilvl w:val="0"/>
          <w:numId w:val="1911"/>
        </w:numPr>
      </w:pPr>
      <w:r>
        <w:t xml:space="preserve">Global: 1.3 bln users; annual 8 mln+ deaths (WHO).</w:t>
      </w:r>
    </w:p>
    <w:p>
      <w:pPr>
        <w:pStyle w:val="Compact"/>
        <w:numPr>
          <w:ilvl w:val="0"/>
          <w:numId w:val="1911"/>
        </w:numPr>
      </w:pPr>
      <w:r>
        <w:t xml:space="preserve">Sex: higher in males (but decreasing); increase observed in females in some regions.</w:t>
      </w:r>
    </w:p>
    <w:p>
      <w:pPr>
        <w:pStyle w:val="Compact"/>
        <w:numPr>
          <w:ilvl w:val="0"/>
          <w:numId w:val="1911"/>
        </w:numPr>
      </w:pPr>
      <w:r>
        <w:t xml:space="preserve">Comorbidity: MDD, schizophrenia (~60–80% of patients smoke), anxiety, other substance use.</w:t>
      </w:r>
    </w:p>
    <w:p>
      <w:pPr>
        <w:pStyle w:val="Compact"/>
        <w:numPr>
          <w:ilvl w:val="0"/>
          <w:numId w:val="1911"/>
        </w:numPr>
      </w:pPr>
      <w:r>
        <w:t xml:space="preserve">Tobacco — cancer, COPD, cardiovascular, stroke, perinatal complications.</w:t>
      </w:r>
    </w:p>
    <w:bookmarkEnd w:id="1799"/>
    <w:bookmarkStart w:id="1800" w:name="X297566f06fba55abd8d2ccfbe7b78e3dbc42e51"/>
    <w:p>
      <w:pPr>
        <w:pStyle w:val="Heading3"/>
      </w:pPr>
      <w:r>
        <w:t xml:space="preserve">4. Aetiology and pathogenesis</w:t>
      </w:r>
    </w:p>
    <w:p>
      <w:pPr>
        <w:pStyle w:val="Compact"/>
        <w:numPr>
          <w:ilvl w:val="0"/>
          <w:numId w:val="1912"/>
        </w:numPr>
      </w:pPr>
      <w:r>
        <w:t xml:space="preserve">Heritability 50%.</w:t>
      </w:r>
    </w:p>
    <w:p>
      <w:pPr>
        <w:pStyle w:val="Compact"/>
        <w:numPr>
          <w:ilvl w:val="0"/>
          <w:numId w:val="1912"/>
        </w:numPr>
      </w:pPr>
      <w:r>
        <w:t xml:space="preserve">Neurobiological — nicotine α4β2 nicotinic acetylcholine receptors; increased dopamine reward.</w:t>
      </w:r>
    </w:p>
    <w:p>
      <w:pPr>
        <w:pStyle w:val="Compact"/>
        <w:numPr>
          <w:ilvl w:val="0"/>
          <w:numId w:val="1912"/>
        </w:numPr>
      </w:pPr>
      <w:r>
        <w:t xml:space="preserve">Social-cultural, peer, marketing.</w:t>
      </w:r>
    </w:p>
    <w:bookmarkEnd w:id="1800"/>
    <w:bookmarkStart w:id="1801" w:name="X2f62798fa45d4f229d3152e18f3570326f12c7a"/>
    <w:p>
      <w:pPr>
        <w:pStyle w:val="Heading3"/>
      </w:pPr>
      <w:r>
        <w:t xml:space="preserve">5. Clinical features</w:t>
      </w:r>
    </w:p>
    <w:p>
      <w:pPr>
        <w:pStyle w:val="Compact"/>
        <w:numPr>
          <w:ilvl w:val="0"/>
          <w:numId w:val="1913"/>
        </w:numPr>
      </w:pPr>
      <w:r>
        <w:t xml:space="preserve">Dependence syndrome.</w:t>
      </w:r>
    </w:p>
    <w:p>
      <w:pPr>
        <w:pStyle w:val="Compact"/>
        <w:numPr>
          <w:ilvl w:val="0"/>
          <w:numId w:val="1913"/>
        </w:numPr>
      </w:pPr>
      <w:r>
        <w:t xml:space="preserve">Withdrawal — irritability, anxiety, concentration difficulty, appetite, sleep disturbance, depressive mood; onset within 24 hours, peak 2–3 days, duration 2–4 weeks.</w:t>
      </w:r>
    </w:p>
    <w:p>
      <w:pPr>
        <w:pStyle w:val="Compact"/>
        <w:numPr>
          <w:ilvl w:val="0"/>
          <w:numId w:val="1913"/>
        </w:numPr>
      </w:pPr>
      <w:r>
        <w:t xml:space="preserve">E-cigarette — nicotine dependence + EVALI risk.</w:t>
      </w:r>
    </w:p>
    <w:bookmarkEnd w:id="1801"/>
    <w:bookmarkStart w:id="1806" w:name="Xbdb456d8dc07de2c913af1edfc8ba28c35a798d"/>
    <w:p>
      <w:pPr>
        <w:pStyle w:val="Heading3"/>
      </w:pPr>
      <w:r>
        <w:t xml:space="preserve">6. Diagnosis</w:t>
      </w:r>
    </w:p>
    <w:bookmarkStart w:id="1802" w:name="unified-diagnostic-criteria-39"/>
    <w:p>
      <w:pPr>
        <w:pStyle w:val="Heading4"/>
      </w:pPr>
      <w:r>
        <w:t xml:space="preserve">6.1 Unified diagnostic criteria</w:t>
      </w:r>
    </w:p>
    <w:p>
      <w:pPr>
        <w:pStyle w:val="FirstParagraph"/>
      </w:pPr>
      <w:r>
        <w:t xml:space="preserve">DSM-5-TR 11 criteria (AUD structure). Unlike the single DSM-5-TR scale, ICD-11 uses three separate categories: episode of harmful use, harmful pattern of use, and dependence. ICD-11 duration requirement: harmful pattern of use — at least 12 months if use is episodic, at least 1 month if continuous; dependence — at least 12 months, or at least 3 months if use is continuous (daily or almost daily).</w:t>
      </w:r>
    </w:p>
    <w:bookmarkEnd w:id="1802"/>
    <w:bookmarkStart w:id="1803" w:name="differences-between-sources-109"/>
    <w:p>
      <w:pPr>
        <w:pStyle w:val="Heading4"/>
      </w:pPr>
      <w:r>
        <w:t xml:space="preserve">6.2 Differences between sources</w:t>
      </w:r>
    </w:p>
    <w:p>
      <w:pPr>
        <w:pStyle w:val="Compact"/>
        <w:numPr>
          <w:ilvl w:val="0"/>
          <w:numId w:val="1914"/>
        </w:numPr>
      </w:pPr>
      <w:r>
        <w:t xml:space="preserve">USPSTF — screening all adult patients for tobacco use; 5A approach (Ask, Advise, Assess, Assist, Arrange) for smokers.</w:t>
      </w:r>
    </w:p>
    <w:p>
      <w:pPr>
        <w:pStyle w:val="Compact"/>
        <w:numPr>
          <w:ilvl w:val="0"/>
          <w:numId w:val="1914"/>
        </w:numPr>
      </w:pPr>
      <w:r>
        <w:t xml:space="preserve">NICE NG209 (Tobacco: preventing uptake, promoting quitting and treating dependence, 2021).</w:t>
      </w:r>
    </w:p>
    <w:bookmarkEnd w:id="1803"/>
    <w:bookmarkStart w:id="1804" w:name="diagnostic-algorithm-60"/>
    <w:p>
      <w:pPr>
        <w:pStyle w:val="Heading4"/>
      </w:pPr>
      <w:r>
        <w:t xml:space="preserve">6.3 Diagnostic algorithm</w:t>
      </w:r>
    </w:p>
    <w:p>
      <w:pPr>
        <w:pStyle w:val="Compact"/>
        <w:numPr>
          <w:ilvl w:val="0"/>
          <w:numId w:val="1915"/>
        </w:numPr>
      </w:pPr>
      <w:r>
        <w:t xml:space="preserve">Clinical interview (5A).</w:t>
      </w:r>
    </w:p>
    <w:p>
      <w:pPr>
        <w:pStyle w:val="Compact"/>
        <w:numPr>
          <w:ilvl w:val="0"/>
          <w:numId w:val="1915"/>
        </w:numPr>
      </w:pPr>
      <w:r>
        <w:t xml:space="preserve">Fagerström Test for Nicotine Dependence (FTND).</w:t>
      </w:r>
    </w:p>
    <w:p>
      <w:pPr>
        <w:pStyle w:val="Compact"/>
        <w:numPr>
          <w:ilvl w:val="0"/>
          <w:numId w:val="1915"/>
        </w:numPr>
      </w:pPr>
      <w:r>
        <w:t xml:space="preserve">Expired CO monitoring (motivation).</w:t>
      </w:r>
    </w:p>
    <w:p>
      <w:pPr>
        <w:pStyle w:val="Compact"/>
        <w:numPr>
          <w:ilvl w:val="0"/>
          <w:numId w:val="1915"/>
        </w:numPr>
      </w:pPr>
      <w:r>
        <w:t xml:space="preserve">Comorbid cardiac and respiratory assessment.</w:t>
      </w:r>
    </w:p>
    <w:bookmarkEnd w:id="1804"/>
    <w:bookmarkStart w:id="1805" w:name="differential-diagnosis-61"/>
    <w:p>
      <w:pPr>
        <w:pStyle w:val="Heading4"/>
      </w:pPr>
      <w:r>
        <w:t xml:space="preserve">6.4 Differential diagnosis</w:t>
      </w:r>
    </w:p>
    <w:p>
      <w:pPr>
        <w:pStyle w:val="FirstParagraph"/>
      </w:pPr>
      <w:r>
        <w:t xml:space="preserve">Differentiation among numerous tobacco products; electronic cigarette nicotine addiction can be presented in multiple ways.</w:t>
      </w:r>
    </w:p>
    <w:bookmarkEnd w:id="1805"/>
    <w:bookmarkEnd w:id="1806"/>
    <w:bookmarkStart w:id="1807" w:name="X31ee49980161b92f693ee09334bde959ff14c3e"/>
    <w:p>
      <w:pPr>
        <w:pStyle w:val="Heading3"/>
      </w:pPr>
      <w:r>
        <w:t xml:space="preserve">7. Examination and assessment</w:t>
      </w:r>
    </w:p>
    <w:p>
      <w:pPr>
        <w:pStyle w:val="Compact"/>
        <w:numPr>
          <w:ilvl w:val="0"/>
          <w:numId w:val="1916"/>
        </w:numPr>
      </w:pPr>
      <w:r>
        <w:t xml:space="preserve">FTND.</w:t>
      </w:r>
    </w:p>
    <w:p>
      <w:pPr>
        <w:pStyle w:val="Compact"/>
        <w:numPr>
          <w:ilvl w:val="0"/>
          <w:numId w:val="1916"/>
        </w:numPr>
      </w:pPr>
      <w:r>
        <w:t xml:space="preserve">Expired-air CO monitor.</w:t>
      </w:r>
    </w:p>
    <w:p>
      <w:pPr>
        <w:pStyle w:val="Compact"/>
        <w:numPr>
          <w:ilvl w:val="0"/>
          <w:numId w:val="1916"/>
        </w:numPr>
      </w:pPr>
      <w:r>
        <w:t xml:space="preserve">Spirometry (COPD screening).</w:t>
      </w:r>
    </w:p>
    <w:bookmarkEnd w:id="1807"/>
    <w:bookmarkStart w:id="1811" w:name="Xca9b79bbadfddb6086be79167ee73770dc1b1c7"/>
    <w:p>
      <w:pPr>
        <w:pStyle w:val="Heading3"/>
      </w:pPr>
      <w:r>
        <w:t xml:space="preserve">8. Treatment</w:t>
      </w:r>
    </w:p>
    <w:bookmarkStart w:id="1808" w:name="X1b197fa3e7db45457946369562a0c8a23545877"/>
    <w:p>
      <w:pPr>
        <w:pStyle w:val="Heading4"/>
      </w:pPr>
      <w:r>
        <w:t xml:space="preserve">8.1 General Principles (USPSTF · NICE NG209 · APA 2010)</w:t>
      </w:r>
    </w:p>
    <w:p>
      <w:pPr>
        <w:pStyle w:val="Compact"/>
        <w:numPr>
          <w:ilvl w:val="0"/>
          <w:numId w:val="1917"/>
        </w:numPr>
      </w:pPr>
      <w:r>
        <w:t xml:space="preserve">5A model (Ask, Advise, Assess, Assist, Arrange).</w:t>
      </w:r>
    </w:p>
    <w:p>
      <w:pPr>
        <w:pStyle w:val="Compact"/>
        <w:numPr>
          <w:ilvl w:val="0"/>
          <w:numId w:val="1917"/>
        </w:numPr>
      </w:pPr>
      <w:r>
        <w:t xml:space="preserve">First-line pharmacotherapy:</w:t>
      </w:r>
    </w:p>
    <w:p>
      <w:pPr>
        <w:pStyle w:val="Compact"/>
        <w:numPr>
          <w:ilvl w:val="1"/>
          <w:numId w:val="1918"/>
        </w:numPr>
      </w:pPr>
      <w:r>
        <w:t xml:space="preserve">NRT — Nicotine Replacement Therapy (patches, gum, lozenge, inhaler, spray) — combination (long-acting + short-acting) is superior to monotherapy.</w:t>
      </w:r>
    </w:p>
    <w:p>
      <w:pPr>
        <w:pStyle w:val="Compact"/>
        <w:numPr>
          <w:ilvl w:val="1"/>
          <w:numId w:val="1918"/>
        </w:numPr>
      </w:pPr>
      <w:r>
        <w:t xml:space="preserve">Varenicline (Chantix) — α4β2 partial agonist; most effective single agent (Cahill K. Cochrane 2013 meta-analysis).</w:t>
      </w:r>
    </w:p>
    <w:p>
      <w:pPr>
        <w:pStyle w:val="Compact"/>
        <w:numPr>
          <w:ilvl w:val="1"/>
          <w:numId w:val="1918"/>
        </w:numPr>
      </w:pPr>
      <w:r>
        <w:t xml:space="preserve">Bupropion SR (Zyban) — dopaminergic and noradrenergic effect.</w:t>
      </w:r>
    </w:p>
    <w:p>
      <w:pPr>
        <w:pStyle w:val="Compact"/>
        <w:numPr>
          <w:ilvl w:val="0"/>
          <w:numId w:val="1917"/>
        </w:numPr>
      </w:pPr>
      <w:r>
        <w:t xml:space="preserve">Behavioral intervention — CBT, MI, telephone ‘quitline’ service; intensity increases effect.</w:t>
      </w:r>
    </w:p>
    <w:p>
      <w:pPr>
        <w:pStyle w:val="Compact"/>
        <w:numPr>
          <w:ilvl w:val="0"/>
          <w:numId w:val="1917"/>
        </w:numPr>
      </w:pPr>
      <w:r>
        <w:t xml:space="preserve">Combination — pharmacotherapy + behavioral therapy is superior.</w:t>
      </w:r>
    </w:p>
    <w:p>
      <w:pPr>
        <w:pStyle w:val="Compact"/>
        <w:numPr>
          <w:ilvl w:val="0"/>
          <w:numId w:val="1917"/>
        </w:numPr>
      </w:pPr>
      <w:r>
        <w:t xml:space="preserve">E-cigarettes as a smoking cessation aid are controversial — effective in some studies (Hajek P. NEJM 2019), but long-term safety and gateway risk are being investigated; NRT is preferred.</w:t>
      </w:r>
    </w:p>
    <w:p>
      <w:pPr>
        <w:pStyle w:val="Compact"/>
        <w:numPr>
          <w:ilvl w:val="0"/>
          <w:numId w:val="1917"/>
        </w:numPr>
      </w:pPr>
      <w:r>
        <w:t xml:space="preserve">Comorbidity (MDD, schizophrenia) — tobacco cessation does not worsen psychiatric condition, but improves it (Taylor G. BMJ 2014 meta-analysis).</w:t>
      </w:r>
    </w:p>
    <w:bookmarkEnd w:id="1808"/>
    <w:bookmarkStart w:id="1809" w:name="treatment-methods-59"/>
    <w:p>
      <w:pPr>
        <w:pStyle w:val="Heading4"/>
      </w:pPr>
      <w:r>
        <w:t xml:space="preserve">8.2 Treatment methods</w:t>
      </w:r>
    </w:p>
    <w:p>
      <w:pPr>
        <w:pStyle w:val="Compact"/>
        <w:numPr>
          <w:ilvl w:val="0"/>
          <w:numId w:val="1919"/>
        </w:numPr>
      </w:pPr>
      <w:r>
        <w:t xml:space="preserve">5A Model (Ask, Advise, Assess, Assist, Arrange) — Ask (inquire), Advise (recommend), Assess (evaluate), Assist (support), Arrange (organize follow-up).</w:t>
      </w:r>
    </w:p>
    <w:p>
      <w:pPr>
        <w:pStyle w:val="Compact"/>
        <w:numPr>
          <w:ilvl w:val="0"/>
          <w:numId w:val="1919"/>
        </w:numPr>
      </w:pPr>
      <w:r>
        <w:t xml:space="preserve">Nicotine Replacement Therapy Combination (NRT) — Long-acting patch + short-acting (cheek, lozenge) ‘rescue.’</w:t>
      </w:r>
    </w:p>
    <w:p>
      <w:pPr>
        <w:pStyle w:val="Compact"/>
        <w:numPr>
          <w:ilvl w:val="0"/>
          <w:numId w:val="1919"/>
        </w:numPr>
      </w:pPr>
      <w:r>
        <w:t xml:space="preserve">Varenicline — 1 mg × 2/day; 12 weeks standard.</w:t>
      </w:r>
    </w:p>
    <w:p>
      <w:pPr>
        <w:pStyle w:val="Compact"/>
        <w:numPr>
          <w:ilvl w:val="0"/>
          <w:numId w:val="1919"/>
        </w:numPr>
      </w:pPr>
      <w:r>
        <w:t xml:space="preserve">Bupropion SR — 150 mg × 2/day; seizure risk.</w:t>
      </w:r>
    </w:p>
    <w:p>
      <w:pPr>
        <w:pStyle w:val="Compact"/>
        <w:numPr>
          <w:ilvl w:val="0"/>
          <w:numId w:val="1919"/>
        </w:numPr>
      </w:pPr>
      <w:r>
        <w:t xml:space="preserve">CBT and Motivational Interviewing (MI) — Trigger management, motivation enhancement.</w:t>
      </w:r>
    </w:p>
    <w:p>
      <w:pPr>
        <w:pStyle w:val="Compact"/>
        <w:numPr>
          <w:ilvl w:val="0"/>
          <w:numId w:val="1919"/>
        </w:numPr>
      </w:pPr>
      <w:r>
        <w:t xml:space="preserve">Telephone Support Line (Quitline) — Community-based support; evidence base extensive.</w:t>
      </w:r>
    </w:p>
    <w:bookmarkEnd w:id="1809"/>
    <w:bookmarkStart w:id="1810" w:name="differences-between-sources-110"/>
    <w:p>
      <w:pPr>
        <w:pStyle w:val="Heading4"/>
      </w:pPr>
      <w:r>
        <w:t xml:space="preserve">8.3 Differences between sources</w:t>
      </w:r>
    </w:p>
    <w:p>
      <w:pPr>
        <w:pStyle w:val="Compact"/>
        <w:numPr>
          <w:ilvl w:val="0"/>
          <w:numId w:val="1920"/>
        </w:numPr>
      </w:pPr>
      <w:r>
        <w:t xml:space="preserve">USPSTF 2021 — recommends intervention for all cigarette smokers.</w:t>
      </w:r>
    </w:p>
    <w:p>
      <w:pPr>
        <w:pStyle w:val="Compact"/>
        <w:numPr>
          <w:ilvl w:val="0"/>
          <w:numId w:val="1920"/>
        </w:numPr>
      </w:pPr>
      <w:r>
        <w:t xml:space="preserve">NICE NG209 — active intervention also in comorbid psychiatric disorders.</w:t>
      </w:r>
    </w:p>
    <w:p>
      <w:pPr>
        <w:pStyle w:val="Compact"/>
        <w:numPr>
          <w:ilvl w:val="0"/>
          <w:numId w:val="1920"/>
        </w:numPr>
      </w:pPr>
      <w:r>
        <w:t xml:space="preserve">Cahill K. et al. Cochrane 2013 — varenicline is most effective.</w:t>
      </w:r>
    </w:p>
    <w:bookmarkEnd w:id="1810"/>
    <w:bookmarkEnd w:id="1811"/>
    <w:bookmarkStart w:id="1812" w:name="Xb852f9181b2a6e3da9a5aa2263d9b8f703c122c"/>
    <w:p>
      <w:pPr>
        <w:pStyle w:val="Heading3"/>
      </w:pPr>
      <w:r>
        <w:t xml:space="preserve">9. Prognosis</w:t>
      </w:r>
    </w:p>
    <w:p>
      <w:pPr>
        <w:pStyle w:val="Compact"/>
        <w:numPr>
          <w:ilvl w:val="0"/>
          <w:numId w:val="1921"/>
        </w:numPr>
      </w:pPr>
      <w:r>
        <w:t xml:space="preserve">With multimodal intervention, 6-month abstinence is 25–35%.</w:t>
      </w:r>
    </w:p>
    <w:p>
      <w:pPr>
        <w:pStyle w:val="Compact"/>
        <w:numPr>
          <w:ilvl w:val="0"/>
          <w:numId w:val="1921"/>
        </w:numPr>
      </w:pPr>
      <w:r>
        <w:t xml:space="preserve">Smoking cessation significantly reduces mortality and illness risk.</w:t>
      </w:r>
    </w:p>
    <w:bookmarkEnd w:id="1812"/>
    <w:bookmarkStart w:id="1819" w:name="Xc0df6da449c8013f646ce0cbd7e39505cb8d49e"/>
    <w:p>
      <w:pPr>
        <w:pStyle w:val="Heading3"/>
      </w:pPr>
      <w:r>
        <w:t xml:space="preserve">10. Myths and misconceptions</w:t>
      </w:r>
    </w:p>
    <w:bookmarkStart w:id="1813" w:name="Xcf55da48048471c6c80dc1e13efb51d84c85d4f"/>
    <w:p>
      <w:pPr>
        <w:pStyle w:val="Heading5"/>
      </w:pPr>
      <w:r>
        <w:t xml:space="preserve">Myth 1: “Tobacco is not addictive and can be quit voluntarily”</w:t>
      </w:r>
    </w:p>
    <w:p>
      <w:pPr>
        <w:pStyle w:val="FirstParagraph"/>
      </w:pPr>
      <w:r>
        <w:t xml:space="preserve">Evidence: Nicotine has high addiction potential; voluntary cessation failure rate is high (~5% after three months); pharmacotherapy increases effect 2–3 times.</w:t>
      </w:r>
    </w:p>
    <w:bookmarkEnd w:id="1813"/>
    <w:bookmarkStart w:id="1814" w:name="Xa54e4a43467fa1132bec202c9601cc2630075c0"/>
    <w:p>
      <w:pPr>
        <w:pStyle w:val="Heading5"/>
      </w:pPr>
      <w:r>
        <w:t xml:space="preserve">Myth 2: “Weight gain after quitting smoking is harmful to health”</w:t>
      </w:r>
    </w:p>
    <w:p>
      <w:pPr>
        <w:pStyle w:val="FirstParagraph"/>
      </w:pPr>
      <w:r>
        <w:t xml:space="preserve">Evidence: Average 4–5 kg weight gain, but risk of continued tobacco use significantly higher; weight can be managed.</w:t>
      </w:r>
    </w:p>
    <w:bookmarkEnd w:id="1814"/>
    <w:bookmarkStart w:id="1815" w:name="Xcd64e9f76eba9f25c3ee88c69980a3eb3109deb"/>
    <w:p>
      <w:pPr>
        <w:pStyle w:val="Heading5"/>
      </w:pPr>
      <w:r>
        <w:t xml:space="preserve">Myth 3: “Varenicline increases suicide risk”</w:t>
      </w:r>
    </w:p>
    <w:p>
      <w:pPr>
        <w:pStyle w:val="FirstParagraph"/>
      </w:pPr>
      <w:r>
        <w:t xml:space="preserve">Evidence: initial FDA warning later reevaluated with EAGLES trial (Anthenelli R.M. Lancet 2016) — psychiatric adverse event rate not significantly higher than placebo; FDA boxed warning removed in 2016.</w:t>
      </w:r>
    </w:p>
    <w:bookmarkEnd w:id="1815"/>
    <w:bookmarkStart w:id="1816" w:name="X9e99c9ae56166d7a4f0a9443f0c6c01a931179c"/>
    <w:p>
      <w:pPr>
        <w:pStyle w:val="Heading5"/>
      </w:pPr>
      <w:r>
        <w:t xml:space="preserve">Myth 4: “A psychiatric patient cannot quit tobacco and should not”</w:t>
      </w:r>
    </w:p>
    <w:p>
      <w:pPr>
        <w:pStyle w:val="FirstParagraph"/>
      </w:pPr>
      <w:r>
        <w:t xml:space="preserve">Evidence: Taylor BMJ 2014 — smoking cessation improves psychiatric symptoms; cessation effective in schizophrenia, MDD patients.</w:t>
      </w:r>
    </w:p>
    <w:bookmarkEnd w:id="1816"/>
    <w:bookmarkStart w:id="1817" w:name="X79771042fdd06ad2ded4ee618e21fc0ad799adb"/>
    <w:p>
      <w:pPr>
        <w:pStyle w:val="Heading5"/>
      </w:pPr>
      <w:r>
        <w:t xml:space="preserve">Myth 5: “E-cigarettes are safer than tobacco”</w:t>
      </w:r>
    </w:p>
    <w:p>
      <w:pPr>
        <w:pStyle w:val="FirstParagraph"/>
      </w:pPr>
      <w:r>
        <w:t xml:space="preserve">Evidence: Current evidence indicates that electronic cigarettes are less harmful than combusted tobacco, but are not “safe”; EVALI, cardiac, respiratory risks; gateway to nicotine addiction in adolescents.</w:t>
      </w:r>
    </w:p>
    <w:bookmarkEnd w:id="1817"/>
    <w:bookmarkStart w:id="1818" w:name="myth-6-once-cut-and-return-prohibition"/>
    <w:p>
      <w:pPr>
        <w:pStyle w:val="Heading5"/>
      </w:pPr>
      <w:r>
        <w:t xml:space="preserve">Myth 6: “Once ‘cut and return’ prohibition”</w:t>
      </w:r>
    </w:p>
    <w:p>
      <w:pPr>
        <w:pStyle w:val="FirstParagraph"/>
      </w:pPr>
      <w:r>
        <w:t xml:space="preserve">Evidence: Most cigarette smokers make 6–11 attempts to quit; each relapse temporary and ongoing attempt plan recommended.</w:t>
      </w:r>
    </w:p>
    <w:bookmarkEnd w:id="1818"/>
    <w:bookmarkEnd w:id="1819"/>
    <w:bookmarkStart w:id="2951" w:name="Xcf5272916b5d4dfe3c0731e553dac5123bdff7d"/>
    <w:p>
      <w:pPr>
        <w:pStyle w:val="Heading3"/>
      </w:pPr>
      <w:r>
        <w:t xml:space="preserve">11. Sources</w:t>
      </w:r>
    </w:p>
    <w:p>
      <w:pPr>
        <w:pStyle w:val="Compact"/>
        <w:numPr>
          <w:ilvl w:val="0"/>
          <w:numId w:val="1922"/>
        </w:numPr>
      </w:pPr>
      <w:r>
        <w:t xml:space="preserve">WHO. ICD-11. 6C4A Disorders due to use of nicotine. 2024.</w:t>
      </w:r>
    </w:p>
    <w:p>
      <w:pPr>
        <w:pStyle w:val="Compact"/>
        <w:numPr>
          <w:ilvl w:val="0"/>
          <w:numId w:val="1922"/>
        </w:numPr>
      </w:pPr>
      <w:r>
        <w:t xml:space="preserve">APA. DSM-5-TR. 2022.</w:t>
      </w:r>
    </w:p>
    <w:p>
      <w:pPr>
        <w:pStyle w:val="Compact"/>
        <w:numPr>
          <w:ilvl w:val="0"/>
          <w:numId w:val="1922"/>
        </w:numPr>
      </w:pPr>
      <w:r>
        <w:t xml:space="preserve">USPSTF. Interventions for tobacco smoking cessation in adults. JAMA 2021;325(3):265–279.</w:t>
      </w:r>
    </w:p>
    <w:p>
      <w:pPr>
        <w:pStyle w:val="Compact"/>
        <w:numPr>
          <w:ilvl w:val="0"/>
          <w:numId w:val="1922"/>
        </w:numPr>
      </w:pPr>
      <w:r>
        <w:t xml:space="preserve">NICE NG209. Tobacco. 2021.</w:t>
      </w:r>
    </w:p>
    <w:p>
      <w:pPr>
        <w:pStyle w:val="Compact"/>
        <w:numPr>
          <w:ilvl w:val="0"/>
          <w:numId w:val="1922"/>
        </w:numPr>
      </w:pPr>
      <w:r>
        <w:t xml:space="preserve">Cahill K., Stevens S., Perera R., Lancaster T. Pharmacological interventions for smoking cessation: an overview and network meta-analysis. Cochrane Database Syst Rev 2013;(5):CD009329.</w:t>
      </w:r>
    </w:p>
    <w:p>
      <w:pPr>
        <w:pStyle w:val="Compact"/>
        <w:numPr>
          <w:ilvl w:val="0"/>
          <w:numId w:val="1922"/>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22"/>
        </w:numPr>
      </w:pPr>
      <w:r>
        <w:t xml:space="preserve">Taylor G. et al. Change in mental health after smoking cessation: systematic review and meta-analysis. BMJ 2014;348:g1151.</w:t>
      </w:r>
    </w:p>
    <w:p>
      <w:pPr>
        <w:pStyle w:val="Compact"/>
        <w:numPr>
          <w:ilvl w:val="0"/>
          <w:numId w:val="1922"/>
        </w:numPr>
      </w:pPr>
      <w:r>
        <w:t xml:space="preserve">Hajek P. et al. A randomized trial of e-cigarettes versus nicotine-replacement therapy. NEJM 2019;380(7):629–637.</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20" w:name="m766c50-gambling-disorder"/>
            <w:r>
              <w:t xml:space="preserve">6C50 GAMBLING DISORDER</w:t>
            </w:r>
            <w:bookmarkEnd w:id="1820"/>
          </w:p>
          <w:p>
            <w:pPr>
              <w:pStyle w:val="Compact"/>
              <w:ind w:firstLine="0" w:left="0"/>
            </w:pPr>
            <w:r>
              <w:rPr>
                <w:lang w:val="en"/>
              </w:rPr>
              <w:t xml:space="preserve">Gambling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Pathological gambling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Gambling Disorder</w:t>
            </w:r>
          </w:p>
        </w:tc>
      </w:tr>
    </w:tbl>
    <w:bookmarkStart w:id="1821" w:name="Xdeed8173f094ab44c026ce49a18e7939d0e44da"/>
    <w:p>
      <w:pPr>
        <w:pStyle w:val="Heading3"/>
      </w:pPr>
      <w:r>
        <w:t xml:space="preserve">1. Definition and nosology</w:t>
      </w:r>
    </w:p>
    <w:p>
      <w:pPr>
        <w:pStyle w:val="FirstParagraph"/>
      </w:pPr>
      <w:r>
        <w:t xml:space="preserve">Gambling disorder (ICD-11:</w:t>
      </w:r>
      <w:r>
        <w:t xml:space="preserve"> </w:t>
      </w:r>
      <w:r>
        <w:t xml:space="preserve">6C50</w:t>
      </w:r>
      <w:r>
        <w:t xml:space="preserve">; ICD-10:</w:t>
      </w:r>
      <w:r>
        <w:t xml:space="preserve"> </w:t>
      </w:r>
      <w:r>
        <w:t xml:space="preserve">F63.0</w:t>
      </w:r>
      <w:r>
        <w:t xml:space="preserve">; DSM-5-TR:</w:t>
      </w:r>
      <w:r>
        <w:t xml:space="preserve"> </w:t>
      </w:r>
      <w:r>
        <w:t xml:space="preserve">F63.0</w:t>
      </w:r>
      <w:r>
        <w:t xml:space="preserve">) is a persistent or recurrent pattern of gambling behaviour characterised by impaired control, increasing priority given to gambling over other interests, and continuation despite negative consequences. It causes significant functional impairment. Gaming is a separate ICD-11 category — 6C51 Gaming disorder.</w:t>
      </w:r>
    </w:p>
    <w:bookmarkEnd w:id="1821"/>
    <w:bookmarkStart w:id="1822" w:name="Xfad77b77b8c22833b9e667bc7f4bfe9f66122d4"/>
    <w:p>
      <w:pPr>
        <w:pStyle w:val="Heading3"/>
      </w:pPr>
      <w:r>
        <w:t xml:space="preserve">2. History</w:t>
      </w:r>
    </w:p>
    <w:p>
      <w:pPr>
        <w:pStyle w:val="Compact"/>
        <w:numPr>
          <w:ilvl w:val="0"/>
          <w:numId w:val="1923"/>
        </w:numPr>
      </w:pPr>
      <w:r>
        <w:t xml:space="preserve">DSM-IV (1994) — “Pathological Gambling” within the impulse control disorders.</w:t>
      </w:r>
    </w:p>
    <w:p>
      <w:pPr>
        <w:pStyle w:val="Compact"/>
        <w:numPr>
          <w:ilvl w:val="0"/>
          <w:numId w:val="1923"/>
        </w:numPr>
      </w:pPr>
      <w:r>
        <w:t xml:space="preserve">DSM-5 (2013) — “Gambling Disorder” was moved to the substance use and addiction category (similar neurobiology).</w:t>
      </w:r>
    </w:p>
    <w:p>
      <w:pPr>
        <w:pStyle w:val="Compact"/>
        <w:numPr>
          <w:ilvl w:val="0"/>
          <w:numId w:val="1923"/>
        </w:numPr>
      </w:pPr>
      <w:r>
        <w:t xml:space="preserve">ICD-11 (2019) — the behavioural addictions block was expanded: alongside gambling (6C50), gaming disorder (6C51) was added as a separate category.</w:t>
      </w:r>
    </w:p>
    <w:bookmarkEnd w:id="1822"/>
    <w:bookmarkStart w:id="1823" w:name="X4e55478d3a9c7ab4855ff2e78b639b085296d16"/>
    <w:p>
      <w:pPr>
        <w:pStyle w:val="Heading3"/>
      </w:pPr>
      <w:r>
        <w:t xml:space="preserve">3. Epidemiology</w:t>
      </w:r>
    </w:p>
    <w:p>
      <w:pPr>
        <w:pStyle w:val="Compact"/>
        <w:numPr>
          <w:ilvl w:val="0"/>
          <w:numId w:val="1924"/>
        </w:numPr>
      </w:pPr>
      <w:r>
        <w:t xml:space="preserve">Gambling Disorder lifetime prevalence: 0.2–5.3% (wide range).</w:t>
      </w:r>
    </w:p>
    <w:p>
      <w:pPr>
        <w:pStyle w:val="Compact"/>
        <w:numPr>
          <w:ilvl w:val="0"/>
          <w:numId w:val="1924"/>
        </w:numPr>
      </w:pPr>
      <w:r>
        <w:t xml:space="preserve">Sex: gambling is more prevalent in men; the sex difference narrows in online gambling.</w:t>
      </w:r>
    </w:p>
    <w:p>
      <w:pPr>
        <w:pStyle w:val="Compact"/>
        <w:numPr>
          <w:ilvl w:val="0"/>
          <w:numId w:val="1924"/>
        </w:numPr>
      </w:pPr>
      <w:r>
        <w:t xml:space="preserve">Comorbidity: MDD, anxiety, other substance use, ADHD, BPD, suicide risk.</w:t>
      </w:r>
    </w:p>
    <w:bookmarkEnd w:id="1823"/>
    <w:bookmarkStart w:id="1824" w:name="X0c238550b3995e39b1c3afa3c16acd0d7dfa5ca"/>
    <w:p>
      <w:pPr>
        <w:pStyle w:val="Heading3"/>
      </w:pPr>
      <w:r>
        <w:t xml:space="preserve">4. Aetiology and pathogenesis</w:t>
      </w:r>
    </w:p>
    <w:p>
      <w:pPr>
        <w:pStyle w:val="Compact"/>
        <w:numPr>
          <w:ilvl w:val="0"/>
          <w:numId w:val="1925"/>
        </w:numPr>
      </w:pPr>
      <w:r>
        <w:t xml:space="preserve">Heritability 50–60%.</w:t>
      </w:r>
    </w:p>
    <w:p>
      <w:pPr>
        <w:pStyle w:val="Compact"/>
        <w:numPr>
          <w:ilvl w:val="0"/>
          <w:numId w:val="1925"/>
        </w:numPr>
      </w:pPr>
      <w:r>
        <w:t xml:space="preserve">Neurobiological — dysregulation of the reward circuit (dopamine), similar to substance use disorders.</w:t>
      </w:r>
    </w:p>
    <w:p>
      <w:pPr>
        <w:pStyle w:val="Compact"/>
        <w:numPr>
          <w:ilvl w:val="0"/>
          <w:numId w:val="1925"/>
        </w:numPr>
      </w:pPr>
      <w:r>
        <w:t xml:space="preserve">Personality — impulsivity, sensation-seeking.</w:t>
      </w:r>
    </w:p>
    <w:bookmarkEnd w:id="1824"/>
    <w:bookmarkStart w:id="1825" w:name="Xefb805b1ddc59ab84967d17f0eb3441ae2ebc19"/>
    <w:p>
      <w:pPr>
        <w:pStyle w:val="Heading3"/>
      </w:pPr>
      <w:r>
        <w:t xml:space="preserve">5. Clinical features</w:t>
      </w:r>
    </w:p>
    <w:p>
      <w:pPr>
        <w:pStyle w:val="Compact"/>
        <w:numPr>
          <w:ilvl w:val="0"/>
          <w:numId w:val="1926"/>
        </w:numPr>
      </w:pPr>
      <w:r>
        <w:t xml:space="preserve">Persistent/recurrent gambling behaviour.</w:t>
      </w:r>
    </w:p>
    <w:p>
      <w:pPr>
        <w:pStyle w:val="Compact"/>
        <w:numPr>
          <w:ilvl w:val="0"/>
          <w:numId w:val="1926"/>
        </w:numPr>
      </w:pPr>
      <w:r>
        <w:t xml:space="preserve">Loss of control.</w:t>
      </w:r>
    </w:p>
    <w:p>
      <w:pPr>
        <w:pStyle w:val="Compact"/>
        <w:numPr>
          <w:ilvl w:val="0"/>
          <w:numId w:val="1926"/>
        </w:numPr>
      </w:pPr>
      <w:r>
        <w:t xml:space="preserve">Occupational, family, social, and academic impairment.</w:t>
      </w:r>
    </w:p>
    <w:p>
      <w:pPr>
        <w:pStyle w:val="Compact"/>
        <w:numPr>
          <w:ilvl w:val="0"/>
          <w:numId w:val="1926"/>
        </w:numPr>
      </w:pPr>
      <w:r>
        <w:t xml:space="preserve">“Chasing losses” (in gambling) — attempts to win back losses.</w:t>
      </w:r>
    </w:p>
    <w:p>
      <w:pPr>
        <w:pStyle w:val="Compact"/>
        <w:numPr>
          <w:ilvl w:val="0"/>
          <w:numId w:val="1926"/>
        </w:numPr>
      </w:pPr>
      <w:r>
        <w:t xml:space="preserve">Lying, financial disruption, concealment.</w:t>
      </w:r>
    </w:p>
    <w:p>
      <w:pPr>
        <w:pStyle w:val="Compact"/>
        <w:numPr>
          <w:ilvl w:val="0"/>
          <w:numId w:val="1926"/>
        </w:numPr>
      </w:pPr>
      <w:r>
        <w:t xml:space="preserve">Comorbid MDD and high suicide risk.</w:t>
      </w:r>
    </w:p>
    <w:bookmarkEnd w:id="1825"/>
    <w:bookmarkStart w:id="1830" w:name="X609fb0afd84545e18ce899e753013ddb7638baf"/>
    <w:p>
      <w:pPr>
        <w:pStyle w:val="Heading3"/>
      </w:pPr>
      <w:r>
        <w:t xml:space="preserve">6. Diagnosis</w:t>
      </w:r>
    </w:p>
    <w:bookmarkStart w:id="1826" w:name="unified-diagnostic-criteria-40"/>
    <w:p>
      <w:pPr>
        <w:pStyle w:val="Heading4"/>
      </w:pPr>
      <w:r>
        <w:t xml:space="preserve">6.1 Unified diagnostic criteria</w:t>
      </w:r>
    </w:p>
    <w:p>
      <w:pPr>
        <w:pStyle w:val="FirstParagraph"/>
      </w:pPr>
      <w:r>
        <w:t xml:space="preserve">Gambling (DSM-5-TR): ≥ 4 of 9 symptoms within a 12-month period:</w:t>
      </w:r>
    </w:p>
    <w:p>
      <w:pPr>
        <w:pStyle w:val="Compact"/>
        <w:numPr>
          <w:ilvl w:val="0"/>
          <w:numId w:val="1927"/>
        </w:numPr>
      </w:pPr>
      <w:r>
        <w:t xml:space="preserve">Gambling with increasing amounts — tolerance;</w:t>
      </w:r>
    </w:p>
    <w:p>
      <w:pPr>
        <w:pStyle w:val="Compact"/>
        <w:numPr>
          <w:ilvl w:val="0"/>
          <w:numId w:val="1927"/>
        </w:numPr>
      </w:pPr>
      <w:r>
        <w:t xml:space="preserve">Irritability or restlessness when cutting down gambling — withdrawal;</w:t>
      </w:r>
    </w:p>
    <w:p>
      <w:pPr>
        <w:pStyle w:val="Compact"/>
        <w:numPr>
          <w:ilvl w:val="0"/>
          <w:numId w:val="1927"/>
        </w:numPr>
      </w:pPr>
      <w:r>
        <w:t xml:space="preserve">Unsuccessful attempts to cut down;</w:t>
      </w:r>
    </w:p>
    <w:p>
      <w:pPr>
        <w:pStyle w:val="Compact"/>
        <w:numPr>
          <w:ilvl w:val="0"/>
          <w:numId w:val="1927"/>
        </w:numPr>
      </w:pPr>
      <w:r>
        <w:t xml:space="preserve">Preoccupation with gambling;</w:t>
      </w:r>
    </w:p>
    <w:p>
      <w:pPr>
        <w:pStyle w:val="Compact"/>
        <w:numPr>
          <w:ilvl w:val="0"/>
          <w:numId w:val="1927"/>
        </w:numPr>
      </w:pPr>
      <w:r>
        <w:t xml:space="preserve">Gambling when distressed;</w:t>
      </w:r>
    </w:p>
    <w:p>
      <w:pPr>
        <w:pStyle w:val="Compact"/>
        <w:numPr>
          <w:ilvl w:val="0"/>
          <w:numId w:val="1927"/>
        </w:numPr>
      </w:pPr>
      <w:r>
        <w:t xml:space="preserve">“Chasing” after losses;</w:t>
      </w:r>
    </w:p>
    <w:p>
      <w:pPr>
        <w:pStyle w:val="Compact"/>
        <w:numPr>
          <w:ilvl w:val="0"/>
          <w:numId w:val="1927"/>
        </w:numPr>
      </w:pPr>
      <w:r>
        <w:t xml:space="preserve">Lying;</w:t>
      </w:r>
    </w:p>
    <w:p>
      <w:pPr>
        <w:pStyle w:val="Compact"/>
        <w:numPr>
          <w:ilvl w:val="0"/>
          <w:numId w:val="1927"/>
        </w:numPr>
      </w:pPr>
      <w:r>
        <w:t xml:space="preserve">Loss of relationships/job;</w:t>
      </w:r>
    </w:p>
    <w:p>
      <w:pPr>
        <w:pStyle w:val="Compact"/>
        <w:numPr>
          <w:ilvl w:val="0"/>
          <w:numId w:val="1927"/>
        </w:numPr>
      </w:pPr>
      <w:r>
        <w:t xml:space="preserve">Reliance on financial bailouts.</w:t>
      </w:r>
    </w:p>
    <w:bookmarkEnd w:id="1826"/>
    <w:bookmarkStart w:id="1827" w:name="differences-between-sources-111"/>
    <w:p>
      <w:pPr>
        <w:pStyle w:val="Heading4"/>
      </w:pPr>
      <w:r>
        <w:t xml:space="preserve">6.2 Differences between sources</w:t>
      </w:r>
    </w:p>
    <w:p>
      <w:pPr>
        <w:pStyle w:val="Compact"/>
        <w:numPr>
          <w:ilvl w:val="0"/>
          <w:numId w:val="1928"/>
        </w:numPr>
      </w:pPr>
      <w:r>
        <w:t xml:space="preserve">ICD-11 (6C50) — subtypes:</w:t>
      </w:r>
      <w:r>
        <w:t xml:space="preserve"> </w:t>
      </w:r>
      <w:r>
        <w:t xml:space="preserve">6C50.0</w:t>
      </w:r>
      <w:r>
        <w:t xml:space="preserve"> </w:t>
      </w:r>
      <w:r>
        <w:t xml:space="preserve">predominantly offline,</w:t>
      </w:r>
      <w:r>
        <w:t xml:space="preserve"> </w:t>
      </w:r>
      <w:r>
        <w:t xml:space="preserve">6C50.1</w:t>
      </w:r>
      <w:r>
        <w:t xml:space="preserve"> </w:t>
      </w:r>
      <w:r>
        <w:t xml:space="preserve">predominantly online,</w:t>
      </w:r>
      <w:r>
        <w:t xml:space="preserve"> </w:t>
      </w:r>
      <w:r>
        <w:t xml:space="preserve">6C50.Z</w:t>
      </w:r>
      <w:r>
        <w:t xml:space="preserve"> </w:t>
      </w:r>
      <w:r>
        <w:t xml:space="preserve">unspecified. Diagnosis normally requires ≥ 12 months; the duration may be shortened if all diagnostic requirements are met and symptoms are severe.</w:t>
      </w:r>
    </w:p>
    <w:p>
      <w:pPr>
        <w:pStyle w:val="Compact"/>
        <w:numPr>
          <w:ilvl w:val="0"/>
          <w:numId w:val="1928"/>
        </w:numPr>
      </w:pPr>
      <w:r>
        <w:t xml:space="preserve">DSM-5-TR — “Gambling Disorder” (F63.0) is the only behavioural addiction in the main text; DSM-5 (2013) moved it from impulse-control disorders to substance-related and addictive disorders. Unlike</w:t>
      </w:r>
      <w:r>
        <w:t xml:space="preserve"> </w:t>
      </w:r>
      <w:r>
        <w:t xml:space="preserve">6C51</w:t>
      </w:r>
      <w:r>
        <w:t xml:space="preserve">, the 6C50 requirements admit significant distress alongside functional impairment.</w:t>
      </w:r>
    </w:p>
    <w:bookmarkEnd w:id="1827"/>
    <w:bookmarkStart w:id="1828" w:name="diagnostic-algorithm-61"/>
    <w:p>
      <w:pPr>
        <w:pStyle w:val="Heading4"/>
      </w:pPr>
      <w:r>
        <w:t xml:space="preserve">6.3 Diagnostic algorithm</w:t>
      </w:r>
    </w:p>
    <w:p>
      <w:pPr>
        <w:pStyle w:val="Compact"/>
        <w:numPr>
          <w:ilvl w:val="0"/>
          <w:numId w:val="1929"/>
        </w:numPr>
      </w:pPr>
      <w:r>
        <w:t xml:space="preserve">Clinical interview.</w:t>
      </w:r>
    </w:p>
    <w:p>
      <w:pPr>
        <w:pStyle w:val="Compact"/>
        <w:numPr>
          <w:ilvl w:val="0"/>
          <w:numId w:val="1929"/>
        </w:numPr>
      </w:pPr>
      <w:r>
        <w:t xml:space="preserve">SOGS (South Oaks Gambling Screen) or PGSI (Problem Gambling Severity Index).</w:t>
      </w:r>
    </w:p>
    <w:p>
      <w:pPr>
        <w:pStyle w:val="Compact"/>
        <w:numPr>
          <w:ilvl w:val="0"/>
          <w:numId w:val="1929"/>
        </w:numPr>
      </w:pPr>
      <w:r>
        <w:t xml:space="preserve">Comorbid substance use, MDD, suicide.</w:t>
      </w:r>
    </w:p>
    <w:p>
      <w:pPr>
        <w:pStyle w:val="Compact"/>
        <w:numPr>
          <w:ilvl w:val="0"/>
          <w:numId w:val="1929"/>
        </w:numPr>
      </w:pPr>
      <w:r>
        <w:t xml:space="preserve">Assessment of the financial situation.</w:t>
      </w:r>
    </w:p>
    <w:bookmarkEnd w:id="1828"/>
    <w:bookmarkStart w:id="1829" w:name="differential-diagnosis-6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 (gambling disinhibition)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(compulsive checking)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Obsessions are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(impulsivity)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 persistent pattern across all domains.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Social gambling (non-problematic)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impairment.</w:t>
            </w:r>
          </w:p>
        </w:tc>
      </w:tr>
    </w:tbl>
    <w:bookmarkEnd w:id="1829"/>
    <w:bookmarkEnd w:id="1830"/>
    <w:bookmarkStart w:id="1831" w:name="X8affbfc8438b52868ed4d3b25c0b305fd835014"/>
    <w:p>
      <w:pPr>
        <w:pStyle w:val="Heading3"/>
      </w:pPr>
      <w:r>
        <w:t xml:space="preserve">7. Examination and assessment</w:t>
      </w:r>
    </w:p>
    <w:p>
      <w:pPr>
        <w:pStyle w:val="Compact"/>
        <w:numPr>
          <w:ilvl w:val="0"/>
          <w:numId w:val="1930"/>
        </w:numPr>
      </w:pPr>
      <w:r>
        <w:t xml:space="preserve">Comorbidity scales.</w:t>
      </w:r>
    </w:p>
    <w:p>
      <w:pPr>
        <w:pStyle w:val="Compact"/>
        <w:numPr>
          <w:ilvl w:val="0"/>
          <w:numId w:val="1930"/>
        </w:numPr>
      </w:pPr>
      <w:r>
        <w:t xml:space="preserve">C-SSRS for suicide.</w:t>
      </w:r>
    </w:p>
    <w:bookmarkEnd w:id="1831"/>
    <w:bookmarkStart w:id="1833" w:name="Xf2758763c9b36d1857849ef72fd0ec76756e514"/>
    <w:p>
      <w:pPr>
        <w:pStyle w:val="Heading3"/>
      </w:pPr>
      <w:r>
        <w:t xml:space="preserve">8. Treatment</w:t>
      </w:r>
    </w:p>
    <w:p>
      <w:pPr>
        <w:pStyle w:val="Compact"/>
        <w:numPr>
          <w:ilvl w:val="0"/>
          <w:numId w:val="1931"/>
        </w:numPr>
      </w:pPr>
      <w:r>
        <w:t xml:space="preserve">CBT — first line; trigger management, behavioural activation, cognitive restructuring (“near miss” and “gambler's fallacy”). Cowlishaw S. Cochrane 2012 meta-analysis.</w:t>
      </w:r>
    </w:p>
    <w:p>
      <w:pPr>
        <w:pStyle w:val="Compact"/>
        <w:numPr>
          <w:ilvl w:val="0"/>
          <w:numId w:val="1931"/>
        </w:numPr>
      </w:pPr>
      <w:r>
        <w:t xml:space="preserve">Naltrexone, nalmefene — the evidence base is evolving (reviews by Grant J.E.).</w:t>
      </w:r>
    </w:p>
    <w:p>
      <w:pPr>
        <w:pStyle w:val="Compact"/>
        <w:numPr>
          <w:ilvl w:val="0"/>
          <w:numId w:val="1931"/>
        </w:numPr>
      </w:pPr>
      <w:r>
        <w:t xml:space="preserve">SSRIs — for comorbid MDD/anxiety.</w:t>
      </w:r>
    </w:p>
    <w:p>
      <w:pPr>
        <w:pStyle w:val="Compact"/>
        <w:numPr>
          <w:ilvl w:val="0"/>
          <w:numId w:val="1931"/>
        </w:numPr>
      </w:pPr>
      <w:r>
        <w:t xml:space="preserve">Self-help (Gamblers Anonymous, Gam-Anon) — adjunct.</w:t>
      </w:r>
    </w:p>
    <w:p>
      <w:pPr>
        <w:pStyle w:val="Compact"/>
        <w:numPr>
          <w:ilvl w:val="0"/>
          <w:numId w:val="1931"/>
        </w:numPr>
      </w:pPr>
      <w:r>
        <w:t xml:space="preserve">Financial counselling — critical in gambling.</w:t>
      </w:r>
    </w:p>
    <w:bookmarkStart w:id="1832" w:name="treatment-methods-60"/>
    <w:p>
      <w:pPr>
        <w:pStyle w:val="Heading4"/>
      </w:pPr>
      <w:r>
        <w:t xml:space="preserve">8.1 Treatment methods</w:t>
      </w:r>
    </w:p>
    <w:p>
      <w:pPr>
        <w:pStyle w:val="Compact"/>
        <w:numPr>
          <w:ilvl w:val="0"/>
          <w:numId w:val="1932"/>
        </w:numPr>
      </w:pPr>
      <w:r>
        <w:t xml:space="preserve">CBT for gambling — Correction of cognitive distortions, exposure (reducing responses to triggers), problem-solving.</w:t>
      </w:r>
    </w:p>
    <w:p>
      <w:pPr>
        <w:pStyle w:val="Compact"/>
        <w:numPr>
          <w:ilvl w:val="0"/>
          <w:numId w:val="1932"/>
        </w:numPr>
      </w:pPr>
      <w:r>
        <w:t xml:space="preserve">Naltrexone off-label — Reduction of cravings; 50–150 mg/day.</w:t>
      </w:r>
    </w:p>
    <w:p>
      <w:pPr>
        <w:pStyle w:val="Compact"/>
        <w:numPr>
          <w:ilvl w:val="0"/>
          <w:numId w:val="1932"/>
        </w:numPr>
      </w:pPr>
      <w:r>
        <w:t xml:space="preserve">Self-help groups (GA) — 12-step model.</w:t>
      </w:r>
    </w:p>
    <w:bookmarkEnd w:id="1832"/>
    <w:bookmarkEnd w:id="1833"/>
    <w:bookmarkStart w:id="1834" w:name="X249371b2b705ee69dd5fcd1723241a7a17c959e"/>
    <w:p>
      <w:pPr>
        <w:pStyle w:val="Heading3"/>
      </w:pPr>
      <w:r>
        <w:t xml:space="preserve">9. Prognosis</w:t>
      </w:r>
    </w:p>
    <w:p>
      <w:pPr>
        <w:pStyle w:val="Compact"/>
        <w:numPr>
          <w:ilvl w:val="0"/>
          <w:numId w:val="1933"/>
        </w:numPr>
      </w:pPr>
      <w:r>
        <w:t xml:space="preserve">Remission with CBT 30–50%.</w:t>
      </w:r>
    </w:p>
    <w:p>
      <w:pPr>
        <w:pStyle w:val="Compact"/>
        <w:numPr>
          <w:ilvl w:val="0"/>
          <w:numId w:val="1933"/>
        </w:numPr>
      </w:pPr>
      <w:r>
        <w:t xml:space="preserve">Comorbid MDD predicts a poor prognosis.</w:t>
      </w:r>
    </w:p>
    <w:bookmarkEnd w:id="1834"/>
    <w:bookmarkStart w:id="1839" w:name="X1a4ec834a80918bb904a63dde71b9976b7ae391"/>
    <w:p>
      <w:pPr>
        <w:pStyle w:val="Heading3"/>
      </w:pPr>
      <w:r>
        <w:t xml:space="preserve">10. Myths and misconceptions</w:t>
      </w:r>
    </w:p>
    <w:bookmarkStart w:id="1835" w:name="X6d03bafffe890567f70aa7af4d63e6731f1ef55"/>
    <w:p>
      <w:pPr>
        <w:pStyle w:val="Heading5"/>
      </w:pPr>
      <w:r>
        <w:t xml:space="preserve">Myth 1: “Gambling addiction is a ‘character’ disorder”</w:t>
      </w:r>
    </w:p>
    <w:p>
      <w:pPr>
        <w:pStyle w:val="FirstParagraph"/>
      </w:pPr>
      <w:r>
        <w:t xml:space="preserve">Evidence: DSM-5, ICD-11 — it is a medical/behavioural disorder; neurobiological and genetic predisposition.</w:t>
      </w:r>
    </w:p>
    <w:bookmarkEnd w:id="1835"/>
    <w:bookmarkStart w:id="1836" w:name="X04c9827e8b48f064453a58df5ebd65e9e40ed00"/>
    <w:p>
      <w:pPr>
        <w:pStyle w:val="Heading5"/>
      </w:pPr>
      <w:r>
        <w:t xml:space="preserve">Myth 2: “The patient will get out of debt with a ‘big win’”</w:t>
      </w:r>
    </w:p>
    <w:p>
      <w:pPr>
        <w:pStyle w:val="FirstParagraph"/>
      </w:pPr>
      <w:r>
        <w:t xml:space="preserve">Evidence: “chasing losses” is a diagnostic feature of gambling disorder; the pattern of losses is statistically inevitable.</w:t>
      </w:r>
    </w:p>
    <w:bookmarkEnd w:id="1836"/>
    <w:bookmarkStart w:id="1837" w:name="X522632e23e5b6516d307dd5c6a33349b59511ae"/>
    <w:p>
      <w:pPr>
        <w:pStyle w:val="Heading5"/>
      </w:pPr>
      <w:r>
        <w:t xml:space="preserve">Myth 3: “Financial support alone is sufficient”</w:t>
      </w:r>
    </w:p>
    <w:p>
      <w:pPr>
        <w:pStyle w:val="FirstParagraph"/>
      </w:pPr>
      <w:r>
        <w:t xml:space="preserve">Evidence: reliance on bailouts is a diagnostic feature; psychosocial intervention is required.</w:t>
      </w:r>
    </w:p>
    <w:bookmarkEnd w:id="1837"/>
    <w:bookmarkStart w:id="1838" w:name="myth-4-the-patient-will-grow-out-of-it"/>
    <w:p>
      <w:pPr>
        <w:pStyle w:val="Heading5"/>
      </w:pPr>
      <w:r>
        <w:t xml:space="preserve">Myth 4: “The patient will ‘grow out of it’”</w:t>
      </w:r>
    </w:p>
    <w:p>
      <w:pPr>
        <w:pStyle w:val="FirstParagraph"/>
      </w:pPr>
      <w:r>
        <w:t xml:space="preserve">Evidence: active intervention is required; risk of chronicity.</w:t>
      </w:r>
    </w:p>
    <w:bookmarkEnd w:id="1838"/>
    <w:bookmarkEnd w:id="1839"/>
    <w:bookmarkStart w:id="2950" w:name="X07d30f5da3ece6de956b9693232251db109748a"/>
    <w:p>
      <w:pPr>
        <w:pStyle w:val="Heading3"/>
      </w:pPr>
      <w:r>
        <w:t xml:space="preserve">11. Sources</w:t>
      </w:r>
    </w:p>
    <w:p>
      <w:pPr>
        <w:pStyle w:val="Compact"/>
        <w:numPr>
          <w:ilvl w:val="0"/>
          <w:numId w:val="1934"/>
        </w:numPr>
      </w:pPr>
      <w:r>
        <w:t xml:space="preserve">WHO. ICD-11. 6C50 Gambling disorder. 2024.</w:t>
      </w:r>
    </w:p>
    <w:p>
      <w:pPr>
        <w:pStyle w:val="Compact"/>
        <w:numPr>
          <w:ilvl w:val="0"/>
          <w:numId w:val="1934"/>
        </w:numPr>
      </w:pPr>
      <w:r>
        <w:t xml:space="preserve">APA. DSM-5-TR. 2022.</w:t>
      </w:r>
    </w:p>
    <w:p>
      <w:pPr>
        <w:pStyle w:val="Compact"/>
        <w:numPr>
          <w:ilvl w:val="0"/>
          <w:numId w:val="1934"/>
        </w:numPr>
      </w:pPr>
      <w:r>
        <w:t xml:space="preserve">Cowlishaw S. et al. Psychological therapies for pathological and problem gambling. Cochrane Database Syst Rev 2012;(11):CD008937.</w:t>
      </w:r>
    </w:p>
    <w:p>
      <w:pPr>
        <w:pStyle w:val="Compact"/>
        <w:numPr>
          <w:ilvl w:val="0"/>
          <w:numId w:val="1934"/>
        </w:numPr>
      </w:pPr>
      <w:r>
        <w:t xml:space="preserve">Grant J.E. et al. Pharmacotherapy for gambling disorder. Curr Top Behav Neurosci 2016;26:135–149.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840" w:name="m776c51-gaming-disorder"/>
            <w:r>
              <w:t xml:space="preserve">6C51 GAMING DISORDER</w:t>
            </w:r>
            <w:bookmarkEnd w:id="1840"/>
          </w:p>
          <w:p>
            <w:pPr>
              <w:pStyle w:val="Compact"/>
              <w:ind w:firstLine="0" w:left="0"/>
            </w:pPr>
            <w:r>
              <w:rPr>
                <w:lang w:val="en"/>
              </w:rPr>
              <w:t xml:space="preserve">Gaming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ICD-10 equivalent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Internet Gaming Disorder (Section III, condition for further study)</w:t>
            </w:r>
          </w:p>
        </w:tc>
      </w:tr>
    </w:tbl>
    <w:bookmarkStart w:id="1844" w:name="X13cb2d7444f6939009160431ccf57562d4de082"/>
    <w:p>
      <w:pPr>
        <w:pStyle w:val="Heading3"/>
      </w:pPr>
      <w:r>
        <w:t xml:space="preserve">1. Definition and nosology</w:t>
      </w:r>
    </w:p>
    <w:p>
      <w:pPr>
        <w:pStyle w:val="FirstParagraph"/>
      </w:pPr>
      <w:r>
        <w:t xml:space="preserve">Gaming disorder (ICD-11 code 6C51) is defined by the World Health Organization as a pattern of persistent or recurrent gaming behaviour — digital gaming or video-gaming, either online or offline — manifested by three core features:</w:t>
      </w:r>
    </w:p>
    <w:p>
      <w:pPr>
        <w:pStyle w:val="Compact"/>
        <w:numPr>
          <w:ilvl w:val="0"/>
          <w:numId w:val="1935"/>
        </w:numPr>
      </w:pPr>
      <w:r>
        <w:t xml:space="preserve">impaired control over gaming (onset, frequency, intensity, duration, termination, context);</w:t>
      </w:r>
    </w:p>
    <w:p>
      <w:pPr>
        <w:pStyle w:val="Compact"/>
        <w:numPr>
          <w:ilvl w:val="0"/>
          <w:numId w:val="1935"/>
        </w:numPr>
      </w:pPr>
      <w:r>
        <w:t xml:space="preserve">increasing priority given to gaming to the extent that gaming takes precedence over other life interests and daily activities;</w:t>
      </w:r>
    </w:p>
    <w:p>
      <w:pPr>
        <w:pStyle w:val="Compact"/>
        <w:numPr>
          <w:ilvl w:val="0"/>
          <w:numId w:val="1935"/>
        </w:numPr>
      </w:pPr>
      <w:r>
        <w:t xml:space="preserve">continuation or escalation of gaming despite the occurrence of negative consequences.</w:t>
      </w:r>
    </w:p>
    <w:p>
      <w:pPr>
        <w:pStyle w:val="FirstParagraph"/>
      </w:pPr>
      <w:r>
        <w:t xml:space="preserve">The behaviour pattern must be of sufficient severity to result in significant impairment in personal, family, social, educational, occupational or other important areas of functioning. Note: ICD-11 does not contain a distress criterion for 6C51. Impairment is the obligatory element, and adding “marked distress” as an alternative route into the diagnosis would remove the very feature that gives the category its threshold. The pattern is normally evident over a period of at least 12 months, although the required duration may be shortened if all diagnostic requirements are met and symptoms are severe.</w:t>
      </w:r>
    </w:p>
    <w:bookmarkStart w:id="1841" w:name="nosological-position"/>
    <w:p>
      <w:pPr>
        <w:pStyle w:val="Heading4"/>
      </w:pPr>
      <w:r>
        <w:t xml:space="preserve">Nosological position</w:t>
      </w:r>
    </w:p>
    <w:p>
      <w:pPr>
        <w:pStyle w:val="FirstParagraph"/>
      </w:pPr>
      <w:r>
        <w:t xml:space="preserve">6C51 belongs to the ICD-11 grouping Disorders due to addictive behaviours (6C50–6C5Z), alongside 6C50 Gambling disorder. These are the only two behavioural addictions with dedicated ICD-11 categories; the residual codes 6C5Y (other specified) and 6C5Z (unspecified) exist for other candidate conditions. ICD-11 was adopted unanimously by the 72nd World Health Assembly on 25 May 2019 and entered into force on 1 January 2022.</w:t>
      </w:r>
    </w:p>
    <w:bookmarkEnd w:id="1841"/>
    <w:bookmarkStart w:id="1842" w:name="subtypes-and-exclusions"/>
    <w:p>
      <w:pPr>
        <w:pStyle w:val="Heading4"/>
      </w:pPr>
      <w:r>
        <w:t xml:space="preserve">Subtypes and exclusions</w:t>
      </w:r>
    </w:p>
    <w:p>
      <w:pPr>
        <w:pStyle w:val="Compact"/>
        <w:numPr>
          <w:ilvl w:val="0"/>
          <w:numId w:val="1936"/>
        </w:numPr>
      </w:pPr>
      <w:r>
        <w:t xml:space="preserve">6C51.0 — Gaming disorder, predominantly online.</w:t>
      </w:r>
    </w:p>
    <w:p>
      <w:pPr>
        <w:pStyle w:val="Compact"/>
        <w:numPr>
          <w:ilvl w:val="0"/>
          <w:numId w:val="1936"/>
        </w:numPr>
      </w:pPr>
      <w:r>
        <w:t xml:space="preserve">6C51.1 — Gaming disorder, predominantly offline.</w:t>
      </w:r>
    </w:p>
    <w:p>
      <w:pPr>
        <w:pStyle w:val="Compact"/>
        <w:numPr>
          <w:ilvl w:val="0"/>
          <w:numId w:val="1936"/>
        </w:numPr>
      </w:pPr>
      <w:r>
        <w:t xml:space="preserve">6C51.Z — Gaming disorder, unspecified.</w:t>
      </w:r>
    </w:p>
    <w:p>
      <w:pPr>
        <w:pStyle w:val="FirstParagraph"/>
      </w:pPr>
      <w:r>
        <w:t xml:space="preserve">The exclusions listed under 6C51 are Hazardous gaming (QE22), Bipolar type I disorder (6A60) and Bipolar type II disorder (6A61). Excessive gaming occurring exclusively within a manic or hypomanic episode is therefore not coded as 6C51.</w:t>
      </w:r>
    </w:p>
    <w:bookmarkEnd w:id="1842"/>
    <w:bookmarkStart w:id="1843" w:name="the-sub-threshold-category-qe22"/>
    <w:p>
      <w:pPr>
        <w:pStyle w:val="Heading4"/>
      </w:pPr>
      <w:r>
        <w:t xml:space="preserve">The sub-threshold category QE22</w:t>
      </w:r>
    </w:p>
    <w:p>
      <w:pPr>
        <w:pStyle w:val="FirstParagraph"/>
      </w:pPr>
      <w:r>
        <w:t xml:space="preserve">QE22 Hazardous gaming, in the ICD-11 chapter on factors influencing health status, denotes a pattern of gaming, online or offline, that appreciably increases the risk of harmful physical or mental health consequences to the individual or to others around the individual, but that does not meet the diagnostic requirements for gaming disorder. It exists precisely so that a pattern warranting professional attention and advice need not be forced into a disorder diagnosis.</w:t>
      </w:r>
    </w:p>
    <w:p>
      <w:pPr>
        <w:pStyle w:val="BodyText"/>
      </w:pPr>
      <w:r>
        <w:t xml:space="preserve">The American Psychiatric Association has not recognised gaming as a formal disorder: internet gaming disorder (IGD) remains in DSM-5-TR Section III, “Conditions for Further Study”, and the two criterion sets are described and compared in section 6 of this chapter.</w:t>
      </w:r>
    </w:p>
    <w:bookmarkEnd w:id="1843"/>
    <w:bookmarkEnd w:id="1844"/>
    <w:bookmarkStart w:id="1851" w:name="X7380390ee70e6e9b654ce55713b15fb01911677"/>
    <w:p>
      <w:pPr>
        <w:pStyle w:val="Heading3"/>
      </w:pPr>
      <w:r>
        <w:t xml:space="preserve">2. History</w:t>
      </w:r>
    </w:p>
    <w:bookmarkStart w:id="1845" w:name="pre-history-internet-addiction-1990s"/>
    <w:p>
      <w:pPr>
        <w:pStyle w:val="Heading4"/>
      </w:pPr>
      <w:r>
        <w:t xml:space="preserve">Pre-history: internet addiction (1990s)</w:t>
      </w:r>
    </w:p>
    <w:p>
      <w:pPr>
        <w:pStyle w:val="FirstParagraph"/>
      </w:pPr>
      <w:r>
        <w:t xml:space="preserve">The conceptual precursor was “internet addiction”, proposed as a clinical entity by Young, who adapted DSM-IV pathological gambling criteria to internet use (Young, 1998). Through the 1990s and 2000s gaming was studied mainly inside this broader internet-addiction framework — a conflation later identified as a major source of measurement error, and one that still contaminates systematic reviews of gaming disorder today (Kuss et al., 2017; Colder Carras et al., 2020).</w:t>
      </w:r>
    </w:p>
    <w:bookmarkEnd w:id="1845"/>
    <w:bookmarkStart w:id="1846" w:name="dsm-5"/>
    <w:p>
      <w:pPr>
        <w:pStyle w:val="Heading4"/>
      </w:pPr>
      <w:r>
        <w:t xml:space="preserve">2013 — DSM-5</w:t>
      </w:r>
    </w:p>
    <w:p>
      <w:pPr>
        <w:pStyle w:val="FirstParagraph"/>
      </w:pPr>
      <w:r>
        <w:t xml:space="preserve">The APA placed internet gaming disorder in Section III of DSM-5 as a condition requiring further study, explicitly declining to make it an official diagnosis. This status was carried over unchanged into DSM-5-TR in 2022.</w:t>
      </w:r>
    </w:p>
    <w:bookmarkEnd w:id="1846"/>
    <w:bookmarkStart w:id="1847" w:name="who-consultations"/>
    <w:p>
      <w:pPr>
        <w:pStyle w:val="Heading4"/>
      </w:pPr>
      <w:r>
        <w:t xml:space="preserve">2014–2017 — WHO consultations</w:t>
      </w:r>
    </w:p>
    <w:p>
      <w:pPr>
        <w:pStyle w:val="FirstParagraph"/>
      </w:pPr>
      <w:r>
        <w:t xml:space="preserve">WHO convened a series of expert meetings on the public-health implications of excessive use of the internet, computers, smartphones and similar devices, and on behavioural addictions. The working-group output that shaped the ICD-11 text argued that gaming disorder displays the core features required of an addictive disorder and that a diagnostic category was needed for people already presenting for treatment (Saunders et al., 2017).</w:t>
      </w:r>
    </w:p>
    <w:bookmarkEnd w:id="1847"/>
    <w:bookmarkStart w:id="1848" w:name="the-scientific-controversy"/>
    <w:p>
      <w:pPr>
        <w:pStyle w:val="Heading4"/>
      </w:pPr>
      <w:r>
        <w:t xml:space="preserve">2016–2018 — the scientific controversy</w:t>
      </w:r>
    </w:p>
    <w:p>
      <w:pPr>
        <w:pStyle w:val="FirstParagraph"/>
      </w:pPr>
      <w:r>
        <w:t xml:space="preserve">Before ICD-11 was finalised, 26 scholars published an open debate paper opposing inclusion, warning of low research quality, uncritical borrowing from substance-use and gambling criteria, moral panic, and harm to healthy gamers (Aarseth et al., 2017). A partly overlapping group followed with an argument that the burden of evidence for moving from research construct to formal disorder had not been met (van Rooij et al., 2018). Clinicians and public-health researchers replied in the same journal defending inclusion (Griffiths et al., 2017; Rumpf et al., 2018). The substance of this dispute is set out in section 10.</w:t>
      </w:r>
    </w:p>
    <w:bookmarkEnd w:id="1848"/>
    <w:bookmarkStart w:id="1849" w:name="formal-inclusion"/>
    <w:p>
      <w:pPr>
        <w:pStyle w:val="Heading4"/>
      </w:pPr>
      <w:r>
        <w:t xml:space="preserve">2018–2019 — formal inclusion</w:t>
      </w:r>
    </w:p>
    <w:p>
      <w:pPr>
        <w:pStyle w:val="FirstParagraph"/>
      </w:pPr>
      <w:r>
        <w:t xml:space="preserve">The ICD-11 draft containing 6C51 was released in June 2018; the classification was adopted by the 72nd World Health Assembly on 25 May 2019, with entry into force on 1 January 2022. In 2024 WHO published the Clinical Descriptions and Diagnostic Requirements (CDDR) for ICD-11 mental, behavioural and neurodevelopmental disorders, the operational guidance clinicians now use alongside the MMS entry.</w:t>
      </w:r>
    </w:p>
    <w:bookmarkEnd w:id="1849"/>
    <w:bookmarkStart w:id="1850" w:name="policy-context-non-clinical-sources"/>
    <w:p>
      <w:pPr>
        <w:pStyle w:val="Heading4"/>
      </w:pPr>
      <w:r>
        <w:t xml:space="preserve">Policy context (non-clinical sources)</w:t>
      </w:r>
    </w:p>
    <w:p>
      <w:pPr>
        <w:pStyle w:val="FirstParagraph"/>
      </w:pPr>
      <w:r>
        <w:t xml:space="preserve">The following are government and press announcements, not clinical evidence, and no high-quality evaluation of their clinical effect was identified.</w:t>
      </w:r>
    </w:p>
    <w:p>
      <w:pPr>
        <w:pStyle w:val="Compact"/>
        <w:numPr>
          <w:ilvl w:val="0"/>
          <w:numId w:val="1937"/>
        </w:numPr>
      </w:pPr>
      <w:r>
        <w:t xml:space="preserve">South Korea. The shutdown law (a night-time gaming curfew for minors) was passed on 19 May 2011 and came into force on 20 November 2011. The government announced its abolition on 25 August 2021; the repeal was legislated later that year and the curfew ended from 1 January 2022.</w:t>
      </w:r>
    </w:p>
    <w:p>
      <w:pPr>
        <w:pStyle w:val="Compact"/>
        <w:numPr>
          <w:ilvl w:val="0"/>
          <w:numId w:val="1937"/>
        </w:numPr>
      </w:pPr>
      <w:r>
        <w:t xml:space="preserve">China. From the National Press and Publication Administration notice of 30 August 2021, users under 18 may play online games only between 20:00 and 21:00 on Fridays, weekends and official holidays — approximately three hours in an ordinary week.</w:t>
      </w:r>
    </w:p>
    <w:p>
      <w:pPr>
        <w:pStyle w:val="Compact"/>
        <w:numPr>
          <w:ilvl w:val="0"/>
          <w:numId w:val="1937"/>
        </w:numPr>
      </w:pPr>
      <w:r>
        <w:t xml:space="preserve">England and Wales. The NHS National Centre for Gaming Disorders opened in London in October 2019.</w:t>
      </w:r>
    </w:p>
    <w:bookmarkEnd w:id="1850"/>
    <w:bookmarkEnd w:id="1851"/>
    <w:bookmarkStart w:id="1857" w:name="X30da00907edca07f8d152095181815168bd8dc4"/>
    <w:p>
      <w:pPr>
        <w:pStyle w:val="Heading3"/>
      </w:pPr>
      <w:r>
        <w:t xml:space="preserve">3. Epidemiology</w:t>
      </w:r>
    </w:p>
    <w:bookmarkStart w:id="1852" w:name="pooled-prevalence"/>
    <w:p>
      <w:pPr>
        <w:pStyle w:val="Heading4"/>
      </w:pPr>
      <w:r>
        <w:t xml:space="preserve">Pooled prevalence</w:t>
      </w:r>
    </w:p>
    <w:p>
      <w:pPr>
        <w:pStyle w:val="FirstParagraph"/>
      </w:pPr>
      <w:r>
        <w:t xml:space="preserve">Two large meta-analyses converge on a global figure of roughly 3 per cent, which falls substantially once methodological quality is taken into account.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Source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Estimate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Worldwide pooled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3.05% (95% CI 2.38–3.91)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Stevens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Studies meeting stringent sampling criteria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1.96% (95% CI 0.19–17.12)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 studies, 227,665 participants, 29 countries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3.3% (95% CI 2.6–4.0)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28 representative-sample studies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 (95% CI 1.7–3.2)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Kim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After trim-and-fill adjustment for publication bias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 (95% CI 0.9–1.9)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Przybylski et al.,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Four surveys, N = 18,932, DSM-5 criteria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0.3–1.0%</w:t>
            </w:r>
          </w:p>
        </w:tc>
      </w:tr>
    </w:tbl>
    <w:p>
      <w:pPr>
        <w:pStyle w:val="BodyText"/>
      </w:pPr>
      <w:r>
        <w:t xml:space="preserve">The Stevens confidence interval of 0.19–17.12 per cent must be printed with the point estimate. Quoting 1.96 per cent alone, in a paragraph where every other figure carries an interval, creates a false impression of precision — the stringent-sampling subset is small and the estimate is correspondingly unstable.</w:t>
      </w:r>
    </w:p>
    <w:p>
      <w:pPr>
        <w:pStyle w:val="BodyText"/>
      </w:pPr>
      <w:r>
        <w:t xml:space="preserve">The lowest estimates come from Przybylski, Weinstein and Murayama, who applied DSM-5 criteria across four large international cohorts (samples described in secondary sources as drawn from the United States, the United Kingdom, Canada and Germany). More than two of every three people who played games reported no IGD symptoms at all, and the authors found the links between IGD and physical, social and mental health outcomes to be mixed.</w:t>
      </w:r>
    </w:p>
    <w:bookmarkEnd w:id="1852"/>
    <w:bookmarkStart w:id="1853" w:name="sex-distribution"/>
    <w:p>
      <w:pPr>
        <w:pStyle w:val="Heading4"/>
      </w:pPr>
      <w:r>
        <w:t xml:space="preserve">Sex distribution</w:t>
      </w:r>
    </w:p>
    <w:p>
      <w:pPr>
        <w:pStyle w:val="FirstParagraph"/>
      </w:pPr>
      <w:r>
        <w:t xml:space="preserve">Male preponderance is the most consistent epidemiological finding: 8.5 per cent in males versus 3.5 per cent in females (Kim et al., 2022). Reviews report, citing a meta-analysis by Su and colleagues, that men are more likely than women to show disordered gaming while women are more likely to show problematic social-media use (Musetti et al., 2025).</w:t>
      </w:r>
    </w:p>
    <w:bookmarkEnd w:id="1853"/>
    <w:bookmarkStart w:id="1854" w:name="age"/>
    <w:p>
      <w:pPr>
        <w:pStyle w:val="Heading4"/>
      </w:pPr>
      <w:r>
        <w:t xml:space="preserve">Age</w:t>
      </w:r>
    </w:p>
    <w:p>
      <w:pPr>
        <w:pStyle w:val="FirstParagraph"/>
      </w:pPr>
      <w:r>
        <w:t xml:space="preserve">Prevalence is highest in adolescents and young adults; in Kim et al. (2022) mean sample age was negatively associated with reported prevalence — as were sample size and study quality. In the Singapore panel study of Gentile et al. (2011), which followed 3,034 children in grades 3, 4, 7 and 8 over two years, between 7.6 and 9.9 per cent would be classified as pathological gamers at any single point in time (summarised in the abstract as about 9 per cent).</w:t>
      </w:r>
    </w:p>
    <w:p>
      <w:pPr>
        <w:pStyle w:val="BodyText"/>
      </w:pPr>
      <w:r>
        <w:t xml:space="preserve">Two paediatric syntheses are frequently quoted together and should not be: Gentile et al. (2017) report a range of roughly 1 to 9 per cent depending on age, country and sample characteristics, whereas Paulus et al. (2018) report about 2 per cent in representative samples of children and adolescents and a mean prevalence of 5.5 per cent when all samples, including clinical ones, are pooled.</w:t>
      </w:r>
    </w:p>
    <w:bookmarkEnd w:id="1854"/>
    <w:bookmarkStart w:id="1855" w:name="sources-of-heterogeneity"/>
    <w:p>
      <w:pPr>
        <w:pStyle w:val="Heading4"/>
      </w:pPr>
      <w:r>
        <w:t xml:space="preserve">Sources of heterogeneity</w:t>
      </w:r>
    </w:p>
    <w:p>
      <w:pPr>
        <w:pStyle w:val="FirstParagraph"/>
      </w:pPr>
      <w:r>
        <w:t xml:space="preserve">Reported prevalence varies by an order of magnitude across studies, and the dominant reason is methodological rather than geographical. In Stevens et al. (2021) the choice of screening tool accounted for 77 per cent of the variance, and adolescent samples, lower cut-off scores and smaller sample size were the significant predictors of higher prevalence. Kim et al. (2022) list region among the moderators influencing heterogeneity; Stevens et al. examined study region as a candidate moderator but did not report it among the significant predictors. A regional difference cannot therefore be asserted on the strength of both meta-analyses, and region remains confounded with instrument, sample type and study quality.</w:t>
      </w:r>
    </w:p>
    <w:bookmarkEnd w:id="1855"/>
    <w:bookmarkStart w:id="1856" w:name="regional-data-gap"/>
    <w:p>
      <w:pPr>
        <w:pStyle w:val="Heading4"/>
      </w:pPr>
      <w:r>
        <w:t xml:space="preserve">Regional data gap</w:t>
      </w:r>
    </w:p>
    <w:p>
      <w:pPr>
        <w:pStyle w:val="FirstParagraph"/>
      </w:pPr>
      <w:r>
        <w:t xml:space="preserve">No peer-reviewed prevalence study of gaming disorder conducted in Azerbaijan was identified in this search, and no ICD-11-based prevalence estimate for the South Caucasus was located. Any local figure must be presented as extrapolation, never as measured data.</w:t>
      </w:r>
    </w:p>
    <w:bookmarkEnd w:id="1856"/>
    <w:bookmarkEnd w:id="1857"/>
    <w:bookmarkStart w:id="1867" w:name="Xe5c3f7792ce31330f46a76f66ac1dc058cf184f"/>
    <w:p>
      <w:pPr>
        <w:pStyle w:val="Heading3"/>
      </w:pPr>
      <w:r>
        <w:t xml:space="preserve">4. Aetiology and pathogenesis</w:t>
      </w:r>
    </w:p>
    <w:p>
      <w:pPr>
        <w:pStyle w:val="FirstParagraph"/>
      </w:pPr>
      <w:r>
        <w:t xml:space="preserve">No single causal mechanism has been established. The evidence base is dominated by cross-sectional studies; the strongest available data come from longitudinal cohorts and from meta-analyses of risk factors.</w:t>
      </w:r>
    </w:p>
    <w:bookmarkStart w:id="1858" w:name="genetics"/>
    <w:p>
      <w:pPr>
        <w:pStyle w:val="Heading4"/>
      </w:pPr>
      <w:r>
        <w:t xml:space="preserve">Genetics</w:t>
      </w:r>
    </w:p>
    <w:p>
      <w:pPr>
        <w:pStyle w:val="FirstParagraph"/>
      </w:pPr>
      <w:r>
        <w:t xml:space="preserve">Direct heritability estimates for ICD-11 gaming disorder do not exist. The closest evidence is a Netherlands Twin Register study of 5,247 monozygotic and dizygotic adolescent twins, in which 48 per cent of the individual differences in compulsive internet use were explained by genetic factors, with identical estimates in boys and girls and the remaining 52 per cent attributable to non-shared environment (Vink et al., 2016).</w:t>
      </w:r>
    </w:p>
    <w:p>
      <w:pPr>
        <w:pStyle w:val="BodyText"/>
      </w:pPr>
      <w:r>
        <w:t xml:space="preserve">This figure must not be transferred to gaming disorder. The instrument used, the Compulsive Internet Use Scale, is a 14-item measure of compulsive internet use as a single general construct — loss of control, preoccupation, withdrawal, coping or mood modification, and conflict — and contains no gaming-specific items. Time spent gaming was measured separately in that study and was not the phenotype for which the 48 per cent estimate was obtained.</w:t>
      </w:r>
    </w:p>
    <w:bookmarkEnd w:id="1858"/>
    <w:bookmarkStart w:id="1859" w:name="theoretical-model"/>
    <w:p>
      <w:pPr>
        <w:pStyle w:val="Heading4"/>
      </w:pPr>
      <w:r>
        <w:t xml:space="preserve">Theoretical model</w:t>
      </w:r>
    </w:p>
    <w:p>
      <w:pPr>
        <w:pStyle w:val="FirstParagraph"/>
      </w:pPr>
      <w:r>
        <w:t xml:space="preserve">The most widely used integrative framework is the I-PACE model (Interaction of Person-Affect-Cognition-Execution), which holds that addictive behaviours emerge from interactions between predisposing person variables, affective and cognitive responses to internal and external cues, and executive and inhibitory control, with reinforcement over time shifting behaviour from gratification-driven to compensation-driven and habitual (Brand et al., 2016; Brand et al., 2019). The model is theoretically influential but has not been validated as a diagnostic or predictive tool, and no clinical decision should rest on it.</w:t>
      </w:r>
    </w:p>
    <w:bookmarkEnd w:id="1859"/>
    <w:bookmarkStart w:id="1860" w:name="neurobiology-3"/>
    <w:p>
      <w:pPr>
        <w:pStyle w:val="Heading4"/>
      </w:pPr>
      <w:r>
        <w:t xml:space="preserve">Neurobiology</w:t>
      </w:r>
    </w:p>
    <w:p>
      <w:pPr>
        <w:pStyle w:val="FirstParagraph"/>
      </w:pPr>
      <w:r>
        <w:t xml:space="preserve">A whole-brain meta-analysis of 40 functional imaging studies, using seed-based d mapping, found that neural alterations in internet gaming disorder are task-dependent (Zheng et al., 2019):</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Paradigm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Hyperactivation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Hypoactivation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Cue reactivity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Bilateral precuneus, bilateral cingulate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Insula;</w:t>
            </w:r>
            <w:r>
              <w:t xml:space="preserve"> </w:t>
            </w:r>
            <w:r>
              <w:rPr>
                <w:b/>
                <w:bCs/>
              </w:rPr>
              <w:t xml:space="preserve">no differences in the striatum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Executive control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Right superior temporal gyrus, bilateral precuneus, bilateral cingulate, insula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Left inferior frontal gyrus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Risky decision-making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Left striatum, right inferior frontal gyrus, insula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Left superior frontal gyrus, left inferior frontal gyrus, right precentral gyrus</w:t>
            </w:r>
          </w:p>
        </w:tc>
      </w:tr>
    </w:tbl>
    <w:p>
      <w:pPr>
        <w:pStyle w:val="BodyText"/>
      </w:pPr>
      <w:r>
        <w:t xml:space="preserve">Two points of accuracy matter here. First, the pooled null result in cue-reactivity paradigms concerns the striatum as a whole; a whole-brain analysis of this kind does not license a claim about the ventral striatum specifically. Second, the authors' own conclusion is that the study confirms the critical role of reward and executive-control circuitry in IGD, but not under all conditions — it is not a refutation of reward-system involvement. What the clinician should take from this is narrower and firmer: the frontal findings are not uniformly “hypofrontal” (the right inferior frontal gyrus was hyperactive while the left was hypoactive during risky decision-making), the findings are cross-sectional, and no imaging finding and no biomarker has diagnostic value.</w:t>
      </w:r>
    </w:p>
    <w:bookmarkEnd w:id="1860"/>
    <w:bookmarkStart w:id="1861" w:name="X162a2eaa125c2a5b6d2c6c1f2843a8c944ff287"/>
    <w:p>
      <w:pPr>
        <w:pStyle w:val="Heading4"/>
      </w:pPr>
      <w:r>
        <w:t xml:space="preserve">Risk and protective factors — cross-sectional synthesis</w:t>
      </w:r>
    </w:p>
    <w:p>
      <w:pPr>
        <w:pStyle w:val="FirstParagraph"/>
      </w:pPr>
      <w:r>
        <w:t xml:space="preserve">The largest synthesis to date pooled 1,586 effects from 253 studies and 210,557 participants published before the COVID-19 pandemic. Empirically robust protective factors were few — self-esteem, intelligence, life satisfaction and education — and all had markedly smaller effect sizes than the risk factors (Ropovik et al., 2023).</w:t>
      </w:r>
    </w:p>
    <w:bookmarkEnd w:id="1861"/>
    <w:bookmarkStart w:id="1862" w:name="X2bb90d6bdfd4baede079c4a3a62b0bc92989239"/>
    <w:p>
      <w:pPr>
        <w:pStyle w:val="Heading4"/>
      </w:pPr>
      <w:r>
        <w:t xml:space="preserve">Risk and protective factors — longitudinal synthesis</w:t>
      </w:r>
    </w:p>
    <w:p>
      <w:pPr>
        <w:pStyle w:val="FirstParagraph"/>
      </w:pPr>
      <w:r>
        <w:t xml:space="preserve">A meta-analysis of 39 longitudinal studies with 37,042 participants gives the most clinically usable structure (Zhuang et al.,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 factors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Protective factors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Intrapersonal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Gaming time r = 0.33; loneliness r = 0.29; social-media disorder r = 0.24 (95% CI 0.03–0.43); aggression r = 0.23; anxiety r = 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Self-control r = −0.27; conscientiousness r = −0.25; agreeableness r = −0.20; self-esteem r = −0.19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Interpersonal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Deviant peer affiliation r = 0.20; abuse by family r = 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Peer relationship r = −0.23; parent–child relationship r = −0.15; social support r = −0.14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Environmental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School engagement r = −0.18</w:t>
            </w:r>
          </w:p>
        </w:tc>
      </w:tr>
    </w:tbl>
    <w:p>
      <w:pPr>
        <w:pStyle w:val="BodyText"/>
      </w:pPr>
      <w:r>
        <w:t xml:space="preserve">Intrapersonal factors were substantially more predictive than interpersonal or environmental factors. The wide confidence interval on social-media disorder should be noted before that association is used clinically.</w:t>
      </w:r>
    </w:p>
    <w:bookmarkEnd w:id="1862"/>
    <w:bookmarkStart w:id="1863" w:name="direction-of-causality"/>
    <w:p>
      <w:pPr>
        <w:pStyle w:val="Heading4"/>
      </w:pPr>
      <w:r>
        <w:t xml:space="preserve">Direction of causality</w:t>
      </w:r>
    </w:p>
    <w:p>
      <w:pPr>
        <w:pStyle w:val="FirstParagraph"/>
      </w:pPr>
      <w:r>
        <w:t xml:space="preserve">The Singapore two-year panel study is one of the few datasets that can speak to temporal ordering. Greater amounts of gaming, lower social competence and greater impulsivity appeared to act as risk factors for becoming a pathological gamer, whereas depression, anxiety, social phobia and lower school performance appeared to act as outcomes of pathological gaming rather than as its causes (Gentile et al., 2011). The authors' own hedging verb — these variables “seemed to act” in these roles — should be preserved.</w:t>
      </w:r>
    </w:p>
    <w:bookmarkEnd w:id="1863"/>
    <w:bookmarkStart w:id="1864" w:name="attention-deficithyperactivity-disorder"/>
    <w:p>
      <w:pPr>
        <w:pStyle w:val="Heading4"/>
      </w:pPr>
      <w:r>
        <w:t xml:space="preserve">Attention-deficit/hyperactivity disorder</w:t>
      </w:r>
    </w:p>
    <w:p>
      <w:pPr>
        <w:pStyle w:val="FirstParagraph"/>
      </w:pPr>
      <w:r>
        <w:t xml:space="preserve">A systematic review and meta-analysis found a moderate association between ADHD symptom severity and gaming disorder: r = 0.296 for combined ADHD symptoms, r = 0.306 for inattention and r = 0.266 for hyperactivity (Koncz et al., 2023). This is the single most consistent comorbid association in the field and the highest-yield screening target in practice.</w:t>
      </w:r>
    </w:p>
    <w:bookmarkEnd w:id="1864"/>
    <w:bookmarkStart w:id="1865" w:name="game-design-and-monetisation"/>
    <w:p>
      <w:pPr>
        <w:pStyle w:val="Heading4"/>
      </w:pPr>
      <w:r>
        <w:t xml:space="preserve">Game design and monetisation</w:t>
      </w:r>
    </w:p>
    <w:p>
      <w:pPr>
        <w:pStyle w:val="FirstParagraph"/>
      </w:pPr>
      <w:r>
        <w:t xml:space="preserve">In a survey of 7,422 gamers, spending on loot boxes was associated with problem-gambling severity (η² = 0.054), an association an order of magnitude stronger than for other in-game purchases with real money (η² = 0.004), which suggests specificity for the gambling-like element (Zendle and Cairns, 2018). The design is cross-sectional and the authors state plainly that it cannot distinguish loot boxes acting as a gateway to problem gambling from loot boxes appealing more to people who already gamble problematically.</w:t>
      </w:r>
    </w:p>
    <w:bookmarkEnd w:id="1865"/>
    <w:bookmarkStart w:id="1866" w:name="competing-psychological-account"/>
    <w:p>
      <w:pPr>
        <w:pStyle w:val="Heading4"/>
      </w:pPr>
      <w:r>
        <w:t xml:space="preserve">Competing psychological account</w:t>
      </w:r>
    </w:p>
    <w:p>
      <w:pPr>
        <w:pStyle w:val="FirstParagraph"/>
      </w:pPr>
      <w:r>
        <w:t xml:space="preserve">The compensatory internet use model conceptualises excessive gaming as a coping response to unmet psychosocial needs and adverse life situations rather than as a primary addiction (Kardefelt-Winther, 2014). This account competes directly with the addiction model, remains unresolved, and has a practical consequence: in a patient whose gaming escalated in step with a depressive episode or a social crisis, treating the gaming in isolation is unlikely to work.</w:t>
      </w:r>
    </w:p>
    <w:bookmarkEnd w:id="1866"/>
    <w:bookmarkEnd w:id="1867"/>
    <w:bookmarkStart w:id="1876" w:name="X33bcab88bc5a60502459d0d4f59c785ad428b40"/>
    <w:p>
      <w:pPr>
        <w:pStyle w:val="Heading3"/>
      </w:pPr>
      <w:r>
        <w:t xml:space="preserve">5. Clinical features</w:t>
      </w:r>
    </w:p>
    <w:bookmarkStart w:id="1868" w:name="core-presentation"/>
    <w:p>
      <w:pPr>
        <w:pStyle w:val="Heading4"/>
      </w:pPr>
      <w:r>
        <w:t xml:space="preserve">Core presentation</w:t>
      </w:r>
    </w:p>
    <w:p>
      <w:pPr>
        <w:pStyle w:val="FirstParagraph"/>
      </w:pPr>
      <w:r>
        <w:t xml:space="preserve">The clinical picture is defined by the three ICD-11 features, not by hours played.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 feature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How it presents clinically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Impaired control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Repeated failure to stop at an intended time; sessions longer than planned; unsuccessful attempts to cut down; “one more match” extending into the night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Increasing priority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Gaming displaces sleep, meals, hygiene, study, work, family obligations and previously valued hobbies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Continuation despite negative consequences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Persistence after academic failure, job loss, family conflict, financial loss or documented health harm</w:t>
            </w:r>
          </w:p>
        </w:tc>
      </w:tr>
    </w:tbl>
    <w:bookmarkEnd w:id="1868"/>
    <w:bookmarkStart w:id="1869" w:name="associated-features"/>
    <w:p>
      <w:pPr>
        <w:pStyle w:val="Heading4"/>
      </w:pPr>
      <w:r>
        <w:t xml:space="preserve">Associated features</w:t>
      </w:r>
    </w:p>
    <w:p>
      <w:pPr>
        <w:pStyle w:val="FirstParagraph"/>
      </w:pPr>
      <w:r>
        <w:t xml:space="preserve">Preoccupation with gaming between sessions, irritability, restlessness or dysphoria when gaming is prevented, deception about the extent of gaming, and use of gaming to relieve negative mood are described in the DSM-5-TR criterion set. ICD-11 deliberately does not require tolerance or withdrawal, and the status of withdrawal-like phenomena in gaming remains contested. In practice these features support the diagnosis but cannot carry it.</w:t>
      </w:r>
    </w:p>
    <w:bookmarkEnd w:id="1869"/>
    <w:bookmarkStart w:id="1870" w:name="functional-consequences"/>
    <w:p>
      <w:pPr>
        <w:pStyle w:val="Heading4"/>
      </w:pPr>
      <w:r>
        <w:t xml:space="preserve">Functional consequences</w:t>
      </w:r>
    </w:p>
    <w:p>
      <w:pPr>
        <w:pStyle w:val="FirstParagraph"/>
      </w:pPr>
      <w:r>
        <w:t xml:space="preserve">In clinical presentations the leading complaints are typically brought by family: falling school performance, school refusal or absenteeism, day–night reversal, withdrawal from offline peers, and conflict escalating around attempts to limit access. The impairment requirement is what separates the disorder from intensive hobby use (Billieux et al., 2019).</w:t>
      </w:r>
    </w:p>
    <w:bookmarkEnd w:id="1870"/>
    <w:bookmarkStart w:id="1871" w:name="sleep"/>
    <w:p>
      <w:pPr>
        <w:pStyle w:val="Heading4"/>
      </w:pPr>
      <w:r>
        <w:t xml:space="preserve">Sleep</w:t>
      </w:r>
    </w:p>
    <w:p>
      <w:pPr>
        <w:pStyle w:val="FirstParagraph"/>
      </w:pPr>
      <w:r>
        <w:t xml:space="preserve">Night-time gaming, delayed sleep onset and shortened sleep are commonly reported. The American Academy of Sleep Medicine consensus recommendation is 8 to 10 hours of sleep per 24 hours for adolescents aged 13 to 18 years (Paruthi et al., 2016). Evidence linking gaming to sleep disruption is observational, but sleep timing is one of the few functional metrics that can be documented objectively and tracked over treatment.</w:t>
      </w:r>
    </w:p>
    <w:bookmarkEnd w:id="1871"/>
    <w:bookmarkStart w:id="1872" w:name="physical-health"/>
    <w:p>
      <w:pPr>
        <w:pStyle w:val="Heading4"/>
      </w:pPr>
      <w:r>
        <w:t xml:space="preserve">Physical health</w:t>
      </w:r>
    </w:p>
    <w:p>
      <w:pPr>
        <w:pStyle w:val="FirstParagraph"/>
      </w:pPr>
      <w:r>
        <w:t xml:space="preserve">Reported physical correlates include musculoskeletal pain in the back, neck and shoulders, repetitive-strain injuries of the hand and thumb, eye strain with headache and dizziness, and sedentary-lifestyle sequelae. A narrative review notes that four in every ten e-sports athletes report pain, and that gaming for more than five hours a day increased musculoskeletal symptoms among adolescents aged 13 to 18 years (Satish Kumar et al., 2023). The same review states that very few studies exist, that the evidence is mixed, that assessment tools are not validated and that no longitudinal work in adolescents has been done. This is a weak evidence area and must be presented as such.</w:t>
      </w:r>
    </w:p>
    <w:bookmarkEnd w:id="1872"/>
    <w:bookmarkStart w:id="1873" w:name="comorbidity-1"/>
    <w:p>
      <w:pPr>
        <w:pStyle w:val="Heading4"/>
      </w:pPr>
      <w:r>
        <w:t xml:space="preserve">Comorbidity</w:t>
      </w:r>
    </w:p>
    <w:p>
      <w:pPr>
        <w:pStyle w:val="FirstParagraph"/>
      </w:pPr>
      <w:r>
        <w:t xml:space="preserve">ADHD shows the most consistent association (r ≈ 0.30; Koncz et al., 2023). Depression and anxiety are frequently reported, but the synthesis literature underpinning that impression does not survive appraisal: of seven systematic reviews of gaming disorder with depression or anxiety, covering 196 primary studies in total, evidence of selective outcome reporting was found in all seven, only one assessed risk of bias, and exposure definitions were inconsistent — some included studies used internet-addiction rather than gaming-disorder measures. None was classified as reliable, and the authors concluded that systematic reviews related to gaming disorder do not meet methodological standards (Colder Carras et al., 2020). Comorbidity should therefore be described as commonly observed but poorly quantified, and a comorbid mood or anxiety disorder must be assessed and treated on its own merits rather than assumed to be part of the gaming disorder.</w:t>
      </w:r>
    </w:p>
    <w:bookmarkEnd w:id="1873"/>
    <w:bookmarkStart w:id="1874" w:name="online-versus-offline-subtype"/>
    <w:p>
      <w:pPr>
        <w:pStyle w:val="Heading4"/>
      </w:pPr>
      <w:r>
        <w:t xml:space="preserve">Online versus offline subtype</w:t>
      </w:r>
    </w:p>
    <w:p>
      <w:pPr>
        <w:pStyle w:val="FirstParagraph"/>
      </w:pPr>
      <w:r>
        <w:t xml:space="preserve">The predominantly online form (6C51.0) is the more frequently described presentation and is associated with multiplayer, persistent-world and competitive titles. The predominantly offline form (6C51.1) is recognised but far less studied.</w:t>
      </w:r>
    </w:p>
    <w:bookmarkEnd w:id="1874"/>
    <w:bookmarkStart w:id="1875" w:name="what-is-not-part-of-the-clinical-picture"/>
    <w:p>
      <w:pPr>
        <w:pStyle w:val="Heading4"/>
      </w:pPr>
      <w:r>
        <w:t xml:space="preserve">What is not part of the clinical picture</w:t>
      </w:r>
    </w:p>
    <w:p>
      <w:pPr>
        <w:pStyle w:val="FirstParagraph"/>
      </w:pPr>
      <w:r>
        <w:t xml:space="preserve">Long playing hours in a person whose functioning, sleep, relationships and obligations are intact do not constitute gaming disorder. A person-centred study reported in a recent overview identified a “passionate gamer” subgroup who played more than four hours a day and showed low levels of psychological maladjustment (Musetti et al., 2025). The distinction between high involvement and pathological involvement is essential to the validity of the diagnosis (Billieux et al., 2019).</w:t>
      </w:r>
    </w:p>
    <w:bookmarkEnd w:id="1875"/>
    <w:bookmarkEnd w:id="1876"/>
    <w:bookmarkStart w:id="1885" w:name="X5e9d676d29b18705ddfbf5353d986173a7493e0"/>
    <w:p>
      <w:pPr>
        <w:pStyle w:val="Heading3"/>
      </w:pPr>
      <w:r>
        <w:t xml:space="preserve">6. Diagnosis</w:t>
      </w:r>
    </w:p>
    <w:bookmarkStart w:id="1877" w:name="unified-diagnostic-criteria-41"/>
    <w:p>
      <w:pPr>
        <w:pStyle w:val="Heading4"/>
      </w:pPr>
      <w:r>
        <w:t xml:space="preserve">6.1 Unified diagnostic criteria</w:t>
      </w:r>
    </w:p>
    <w:p>
      <w:pPr>
        <w:pStyle w:val="FirstParagraph"/>
      </w:pPr>
      <w:r>
        <w:t xml:space="preserve">All of the following must be present:</w:t>
      </w:r>
    </w:p>
    <w:p>
      <w:pPr>
        <w:pStyle w:val="Compact"/>
        <w:numPr>
          <w:ilvl w:val="0"/>
          <w:numId w:val="1938"/>
        </w:numPr>
      </w:pPr>
      <w:r>
        <w:t xml:space="preserve">impaired control over gaming — onset, frequency, intensity, duration, termination and context;</w:t>
      </w:r>
    </w:p>
    <w:p>
      <w:pPr>
        <w:pStyle w:val="Compact"/>
        <w:numPr>
          <w:ilvl w:val="0"/>
          <w:numId w:val="1938"/>
        </w:numPr>
      </w:pPr>
      <w:r>
        <w:t xml:space="preserve">increasing priority given to gaming, such that gaming takes precedence over other life interests and daily activities;</w:t>
      </w:r>
    </w:p>
    <w:p>
      <w:pPr>
        <w:pStyle w:val="Compact"/>
        <w:numPr>
          <w:ilvl w:val="0"/>
          <w:numId w:val="1938"/>
        </w:numPr>
      </w:pPr>
      <w:r>
        <w:t xml:space="preserve">continuation or escalation of gaming despite the occurrence of negative consequences;</w:t>
      </w:r>
    </w:p>
    <w:p>
      <w:pPr>
        <w:pStyle w:val="Compact"/>
        <w:numPr>
          <w:ilvl w:val="0"/>
          <w:numId w:val="1938"/>
        </w:numPr>
      </w:pPr>
      <w:r>
        <w:t xml:space="preserve">and the pattern results in significant impairment in personal, family, social, educational, occupational or other important areas of functioning.</w:t>
      </w:r>
    </w:p>
    <w:p>
      <w:pPr>
        <w:pStyle w:val="FirstParagraph"/>
      </w:pPr>
      <w:r>
        <w:t xml:space="preserve">Duration: the pattern of gaming behaviour and other features are normally evident over a period of at least 12 months, although the required duration may be shortened if all diagnostic requirements are met and symptoms are severe. Specify the subtype: 6C51.0 predominantly online, 6C51.1 predominantly offline, 6C51.Z unspecified.</w:t>
      </w:r>
    </w:p>
    <w:bookmarkEnd w:id="1877"/>
    <w:bookmarkStart w:id="1878" w:name="X3c9313e02c1f30ea91e699bac691111483afacc"/>
    <w:p>
      <w:pPr>
        <w:pStyle w:val="Heading4"/>
      </w:pPr>
      <w:r>
        <w:t xml:space="preserve">6.2 How reliable is this diagnosis in practice?</w:t>
      </w:r>
    </w:p>
    <w:p>
      <w:pPr>
        <w:pStyle w:val="FirstParagraph"/>
      </w:pPr>
      <w:r>
        <w:t xml:space="preserve">One field study has tested the ICD-11 guidelines directly. In Shanghai and Hebei, 200 gamers aged 15 to 18 years (mean 16.5, 85.6 per cent male) were assessed by 21 rater pairs formed from seven psychiatrists. Inter-rater agreement was κ = 0.545 (95% CI 0.490–0.600) for the ICD-11 gaming disorder guidelines — moderate, by the authors' own Landis and Koch classification — and κ = 0.622 (95% CI 0.553–0.691) for DSM-5 IGD. Agreement between the two systems applied to the same patients was κ = 0.847 (95% CI 0.814–0.880). Clinicians endorsed the guidelines' clinical applicability as quite or extremely good in 86.0 per cent of 400 rating sets (Ma et al., 2021).</w:t>
      </w:r>
    </w:p>
    <w:p>
      <w:pPr>
        <w:pStyle w:val="BodyText"/>
      </w:pPr>
      <w:r>
        <w:t xml:space="preserve">The head-to-head comparison of these two kappas is not like-for-like and must not be reported as a clean demonstration that ICD-11 is the less reliable system. The ICD-11 value comes from a three-category judgement (gaming disorder / hazardous gaming / neither), the DSM-5 value from a two-category judgement (IGD yes / no). A three-category kappa is structurally penalised by disagreements over the intermediate hazardous-gaming category, which has no DSM-5 counterpart. Three further limitations belong with the figures: all 200 gamers were screened from a single vocational and technical education centre; there were only seven raters; and the concurrent joint-rater design used in WHO field studies tends to generate higher kappa values than an independent re-interview would, so 0.545 is more likely an optimistic than a pessimistic estimate of everyday practice. There is no replication.</w:t>
      </w:r>
    </w:p>
    <w:p>
      <w:pPr>
        <w:pStyle w:val="BodyText"/>
      </w:pPr>
      <w:r>
        <w:t xml:space="preserve">The same study also disposes of a common assumption. Applied to the same 400 rating sets, the ICD-11 criteria yielded slightly</w:t>
      </w:r>
      <w:r>
        <w:t xml:space="preserve"> </w:t>
      </w:r>
      <w:r>
        <w:rPr>
          <w:i/>
          <w:iCs/>
        </w:rPr>
        <w:t xml:space="preserve">more</w:t>
      </w:r>
      <w:r>
        <w:t xml:space="preserve"> </w:t>
      </w:r>
      <w:r>
        <w:t xml:space="preserve">cases (86) than the DSM-5 criteria (78), and agreement between the systems was almost perfect. Differences in reported prevalence between studies therefore cannot be attributed simply to which manual an instrument follows; the instrument itself, its cut-off and the sample matter far more (see section 3).</w:t>
      </w:r>
    </w:p>
    <w:bookmarkEnd w:id="1878"/>
    <w:bookmarkStart w:id="1879" w:name="X4926fd3825917cf36594c9867ad943d475b8d23"/>
    <w:p>
      <w:pPr>
        <w:pStyle w:val="Heading4"/>
      </w:pPr>
      <w:r>
        <w:t xml:space="preserve">6.3 Why the 12-month requirement is not arbitrary</w:t>
      </w:r>
    </w:p>
    <w:p>
      <w:pPr>
        <w:pStyle w:val="FirstParagraph"/>
      </w:pPr>
      <w:r>
        <w:t xml:space="preserve">Gaming-disorder caseness is markedly unstable over time. A meta-analysis of 50 longitudinal studies found categorical stability of approximately 43 to 45 per cent at one year and 34 to 38 per cent at two years (Sun et al., 2025), and a one-year longitudinal study found substantial movement across the diagnostic threshold in both directions (Hong et al., 2023). A large share of people who cross the threshold at a single assessment will not be above it a year later without any treatment at all. The 12-month requirement is what prevents a transient episode — an examination period, a lost job, a bereavement, a summer holiday with an unlimited connection — from being converted into a psychiatric diagnosis. The permitted shortening applies only when every diagnostic requirement is already met and symptoms are severe; it is not a licence to diagnose early on impression.</w:t>
      </w:r>
    </w:p>
    <w:bookmarkEnd w:id="1879"/>
    <w:bookmarkStart w:id="1880" w:name="boundary-with-normality"/>
    <w:p>
      <w:pPr>
        <w:pStyle w:val="Heading4"/>
      </w:pPr>
      <w:r>
        <w:t xml:space="preserve">6.4 Boundary with normality</w:t>
      </w:r>
    </w:p>
    <w:p>
      <w:pPr>
        <w:pStyle w:val="FirstParagraph"/>
      </w:pPr>
      <w:r>
        <w:t xml:space="preserve">Intensive gaming undertaken for skill development, competition or recreation, in the absence of impaired control and of functional impairment, is not a disorder. There is no time threshold in the criteria; hours played are not diagnostic. WHO states in its public guidance that gaming disorder affects only a small proportion of people who engage in digital or video gaming. This is the principal safeguard against false-positive diagnosis (Billieux et al., 2019).</w:t>
      </w:r>
    </w:p>
    <w:bookmarkEnd w:id="1880"/>
    <w:bookmarkStart w:id="1881" w:name="diagnostic-algorithm-62"/>
    <w:p>
      <w:pPr>
        <w:pStyle w:val="Heading4"/>
      </w:pPr>
      <w:r>
        <w:t xml:space="preserve">6.5 Diagnostic algorithm</w:t>
      </w:r>
    </w:p>
    <w:p>
      <w:pPr>
        <w:pStyle w:val="Compact"/>
        <w:numPr>
          <w:ilvl w:val="0"/>
          <w:numId w:val="1939"/>
        </w:numPr>
      </w:pPr>
      <w:r>
        <w:t xml:space="preserve">Step 1. Establish that a gaming pattern is present and characterise it: titles, platform, online or offline, session structure, monetisation exposure including loot boxes.</w:t>
      </w:r>
    </w:p>
    <w:p>
      <w:pPr>
        <w:pStyle w:val="Compact"/>
        <w:numPr>
          <w:ilvl w:val="0"/>
          <w:numId w:val="1939"/>
        </w:numPr>
      </w:pPr>
      <w:r>
        <w:t xml:space="preserve">Step 2. Assess each of the three core components separately, with concrete behavioural examples rather than self-labelling.</w:t>
      </w:r>
    </w:p>
    <w:p>
      <w:pPr>
        <w:pStyle w:val="Compact"/>
        <w:numPr>
          <w:ilvl w:val="0"/>
          <w:numId w:val="1939"/>
        </w:numPr>
      </w:pPr>
      <w:r>
        <w:t xml:space="preserve">Step 3. Document functional impairment objectively — school or work records, sleep, family report, loss of previous activities. In the absence of impairment, consider QE22 Hazardous gaming instead.</w:t>
      </w:r>
    </w:p>
    <w:p>
      <w:pPr>
        <w:pStyle w:val="Compact"/>
        <w:numPr>
          <w:ilvl w:val="0"/>
          <w:numId w:val="1939"/>
        </w:numPr>
      </w:pPr>
      <w:r>
        <w:t xml:space="preserve">Step 4. Establish the 12-month time frame, or document severity sufficient to shorten it.</w:t>
      </w:r>
    </w:p>
    <w:p>
      <w:pPr>
        <w:pStyle w:val="Compact"/>
        <w:numPr>
          <w:ilvl w:val="0"/>
          <w:numId w:val="1939"/>
        </w:numPr>
      </w:pPr>
      <w:r>
        <w:t xml:space="preserve">Step 5. Exclude a manic or hypomanic episode (6A60, 6A61) as the sole context of the behaviour.</w:t>
      </w:r>
    </w:p>
    <w:p>
      <w:pPr>
        <w:pStyle w:val="Compact"/>
        <w:numPr>
          <w:ilvl w:val="0"/>
          <w:numId w:val="1939"/>
        </w:numPr>
      </w:pPr>
      <w:r>
        <w:t xml:space="preserve">Step 6. Screen systematically for comorbidity: ADHD first, then depressive disorders, anxiety and social anxiety, substance use and sleep disorders.</w:t>
      </w:r>
    </w:p>
    <w:p>
      <w:pPr>
        <w:pStyle w:val="Compact"/>
        <w:numPr>
          <w:ilvl w:val="0"/>
          <w:numId w:val="1939"/>
        </w:numPr>
      </w:pPr>
      <w:r>
        <w:t xml:space="preserve">Step 7. Use a validated instrument (GDT, ACSID-11, IGDT-10, IGDS9-SF) as an adjunct only. No instrument is diagnostic on its own.</w:t>
      </w:r>
    </w:p>
    <w:bookmarkEnd w:id="1881"/>
    <w:bookmarkStart w:id="1882" w:name="icd-11-and-dsm-5-tr-compared"/>
    <w:p>
      <w:pPr>
        <w:pStyle w:val="Heading4"/>
      </w:pPr>
      <w:r>
        <w:t xml:space="preserve">6.6 ICD-11 and DSM-5-TR compared</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 6C51 Gaming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 Internet gaming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Status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Formal diagnosis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Section III, Conditions for Further Study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Structure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Three obligatory components, all required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Nine proposed criteria, five or more required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Impairment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Obligatory, separate requirement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Contained in the diagnostic stem (clinically significant impairment or distress), not a separate additional criterion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Tolerance and withdrawal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included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Included among the nine criteria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Time frame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Normally at least 12 months; may be shortened if severe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Within a 12-month period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Scope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Online or offline; subtypes coded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Framed around online games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Sub-threshold code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 Hazardous gaming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None</w:t>
            </w:r>
          </w:p>
        </w:tc>
      </w:tr>
    </w:tbl>
    <w:p>
      <w:pPr>
        <w:pStyle w:val="BodyText"/>
      </w:pPr>
      <w:r>
        <w:t xml:space="preserve">The greater emphasis ICD-11 places on impairment is generally read as giving it the higher diagnostic threshold (Musetti et al., 2025).</w:t>
      </w:r>
    </w:p>
    <w:bookmarkEnd w:id="1882"/>
    <w:bookmarkStart w:id="1883" w:name="diagnostic-stability-over-one-year"/>
    <w:p>
      <w:pPr>
        <w:pStyle w:val="Heading4"/>
      </w:pPr>
      <w:r>
        <w:t xml:space="preserve">6.7 Diagnostic stability over one year</w:t>
      </w:r>
    </w:p>
    <w:p>
      <w:pPr>
        <w:pStyle w:val="FirstParagraph"/>
      </w:pPr>
      <w:r>
        <w:t xml:space="preserve">In a one-year longitudinal study of 279 participants — 120 patients with problematic gaming and 159 gamers from the general population — 34.7 per cent of participants had a change in DSM-5 IGD diagnosis, while the number of ICD-11 gaming disorder cases increased to 60.4 per cent (Hong et al., 2023). These two figures are different quantities and must not be set against each other as though they were the same: 34.7 per cent is a rate of diagnostic change, whereas 60.4 per cent is the level to which the gaming disorder caseload rose. The authors state explicitly that there was no significant difference between the amounts of IGD and GD diagnostic change over the year, and their interpretive conclusion is the cautious one — that a gaming disorder diagnosis</w:t>
      </w:r>
      <w:r>
        <w:t xml:space="preserve"> </w:t>
      </w:r>
      <w:r>
        <w:rPr>
          <w:i/>
          <w:iCs/>
        </w:rPr>
        <w:t xml:space="preserve">might</w:t>
      </w:r>
      <w:r>
        <w:t xml:space="preserve"> </w:t>
      </w:r>
      <w:r>
        <w:t xml:space="preserve">be more prone to change than an IGD diagnosis. ADHD carried the highest odds ratio for both; the point estimate reported for gaming disorder is of the order of 10⁶ with a correspondingly vast confidence interval and is not interpretable as an effect size, almost certainly reflecting quasi-complete separation in the model.</w:t>
      </w:r>
    </w:p>
    <w:p>
      <w:pPr>
        <w:pStyle w:val="BodyText"/>
      </w:pPr>
      <w:r>
        <w:t xml:space="preserve">The clinical consequence is direct: a single cross-sectional assessment establishes a diagnosis at that moment, not a prognosis, and re-assessment is part of management rather than an optional extra.</w:t>
      </w:r>
    </w:p>
    <w:bookmarkEnd w:id="1883"/>
    <w:bookmarkStart w:id="1884" w:name="differential-diagnosis-63"/>
    <w:p>
      <w:pPr>
        <w:pStyle w:val="Heading4"/>
      </w:pPr>
      <w:r>
        <w:t xml:space="preserve">6.8 Differential diagnosis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point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Hazardous gaming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Gaming that appreciably increases risk of harm but does not meet the requirements for 6C51 — typically because impaired control or significant impairment is absent. Use this code when the pattern warrants advice but not a disorder diagnosis.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Gambling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Central behaviour is wagering money or valuables on outcomes of uncertain result. The boundary is blurred by gambling-like in-game monetisation; assess both behaviours, and code both where criteria are met.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type I / type II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Formal ICD-11 exclusions. Excessive gaming occurring exclusively within a manic or hypomanic episode is a symptom of the mood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Attention deficit hyperactivity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Strongest and most consistent comorbidity. Distinguish primary ADHD with disorganised, poorly regulated gaming from an independent gaming disorder; the two frequently coexist and both should be coded when criteria are met.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disorders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Gaming used predominantly to escape or relieve depressed mood may be a secondary phenomenon. Assess the temporal sequence and whether gaming-related impairment persists once the mood disorder is treated.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6B00 /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Generalised anxiety disorder / Social anxiety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social anxiety the avoidance is driven by fear of negative evaluation; in gaming disorder the driver is impaired control over and prioritisation of gaming itself.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Autism spectrum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Intense, circumscribed interest may reflect the restricted-interest domain rather than an addictive process. A long-standing, non-escalating special interest that does not produce impairment is not 6C51.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Disorders due to substance use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Assess whether the gaming pattern persists independently of substance use or intoxication.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Prolonged solitary immersion may occur in the context of negative symptoms, social withdrawal or delusional preoccupation with game content.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Obsessive-compulsive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Ritualised in-game behaviour driven by intrusive thoughts and anxiety reduction is ego-dystonic from the outset, unlike the gratification-then-habit pattern of gaming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specified / unspecified disorders due to addictive behaviours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 addictive-behaviour patterns centred on other online activities — social networks, buying-shopping, pornography use — that meet neither the gaming nor the gambling definition.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Insomnia disorders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Determine whether the sleep disturbance is a consequence of the gaming pattern or an independent sleep–wake disorder.</w:t>
            </w:r>
          </w:p>
        </w:tc>
      </w:tr>
    </w:tbl>
    <w:p>
      <w:pPr>
        <w:pStyle w:val="BodyText"/>
      </w:pPr>
      <w:r>
        <w:t xml:space="preserve">One differential question has no settled answer: whether gaming that arises and remits with a mood or attention disorder is a primary condition at all. It remains an acknowledged research priority (Musetti et al., 2025), and in an individual patient it is answered pragmatically — by treating the comorbid disorder properly and observing whether the gaming-related impairment resolves with it.</w:t>
      </w:r>
    </w:p>
    <w:bookmarkEnd w:id="1884"/>
    <w:bookmarkEnd w:id="1885"/>
    <w:bookmarkStart w:id="1890" w:name="X0f0d87caa21a21559be5399945aed187436dd98"/>
    <w:p>
      <w:pPr>
        <w:pStyle w:val="Heading3"/>
      </w:pPr>
      <w:r>
        <w:t xml:space="preserve">7. Examination and assessment</w:t>
      </w:r>
    </w:p>
    <w:bookmarkStart w:id="1886" w:name="general-principle"/>
    <w:p>
      <w:pPr>
        <w:pStyle w:val="Heading4"/>
      </w:pPr>
      <w:r>
        <w:t xml:space="preserve">General principle</w:t>
      </w:r>
    </w:p>
    <w:p>
      <w:pPr>
        <w:pStyle w:val="FirstParagraph"/>
      </w:pPr>
      <w:r>
        <w:t xml:space="preserve">There is no biological test and no imaging finding that can diagnose gaming disorder, and no diagnostic biomarker has been established. Diagnosis rests on clinical interview; psychometric instruments are screening and severity tools only, and none should be used to make or exclude a diagnosis on its own.</w:t>
      </w:r>
    </w:p>
    <w:bookmarkEnd w:id="1886"/>
    <w:bookmarkStart w:id="1887" w:name="instruments"/>
    <w:p>
      <w:pPr>
        <w:pStyle w:val="Heading4"/>
      </w:pPr>
      <w:r>
        <w:t xml:space="preserve">Instruments</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Framework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Structure and scoring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Validation and cut-off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Gaming Disorder Test (GDT)</w:t>
            </w:r>
            <w:r>
              <w:br/>
            </w:r>
            <w:r>
              <w:t xml:space="preserve">Pontes et al., 2021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items, 5-point Likert, total 4–20; higher = more severe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Developed in 236 Chinese and 324 British gamers recruited online. Internal consistency supported by a 2024 reliability-generalisation meta-analysis of 17 studies across 14 languages (pooled α = 0.86, 95% CI 0.83–0.89). No single universally validated diagnostic cut-off.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ACSID-11</w:t>
            </w:r>
            <w:r>
              <w:br/>
            </w:r>
            <w:r>
              <w:t xml:space="preserve">Müller et al., 2022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 items applied identically to gaming, buying-shopping, pornography use, social-networks use and online gambling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Developed in 985 active internet users (German). Thai (2023) and Chinese adolescent (2024) validations cover gaming; the English-language validation published to date covers Tinder and online pornography use, not gaming. Dimensional; no diagnostic cut-off.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IGDT-10</w:t>
            </w:r>
            <w:r>
              <w:br/>
            </w:r>
            <w:r>
              <w:t xml:space="preserve">Király et al., 2017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 items operationalising the nine criteria; score range 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Developed in 4,887 online gamers (14–64 years, mean 22.2, 92.5% male). Cut-off ≥ 5 indicates probable IGD. Scalar measurement invariance across seven language-based samples (7,193 participants) shown in a separate 2019 study.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IGDS9-SF</w:t>
            </w:r>
            <w:r>
              <w:br/>
            </w:r>
            <w:r>
              <w:t xml:space="preserve">Pontes and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 items, 5-point scale; criterion-based interpretation (endorsement of at least five of nine at the highest frequency)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Developed in 1,397 English-speaking gamers (85.1% male, mean age 27). Systematic review of 21 studies across 15 language versions confirmed a unidimensional structure (Poon et al., 2021). No definitively validated single total-score threshold.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(internet and computer game addiction)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Severity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Primary outcome measure in the STICA multicentre randomised trial (d = 1.19 at treatment termination).</w:t>
            </w:r>
          </w:p>
        </w:tc>
      </w:tr>
    </w:tbl>
    <w:bookmarkEnd w:id="1887"/>
    <w:bookmarkStart w:id="1888" w:name="critical-caveat-on-instruments"/>
    <w:p>
      <w:pPr>
        <w:pStyle w:val="Heading4"/>
      </w:pPr>
      <w:r>
        <w:t xml:space="preserve">Critical caveat on instruments</w:t>
      </w:r>
    </w:p>
    <w:p>
      <w:pPr>
        <w:pStyle w:val="FirstParagraph"/>
      </w:pPr>
      <w:r>
        <w:t xml:space="preserve">A face-validity evaluation of 29 gaming-disorder screening instruments, comprising an item bank of 417 items rated independently by three professional raters, identified systematic problems of scope, wording and overpathologising — items that capture normal intensive engagement (King et al., 2020). This is not a theoretical concern: in the largest prevalence meta-analysis the choice of screening tool accounted for 77 per cent of the between-study variance (Stevens et al., 2021). An instrument score above a cut-off is a reason to interview carefully, never a diagnosis.</w:t>
      </w:r>
    </w:p>
    <w:bookmarkEnd w:id="1888"/>
    <w:bookmarkStart w:id="1889" w:name="recommended-assessment-package"/>
    <w:p>
      <w:pPr>
        <w:pStyle w:val="Heading4"/>
      </w:pPr>
      <w:r>
        <w:t xml:space="preserve">Recommended assessment package</w:t>
      </w:r>
    </w:p>
    <w:p>
      <w:pPr>
        <w:pStyle w:val="Compact"/>
        <w:numPr>
          <w:ilvl w:val="0"/>
          <w:numId w:val="1940"/>
        </w:numPr>
      </w:pPr>
      <w:r>
        <w:t xml:space="preserve">Structured clinical interview against the three ICD-11 components plus documented functional impairment.</w:t>
      </w:r>
    </w:p>
    <w:p>
      <w:pPr>
        <w:pStyle w:val="Compact"/>
        <w:numPr>
          <w:ilvl w:val="0"/>
          <w:numId w:val="1940"/>
        </w:numPr>
      </w:pPr>
      <w:r>
        <w:t xml:space="preserve">Collateral history from family or school — essential in minors.</w:t>
      </w:r>
    </w:p>
    <w:p>
      <w:pPr>
        <w:pStyle w:val="Compact"/>
        <w:numPr>
          <w:ilvl w:val="0"/>
          <w:numId w:val="1940"/>
        </w:numPr>
      </w:pPr>
      <w:r>
        <w:t xml:space="preserve">One ICD-11-aligned instrument (GDT or ACSID-11) for severity tracking over time.</w:t>
      </w:r>
    </w:p>
    <w:p>
      <w:pPr>
        <w:pStyle w:val="Compact"/>
        <w:numPr>
          <w:ilvl w:val="0"/>
          <w:numId w:val="1940"/>
        </w:numPr>
      </w:pPr>
      <w:r>
        <w:t xml:space="preserve">Systematic comorbidity screening: ADHD first (r ≈ 0.30), then depressive and anxiety disorders, substance use and social anxiety.</w:t>
      </w:r>
    </w:p>
    <w:p>
      <w:pPr>
        <w:pStyle w:val="Compact"/>
        <w:numPr>
          <w:ilvl w:val="0"/>
          <w:numId w:val="1940"/>
        </w:numPr>
      </w:pPr>
      <w:r>
        <w:t xml:space="preserve">Sleep assessment, with the AASM adolescent recommendation of 8–10 hours as the reference point.</w:t>
      </w:r>
    </w:p>
    <w:p>
      <w:pPr>
        <w:pStyle w:val="Compact"/>
        <w:numPr>
          <w:ilvl w:val="0"/>
          <w:numId w:val="1940"/>
        </w:numPr>
      </w:pPr>
      <w:r>
        <w:t xml:space="preserve">Assessment of gambling-like monetisation exposure (loot boxes, in-game purchases) and of any co-occurring gambling behaviour.</w:t>
      </w:r>
    </w:p>
    <w:p>
      <w:pPr>
        <w:pStyle w:val="Compact"/>
        <w:numPr>
          <w:ilvl w:val="0"/>
          <w:numId w:val="1940"/>
        </w:numPr>
      </w:pPr>
      <w:r>
        <w:t xml:space="preserve">Baseline functional metrics for follow-up: school or work attendance and performance, sleep timing, offline social contacts, physical activity.</w:t>
      </w:r>
    </w:p>
    <w:bookmarkEnd w:id="1889"/>
    <w:bookmarkEnd w:id="1890"/>
    <w:bookmarkStart w:id="1896" w:name="X1947305499abfa322b0cc0ae28d72ad9270252f"/>
    <w:p>
      <w:pPr>
        <w:pStyle w:val="Heading3"/>
      </w:pPr>
      <w:r>
        <w:t xml:space="preserve">8. Treatment</w:t>
      </w:r>
    </w:p>
    <w:p>
      <w:pPr>
        <w:pStyle w:val="FirstParagraph"/>
      </w:pPr>
      <w:r>
        <w:t xml:space="preserve">There is no approved pharmacotherapy for gaming disorder anywhere. No medication holds FDA approval for this indication, and every agent that has been studied was used off-label. No Cochrane systematic review dedicated to gaming disorder was identified; NICE has published a guideline on gambling-related harms (NG248, 28 January 2025) but none covering gaming disorder; and no WFSBP, CANMAT, NIMH, SAMHSA or VA-DoD clinical guidance specific to gaming disorder was identified. For a formally classified disorder this is a striking gap, and it means the clinician is working from primary trials rather than from guidelines.</w:t>
      </w:r>
    </w:p>
    <w:bookmarkStart w:id="1891" w:name="Xf380f2d151f8fbcebdc62048ad18a245daab1e7"/>
    <w:p>
      <w:pPr>
        <w:pStyle w:val="Heading4"/>
      </w:pPr>
      <w:r>
        <w:t xml:space="preserve">8.1 Pharmacotherapy: what has actually been studied</w:t>
      </w:r>
    </w:p>
    <w:p>
      <w:pPr>
        <w:pStyle w:val="FirstParagraph"/>
      </w:pPr>
      <w:r>
        <w:t xml:space="preserve">The entire pharmacological literature was summarised in a systematic review of 12 clinical trials reporting on 724 participants. Its limitations define what can and cannot be concluded from it:</w:t>
      </w:r>
    </w:p>
    <w:p>
      <w:pPr>
        <w:pStyle w:val="Compact"/>
        <w:numPr>
          <w:ilvl w:val="0"/>
          <w:numId w:val="1941"/>
        </w:numPr>
      </w:pPr>
      <w:r>
        <w:t xml:space="preserve">98.6 per cent of participants were male (684 of the 694 for whom sex was reported);</w:t>
      </w:r>
    </w:p>
    <w:p>
      <w:pPr>
        <w:pStyle w:val="Compact"/>
        <w:numPr>
          <w:ilvl w:val="0"/>
          <w:numId w:val="1941"/>
        </w:numPr>
      </w:pPr>
      <w:r>
        <w:t xml:space="preserve">100 per cent of the trials were conducted in South Korea;</w:t>
      </w:r>
    </w:p>
    <w:p>
      <w:pPr>
        <w:pStyle w:val="Compact"/>
        <w:numPr>
          <w:ilvl w:val="0"/>
          <w:numId w:val="1941"/>
        </w:numPr>
      </w:pPr>
      <w:r>
        <w:t xml:space="preserve">8 of the 12 trials were open-label, and only four studies overall were rated at low risk of bias.</w:t>
      </w:r>
    </w:p>
    <w:p>
      <w:pPr>
        <w:pStyle w:val="FirstParagraph"/>
      </w:pPr>
      <w:r>
        <w:t xml:space="preserve">Across all trials, IGD symptom reductions from pre- to post-treatment ranged from 15.4 to 51.4 per cent — a range driven entirely by the bupropion studies (Sá et al., 2023).</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Share of participants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Reported symptom reduction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Bupropion (incl. sustained release), 6 articles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15.4–51.4%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SSRIs — fluoxetine, escitalopram, paroxetine, 6 articles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17.6–24.0%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Methylphenidate, 2 articles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23.7–25.7%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Atomoxetine, 1 article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18.3%</w:t>
            </w:r>
          </w:p>
        </w:tc>
      </w:tr>
    </w:tbl>
    <w:p>
      <w:pPr>
        <w:pStyle w:val="BodyText"/>
      </w:pPr>
      <w:r>
        <w:t xml:space="preserve">Comorbidity is central to reading these figures. Seven of the 12 trials focused primarily on IGD, accounting for 461 participants (63.6 per cent of the total); five of those seven also enrolled participants with psychiatric comorbidity, most commonly ADHD and major depressive disorder, accounting for 298 participants — about 41 per cent of the whole pooled sample. In other words, a substantial share of the observed improvement may belong to the comorbid disorder rather than to the gaming behaviour.</w:t>
      </w:r>
    </w:p>
    <w:p>
      <w:pPr>
        <w:pStyle w:val="BodyText"/>
      </w:pPr>
      <w:r>
        <w:t xml:space="preserve">The two most informative individual trials:</w:t>
      </w:r>
    </w:p>
    <w:p>
      <w:pPr>
        <w:pStyle w:val="Compact"/>
        <w:numPr>
          <w:ilvl w:val="0"/>
          <w:numId w:val="1942"/>
        </w:numPr>
      </w:pPr>
      <w:r>
        <w:t xml:space="preserve">Han and Renshaw (2012). Twelve-week prospective, randomised, double-blind trial (eight weeks active treatment, four weeks follow-up) in 50 men with major depressive disorder and excessive online game play. Bupropion plus internet-use education reduced Young Internet Addiction Scale scores and mean gaming time more than placebo plus education. Clinically relevant detail: during the four-week follow-up the reduction in online game play persisted while depressive symptoms recurred.</w:t>
      </w:r>
    </w:p>
    <w:p>
      <w:pPr>
        <w:pStyle w:val="Compact"/>
        <w:numPr>
          <w:ilvl w:val="0"/>
          <w:numId w:val="1942"/>
        </w:numPr>
      </w:pPr>
      <w:r>
        <w:t xml:space="preserve">Nam et al. (2017). Twelve-week double-blind comparison of bupropion and escitalopram in patients with major depressive disorder and excessive internet game play. Both groups improved on depressive and IGD symptoms, but with 30 patients in total (15 per arm) the trial cannot support any comparative efficacy claim.</w:t>
      </w:r>
    </w:p>
    <w:p>
      <w:pPr>
        <w:pStyle w:val="FirstParagraph"/>
      </w:pPr>
      <w:r>
        <w:t xml:space="preserve">Clinical rule. Pharmacotherapy in gaming disorder is currently directed at comorbidity — ADHD, depression — and not at the gaming behaviour itself. It should be prescribed on the indication of the comorbid disorder, with the gaming outcome monitored rather than promised.</w:t>
      </w:r>
    </w:p>
    <w:bookmarkEnd w:id="1891"/>
    <w:bookmarkStart w:id="1892" w:name="Xd22a7f1ed128f9cd41c9c2da516abd3b778da13"/>
    <w:p>
      <w:pPr>
        <w:pStyle w:val="Heading4"/>
      </w:pPr>
      <w:r>
        <w:t xml:space="preserve">8.2 Psychotherapy: cognitive-behavioural therapy is the best-supported option</w:t>
      </w:r>
    </w:p>
    <w:p>
      <w:pPr>
        <w:pStyle w:val="FirstParagraph"/>
      </w:pPr>
      <w:r>
        <w:t xml:space="preserve">Three syntheses and one multicentre trial define the position.</w:t>
      </w:r>
    </w:p>
    <w:p>
      <w:pPr>
        <w:pStyle w:val="Compact"/>
        <w:numPr>
          <w:ilvl w:val="0"/>
          <w:numId w:val="1943"/>
        </w:numPr>
      </w:pPr>
      <w:r>
        <w:t xml:space="preserve">Stevens et al. (2019). Meta-analysis of 12 independent CBT studies. The pre–post effect on IGD symptoms at post-test was g = 0.92 (95% CI 0.50–1.34); depression g = 0.80 (0.21–1.38); anxiety g = 0.55 (0.17–0.93). These are pre–post treatment effects, not controlled between-group comparisons, and the distinction matters because this is the field's headline number. The finding that governs practice is the next one: treatment gains at follow-up were non-significant across all four outcomes — IGD symptoms included, not only depression and anxiety. Gains from CBT are demonstrated in the short term and are not demonstrated to last.</w:t>
      </w:r>
    </w:p>
    <w:p>
      <w:pPr>
        <w:pStyle w:val="Compact"/>
        <w:numPr>
          <w:ilvl w:val="0"/>
          <w:numId w:val="1943"/>
        </w:numPr>
      </w:pPr>
      <w:r>
        <w:t xml:space="preserve">Wölfling et al. (2019) — the STICA trial. The highest-quality randomised evidence: a multicentre RCT at four outpatient clinics in Germany and Austria, 143 men randomised to manualised short-term CBT (n = 72) or wait-list control (n = 71). Remission occurred in 69.4 per cent of the treatment group versus 23.9 per cent of controls (odds ratio 10.10, 95% CI 3.69–27.65, adjusted for baseline severity, comorbidity, centre and age). Effect sizes at treatment termination: d = 1.19 (AICA-S), d = 0.88 (weekday time online), d = 0.64 (psychosocial functioning), d = 0.67 (depression). The dose was 15 weekly group sessions plus up to eight fortnightly individual sessions — up to about 23 sessions over roughly four months, which is what a service planning to reproduce this result must resource. Limitations: male-only sample, and inclusion was based on internet addiction as the primary diagnosis rather than strictly on ICD-11 gaming disorder.</w:t>
      </w:r>
    </w:p>
    <w:p>
      <w:pPr>
        <w:pStyle w:val="Compact"/>
        <w:numPr>
          <w:ilvl w:val="0"/>
          <w:numId w:val="1943"/>
        </w:numPr>
      </w:pPr>
      <w:r>
        <w:t xml:space="preserve">Ock et al. (2025). Meta-analysis of 18 RCTs of non-pharmacological interventions (1,950 participants): pooled g = −0.82 (95% CI −1.23 to −0.52; I² = 90.36%). Psychotherapy, mainly CBT, showed the largest effect (10 studies, 1,036 participants; g = −1.34); behavioural interventions g = −0.38; prevention-focused work g = −0.33 versus treatment g = −1.13; adults improved more than adolescents (g = −1.14 versus −0.45). Publication bias was statistically confirmed (Begg p = 0.043; Egger p = 0.002). A further warning sign: the four studies rated at low risk of bias produced the largest effect of all (g = −4.08), an implausible estimate that points to an unstable evidence base rather than to a large true effect.</w:t>
      </w:r>
    </w:p>
    <w:p>
      <w:pPr>
        <w:pStyle w:val="Compact"/>
        <w:numPr>
          <w:ilvl w:val="0"/>
          <w:numId w:val="1943"/>
        </w:numPr>
      </w:pPr>
      <w:r>
        <w:t xml:space="preserve">Danielsen et al. (2024). The most conservative synthesis — 38 studies, 76 effect sizes, 9,524 participants — yielded a moderate summary estimate, with the authors stating that confidence in the finding is compromised by small-study effects, possible publication bias, a limited study pool and a lack of standardisation.</w:t>
      </w:r>
    </w:p>
    <w:bookmarkEnd w:id="1892"/>
    <w:bookmarkStart w:id="1893" w:name="brief-abstinence"/>
    <w:p>
      <w:pPr>
        <w:pStyle w:val="Heading4"/>
      </w:pPr>
      <w:r>
        <w:t xml:space="preserve">8.3 Brief abstinence</w:t>
      </w:r>
    </w:p>
    <w:p>
      <w:pPr>
        <w:pStyle w:val="FirstParagraph"/>
      </w:pPr>
      <w:r>
        <w:t xml:space="preserve">A voluntary 84-hour abstinence protocol in 24 adult gamers, 9 of whom screened positive for IGD, reduced gaming hours, maladaptive gaming cognitions and IGD symptoms, with total compliance and no attrition; at 28 days, 75 per cent of the IGD group showed clinically significant improvement in IGD symptoms and 63 per cent showed reliable improvement in maladaptive cognitions (King et al., 2017). This is a small pilot. Abstinence and controlled-use goals have never been compared in an adequately powered trial, and the treatment goal should be individualised rather than dictated.</w:t>
      </w:r>
    </w:p>
    <w:bookmarkEnd w:id="1893"/>
    <w:bookmarkStart w:id="1894" w:name="family-and-developmental-interventions"/>
    <w:p>
      <w:pPr>
        <w:pStyle w:val="Heading4"/>
      </w:pPr>
      <w:r>
        <w:t xml:space="preserve">8.4 Family and developmental interventions</w:t>
      </w:r>
    </w:p>
    <w:p>
      <w:pPr>
        <w:pStyle w:val="FirstParagraph"/>
      </w:pPr>
      <w:r>
        <w:t xml:space="preserve">The PIPATIC programme — a manualised six-module individualised psychotherapy for adolescents aged 12 to 18, comprising psychoeducation and motivation, addiction treatment as usual adapted to IGD, intrapersonal, interpersonal, family and new-lifestyle modules, delivered over six months in 22 sessions of about 45 minutes — was compared with standard CBT in two public mental health centres. Both groups showed significant reduction of IGD symptoms (Torres-Rodríguez et al., 2018). The decisive limitation is the sample: 31 adolescents in total across both arms.</w:t>
      </w:r>
    </w:p>
    <w:p>
      <w:pPr>
        <w:pStyle w:val="BodyText"/>
      </w:pPr>
      <w:r>
        <w:t xml:space="preserve">Family, parental-mediation, school-engagement and lifestyle measures are widely recommended and are consistent with the longitudinal protective-factor data — peer-relationship quality r = −0.23, school engagement r = −0.18, parent–child relationship r = −0.15, social support r = −0.14 (Zhuang et al., 2023) — but they have not been tested as stand-alone interventions in randomised trials. National regulatory measures such as curfews and weekly time caps for minors exist in several countries; no high-quality evaluation of their effect on clinical outcomes was identified, and the regulation of loot boxes and microtransactions remains an open policy question (Musetti et al., 2025).</w:t>
      </w:r>
    </w:p>
    <w:bookmarkEnd w:id="1894"/>
    <w:bookmarkStart w:id="1895" w:name="summary-of-evidence-levels"/>
    <w:p>
      <w:pPr>
        <w:pStyle w:val="Heading4"/>
      </w:pPr>
      <w:r>
        <w:t xml:space="preserve">8.5 Summary of evidence levels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Intervention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Level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Basis and main limitation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CBT, individual and group (STICA dose: 15 group + up to 8 individual sessions)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MODERATE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RCTs plus one multicentre RCT; high heterogeneity and confirmed publication bias; follow-up gains non-significant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Brief structured abstinence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LOW</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Single pilot, 24 participants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Family-integrated adolescent programmes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LOW</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Small controlled study, 31 adolescents in total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Pharmacotherapy for comorbid ADHD or depression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LOW</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trials, 724 participants, 98.6% male, all South Korean, 8 of 12 open-label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Pharmacotherapy targeting gaming disorder itself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INSUFFICIENT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approved agent; no adequately powered placebo-controlled trial in a non-comorbid ICD-11-diagnosed sample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Parental, school and environmental measures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INDIRECT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Supported by longitudinal risk-factor data, not by trials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National regulatory restrictions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UNEVALUATED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high-quality evaluation of clinical outcomes identified</w:t>
            </w:r>
          </w:p>
        </w:tc>
      </w:tr>
    </w:tbl>
    <w:bookmarkEnd w:id="1895"/>
    <w:bookmarkEnd w:id="1896"/>
    <w:bookmarkStart w:id="1902" w:name="Xf58260e0153984c87ad2c260d9ee5aa6fe77d83"/>
    <w:p>
      <w:pPr>
        <w:pStyle w:val="Heading3"/>
      </w:pPr>
      <w:r>
        <w:t xml:space="preserve">9. Prognosis</w:t>
      </w:r>
    </w:p>
    <w:p>
      <w:pPr>
        <w:pStyle w:val="FirstParagraph"/>
      </w:pPr>
      <w:r>
        <w:t xml:space="preserve">Prognostic statements about gaming disorder must be confined to a one- to two-year horizon. Nothing is known beyond it: no follow-up study extending five to ten years was identified, there are no data on the adult outcomes of adolescent-onset gaming disorder, and there are no mortality data.</w:t>
      </w:r>
    </w:p>
    <w:bookmarkStart w:id="1897" w:name="natural-course"/>
    <w:p>
      <w:pPr>
        <w:pStyle w:val="Heading4"/>
      </w:pPr>
      <w:r>
        <w:t xml:space="preserve">Natural course</w:t>
      </w:r>
    </w:p>
    <w:p>
      <w:pPr>
        <w:pStyle w:val="FirstParagraph"/>
      </w:pPr>
      <w:r>
        <w:t xml:space="preserve">Gaming disorder is not a uniformly chronic condition. A meta-analysis of 50 longitudinal studies found categorical stability of approximately 43 to 45 per cent at one-year follow-up and 34 to 38 per cent at two years — between one third and one half of those who met the threshold at baseline still met it at follow-up, and the remainder did not. Dimensional symptom severity behaved differently: baseline-to-follow-up correlations were positive and statistically significant, indicating moderate to high continuity of severity even where categorical status changed. Stability of this order is similar to that of personality disorder and gambling disorder, and lower than that of schizophrenia or bipolar disorder (Sun et al., 2025). Two qualifiers belong with these figures: the pooled samples were predominantly adolescent, and these are data on untreated natural course.</w:t>
      </w:r>
    </w:p>
    <w:p>
      <w:pPr>
        <w:pStyle w:val="BodyText"/>
      </w:pPr>
      <w:r>
        <w:t xml:space="preserve">The one-year longitudinal study of 279 participants points in the same direction: 34.7 per cent had a change in DSM-5 IGD diagnosis over the year, while the number of ICD-11 gaming disorder cases increased to 60.4 per cent, with no significant difference between the amounts of diagnostic change in the two systems (Hong et al., 2023).</w:t>
      </w:r>
    </w:p>
    <w:bookmarkEnd w:id="1897"/>
    <w:bookmarkStart w:id="1898" w:name="predictors"/>
    <w:p>
      <w:pPr>
        <w:pStyle w:val="Heading4"/>
      </w:pPr>
      <w:r>
        <w:t xml:space="preserve">Predictors</w:t>
      </w:r>
    </w:p>
    <w:p>
      <w:pPr>
        <w:pStyle w:val="FirstParagraph"/>
      </w:pPr>
      <w:r>
        <w:t xml:space="preserve">Prospective risk factors for developing pathological gaming are greater amounts of gaming, lower social competence and greater impulsivity (Gentile et al., 2011). Meta-analytic longitudinal predictors of higher symptom trajectories are gaming time (r = 0.33), loneliness (r = 0.29), co-occurring social-media disorder (r = 0.24), aggression (r = 0.23) and anxiety (r = 0.21); protective predictors are self-control (r = −0.27), conscientiousness (r = −0.25), peer-relationship quality (r = −0.23), self-esteem (r = −0.19) and school engagement (r = −0.18) (Zhuang et al., 2023). ADHD carried the highest odds ratio for diagnostic change in the one-year study (Hong et al., 2023).</w:t>
      </w:r>
    </w:p>
    <w:p>
      <w:pPr>
        <w:pStyle w:val="BodyText"/>
      </w:pPr>
      <w:r>
        <w:t xml:space="preserve">Predictors of relapse after successful treatment have not been established. No validated relapse predictor exists, which means that follow-up after remission cannot be targeted at a high-risk subgroup and must be offered on a routine basis.</w:t>
      </w:r>
    </w:p>
    <w:bookmarkEnd w:id="1898"/>
    <w:bookmarkStart w:id="1899" w:name="outcomes-attributable-to-the-disorder"/>
    <w:p>
      <w:pPr>
        <w:pStyle w:val="Heading4"/>
      </w:pPr>
      <w:r>
        <w:t xml:space="preserve">Outcomes attributable to the disorder</w:t>
      </w:r>
    </w:p>
    <w:p>
      <w:pPr>
        <w:pStyle w:val="FirstParagraph"/>
      </w:pPr>
      <w:r>
        <w:t xml:space="preserve">In the two-year Singapore panel, depression, anxiety, social phobia and lower school performance behaved as outcomes of pathological gaming rather than as its causes. Youths who stopped being pathological gamers ended up with lower levels of depression, anxiety and social phobia than those who remained pathological gamers (Gentile et al., 2011). This is a between-group comparison, not a documented within-person improvement, and school performance is not among the variables reported as differing between those who stopped and those who did not. It remains the strongest available evidence that the condition carries prospective harm rather than merely co-occurring with distress.</w:t>
      </w:r>
    </w:p>
    <w:bookmarkEnd w:id="1899"/>
    <w:bookmarkStart w:id="1900" w:name="treated-prognosis"/>
    <w:p>
      <w:pPr>
        <w:pStyle w:val="Heading4"/>
      </w:pPr>
      <w:r>
        <w:t xml:space="preserve">Treated prognosis</w:t>
      </w:r>
    </w:p>
    <w:p>
      <w:pPr>
        <w:pStyle w:val="FirstParagraph"/>
      </w:pPr>
      <w:r>
        <w:t xml:space="preserve">In the STICA multicentre trial, remission occurred in 69.4 per cent of treated men versus 23.9 per cent of wait-list controls (Wölfling et al., 2019). Meta-analysis of non-pharmacological interventions found adults improving substantially more than adolescents (g = −1.14 versus −0.45), an age gradient that should temper prognostic expectations in younger patients (Ock et al., 2025). Against this, the CBT meta-analysis found treatment gains at follow-up to be non-significant across all four outcomes (Stevens et al., 2019): short-term response is well documented, durability is not.</w:t>
      </w:r>
    </w:p>
    <w:bookmarkEnd w:id="1900"/>
    <w:bookmarkStart w:id="1901" w:name="Xc41ecfbac9fda0c55c4e77a26af584a4c64063d"/>
    <w:p>
      <w:pPr>
        <w:pStyle w:val="Heading4"/>
      </w:pPr>
      <w:r>
        <w:t xml:space="preserve">Who is missing from the prognostic evidence</w:t>
      </w:r>
    </w:p>
    <w:p>
      <w:pPr>
        <w:pStyle w:val="FirstParagraph"/>
      </w:pPr>
      <w:r>
        <w:t xml:space="preserve">Women and girls are effectively unrepresented in the treatment literature. The one multicentre randomised trial enrolled men only, and 98.6 per cent of participants in the entire pharmacological literature were male. No statement about treatment response or prognosis in female patients can be made from the published evidence, and this should be said to female patients and their families rather than concealed behind figures derived from male samples.</w:t>
      </w:r>
    </w:p>
    <w:bookmarkEnd w:id="1901"/>
    <w:bookmarkEnd w:id="1902"/>
    <w:bookmarkStart w:id="1915" w:name="X33b60b9c72d96cb9c7243af9a8c5d86c98e0e63"/>
    <w:p>
      <w:pPr>
        <w:pStyle w:val="Heading3"/>
      </w:pPr>
      <w:r>
        <w:t xml:space="preserve">10. Myths and misconceptions</w:t>
      </w:r>
    </w:p>
    <w:bookmarkStart w:id="1913" w:name="everyday-misconceptions"/>
    <w:p>
      <w:pPr>
        <w:pStyle w:val="Heading4"/>
      </w:pPr>
      <w:r>
        <w:t xml:space="preserve">Everyday misconceptions</w:t>
      </w:r>
    </w:p>
    <w:bookmarkStart w:id="1903" w:name="X132e97a2071a8a77b3b3070867602cab7280fa6"/>
    <w:p>
      <w:pPr>
        <w:pStyle w:val="Heading5"/>
      </w:pPr>
      <w:r>
        <w:t xml:space="preserve">Myth 1: “Anyone who plays a lot is addicted”</w:t>
      </w:r>
    </w:p>
    <w:p>
      <w:pPr>
        <w:pStyle w:val="FirstParagraph"/>
      </w:pPr>
      <w:r>
        <w:t xml:space="preserve">Refuted. ICD-11 contains no time threshold; the diagnosis requires impaired control, displacement of other life interests, continuation despite harm</w:t>
      </w:r>
      <w:r>
        <w:t xml:space="preserve"> </w:t>
      </w:r>
      <w:r>
        <w:rPr>
          <w:i/>
          <w:iCs/>
        </w:rPr>
        <w:t xml:space="preserve">and</w:t>
      </w:r>
      <w:r>
        <w:t xml:space="preserve"> </w:t>
      </w:r>
      <w:r>
        <w:t xml:space="preserve">functional impairment. WHO states that gaming disorder affects only a small proportion of people who engage in digital or video gaming. A person-centred study reported in a recent overview identified a subgroup of “passionate gamers” playing more than four hours a day with low levels of psychological maladjustment (Musetti et al., 2025; Billieux et al., 2019).</w:t>
      </w:r>
    </w:p>
    <w:bookmarkEnd w:id="1903"/>
    <w:bookmarkStart w:id="1904" w:name="Xc57a042f5bcd2646746c94e564498337b9d2458"/>
    <w:p>
      <w:pPr>
        <w:pStyle w:val="Heading5"/>
      </w:pPr>
      <w:r>
        <w:t xml:space="preserve">Myth 2: “Gaming disorder affects a large share of gamers”</w:t>
      </w:r>
    </w:p>
    <w:p>
      <w:pPr>
        <w:pStyle w:val="FirstParagraph"/>
      </w:pPr>
      <w:r>
        <w:t xml:space="preserve">Refuted at the high end. The best-quality estimates are 2.4 per cent in representative samples and 1.4 per cent after adjustment for publication bias (Kim et al., 2022); 1.96 per cent (95% CI 0.19–17.12) in the stringent-sampling subset (Stevens et al., 2021); and 0.3 to 1.0 per cent using DSM-5 criteria in four large international samples (Przybylski et al., 2017).</w:t>
      </w:r>
    </w:p>
    <w:bookmarkEnd w:id="1904"/>
    <w:bookmarkStart w:id="1905" w:name="Xbc41a93a041c3d0df0795471014aed24b0a1727"/>
    <w:p>
      <w:pPr>
        <w:pStyle w:val="Heading5"/>
      </w:pPr>
      <w:r>
        <w:t xml:space="preserve">Myth 3: “A fixed number of hours per day defines the disorder”</w:t>
      </w:r>
    </w:p>
    <w:p>
      <w:pPr>
        <w:pStyle w:val="FirstParagraph"/>
      </w:pPr>
      <w:r>
        <w:t xml:space="preserve">Refuted. ICD-11 defines the condition by control, priority, persistence despite harm and impairment. Time is a prospective risk factor (r = 0.33; Zhuang et al., 2023) but it is not a criterion, and it is neither necessary nor sufficient.</w:t>
      </w:r>
    </w:p>
    <w:bookmarkEnd w:id="1905"/>
    <w:bookmarkStart w:id="1906" w:name="myth-4-video-games-cause-violence"/>
    <w:p>
      <w:pPr>
        <w:pStyle w:val="Heading5"/>
      </w:pPr>
      <w:r>
        <w:t xml:space="preserve">Myth 4: “Video games cause violence”</w:t>
      </w:r>
    </w:p>
    <w:p>
      <w:pPr>
        <w:pStyle w:val="FirstParagraph"/>
      </w:pPr>
      <w:r>
        <w:t xml:space="preserve">Refuted as a causal claim. The American Psychological Association's February 2020 revision of its resolution states that there is insufficient scientific evidence to support a causal link between violent video games and violent behaviour, and warns explicitly against attributing violence, including mass shootings, to video game use. A reanalysis of the data underlying the APA's 2015 task-force report found negligible relationships with aggressive and prosocial behaviour, small relationships with aggressive affect and cognitions, and stronger relationships with desensitization; effect sizes appeared elevated by non-best practices and researcher-expectancy effects, particularly in experimental studies (Ferguson et al., 2020). The desensitization finding runs against the general argument and is reported here for that reason. Violence and gaming disorder are separate questions and must not be merged.</w:t>
      </w:r>
    </w:p>
    <w:bookmarkEnd w:id="1906"/>
    <w:bookmarkStart w:id="1907" w:name="Xe59355e2baff2c942a8c1724475ec59f9dcbc7a"/>
    <w:p>
      <w:pPr>
        <w:pStyle w:val="Heading5"/>
      </w:pPr>
      <w:r>
        <w:t xml:space="preserve">Myth 5: “Gaming disorder is nothing but a symptom of depression or ADHD”</w:t>
      </w:r>
    </w:p>
    <w:p>
      <w:pPr>
        <w:pStyle w:val="FirstParagraph"/>
      </w:pPr>
      <w:r>
        <w:t xml:space="preserve">Partly true and genuinely contested. Comorbidity is high and ADHD shows the most consistent association (r ≈ 0.30; Koncz et al., 2023), and critics argue that disordered gaming is largely secondary to mood and attention problems (van Rooij et al., 2018). Against this, the two-year Singapore panel found depression, anxiety and social phobia behaving as outcomes of pathological gaming rather than as its causes (Gentile et al., 2011). Both readings must be presented; the question is not settled.</w:t>
      </w:r>
    </w:p>
    <w:bookmarkEnd w:id="1907"/>
    <w:bookmarkStart w:id="1908" w:name="X5443af15f5d2e056408d13526e823edd8e2e286"/>
    <w:p>
      <w:pPr>
        <w:pStyle w:val="Heading5"/>
      </w:pPr>
      <w:r>
        <w:t xml:space="preserve">Myth 6: “Total abstinence from all games is the only correct treatment goal”</w:t>
      </w:r>
    </w:p>
    <w:p>
      <w:pPr>
        <w:pStyle w:val="FirstParagraph"/>
      </w:pPr>
      <w:r>
        <w:t xml:space="preserve">Not established. Brief voluntary abstinence has pilot-level support only (King et al., 2017), and no adequately powered trial has compared abstinence with controlled-use goals. The treatment goal should be individualised.</w:t>
      </w:r>
    </w:p>
    <w:bookmarkEnd w:id="1908"/>
    <w:bookmarkStart w:id="1909" w:name="Xfafa4512e3d6ceb0512efaf51fbffde64102ad0"/>
    <w:p>
      <w:pPr>
        <w:pStyle w:val="Heading5"/>
      </w:pPr>
      <w:r>
        <w:t xml:space="preserve">Myth 7: “There is a medication that cures gaming disorder”</w:t>
      </w:r>
    </w:p>
    <w:p>
      <w:pPr>
        <w:pStyle w:val="FirstParagraph"/>
      </w:pPr>
      <w:r>
        <w:t xml:space="preserve">Refuted. No agent has regulatory approval for this indication; the entire pharmacological literature comprises 12 trials, 724 participants, 98.6 per cent male, all conducted in South Korea, with 8 of the 12 open-label (Sá et al., 2023). Medications are used off-label for comorbid ADHD or depression.</w:t>
      </w:r>
    </w:p>
    <w:bookmarkEnd w:id="1909"/>
    <w:bookmarkStart w:id="1910" w:name="X483f71defd38261b1e50d0b639ebc8601bde080"/>
    <w:p>
      <w:pPr>
        <w:pStyle w:val="Heading5"/>
      </w:pPr>
      <w:r>
        <w:t xml:space="preserve">Myth 8: “Loot boxes and in-game purchases are harmless entertainment”</w:t>
      </w:r>
    </w:p>
    <w:p>
      <w:pPr>
        <w:pStyle w:val="FirstParagraph"/>
      </w:pPr>
      <w:r>
        <w:t xml:space="preserve">Not supported. In 7,422 gamers, loot-box spending was associated with problem-gambling severity (η² = 0.054), an effect an order of magnitude larger than for other in-game purchases (Zendle and Cairns, 2018). The evidence is cross-sectional and does not establish causation in either direction, but the association is robust enough to warrant asking about it in every assessment.</w:t>
      </w:r>
    </w:p>
    <w:bookmarkEnd w:id="1910"/>
    <w:bookmarkStart w:id="1911" w:name="X40e648e2f473e799dca5cdf4776b4f94cfc6cef"/>
    <w:p>
      <w:pPr>
        <w:pStyle w:val="Heading5"/>
      </w:pPr>
      <w:r>
        <w:t xml:space="preserve">Myth 9: “Gaming disorder is an Asian problem”</w:t>
      </w:r>
    </w:p>
    <w:p>
      <w:pPr>
        <w:pStyle w:val="FirstParagraph"/>
      </w:pPr>
      <w:r>
        <w:t xml:space="preserve">Overstated. Prevalence estimates from East and South-East Asian samples tend to be higher, but in the largest meta-analysis the screening tool accounted for 77 per cent of the between-study variance and region was not among the reported significant predictors (Stevens et al., 2021); Kim et al. (2022) list region as one moderator among several. Region is confounded with instrument, sample type and study quality, and cases are reported worldwide.</w:t>
      </w:r>
    </w:p>
    <w:bookmarkEnd w:id="1911"/>
    <w:bookmarkStart w:id="1912" w:name="X1c37a5525171f410178e77a3b4ef60d6cc31832"/>
    <w:p>
      <w:pPr>
        <w:pStyle w:val="Heading5"/>
      </w:pPr>
      <w:r>
        <w:t xml:space="preserve">Myth 10: “The literature on gaming and depression is solid”</w:t>
      </w:r>
    </w:p>
    <w:p>
      <w:pPr>
        <w:pStyle w:val="FirstParagraph"/>
      </w:pPr>
      <w:r>
        <w:t xml:space="preserve">Refuted. An appraisal of seven systematic reviews of gaming disorder with depression or anxiety, covering 196 primary studies, found selective outcome reporting in all seven, risk-of-bias assessment in only one, and inconsistent exposure definitions; none was classified as reliable (Colder Carras et al., 2020).</w:t>
      </w:r>
    </w:p>
    <w:bookmarkEnd w:id="1912"/>
    <w:bookmarkEnd w:id="1913"/>
    <w:bookmarkStart w:id="1914" w:name="X5c5032ddb398b23aaae2d61627e30f2169f9d0b"/>
    <w:p>
      <w:pPr>
        <w:pStyle w:val="Heading4"/>
      </w:pPr>
      <w:r>
        <w:t xml:space="preserve">The scientific controversy over the category itself</w:t>
      </w:r>
    </w:p>
    <w:p>
      <w:pPr>
        <w:pStyle w:val="FirstParagraph"/>
      </w:pPr>
      <w:r>
        <w:t xml:space="preserve">6C51 is the most contested diagnosis in the ICD-11 addictive-behaviours grouping. The dispute is academic, not commercial, and both of the popular explanations for it — industry lobbying on one side, pure moral panic on the other — are wrong.</w:t>
      </w:r>
    </w:p>
    <w:p>
      <w:pPr>
        <w:pStyle w:val="BodyText"/>
      </w:pPr>
      <w:r>
        <w:t xml:space="preserve">The case against inclusion. In 2017, 26 scholars published an open debate paper opposing the WHO proposal (Aarseth et al., 2017). Their arguments were that the research base was of low quality; that the operationalisation borrowed uncritically from substance-use and gambling criteria; that the diagnosis risked pathologising normal, healthy, intensive play; and that formalisation could fuel moral panic, stigmatise a large recreational population and lead to unnecessary treatment of children. A partly overlapping group then argued that the burden of evidence required to move from a research construct to a formal disorder is very high, precisely because diagnoses can be misused, and that WHO should postpone formalisation (van Rooij et al., 2018).</w:t>
      </w:r>
    </w:p>
    <w:p>
      <w:pPr>
        <w:pStyle w:val="BodyText"/>
      </w:pPr>
      <w:r>
        <w:t xml:space="preserve">The case for inclusion. The WHO expert-consultation output argued that gaming disorder displays the core features of an addictive disorder and that a category was needed for people already presenting for treatment (Saunders et al., 2017). Rumpf and colleagues replied from a clinical and public-health standpoint: treatment services for these patients already existed in many countries; without a category patients could not be reliably identified, services could not be planned or funded, and research could not be standardised; and the risk of over-diagnosis is mitigated by the strict ICD-11 impairment requirement (Rumpf et al., 2018). Griffiths and colleagues argued that problematic gaming demonstrably exists and constitutes disordered gaming (Griffiths et al., 2017).</w:t>
      </w:r>
    </w:p>
    <w:p>
      <w:pPr>
        <w:pStyle w:val="BodyText"/>
      </w:pPr>
      <w:r>
        <w:t xml:space="preserve">WHO's position. WHO maintained the category, framed inclusion as following the independent development of treatment programmes for identical clinical presentations in many parts of the world, and emphasised in its public guidance that gaming disorder affects only a small proportion of people who game — an explicit attempt to defuse the over-pathologising objection.</w:t>
      </w:r>
    </w:p>
    <w:p>
      <w:pPr>
        <w:pStyle w:val="BodyText"/>
      </w:pPr>
      <w:r>
        <w:t xml:space="preserve">The industry position. Contrary to a common assumption, the video-game industry opposed the diagnosis. The Entertainment Software Association publicly rejected the addiction framing and urged WHO to reverse direction, and similar concerns were voiced by the European Games Developer Federation (reported in Musetti et al., 2025). The diagnosis cannot be attributed to industry lobbying, and the moral-panic objection came from within academia rather than from the industry.</w:t>
      </w:r>
    </w:p>
    <w:p>
      <w:pPr>
        <w:pStyle w:val="BodyText"/>
      </w:pPr>
      <w:r>
        <w:t xml:space="preserve">What remains genuinely unresolved. Three things, each of which changes what a clinician should say to a patient. Inter-rater reliability of the ICD-11 guidelines has been tested once, in one country, in one school-based sample, and was moderate (κ = 0.545). Categorical caseness is unstable over a single year in both diagnostic systems. And the synthesis literature on the commonest comorbidities does not meet accepted methodological standards. None of this makes the diagnosis unusable; all of it makes a confident prognosis unjustified.</w:t>
      </w:r>
    </w:p>
    <w:bookmarkEnd w:id="1914"/>
    <w:bookmarkEnd w:id="1915"/>
    <w:bookmarkStart w:id="1916" w:name="X544565b793378d3565c347ea1daa73f6afc6377"/>
    <w:p>
      <w:pPr>
        <w:pStyle w:val="Heading3"/>
      </w:pPr>
      <w:r>
        <w:t xml:space="preserve">11. Sources</w:t>
      </w:r>
    </w:p>
    <w:p>
      <w:pPr>
        <w:pStyle w:val="Compact"/>
        <w:numPr>
          <w:ilvl w:val="0"/>
          <w:numId w:val="1944"/>
        </w:numPr>
      </w:pPr>
      <w:r>
        <w:t xml:space="preserve">World Health Organization. ICD-11 for Mortality and Morbidity Statistics: 6C51 Gaming disorder. Geneva: WHO; 2019 (2025-01 release).</w:t>
      </w:r>
    </w:p>
    <w:p>
      <w:pPr>
        <w:pStyle w:val="Compact"/>
        <w:numPr>
          <w:ilvl w:val="0"/>
          <w:numId w:val="1944"/>
        </w:numPr>
      </w:pPr>
      <w:r>
        <w:t xml:space="preserve">World Health Organization. ICD-11 for Mortality and Morbidity Statistics: QE22 Hazardous gaming. Geneva: WHO; 2019 (2025-01 release).</w:t>
      </w:r>
    </w:p>
    <w:p>
      <w:pPr>
        <w:pStyle w:val="Compact"/>
        <w:numPr>
          <w:ilvl w:val="0"/>
          <w:numId w:val="1944"/>
        </w:numPr>
      </w:pPr>
      <w:r>
        <w:t xml:space="preserve">World Health Organization. Clinical Descriptions and Diagnostic Requirements for ICD-11 Mental, Behavioural and Neurodevelopmental Disorders (CDDR). Geneva: WHO; 2024.</w:t>
      </w:r>
    </w:p>
    <w:p>
      <w:pPr>
        <w:pStyle w:val="Compact"/>
        <w:numPr>
          <w:ilvl w:val="0"/>
          <w:numId w:val="1944"/>
        </w:numPr>
      </w:pPr>
      <w:r>
        <w:t xml:space="preserve">World Health Organization. Addictive behaviours: Gaming disorder — Questions and answers. Geneva: WHO.</w:t>
      </w:r>
    </w:p>
    <w:p>
      <w:pPr>
        <w:pStyle w:val="Compact"/>
        <w:numPr>
          <w:ilvl w:val="0"/>
          <w:numId w:val="1944"/>
        </w:numPr>
      </w:pPr>
      <w:r>
        <w:t xml:space="preserve">American Psychiatric Association. Diagnostic and Statistical Manual of Mental Disorders, Fifth Edition, Text Revision (DSM-5-TR). Washington, DC: American Psychiatric Association Publishing; 2022. (Internet gaming disorder — Section III, Conditions for Further Study.)</w:t>
      </w:r>
    </w:p>
    <w:p>
      <w:pPr>
        <w:pStyle w:val="Compact"/>
        <w:numPr>
          <w:ilvl w:val="0"/>
          <w:numId w:val="1944"/>
        </w:numPr>
      </w:pPr>
      <w:r>
        <w:t xml:space="preserve">American Psychological Association. APA Resolution on Violent Video Games: February 2020 Revision. Washington, DC: APA; 2020.</w:t>
      </w:r>
    </w:p>
    <w:p>
      <w:pPr>
        <w:pStyle w:val="Compact"/>
        <w:numPr>
          <w:ilvl w:val="0"/>
          <w:numId w:val="1944"/>
        </w:numPr>
      </w:pPr>
      <w:r>
        <w:t xml:space="preserve">American Psychological Association. APA reaffirms position on violent video games and violent behavior [press release]. 3 March 2020.</w:t>
      </w:r>
    </w:p>
    <w:p>
      <w:pPr>
        <w:pStyle w:val="Compact"/>
        <w:numPr>
          <w:ilvl w:val="0"/>
          <w:numId w:val="1944"/>
        </w:numPr>
      </w:pPr>
      <w:r>
        <w:t xml:space="preserve">National Institute for Health and Care Excellence. Gambling-related harms: identification, assessment and management. NICE guideline NG248. London: NICE; 28 January 2025. (Cited for contrast: no NICE guideline exists for gaming disorder.)</w:t>
      </w:r>
    </w:p>
    <w:p>
      <w:pPr>
        <w:pStyle w:val="Compact"/>
        <w:numPr>
          <w:ilvl w:val="0"/>
          <w:numId w:val="1944"/>
        </w:numPr>
      </w:pPr>
      <w:r>
        <w:t xml:space="preserve">Aarseth E, Bean AM, Boonen H, Colder Carras M, Coulson M, Das D, et al. Scholars' open debate paper on the World Health Organization ICD-11 Gaming Disorder proposal. J Behav Addict. 2017;6(3):267–270. doi:10.1556/2006.5.2016.088</w:t>
      </w:r>
    </w:p>
    <w:p>
      <w:pPr>
        <w:pStyle w:val="Compact"/>
        <w:numPr>
          <w:ilvl w:val="0"/>
          <w:numId w:val="1944"/>
        </w:numPr>
      </w:pPr>
      <w:r>
        <w:t xml:space="preserve">Billieux J, Flayelle M, Rumpf HJ, Stein DJ. High involvement versus pathological involvement in video games: a crucial distinction for ensuring the validity and utility of gaming disorder. Curr Addict Rep. 2019;6(3):323–330. doi:10.1007/s40429-019-00259-x</w:t>
      </w:r>
    </w:p>
    <w:p>
      <w:pPr>
        <w:pStyle w:val="Compact"/>
        <w:numPr>
          <w:ilvl w:val="0"/>
          <w:numId w:val="1944"/>
        </w:numPr>
      </w:pPr>
      <w:r>
        <w:t xml:space="preserve">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pPr>
        <w:pStyle w:val="Compact"/>
        <w:numPr>
          <w:ilvl w:val="0"/>
          <w:numId w:val="1944"/>
        </w:numPr>
      </w:pPr>
      <w:r>
        <w:t xml:space="preserve">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pPr>
        <w:pStyle w:val="Compact"/>
        <w:numPr>
          <w:ilvl w:val="0"/>
          <w:numId w:val="1944"/>
        </w:numPr>
      </w:pPr>
      <w:r>
        <w:t xml:space="preserve">Colder Carras M, Shi J, Hard G, Saldanha IJ. Evaluating the quality of evidence for gaming disorder: a summary of systematic reviews of associations between gaming disorder and depression or anxiety. PLoS One. 2020;15(10):e0240032. doi:10.1371/journal.pone.0240032</w:t>
      </w:r>
    </w:p>
    <w:p>
      <w:pPr>
        <w:pStyle w:val="Compact"/>
        <w:numPr>
          <w:ilvl w:val="0"/>
          <w:numId w:val="1944"/>
        </w:numPr>
      </w:pPr>
      <w:r>
        <w:t xml:space="preserve">Danielsen PA, Mentzoni RA, Låg T. Treatment effects of therapeutic interventions for gaming disorder: a systematic review and meta-analysis. Addict Behav. 2024;149:107887. doi:10.1016/j.addbeh.2023.107887 (PMID 37826910)</w:t>
      </w:r>
    </w:p>
    <w:p>
      <w:pPr>
        <w:pStyle w:val="Compact"/>
        <w:numPr>
          <w:ilvl w:val="0"/>
          <w:numId w:val="1944"/>
        </w:numPr>
      </w:pPr>
      <w:r>
        <w:t xml:space="preserve">Ferguson CJ, Copenhaver A, Markey P. Reexamining the findings of the American Psychological Association's 2015 task force on violent media: a meta-analysis. Perspect Psychol Sci. 2020;15(6):1423–1443. doi:10.1177/1745691620927666</w:t>
      </w:r>
    </w:p>
    <w:p>
      <w:pPr>
        <w:pStyle w:val="Compact"/>
        <w:numPr>
          <w:ilvl w:val="0"/>
          <w:numId w:val="1944"/>
        </w:numPr>
      </w:pPr>
      <w:r>
        <w:t xml:space="preserve">Gentile DA, Choo H, Liau A, Sim T, Li D, Fung D, Khoo A. Pathological video game use among youths: a two-year longitudinal study. Pediatrics. 2011;127(2):e319–e329. doi:10.1542/peds.2010-1353</w:t>
      </w:r>
    </w:p>
    <w:p>
      <w:pPr>
        <w:pStyle w:val="Compact"/>
        <w:numPr>
          <w:ilvl w:val="0"/>
          <w:numId w:val="1944"/>
        </w:numPr>
      </w:pPr>
      <w:r>
        <w:t xml:space="preserve">Gentile DA, Bailey K, Bavelier D, Brockmyer JF, Cash H, Coyne SM, et al. Internet gaming disorder in children and adolescents. Pediatrics. 2017;140(Suppl 2):S81–S85. doi:10.1542/peds.2016-1758H</w:t>
      </w:r>
    </w:p>
    <w:p>
      <w:pPr>
        <w:pStyle w:val="Compact"/>
        <w:numPr>
          <w:ilvl w:val="0"/>
          <w:numId w:val="1944"/>
        </w:numPr>
      </w:pPr>
      <w:r>
        <w:t xml:space="preserve">Griffiths MD, Kuss DJ, Lopez-Fernandez O, Pontes HM. Problematic gaming exists and is an example of disordered gaming. J Behav Addict. 2017;6(3):296–301. doi:10.1556/2006.6.2017.037</w:t>
      </w:r>
    </w:p>
    <w:p>
      <w:pPr>
        <w:pStyle w:val="Compact"/>
        <w:numPr>
          <w:ilvl w:val="0"/>
          <w:numId w:val="1944"/>
        </w:numPr>
      </w:pPr>
      <w:r>
        <w:t xml:space="preserve">Han DH, Renshaw PF. Bupropion in the treatment of problematic online game play in patients with major depressive disorder. J Psychopharmacol. 2012;26(5):689–696. doi:10.1177/0269881111400647 (PMID 21447539)</w:t>
      </w:r>
    </w:p>
    <w:p>
      <w:pPr>
        <w:pStyle w:val="Compact"/>
        <w:numPr>
          <w:ilvl w:val="0"/>
          <w:numId w:val="1944"/>
        </w:numPr>
      </w:pPr>
      <w:r>
        <w:t xml:space="preserve">Hong YN, Hwang H, Starcevic V, Choi TY, Kim TH, Han DH. Which is more stable and specific: DSM-5 internet gaming disorder or ICD-11 gaming disorder? A longitudinal study. Psychiatry Clin Neurosci. 2023;77(4):213–222. doi:10.1111/pcn.13522 (PMID 36562926)</w:t>
      </w:r>
    </w:p>
    <w:p>
      <w:pPr>
        <w:pStyle w:val="Compact"/>
        <w:numPr>
          <w:ilvl w:val="0"/>
          <w:numId w:val="1944"/>
        </w:numPr>
      </w:pPr>
      <w:r>
        <w:t xml:space="preserve">Kardefelt-Winther D. A conceptual and methodological critique of internet addiction research: towards a model of compensatory internet use. Comput Human Behav. 2014;31:351–354. doi:10.1016/j.chb.2013.10.059</w:t>
      </w:r>
    </w:p>
    <w:p>
      <w:pPr>
        <w:pStyle w:val="Compact"/>
        <w:numPr>
          <w:ilvl w:val="0"/>
          <w:numId w:val="1944"/>
        </w:numPr>
      </w:pPr>
      <w:r>
        <w:t xml:space="preserve">Kim HS, Son G, Roh EB, Ahn WY, Kim J, Shin SH, Chey J, Choi KH. Prevalence of gaming disorder: a meta-analysis. Addict Behav. 2022;126:107183. doi:10.1016/j.addbeh.2021.107183 (PMID 34864436)</w:t>
      </w:r>
    </w:p>
    <w:p>
      <w:pPr>
        <w:pStyle w:val="Compact"/>
        <w:numPr>
          <w:ilvl w:val="0"/>
          <w:numId w:val="1944"/>
        </w:numPr>
      </w:pPr>
      <w:r>
        <w:t xml:space="preserve">King DL, Billieux J, Carragher N, Delfabbro PH. Face validity evaluation of screening tools for gaming disorder: scope, language, and overpathologizing issues. J Behav Addict. 2020;9(1):1–13. doi:10.1556/2006.2020.00001 (PMID 32359228)</w:t>
      </w:r>
    </w:p>
    <w:p>
      <w:pPr>
        <w:pStyle w:val="Compact"/>
        <w:numPr>
          <w:ilvl w:val="0"/>
          <w:numId w:val="1944"/>
        </w:numPr>
      </w:pPr>
      <w:r>
        <w:t xml:space="preserve">King DL, Kaptsis D, Delfabbro PH, Gradisar M. Effectiveness of brief abstinence for modifying problematic internet gaming cognitions and behaviors. J Clin Psychol. 2017;73(12):1573–1585. doi:10.1002/jclp.22460 (PMID 28152189)</w:t>
      </w:r>
    </w:p>
    <w:p>
      <w:pPr>
        <w:pStyle w:val="Compact"/>
        <w:numPr>
          <w:ilvl w:val="0"/>
          <w:numId w:val="1944"/>
        </w:numPr>
      </w:pPr>
      <w:r>
        <w:t xml:space="preserve">Király O, Sleczka P, Pontes HM, Urbán R, Griffiths MD, Demetrovics Z. Validation of the Ten-Item Internet Gaming Disorder Test (IGDT-10) and evaluation of the nine DSM-5 Internet Gaming Disorder criteria. Addict Behav. 2017;64:253–260. doi:10.1016/j.addbeh.2015.11.005</w:t>
      </w:r>
    </w:p>
    <w:p>
      <w:pPr>
        <w:pStyle w:val="Compact"/>
        <w:numPr>
          <w:ilvl w:val="0"/>
          <w:numId w:val="1944"/>
        </w:numPr>
      </w:pPr>
      <w:r>
        <w:t xml:space="preserve">Király O, Bőthe B, et al. Ten-Item Internet Gaming Disorder Test (IGDT-10): measurement invariance and cross-cultural validation across seven language-based samples. Psychol Addict Behav. 2019;33(1):91–103. doi:10.1037/adb0000433</w:t>
      </w:r>
    </w:p>
    <w:p>
      <w:pPr>
        <w:pStyle w:val="Compact"/>
        <w:numPr>
          <w:ilvl w:val="0"/>
          <w:numId w:val="1944"/>
        </w:numPr>
      </w:pPr>
      <w:r>
        <w:t xml:space="preserve">Koncz P, Demetrovics Z, Takacs ZK, Griffiths MD, Nagy T, Király O. The emerging evidence on the association between symptoms of ADHD and gaming disorder: a systematic review and meta-analysis. Clin Psychol Rev. 2023;106:102343. doi:10.1016/j.cpr.2023.102343 (PMID 37883910)</w:t>
      </w:r>
    </w:p>
    <w:p>
      <w:pPr>
        <w:pStyle w:val="Compact"/>
        <w:numPr>
          <w:ilvl w:val="0"/>
          <w:numId w:val="1944"/>
        </w:numPr>
      </w:pPr>
      <w:r>
        <w:t xml:space="preserve">Kuss DJ, Griffiths MD, Pontes HM. Chaos and confusion in DSM-5 diagnosis of Internet Gaming Disorder. J Behav Addict. 2017;6(2):103–109. doi:10.1556/2006.5.2016.062</w:t>
      </w:r>
    </w:p>
    <w:p>
      <w:pPr>
        <w:pStyle w:val="Compact"/>
        <w:numPr>
          <w:ilvl w:val="0"/>
          <w:numId w:val="1944"/>
        </w:numPr>
      </w:pPr>
      <w:r>
        <w:t xml:space="preserve">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(PMID 35002801; 781992 is the article number)</w:t>
      </w:r>
    </w:p>
    <w:p>
      <w:pPr>
        <w:pStyle w:val="Compact"/>
        <w:numPr>
          <w:ilvl w:val="0"/>
          <w:numId w:val="1944"/>
        </w:numPr>
      </w:pPr>
      <w:r>
        <w:t xml:space="preserve">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pPr>
        <w:pStyle w:val="Compact"/>
        <w:numPr>
          <w:ilvl w:val="0"/>
          <w:numId w:val="1944"/>
        </w:numPr>
      </w:pPr>
      <w:r>
        <w:t xml:space="preserve">Musetti A, Floros G, Chiappedi M, Stavropoulos V. Gaming disorder in the ICD-11: the state of the game. BMC Psychiatry. 2025;25(1):1114. doi:10.1186/s12888-025-07576-8 (PMID 41272537; 1114 is the article number)</w:t>
      </w:r>
    </w:p>
    <w:p>
      <w:pPr>
        <w:pStyle w:val="Compact"/>
        <w:numPr>
          <w:ilvl w:val="0"/>
          <w:numId w:val="1944"/>
        </w:numPr>
      </w:pPr>
      <w:r>
        <w:t xml:space="preserve">Nam B, Bae S, Kim SM, Hong JS, Han DH. Comparing the effects of bupropion and escitalopram on excessive internet game play in patients with major depressive disorder. Clin Psychopharmacol Neurosci. 2017;15(4):361–368. doi:10.9758/cpn.2017.15.4.361 (PMID 29073748)</w:t>
      </w:r>
    </w:p>
    <w:p>
      <w:pPr>
        <w:pStyle w:val="Compact"/>
        <w:numPr>
          <w:ilvl w:val="0"/>
          <w:numId w:val="1944"/>
        </w:numPr>
      </w:pPr>
      <w:r>
        <w:t xml:space="preserve">Ock CM, Lee HS, Chae J, Kim H. Effectiveness of non-pharmacological interventions on gaming disorder: a systematic review and meta-analysis. Psychiatry Investig. 2025;22(5):490–503. doi:10.30773/pi.2024.0358</w:t>
      </w:r>
    </w:p>
    <w:p>
      <w:pPr>
        <w:pStyle w:val="Compact"/>
        <w:numPr>
          <w:ilvl w:val="0"/>
          <w:numId w:val="1944"/>
        </w:numPr>
      </w:pPr>
      <w:r>
        <w:t xml:space="preserve">Paruthi S, Brooks LJ, D'Ambrosio C, Hall WA, Kotagal S, Lloyd RM, et al. Recommended amount of sleep for pediatric populations: a consensus statement of the American Academy of Sleep Medicine. J Clin Sleep Med. 2016;12(6):785–786. doi:10.5664/jcsm.5866</w:t>
      </w:r>
    </w:p>
    <w:p>
      <w:pPr>
        <w:pStyle w:val="Compact"/>
        <w:numPr>
          <w:ilvl w:val="0"/>
          <w:numId w:val="1944"/>
        </w:numPr>
      </w:pPr>
      <w:r>
        <w:t xml:space="preserve">Paulus FW, Ohmann S, von Gontard A, Popow C. Internet gaming disorder in children and adolescents: a systematic review. Dev Med Child Neurol. 2018;60(7):645–659. doi:10.1111/dmcn.13754</w:t>
      </w:r>
    </w:p>
    <w:p>
      <w:pPr>
        <w:pStyle w:val="Compact"/>
        <w:numPr>
          <w:ilvl w:val="0"/>
          <w:numId w:val="1944"/>
        </w:numPr>
      </w:pPr>
      <w:r>
        <w:t xml:space="preserve">Pontes HM, Griffiths MD. Measuring DSM-5 Internet gaming disorder: development and validation of a short psychometric scale. Comput Human Behav. 2015;45:137–143. doi:10.1016/j.chb.2014.12.006</w:t>
      </w:r>
    </w:p>
    <w:p>
      <w:pPr>
        <w:pStyle w:val="Compact"/>
        <w:numPr>
          <w:ilvl w:val="0"/>
          <w:numId w:val="1944"/>
        </w:numPr>
      </w:pPr>
      <w:r>
        <w:t xml:space="preserve">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pPr>
        <w:pStyle w:val="Compact"/>
        <w:numPr>
          <w:ilvl w:val="0"/>
          <w:numId w:val="1944"/>
        </w:numPr>
      </w:pPr>
      <w:r>
        <w:t xml:space="preserve">Poon LYJ, Tsang HWH, Chan TYJ, Man SWT, Ng LY, Wong YLE, Lin CY, Chien CW, Griffiths MD, Pontes HM, Pakpour AH. Psychometric properties of the Internet Gaming Disorder Scale-Short-Form (IGDS9-SF): systematic review. J Med Internet Res. 2021;23(10):e26821. doi:10.2196/26821 (e26821 is the article number)</w:t>
      </w:r>
    </w:p>
    <w:p>
      <w:pPr>
        <w:pStyle w:val="Compact"/>
        <w:numPr>
          <w:ilvl w:val="0"/>
          <w:numId w:val="1944"/>
        </w:numPr>
      </w:pPr>
      <w:r>
        <w:t xml:space="preserve">Przybylski AK, Weinstein N, Murayama K. Internet gaming disorder: investigating the clinical relevance of a new phenomenon. Am J Psychiatry. 2017;174(3):230–236. doi:10.1176/appi.ajp.2016.16020224</w:t>
      </w:r>
    </w:p>
    <w:p>
      <w:pPr>
        <w:pStyle w:val="Compact"/>
        <w:numPr>
          <w:ilvl w:val="0"/>
          <w:numId w:val="1944"/>
        </w:numPr>
      </w:pPr>
      <w:r>
        <w:t xml:space="preserve">Jahrami H., Husain W., Lin C.-Y. et al. Reliability generalization meta-analysis and psychometric review of the Gaming Disorder Test (GDT): evaluating internal consistency. Addict Behav Rep 2024;20:100563.</w:t>
      </w:r>
    </w:p>
    <w:p>
      <w:pPr>
        <w:pStyle w:val="Compact"/>
        <w:numPr>
          <w:ilvl w:val="0"/>
          <w:numId w:val="1944"/>
        </w:numPr>
      </w:pPr>
      <w:r>
        <w:t xml:space="preserve">Ropovik I, Martončik M, Babinčák P, Baník G, Vargová L, Adamkovič M. Risk and protective factors for (internet) gaming disorder: a meta-analysis of pre-COVID studies. Addict Behav. 2023;139:107590. doi:10.1016/j.addbeh.2022.107590 (107590 is the article number)</w:t>
      </w:r>
    </w:p>
    <w:p>
      <w:pPr>
        <w:pStyle w:val="Compact"/>
        <w:numPr>
          <w:ilvl w:val="0"/>
          <w:numId w:val="1944"/>
        </w:numPr>
      </w:pPr>
      <w:r>
        <w:t xml:space="preserve">Rumpf HJ, Achab S, Billieux J, Bowden-Jones H, Carragher N, Demetrovics Z, et al. Including gaming disorder in the ICD-11: the need to do so from a clinical and public health perspective. J Behav Addict. 2018;7(3):556–561. doi:10.1556/2006.7.2018.59</w:t>
      </w:r>
    </w:p>
    <w:p>
      <w:pPr>
        <w:pStyle w:val="Compact"/>
        <w:numPr>
          <w:ilvl w:val="0"/>
          <w:numId w:val="1944"/>
        </w:numPr>
      </w:pPr>
      <w:r>
        <w:t xml:space="preserve">Sá RRC, Coelho S, Parmar PK, Johnstone S, Kim HS, Tavares H. A systematic review of pharmacological treatments for Internet Gaming Disorder. Psychiatry Investig. 2023;20(8):696–706. doi:10.30773/pi.2022.0297 (PMID 37559452)</w:t>
      </w:r>
    </w:p>
    <w:p>
      <w:pPr>
        <w:pStyle w:val="Compact"/>
        <w:numPr>
          <w:ilvl w:val="0"/>
          <w:numId w:val="1944"/>
        </w:numPr>
      </w:pPr>
      <w:r>
        <w:t xml:space="preserve">Satish Kumar CR, Sharma MK, Amudhan S, Arya S, Mahapatra S, Anand N, et al. Digital gaming, musculoskeletal, and related health hazards among adolescents and young adults. Indian J Psychiatry. 2023;65(6):698–700. doi:10.4103/indianjpsychiatry.indianjpsychiatry_818_22</w:t>
      </w:r>
    </w:p>
    <w:p>
      <w:pPr>
        <w:pStyle w:val="Compact"/>
        <w:numPr>
          <w:ilvl w:val="0"/>
          <w:numId w:val="1944"/>
        </w:numPr>
      </w:pPr>
      <w:r>
        <w:t xml:space="preserve">Saunders JB, Hao W, Long J, King DL, Mann K, Fauth-Bühler M, et al. Gaming disorder: its delineation as an important condition for diagnosis, management, and prevention. J Behav Addict. 2017;6(3):271–279. doi:10.1556/2006.6.2017.039</w:t>
      </w:r>
    </w:p>
    <w:p>
      <w:pPr>
        <w:pStyle w:val="Compact"/>
        <w:numPr>
          <w:ilvl w:val="0"/>
          <w:numId w:val="1944"/>
        </w:numPr>
      </w:pPr>
      <w:r>
        <w:t xml:space="preserve">Stevens MW, Dorstyn D, Delfabbro PH, King DL. Global prevalence of gaming disorder: a systematic review and meta-analysis. Aust N Z J Psychiatry. 2021;55(6):553–568. doi:10.1177/0004867420962851</w:t>
      </w:r>
    </w:p>
    <w:p>
      <w:pPr>
        <w:pStyle w:val="Compact"/>
        <w:numPr>
          <w:ilvl w:val="0"/>
          <w:numId w:val="1944"/>
        </w:numPr>
      </w:pPr>
      <w:r>
        <w:t xml:space="preserve">Stevens MW, Dorstyn D, Delfabbro PH, King DL. Corrigendum to: Global prevalence of gaming disorder: a systematic review and meta-analysis. Aust N Z J Psychiatry. 2023;57(6):928. doi:10.1177/00048674221137011 (PMID 36433839)</w:t>
      </w:r>
    </w:p>
    <w:p>
      <w:pPr>
        <w:pStyle w:val="Compact"/>
        <w:numPr>
          <w:ilvl w:val="0"/>
          <w:numId w:val="1944"/>
        </w:numPr>
      </w:pPr>
      <w:r>
        <w:t xml:space="preserve">Stevens MWR, King DL, Dorstyn D, Delfabbro PH. Cognitive-behavioral therapy for Internet gaming disorder: a systematic review and meta-analysis. Clin Psychol Psychother. 2019;26(2):191–203. doi:10.1002/cpp.2341</w:t>
      </w:r>
    </w:p>
    <w:p>
      <w:pPr>
        <w:pStyle w:val="Compact"/>
        <w:numPr>
          <w:ilvl w:val="0"/>
          <w:numId w:val="1944"/>
        </w:numPr>
      </w:pPr>
      <w:r>
        <w:t xml:space="preserve">Sun AP, Ho CH, Kuss DJ, Cross CL. The temporal stability of problematic gaming and gaming disorder: a systematic review and meta-analysis. Addict Behav Rep. 2025;21:100592. doi:10.1016/j.abrep.2025.100592 (PMID 40125549; 100592 is the article number)</w:t>
      </w:r>
    </w:p>
    <w:p>
      <w:pPr>
        <w:pStyle w:val="Compact"/>
        <w:numPr>
          <w:ilvl w:val="0"/>
          <w:numId w:val="1944"/>
        </w:numPr>
      </w:pPr>
      <w:r>
        <w:t xml:space="preserve">Torres-Rodríguez A, Griffiths MD, Carbonell X, Oberst U. Treatment efficacy of a specialized psychotherapy program for Internet Gaming Disorder. J Behav Addict. 2018;7(4):939–952. doi:10.1556/2006.7.2018.111 (PMID 30427213)</w:t>
      </w:r>
    </w:p>
    <w:p>
      <w:pPr>
        <w:pStyle w:val="Compact"/>
        <w:numPr>
          <w:ilvl w:val="0"/>
          <w:numId w:val="1944"/>
        </w:numPr>
      </w:pPr>
      <w:r>
        <w:t xml:space="preserve">van Rooij AJ, Ferguson CJ, Colder Carras M, Kardefelt-Winther D, Shi J, Aarseth E, et al. A weak scientific basis for gaming disorder: let us err on the side of caution. J Behav Addict. 2018;7(1):1–9. doi:10.1556/2006.7.2018.19</w:t>
      </w:r>
    </w:p>
    <w:p>
      <w:pPr>
        <w:pStyle w:val="Compact"/>
        <w:numPr>
          <w:ilvl w:val="0"/>
          <w:numId w:val="1944"/>
        </w:numPr>
      </w:pPr>
      <w:r>
        <w:t xml:space="preserve">Vink JM, van Beijsterveldt TCEM, Huppertz C, Bartels M, Boomsma DI. Heritability of compulsive Internet use in adolescents. Addict Biol. 2016;21(2):460–468. doi:10.1111/adb.12218</w:t>
      </w:r>
    </w:p>
    <w:p>
      <w:pPr>
        <w:pStyle w:val="Compact"/>
        <w:numPr>
          <w:ilvl w:val="0"/>
          <w:numId w:val="1944"/>
        </w:numPr>
      </w:pPr>
      <w:r>
        <w:t xml:space="preserve">Wölfling K, Müller KW, Dreier M, Ruckes C, Deuster O, Batra A, et al. Efficacy of short-term treatment of internet and computer game addiction: a randomized clinical trial. JAMA Psychiatry. 2019;76(10):1018–1025. doi:10.1001/jamapsychiatry.2019.1676 (PMID 31290948)</w:t>
      </w:r>
    </w:p>
    <w:p>
      <w:pPr>
        <w:pStyle w:val="Compact"/>
        <w:numPr>
          <w:ilvl w:val="0"/>
          <w:numId w:val="1944"/>
        </w:numPr>
      </w:pPr>
      <w:r>
        <w:t xml:space="preserve">Young KS. Internet addiction: the emergence of a new clinical disorder. CyberPsychology and Behavior. 1998;1(3):237–244. doi:10.1089/cpb.1998.1.237</w:t>
      </w:r>
    </w:p>
    <w:p>
      <w:pPr>
        <w:pStyle w:val="Compact"/>
        <w:numPr>
          <w:ilvl w:val="0"/>
          <w:numId w:val="1944"/>
        </w:numPr>
      </w:pPr>
      <w:r>
        <w:t xml:space="preserve">Zendle D, Cairns P. Video game loot boxes are linked to problem gambling: results of a large-scale survey. PLoS One. 2018;13(11):e0206767. doi:10.1371/journal.pone.0206767</w:t>
      </w:r>
    </w:p>
    <w:p>
      <w:pPr>
        <w:pStyle w:val="Compact"/>
        <w:numPr>
          <w:ilvl w:val="0"/>
          <w:numId w:val="1944"/>
        </w:numPr>
      </w:pPr>
      <w:r>
        <w:t xml:space="preserve">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pPr>
        <w:pStyle w:val="Compact"/>
        <w:numPr>
          <w:ilvl w:val="0"/>
          <w:numId w:val="1944"/>
        </w:numPr>
      </w:pPr>
      <w:r>
        <w:t xml:space="preserve">Zhuang X, Zhang Y, Tang X, Ng TK, Lin J, Yang X. Longitudinal modifiable risk and protective factors of internet gaming disorder: a systematic review and meta-analysis. J Behav Addict. 2023;12(2):375–392. doi:10.1556/2006.2023.00017</w:t>
      </w:r>
    </w:p>
    <w:bookmarkEnd w:id="1916"/>
    <w:bookmarkStart w:id="1917" w:name="m786c706c7z-impulse-control"/>
    <w:p>
      <w:pPr>
        <w:pageBreakBefore/>
        <w:pStyle w:val="Heading1"/>
      </w:pPr>
      <w:r>
        <w:t xml:space="preserve">6C70–6C7Z IMPULSE CONTROL</w:t>
      </w:r>
    </w:p>
    <w:p>
      <w:pPr>
        <w:pStyle w:val="FirstParagraph"/>
      </w:pPr>
      <w:r>
        <w:t xml:space="preserve">Impulse control disorders</w:t>
      </w:r>
    </w:p>
    <w:bookmarkEnd w:id="191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18" w:name="m796c70-pyromania"/>
            <w:r>
              <w:t xml:space="preserve">6C70 PYROMANIA</w:t>
            </w:r>
            <w:bookmarkEnd w:id="1918"/>
          </w:p>
          <w:p>
            <w:pPr>
              <w:pStyle w:val="Compact"/>
              <w:ind w:firstLine="0" w:left="0"/>
            </w:pPr>
            <w:r>
              <w:rPr>
                <w:lang w:val="en"/>
              </w:rPr>
              <w:t xml:space="preserve">Pyromania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Pathological fire-setting [pyromania]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Pyromania</w:t>
            </w:r>
          </w:p>
        </w:tc>
      </w:tr>
    </w:tbl>
    <w:bookmarkStart w:id="1919" w:name="Xd22d8dab9b5ade7a917033697328ca2cdd09448"/>
    <w:p>
      <w:pPr>
        <w:pStyle w:val="Heading3"/>
      </w:pPr>
      <w:r>
        <w:t xml:space="preserve">1. Definition and nosology</w:t>
      </w:r>
    </w:p>
    <w:p>
      <w:pPr>
        <w:pStyle w:val="FirstParagraph"/>
      </w:pPr>
      <w:r>
        <w:t xml:space="preserve">Pyromania (ICD-11:</w:t>
      </w:r>
      <w:r>
        <w:t xml:space="preserve"> </w:t>
      </w:r>
      <w:r>
        <w:t xml:space="preserve">6C70</w:t>
      </w:r>
      <w:r>
        <w:t xml:space="preserve">; DSM-5-TR: F63.1) — deliberate, purposeful fire-setting behavior; tension or emotional arousal before the act, relief or pleasure after the act. Without financial gain, revenge, or ideological motive; a rare impulse control disorder.</w:t>
      </w:r>
    </w:p>
    <w:bookmarkEnd w:id="1919"/>
    <w:bookmarkStart w:id="1920" w:name="Xd87a8b28c48241429f1ef30d991a03f52d1fac8"/>
    <w:p>
      <w:pPr>
        <w:pStyle w:val="Heading3"/>
      </w:pPr>
      <w:r>
        <w:t xml:space="preserve">2. History</w:t>
      </w:r>
    </w:p>
    <w:p>
      <w:pPr>
        <w:pStyle w:val="Compact"/>
        <w:numPr>
          <w:ilvl w:val="0"/>
          <w:numId w:val="1945"/>
        </w:numPr>
      </w:pPr>
      <w:r>
        <w:t xml:space="preserve">In the 1830s, Marc — ‘monomanie incendiaire’.</w:t>
      </w:r>
    </w:p>
    <w:p>
      <w:pPr>
        <w:pStyle w:val="Compact"/>
        <w:numPr>
          <w:ilvl w:val="0"/>
          <w:numId w:val="1945"/>
        </w:numPr>
      </w:pPr>
      <w:r>
        <w:t xml:space="preserve">DSM-III (1980) — Within impulse control disorders.</w:t>
      </w:r>
    </w:p>
    <w:p>
      <w:pPr>
        <w:pStyle w:val="Compact"/>
        <w:numPr>
          <w:ilvl w:val="0"/>
          <w:numId w:val="1945"/>
        </w:numPr>
      </w:pPr>
      <w:r>
        <w:t xml:space="preserve">ICD-11 (2019) — within the impulse control disorders category.</w:t>
      </w:r>
    </w:p>
    <w:bookmarkEnd w:id="1920"/>
    <w:bookmarkStart w:id="1921" w:name="Xe35b87fe1a3607a60bd61175b66b0ea429572e8"/>
    <w:p>
      <w:pPr>
        <w:pStyle w:val="Heading3"/>
      </w:pPr>
      <w:r>
        <w:t xml:space="preserve">3. Epidemiology</w:t>
      </w:r>
    </w:p>
    <w:p>
      <w:pPr>
        <w:pStyle w:val="Compact"/>
        <w:numPr>
          <w:ilvl w:val="0"/>
          <w:numId w:val="1946"/>
        </w:numPr>
      </w:pPr>
      <w:r>
        <w:t xml:space="preserve">Rare — only ~3–10% of arson incidents meet criteria for pyromania (most arson has financial, revenge, or other motivation).</w:t>
      </w:r>
    </w:p>
    <w:p>
      <w:pPr>
        <w:pStyle w:val="Compact"/>
        <w:numPr>
          <w:ilvl w:val="0"/>
          <w:numId w:val="1946"/>
        </w:numPr>
      </w:pPr>
      <w:r>
        <w:t xml:space="preserve">Sex: higher in males.</w:t>
      </w:r>
    </w:p>
    <w:p>
      <w:pPr>
        <w:pStyle w:val="Compact"/>
        <w:numPr>
          <w:ilvl w:val="0"/>
          <w:numId w:val="1946"/>
        </w:numPr>
      </w:pPr>
      <w:r>
        <w:t xml:space="preserve">Onset: adolescence.</w:t>
      </w:r>
    </w:p>
    <w:p>
      <w:pPr>
        <w:pStyle w:val="Compact"/>
        <w:numPr>
          <w:ilvl w:val="0"/>
          <w:numId w:val="1946"/>
        </w:numPr>
      </w:pPr>
      <w:r>
        <w:t xml:space="preserve">Comorbidity: conduct disorder, ASPD, ID, ADHD, other substance use.</w:t>
      </w:r>
    </w:p>
    <w:bookmarkEnd w:id="1921"/>
    <w:bookmarkStart w:id="1922" w:name="X986c86b99d75eb17a97ef0867777504109bebd8"/>
    <w:p>
      <w:pPr>
        <w:pStyle w:val="Heading3"/>
      </w:pPr>
      <w:r>
        <w:t xml:space="preserve">4. Aetiology and pathogenesis</w:t>
      </w:r>
    </w:p>
    <w:p>
      <w:pPr>
        <w:pStyle w:val="Compact"/>
        <w:numPr>
          <w:ilvl w:val="0"/>
          <w:numId w:val="1947"/>
        </w:numPr>
      </w:pPr>
      <w:r>
        <w:t xml:space="preserve">Multiple factors — neurobiological impulse control, cognitive deficit, family dysfunction.</w:t>
      </w:r>
    </w:p>
    <w:p>
      <w:pPr>
        <w:pStyle w:val="Compact"/>
        <w:numPr>
          <w:ilvl w:val="0"/>
          <w:numId w:val="1947"/>
        </w:numPr>
      </w:pPr>
      <w:r>
        <w:t xml:space="preserve">Comorbid disorders are typical.</w:t>
      </w:r>
    </w:p>
    <w:bookmarkEnd w:id="1922"/>
    <w:bookmarkStart w:id="1923" w:name="X228cceaf151f829c8197e66352d2a116c5dc4f3"/>
    <w:p>
      <w:pPr>
        <w:pStyle w:val="Heading3"/>
      </w:pPr>
      <w:r>
        <w:t xml:space="preserve">5. Clinical features</w:t>
      </w:r>
    </w:p>
    <w:p>
      <w:pPr>
        <w:pStyle w:val="Compact"/>
        <w:numPr>
          <w:ilvl w:val="0"/>
          <w:numId w:val="1948"/>
        </w:numPr>
      </w:pPr>
      <w:r>
        <w:t xml:space="preserve">Repeated deliberate fire-setting.</w:t>
      </w:r>
    </w:p>
    <w:p>
      <w:pPr>
        <w:pStyle w:val="Compact"/>
        <w:numPr>
          <w:ilvl w:val="0"/>
          <w:numId w:val="1948"/>
        </w:numPr>
      </w:pPr>
      <w:r>
        <w:t xml:space="preserve">Pre-act tension/emotional arousal.</w:t>
      </w:r>
    </w:p>
    <w:p>
      <w:pPr>
        <w:pStyle w:val="Compact"/>
        <w:numPr>
          <w:ilvl w:val="0"/>
          <w:numId w:val="1948"/>
        </w:numPr>
      </w:pPr>
      <w:r>
        <w:t xml:space="preserve">Admiration for the fire, its attributes (flame, tools).</w:t>
      </w:r>
    </w:p>
    <w:p>
      <w:pPr>
        <w:pStyle w:val="Compact"/>
        <w:numPr>
          <w:ilvl w:val="0"/>
          <w:numId w:val="1948"/>
        </w:numPr>
      </w:pPr>
      <w:r>
        <w:t xml:space="preserve">Post-act pleasure, relief.</w:t>
      </w:r>
    </w:p>
    <w:p>
      <w:pPr>
        <w:pStyle w:val="Compact"/>
        <w:numPr>
          <w:ilvl w:val="0"/>
          <w:numId w:val="1948"/>
        </w:numPr>
      </w:pPr>
      <w:r>
        <w:t xml:space="preserve">No financial gain, revenge, ideological goal, or psychotic compulsion (delusion).</w:t>
      </w:r>
    </w:p>
    <w:bookmarkEnd w:id="1923"/>
    <w:bookmarkStart w:id="1928" w:name="Xe8a303b94dd628087d92cec4f7d294560e1e637"/>
    <w:p>
      <w:pPr>
        <w:pStyle w:val="Heading3"/>
      </w:pPr>
      <w:r>
        <w:t xml:space="preserve">6. Diagnosis</w:t>
      </w:r>
    </w:p>
    <w:bookmarkStart w:id="1924" w:name="unified-diagnostic-criteria-42"/>
    <w:p>
      <w:pPr>
        <w:pStyle w:val="Heading4"/>
      </w:pPr>
      <w:r>
        <w:t xml:space="preserve">6.1 Unified diagnostic criteria</w:t>
      </w:r>
    </w:p>
    <w:p>
      <w:pPr>
        <w:pStyle w:val="FirstParagraph"/>
      </w:pPr>
      <w:r>
        <w:t xml:space="preserve">A. Deliberately setting fires on more than one occasion.</w:t>
      </w:r>
    </w:p>
    <w:p>
      <w:pPr>
        <w:pStyle w:val="BodyText"/>
      </w:pPr>
      <w:r>
        <w:t xml:space="preserve">B. Pre-act tension or emotional arousal.</w:t>
      </w:r>
    </w:p>
    <w:p>
      <w:pPr>
        <w:pStyle w:val="BodyText"/>
      </w:pPr>
      <w:r>
        <w:t xml:space="preserve">C. Fascination with, curiosity about, or attraction to fire and its context.</w:t>
      </w:r>
    </w:p>
    <w:p>
      <w:pPr>
        <w:pStyle w:val="BodyText"/>
      </w:pPr>
      <w:r>
        <w:t xml:space="preserve">D. The act, its observation, or its outcome provides pleasure.</w:t>
      </w:r>
    </w:p>
    <w:p>
      <w:pPr>
        <w:pStyle w:val="BodyText"/>
      </w:pPr>
      <w:r>
        <w:t xml:space="preserve">E. The fire is not motivated by financial, revenge, ideological, socio-political, or psychotic motives.</w:t>
      </w:r>
    </w:p>
    <w:p>
      <w:pPr>
        <w:pStyle w:val="BodyText"/>
      </w:pPr>
      <w:r>
        <w:t xml:space="preserve">F. Not better explained by conduct disorder, a manic episode, or ASPD.</w:t>
      </w:r>
    </w:p>
    <w:bookmarkEnd w:id="1924"/>
    <w:bookmarkStart w:id="1925" w:name="differences-between-sources-112"/>
    <w:p>
      <w:pPr>
        <w:pStyle w:val="Heading4"/>
      </w:pPr>
      <w:r>
        <w:t xml:space="preserve">6.2 Differences between sources</w:t>
      </w:r>
    </w:p>
    <w:p>
      <w:pPr>
        <w:pStyle w:val="Compact"/>
        <w:numPr>
          <w:ilvl w:val="0"/>
          <w:numId w:val="1949"/>
        </w:numPr>
      </w:pPr>
      <w:r>
        <w:t xml:space="preserve">DSM-5-TR / ICD-11 — same.</w:t>
      </w:r>
    </w:p>
    <w:p>
      <w:pPr>
        <w:pStyle w:val="Compact"/>
        <w:numPr>
          <w:ilvl w:val="0"/>
          <w:numId w:val="1949"/>
        </w:numPr>
      </w:pPr>
      <w:r>
        <w:t xml:space="preserve">Rare in clinical practice; most firesetting is motivation-based.</w:t>
      </w:r>
    </w:p>
    <w:bookmarkEnd w:id="1925"/>
    <w:bookmarkStart w:id="1926" w:name="diagnostic-algorithm-63"/>
    <w:p>
      <w:pPr>
        <w:pStyle w:val="Heading4"/>
      </w:pPr>
      <w:r>
        <w:t xml:space="preserve">6.3 Diagnostic algorithm</w:t>
      </w:r>
    </w:p>
    <w:p>
      <w:pPr>
        <w:pStyle w:val="Compact"/>
        <w:numPr>
          <w:ilvl w:val="0"/>
          <w:numId w:val="1950"/>
        </w:numPr>
      </w:pPr>
      <w:r>
        <w:t xml:space="preserve">Clinical interview + family/witness information.</w:t>
      </w:r>
    </w:p>
    <w:p>
      <w:pPr>
        <w:pStyle w:val="Compact"/>
        <w:numPr>
          <w:ilvl w:val="0"/>
          <w:numId w:val="1950"/>
        </w:numPr>
      </w:pPr>
      <w:r>
        <w:t xml:space="preserve">Motivational history — compatibility with pyromania criteria.</w:t>
      </w:r>
    </w:p>
    <w:p>
      <w:pPr>
        <w:pStyle w:val="Compact"/>
        <w:numPr>
          <w:ilvl w:val="0"/>
          <w:numId w:val="1950"/>
        </w:numPr>
      </w:pPr>
      <w:r>
        <w:t xml:space="preserve">Comorbidity (ASPD, conduct disorder, manic, psychosis, ID, ADHD).</w:t>
      </w:r>
    </w:p>
    <w:p>
      <w:pPr>
        <w:pStyle w:val="Compact"/>
        <w:numPr>
          <w:ilvl w:val="0"/>
          <w:numId w:val="1950"/>
        </w:numPr>
      </w:pPr>
      <w:r>
        <w:t xml:space="preserve">Legal context — forensic psychiatry consultation.</w:t>
      </w:r>
    </w:p>
    <w:bookmarkEnd w:id="1926"/>
    <w:bookmarkStart w:id="1927" w:name="differential-diagnosis-6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instances of antisocial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 (Antisocial personality)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antisocial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Related to the affective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motivation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 (e.g., “voices”); schizophrenia, delusional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Revenge / financial / ideological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a clinical diagnosis — forensic topic.</w:t>
            </w:r>
          </w:p>
        </w:tc>
      </w:tr>
    </w:tbl>
    <w:bookmarkEnd w:id="1927"/>
    <w:bookmarkEnd w:id="1928"/>
    <w:bookmarkStart w:id="1929" w:name="X1dc4143e9e4fbefe6932628da4b9660d5a76eb3"/>
    <w:p>
      <w:pPr>
        <w:pStyle w:val="Heading3"/>
      </w:pPr>
      <w:r>
        <w:t xml:space="preserve">7. Examination and assessment</w:t>
      </w:r>
    </w:p>
    <w:p>
      <w:pPr>
        <w:pStyle w:val="Compact"/>
        <w:numPr>
          <w:ilvl w:val="0"/>
          <w:numId w:val="1951"/>
        </w:numPr>
      </w:pPr>
      <w:r>
        <w:t xml:space="preserve">Psychiatric interview.</w:t>
      </w:r>
    </w:p>
    <w:p>
      <w:pPr>
        <w:pStyle w:val="Compact"/>
        <w:numPr>
          <w:ilvl w:val="0"/>
          <w:numId w:val="1951"/>
        </w:numPr>
      </w:pPr>
      <w:r>
        <w:t xml:space="preserve">Intellectual assessment.</w:t>
      </w:r>
    </w:p>
    <w:p>
      <w:pPr>
        <w:pStyle w:val="Compact"/>
        <w:numPr>
          <w:ilvl w:val="0"/>
          <w:numId w:val="1951"/>
        </w:numPr>
      </w:pPr>
      <w:r>
        <w:t xml:space="preserve">Impulsivity scales (Barratt Impulsiveness Scale).</w:t>
      </w:r>
    </w:p>
    <w:p>
      <w:pPr>
        <w:pStyle w:val="Compact"/>
        <w:numPr>
          <w:ilvl w:val="0"/>
          <w:numId w:val="1951"/>
        </w:numPr>
      </w:pPr>
      <w:r>
        <w:t xml:space="preserve">Structured risk assessment in forensic context (HCR-20, VRAG).</w:t>
      </w:r>
    </w:p>
    <w:bookmarkEnd w:id="1929"/>
    <w:bookmarkStart w:id="1931" w:name="Xb68d043e13f7a9dfc72a8fb15c523870caf0609"/>
    <w:p>
      <w:pPr>
        <w:pStyle w:val="Heading3"/>
      </w:pPr>
      <w:r>
        <w:t xml:space="preserve">8. Treatment</w:t>
      </w:r>
    </w:p>
    <w:p>
      <w:pPr>
        <w:pStyle w:val="Compact"/>
        <w:numPr>
          <w:ilvl w:val="0"/>
          <w:numId w:val="1952"/>
        </w:numPr>
      </w:pPr>
      <w:r>
        <w:t xml:space="preserve">Evidence base is limited (rare disorder).</w:t>
      </w:r>
    </w:p>
    <w:p>
      <w:pPr>
        <w:pStyle w:val="Compact"/>
        <w:numPr>
          <w:ilvl w:val="0"/>
          <w:numId w:val="1952"/>
        </w:numPr>
      </w:pPr>
      <w:r>
        <w:t xml:space="preserve">CBT — impulse control, trigger management, exposure to alternative behavior.</w:t>
      </w:r>
    </w:p>
    <w:p>
      <w:pPr>
        <w:pStyle w:val="Compact"/>
        <w:numPr>
          <w:ilvl w:val="0"/>
          <w:numId w:val="1952"/>
        </w:numPr>
      </w:pPr>
      <w:r>
        <w:t xml:space="preserve">Treatment of comorbid disorders (therapeutic limit in ASPD, behavioral intervention in ID, stimulant in ADHD).</w:t>
      </w:r>
    </w:p>
    <w:p>
      <w:pPr>
        <w:pStyle w:val="Compact"/>
        <w:numPr>
          <w:ilvl w:val="0"/>
          <w:numId w:val="1952"/>
        </w:numPr>
      </w:pPr>
      <w:r>
        <w:t xml:space="preserve">SSRI — off-label for impulse control.</w:t>
      </w:r>
    </w:p>
    <w:p>
      <w:pPr>
        <w:pStyle w:val="Compact"/>
        <w:numPr>
          <w:ilvl w:val="0"/>
          <w:numId w:val="1952"/>
        </w:numPr>
      </w:pPr>
      <w:r>
        <w:t xml:space="preserve">Legal-psychiatric coordination (hospitalization, court order).</w:t>
      </w:r>
    </w:p>
    <w:bookmarkStart w:id="1930" w:name="treatment-methods-61"/>
    <w:p>
      <w:pPr>
        <w:pStyle w:val="Heading4"/>
      </w:pPr>
      <w:r>
        <w:t xml:space="preserve">8.1 Treatment methods</w:t>
      </w:r>
    </w:p>
    <w:p>
      <w:pPr>
        <w:pStyle w:val="Compact"/>
        <w:numPr>
          <w:ilvl w:val="0"/>
          <w:numId w:val="1953"/>
        </w:numPr>
      </w:pPr>
      <w:r>
        <w:t xml:space="preserve">CBT for impulse control — Trigger identification, behavior replacement.</w:t>
      </w:r>
    </w:p>
    <w:p>
      <w:pPr>
        <w:pStyle w:val="Compact"/>
        <w:numPr>
          <w:ilvl w:val="0"/>
          <w:numId w:val="1953"/>
        </w:numPr>
      </w:pPr>
      <w:r>
        <w:t xml:space="preserve">Comorbidity treatment — Behavioral intervention, specific for ID, ADHD.</w:t>
      </w:r>
    </w:p>
    <w:p>
      <w:pPr>
        <w:pStyle w:val="Compact"/>
        <w:numPr>
          <w:ilvl w:val="0"/>
          <w:numId w:val="1953"/>
        </w:numPr>
      </w:pPr>
      <w:r>
        <w:t xml:space="preserve">Forensic risk assessment — HCR-20, VRAG.</w:t>
      </w:r>
    </w:p>
    <w:bookmarkEnd w:id="1930"/>
    <w:bookmarkEnd w:id="1931"/>
    <w:bookmarkStart w:id="1932" w:name="Xebe0d9d5a3b27dc1365e41b99a4a550f807950e"/>
    <w:p>
      <w:pPr>
        <w:pStyle w:val="Heading3"/>
      </w:pPr>
      <w:r>
        <w:t xml:space="preserve">9. Prognosis</w:t>
      </w:r>
    </w:p>
    <w:p>
      <w:pPr>
        <w:pStyle w:val="Compact"/>
        <w:numPr>
          <w:ilvl w:val="0"/>
          <w:numId w:val="1954"/>
        </w:numPr>
      </w:pPr>
      <w:r>
        <w:t xml:space="preserve">Evidence base is limited; comorbid disorder and psychosocial support determine prognosis.</w:t>
      </w:r>
    </w:p>
    <w:bookmarkEnd w:id="1932"/>
    <w:bookmarkStart w:id="1937" w:name="X712df24dedb19e81389d0fc36dae646279b0c8f"/>
    <w:p>
      <w:pPr>
        <w:pStyle w:val="Heading3"/>
      </w:pPr>
      <w:r>
        <w:t xml:space="preserve">10. Myths and misconceptions</w:t>
      </w:r>
    </w:p>
    <w:bookmarkStart w:id="1933" w:name="myth-1-all-fire-setters-are-pyromaniacs"/>
    <w:p>
      <w:pPr>
        <w:pStyle w:val="Heading5"/>
      </w:pPr>
      <w:r>
        <w:t xml:space="preserve">Myth 1: “All fire-setters are pyromaniacs”</w:t>
      </w:r>
    </w:p>
    <w:p>
      <w:pPr>
        <w:pStyle w:val="FirstParagraph"/>
      </w:pPr>
      <w:r>
        <w:t xml:space="preserve">Evidence: Most arson motivation-based (financial, revenge) — pyromania not; ~3–10% meet clinical diagnosis.</w:t>
      </w:r>
    </w:p>
    <w:bookmarkEnd w:id="1933"/>
    <w:bookmarkStart w:id="1934" w:name="X863fa853f6566e64bad3d3718bef53891782995"/>
    <w:p>
      <w:pPr>
        <w:pStyle w:val="Heading5"/>
      </w:pPr>
      <w:r>
        <w:t xml:space="preserve">Myth 2: “Pyromania is only a childhood phenomenon”</w:t>
      </w:r>
    </w:p>
    <w:p>
      <w:pPr>
        <w:pStyle w:val="FirstParagraph"/>
      </w:pPr>
      <w:r>
        <w:t xml:space="preserve">Evidence: onset typically in adolescence, but can persist into adulthood.</w:t>
      </w:r>
    </w:p>
    <w:bookmarkEnd w:id="1934"/>
    <w:bookmarkStart w:id="1935" w:name="X5ae27b0ed2093947752d0c7726d7b7f882f1641"/>
    <w:p>
      <w:pPr>
        <w:pStyle w:val="Heading5"/>
      </w:pPr>
      <w:r>
        <w:t xml:space="preserve">Myth 3: “There is specific effective pharmacotherapy”</w:t>
      </w:r>
    </w:p>
    <w:p>
      <w:pPr>
        <w:pStyle w:val="FirstParagraph"/>
      </w:pPr>
      <w:r>
        <w:t xml:space="preserve">Evidence: No FDA approval; SSRIs off-label, evidence base limited.</w:t>
      </w:r>
    </w:p>
    <w:bookmarkEnd w:id="1935"/>
    <w:bookmarkStart w:id="1936" w:name="Xfd917b2f980f9627e4998f83a586f3df125ac78"/>
    <w:p>
      <w:pPr>
        <w:pStyle w:val="Heading5"/>
      </w:pPr>
      <w:r>
        <w:t xml:space="preserve">Myth 4: “Legal punishment alone is sufficient”</w:t>
      </w:r>
    </w:p>
    <w:p>
      <w:pPr>
        <w:pStyle w:val="FirstParagraph"/>
      </w:pPr>
      <w:r>
        <w:t xml:space="preserve">Evidence: Clinical intervention and comorbidity treatment reduce relapse risk.</w:t>
      </w:r>
    </w:p>
    <w:bookmarkEnd w:id="1936"/>
    <w:bookmarkEnd w:id="1937"/>
    <w:bookmarkStart w:id="2949" w:name="X3c9782d9b5c498b4cf67bcb9f7cdc44fb62bd1f"/>
    <w:p>
      <w:pPr>
        <w:pStyle w:val="Heading3"/>
      </w:pPr>
      <w:r>
        <w:t xml:space="preserve">11. Sources</w:t>
      </w:r>
    </w:p>
    <w:p>
      <w:pPr>
        <w:pStyle w:val="Compact"/>
        <w:numPr>
          <w:ilvl w:val="0"/>
          <w:numId w:val="1955"/>
        </w:numPr>
      </w:pPr>
      <w:r>
        <w:t xml:space="preserve">WHO. ICD-11. 6C70 Pyromania. 2024.</w:t>
      </w:r>
    </w:p>
    <w:p>
      <w:pPr>
        <w:pStyle w:val="Compact"/>
        <w:numPr>
          <w:ilvl w:val="0"/>
          <w:numId w:val="1955"/>
        </w:numPr>
      </w:pPr>
      <w:r>
        <w:t xml:space="preserve">APA. DSM-5-TR. 2022.</w:t>
      </w:r>
    </w:p>
    <w:p>
      <w:pPr>
        <w:pStyle w:val="Compact"/>
        <w:numPr>
          <w:ilvl w:val="0"/>
          <w:numId w:val="1955"/>
        </w:numPr>
      </w:pPr>
      <w:r>
        <w:t xml:space="preserve">Burton P.R., McNiel D.E., Binder R.L. Firesetting, arson, pyromania, and the forensic mental health expert. J Am Acad Psychiatry Law 2012;40(3):355–365.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38" w:name="m806c71-kleptomania"/>
            <w:r>
              <w:t xml:space="preserve">6C71 KLEPTOMANIA</w:t>
            </w:r>
            <w:bookmarkEnd w:id="1938"/>
          </w:p>
          <w:p>
            <w:pPr>
              <w:pStyle w:val="Compact"/>
              <w:ind w:firstLine="0" w:left="0"/>
            </w:pPr>
            <w:r>
              <w:rPr>
                <w:lang w:val="en"/>
              </w:rPr>
              <w:t xml:space="preserve">Kleptomania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Pathological stealing [kleptomania]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Kleptomania</w:t>
            </w:r>
          </w:p>
        </w:tc>
      </w:tr>
    </w:tbl>
    <w:bookmarkStart w:id="1939" w:name="Xeedde942d8efd7f4ba0073a0b629b9ede38b63f"/>
    <w:p>
      <w:pPr>
        <w:pStyle w:val="Heading3"/>
      </w:pPr>
      <w:r>
        <w:t xml:space="preserve">1. Definition and nosology</w:t>
      </w:r>
    </w:p>
    <w:p>
      <w:pPr>
        <w:pStyle w:val="FirstParagraph"/>
      </w:pPr>
      <w:r>
        <w:t xml:space="preserve">Kleptomania (ICD-11:</w:t>
      </w:r>
      <w:r>
        <w:t xml:space="preserve"> </w:t>
      </w:r>
      <w:r>
        <w:t xml:space="preserve">6C71</w:t>
      </w:r>
      <w:r>
        <w:t xml:space="preserve">; DSM-5-TR: F63.2) — a recurrent impulse to steal objects that are not needed for personal use or monetary value; tension before the act, relief or pleasure after the act.</w:t>
      </w:r>
    </w:p>
    <w:bookmarkEnd w:id="1939"/>
    <w:bookmarkStart w:id="1940" w:name="X1b7382a38a56a948685a8c1c00daf515d37db66"/>
    <w:p>
      <w:pPr>
        <w:pStyle w:val="Heading3"/>
      </w:pPr>
      <w:r>
        <w:t xml:space="preserve">2. History</w:t>
      </w:r>
    </w:p>
    <w:p>
      <w:pPr>
        <w:pStyle w:val="Compact"/>
        <w:numPr>
          <w:ilvl w:val="0"/>
          <w:numId w:val="1956"/>
        </w:numPr>
      </w:pPr>
      <w:r>
        <w:t xml:space="preserve">Esquirol (1838) — “kleptomanie”.</w:t>
      </w:r>
    </w:p>
    <w:p>
      <w:pPr>
        <w:pStyle w:val="Compact"/>
        <w:numPr>
          <w:ilvl w:val="0"/>
          <w:numId w:val="1956"/>
        </w:numPr>
      </w:pPr>
      <w:r>
        <w:t xml:space="preserve">DSM-III — Impulse control disorders.</w:t>
      </w:r>
    </w:p>
    <w:p>
      <w:pPr>
        <w:pStyle w:val="Compact"/>
        <w:numPr>
          <w:ilvl w:val="0"/>
          <w:numId w:val="1956"/>
        </w:numPr>
      </w:pPr>
      <w:r>
        <w:t xml:space="preserve">ICD-11 — impulse control disorders.</w:t>
      </w:r>
    </w:p>
    <w:bookmarkEnd w:id="1940"/>
    <w:bookmarkStart w:id="1941" w:name="X740dfe0b3372c545357a0c6c189a7793c6ebc61"/>
    <w:p>
      <w:pPr>
        <w:pStyle w:val="Heading3"/>
      </w:pPr>
      <w:r>
        <w:t xml:space="preserve">3. Epidemiology</w:t>
      </w:r>
    </w:p>
    <w:p>
      <w:pPr>
        <w:pStyle w:val="Compact"/>
        <w:numPr>
          <w:ilvl w:val="0"/>
          <w:numId w:val="1957"/>
        </w:numPr>
      </w:pPr>
      <w:r>
        <w:t xml:space="preserve">Only ~5% of shoplifting incidents meet criteria for kleptomania (most theft is motivation-based).</w:t>
      </w:r>
    </w:p>
    <w:p>
      <w:pPr>
        <w:pStyle w:val="Compact"/>
        <w:numPr>
          <w:ilvl w:val="0"/>
          <w:numId w:val="1957"/>
        </w:numPr>
      </w:pPr>
      <w:r>
        <w:t xml:space="preserve">Sex: higher in females (in clinical populations).</w:t>
      </w:r>
    </w:p>
    <w:p>
      <w:pPr>
        <w:pStyle w:val="Compact"/>
        <w:numPr>
          <w:ilvl w:val="0"/>
          <w:numId w:val="1957"/>
        </w:numPr>
      </w:pPr>
      <w:r>
        <w:t xml:space="preserve">Comorbidity: mood disorders 45–100% across series, MDD up to ~65%; anxiety, OCD, eating disorders, substance use.</w:t>
      </w:r>
    </w:p>
    <w:bookmarkEnd w:id="1941"/>
    <w:bookmarkStart w:id="1942" w:name="X6d61e359283217712bc84cb0f82c46be89b5fe3"/>
    <w:p>
      <w:pPr>
        <w:pStyle w:val="Heading3"/>
      </w:pPr>
      <w:r>
        <w:t xml:space="preserve">4. Aetiology and pathogenesis</w:t>
      </w:r>
    </w:p>
    <w:p>
      <w:pPr>
        <w:pStyle w:val="Compact"/>
        <w:numPr>
          <w:ilvl w:val="0"/>
          <w:numId w:val="1958"/>
        </w:numPr>
      </w:pPr>
      <w:r>
        <w:t xml:space="preserve">Hypothesis of serotonin and opioid system dysregulation (Grant J.E.).</w:t>
      </w:r>
    </w:p>
    <w:p>
      <w:pPr>
        <w:pStyle w:val="Compact"/>
        <w:numPr>
          <w:ilvl w:val="0"/>
          <w:numId w:val="1958"/>
        </w:numPr>
      </w:pPr>
      <w:r>
        <w:t xml:space="preserve">Comorbid affective and impulsivity disorders.</w:t>
      </w:r>
    </w:p>
    <w:bookmarkEnd w:id="1942"/>
    <w:bookmarkStart w:id="1943" w:name="X1b03af2ecc728886c2fbf7af7b4cb72b7fa0085"/>
    <w:p>
      <w:pPr>
        <w:pStyle w:val="Heading3"/>
      </w:pPr>
      <w:r>
        <w:t xml:space="preserve">5. Clinical features</w:t>
      </w:r>
    </w:p>
    <w:p>
      <w:pPr>
        <w:pStyle w:val="Compact"/>
        <w:numPr>
          <w:ilvl w:val="0"/>
          <w:numId w:val="1959"/>
        </w:numPr>
      </w:pPr>
      <w:r>
        <w:t xml:space="preserve">Failure to resist stealing act — items unnecessary for personal or financial value.</w:t>
      </w:r>
    </w:p>
    <w:p>
      <w:pPr>
        <w:pStyle w:val="Compact"/>
        <w:numPr>
          <w:ilvl w:val="0"/>
          <w:numId w:val="1959"/>
        </w:numPr>
      </w:pPr>
      <w:r>
        <w:t xml:space="preserve">Pre-act increase in tension.</w:t>
      </w:r>
    </w:p>
    <w:p>
      <w:pPr>
        <w:pStyle w:val="Compact"/>
        <w:numPr>
          <w:ilvl w:val="0"/>
          <w:numId w:val="1959"/>
        </w:numPr>
      </w:pPr>
      <w:r>
        <w:t xml:space="preserve">Post-act relief, pleasure.</w:t>
      </w:r>
    </w:p>
    <w:p>
      <w:pPr>
        <w:pStyle w:val="Compact"/>
        <w:numPr>
          <w:ilvl w:val="0"/>
          <w:numId w:val="1959"/>
        </w:numPr>
      </w:pPr>
      <w:r>
        <w:t xml:space="preserve">Stealing is not motivated by anger, revenge, or psychotic motivation.</w:t>
      </w:r>
    </w:p>
    <w:p>
      <w:pPr>
        <w:pStyle w:val="Compact"/>
        <w:numPr>
          <w:ilvl w:val="0"/>
          <w:numId w:val="1959"/>
        </w:numPr>
      </w:pPr>
      <w:r>
        <w:t xml:space="preserve">Objects are typically discarded, given away, or hoarded; sometimes surreptitiously returned.</w:t>
      </w:r>
    </w:p>
    <w:bookmarkEnd w:id="1943"/>
    <w:bookmarkStart w:id="1948" w:name="X623ea816331b473a720d8f80145da467c181ec1"/>
    <w:p>
      <w:pPr>
        <w:pStyle w:val="Heading3"/>
      </w:pPr>
      <w:r>
        <w:t xml:space="preserve">6. Diagnosis</w:t>
      </w:r>
    </w:p>
    <w:bookmarkStart w:id="1944" w:name="unified-diagnostic-criteria-43"/>
    <w:p>
      <w:pPr>
        <w:pStyle w:val="Heading4"/>
      </w:pPr>
      <w:r>
        <w:t xml:space="preserve">6.1 Unified diagnostic criteria</w:t>
      </w:r>
    </w:p>
    <w:p>
      <w:pPr>
        <w:pStyle w:val="FirstParagraph"/>
      </w:pPr>
      <w:r>
        <w:t xml:space="preserve">A. Repeated failure to resist the impulse to steal items that are not needed for personal use or monetary value.</w:t>
      </w:r>
    </w:p>
    <w:p>
      <w:pPr>
        <w:pStyle w:val="BodyText"/>
      </w:pPr>
      <w:r>
        <w:t xml:space="preserve">B. Pre-act tension.</w:t>
      </w:r>
    </w:p>
    <w:p>
      <w:pPr>
        <w:pStyle w:val="BodyText"/>
      </w:pPr>
      <w:r>
        <w:t xml:space="preserve">C. Post-act relief, pleasure.</w:t>
      </w:r>
    </w:p>
    <w:p>
      <w:pPr>
        <w:pStyle w:val="BodyText"/>
      </w:pPr>
      <w:r>
        <w:t xml:space="preserve">D. Stealing is not motivated by anger, revenge, delusion, or hallucination.</w:t>
      </w:r>
    </w:p>
    <w:p>
      <w:pPr>
        <w:pStyle w:val="BodyText"/>
      </w:pPr>
      <w:r>
        <w:t xml:space="preserve">E. Not better explained by conduct disorder, a manic episode, or ASPD.</w:t>
      </w:r>
    </w:p>
    <w:bookmarkEnd w:id="1944"/>
    <w:bookmarkStart w:id="1945" w:name="differences-between-sources-113"/>
    <w:p>
      <w:pPr>
        <w:pStyle w:val="Heading4"/>
      </w:pPr>
      <w:r>
        <w:t xml:space="preserve">6.2 Differences between sources</w:t>
      </w:r>
    </w:p>
    <w:p>
      <w:pPr>
        <w:pStyle w:val="FirstParagraph"/>
      </w:pPr>
      <w:r>
        <w:t xml:space="preserve">DSM-5-TR / ICD-11 — same criteria.</w:t>
      </w:r>
    </w:p>
    <w:bookmarkEnd w:id="1945"/>
    <w:bookmarkStart w:id="1946" w:name="diagnostic-algorithm-64"/>
    <w:p>
      <w:pPr>
        <w:pStyle w:val="Heading4"/>
      </w:pPr>
      <w:r>
        <w:t xml:space="preserve">6.3 Diagnostic algorithm</w:t>
      </w:r>
    </w:p>
    <w:p>
      <w:pPr>
        <w:pStyle w:val="Compact"/>
        <w:numPr>
          <w:ilvl w:val="0"/>
          <w:numId w:val="1960"/>
        </w:numPr>
      </w:pPr>
      <w:r>
        <w:t xml:space="preserve">Clinical interview.</w:t>
      </w:r>
    </w:p>
    <w:p>
      <w:pPr>
        <w:pStyle w:val="Compact"/>
        <w:numPr>
          <w:ilvl w:val="0"/>
          <w:numId w:val="1960"/>
        </w:numPr>
      </w:pPr>
      <w:r>
        <w:t xml:space="preserve">K-SAS (Kleptomania Symptom Assessment Scale) — Grant J.E.</w:t>
      </w:r>
    </w:p>
    <w:p>
      <w:pPr>
        <w:pStyle w:val="Compact"/>
        <w:numPr>
          <w:ilvl w:val="0"/>
          <w:numId w:val="1960"/>
        </w:numPr>
      </w:pPr>
      <w:r>
        <w:t xml:space="preserve">Comorbid MDD, anxiety, OCD, eating disorders.</w:t>
      </w:r>
    </w:p>
    <w:bookmarkEnd w:id="1946"/>
    <w:bookmarkStart w:id="1947" w:name="differential-diagnosis-6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Simple theft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Motivation — gain, need.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antisocial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context.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instances of antisocial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Cognitive decline.</w:t>
            </w:r>
          </w:p>
        </w:tc>
      </w:tr>
    </w:tbl>
    <w:bookmarkEnd w:id="1947"/>
    <w:bookmarkEnd w:id="1948"/>
    <w:bookmarkStart w:id="1949" w:name="X22524d61fc7076bbedb7ae26b9140bbf32041a9"/>
    <w:p>
      <w:pPr>
        <w:pStyle w:val="Heading3"/>
      </w:pPr>
      <w:r>
        <w:t xml:space="preserve">7. Examination and assessment</w:t>
      </w:r>
    </w:p>
    <w:p>
      <w:pPr>
        <w:pStyle w:val="Compact"/>
        <w:numPr>
          <w:ilvl w:val="0"/>
          <w:numId w:val="1961"/>
        </w:numPr>
      </w:pPr>
      <w:r>
        <w:t xml:space="preserve">K-SAS.</w:t>
      </w:r>
    </w:p>
    <w:p>
      <w:pPr>
        <w:pStyle w:val="Compact"/>
        <w:numPr>
          <w:ilvl w:val="0"/>
          <w:numId w:val="1961"/>
        </w:numPr>
      </w:pPr>
      <w:r>
        <w:t xml:space="preserve">Comorbidity scales.</w:t>
      </w:r>
    </w:p>
    <w:bookmarkEnd w:id="1949"/>
    <w:bookmarkStart w:id="1952" w:name="Xe9d36144d325a9477de8c42b43585d77d741bc4"/>
    <w:p>
      <w:pPr>
        <w:pStyle w:val="Heading3"/>
      </w:pPr>
      <w:r>
        <w:t xml:space="preserve">8. Treatment</w:t>
      </w:r>
    </w:p>
    <w:p>
      <w:pPr>
        <w:pStyle w:val="Compact"/>
        <w:numPr>
          <w:ilvl w:val="0"/>
          <w:numId w:val="1962"/>
        </w:numPr>
      </w:pPr>
      <w:r>
        <w:t xml:space="preserve">Naltrexone — Grant J.E. et al. Biol Psychiatry 2009 RCT — efficacy in kleptomania (50–150 mg/day).</w:t>
      </w:r>
    </w:p>
    <w:p>
      <w:pPr>
        <w:pStyle w:val="Compact"/>
        <w:numPr>
          <w:ilvl w:val="0"/>
          <w:numId w:val="1962"/>
        </w:numPr>
      </w:pPr>
      <w:r>
        <w:t xml:space="preserve">CBT — cognitive restructuring, behavioral activation, exposure and ritual prevention.</w:t>
      </w:r>
    </w:p>
    <w:p>
      <w:pPr>
        <w:pStyle w:val="Compact"/>
        <w:numPr>
          <w:ilvl w:val="0"/>
          <w:numId w:val="1962"/>
        </w:numPr>
      </w:pPr>
      <w:r>
        <w:t xml:space="preserve">SSRI — for comorbid MDD.</w:t>
      </w:r>
    </w:p>
    <w:p>
      <w:pPr>
        <w:pStyle w:val="Compact"/>
        <w:numPr>
          <w:ilvl w:val="0"/>
          <w:numId w:val="1962"/>
        </w:numPr>
      </w:pPr>
      <w:r>
        <w:t xml:space="preserve">Multidisciplinary approach — legal context.</w:t>
      </w:r>
    </w:p>
    <w:bookmarkStart w:id="1950" w:name="treatment-methods-62"/>
    <w:p>
      <w:pPr>
        <w:pStyle w:val="Heading4"/>
      </w:pPr>
      <w:r>
        <w:t xml:space="preserve">8.1 Treatment methods</w:t>
      </w:r>
    </w:p>
    <w:p>
      <w:pPr>
        <w:pStyle w:val="Compact"/>
        <w:numPr>
          <w:ilvl w:val="0"/>
          <w:numId w:val="1963"/>
        </w:numPr>
      </w:pPr>
      <w:r>
        <w:t xml:space="preserve">Naltrexone — Opioid antagonist; reduces kleptomania cravings.</w:t>
      </w:r>
    </w:p>
    <w:p>
      <w:pPr>
        <w:pStyle w:val="Compact"/>
        <w:numPr>
          <w:ilvl w:val="0"/>
          <w:numId w:val="1963"/>
        </w:numPr>
      </w:pPr>
      <w:r>
        <w:t xml:space="preserve">CBT for impulse control — Trigger management.</w:t>
      </w:r>
    </w:p>
    <w:p>
      <w:pPr>
        <w:pStyle w:val="Compact"/>
        <w:numPr>
          <w:ilvl w:val="0"/>
          <w:numId w:val="1963"/>
        </w:numPr>
      </w:pPr>
      <w:r>
        <w:t xml:space="preserve">Kleptomania Symptom Assessment Scale (K-SAS) — Severity scale.</w:t>
      </w:r>
    </w:p>
    <w:bookmarkEnd w:id="1950"/>
    <w:bookmarkStart w:id="1951" w:name="differences-between-sources-114"/>
    <w:p>
      <w:pPr>
        <w:pStyle w:val="Heading4"/>
      </w:pPr>
      <w:r>
        <w:t xml:space="preserve">8.2 Differences between sources</w:t>
      </w:r>
    </w:p>
    <w:p>
      <w:pPr>
        <w:pStyle w:val="Compact"/>
        <w:numPr>
          <w:ilvl w:val="0"/>
          <w:numId w:val="1964"/>
        </w:numPr>
      </w:pPr>
      <w:r>
        <w:t xml:space="preserve">Grant J.E. — naltrexone evidence base.</w:t>
      </w:r>
    </w:p>
    <w:bookmarkEnd w:id="1951"/>
    <w:bookmarkEnd w:id="1952"/>
    <w:bookmarkStart w:id="1953" w:name="Xc9c88f217c9ffcba70a7a72f1e9b724dd75f6dc"/>
    <w:p>
      <w:pPr>
        <w:pStyle w:val="Heading3"/>
      </w:pPr>
      <w:r>
        <w:t xml:space="preserve">9. Prognosis</w:t>
      </w:r>
    </w:p>
    <w:p>
      <w:pPr>
        <w:pStyle w:val="Compact"/>
        <w:numPr>
          <w:ilvl w:val="0"/>
          <w:numId w:val="1965"/>
        </w:numPr>
      </w:pPr>
      <w:r>
        <w:t xml:space="preserve">Significant improvement with naltrexone and CBT.</w:t>
      </w:r>
    </w:p>
    <w:p>
      <w:pPr>
        <w:pStyle w:val="Compact"/>
        <w:numPr>
          <w:ilvl w:val="0"/>
          <w:numId w:val="1965"/>
        </w:numPr>
      </w:pPr>
      <w:r>
        <w:t xml:space="preserve">Comorbid MDD predicts a poor prognosis.</w:t>
      </w:r>
    </w:p>
    <w:bookmarkEnd w:id="1953"/>
    <w:bookmarkStart w:id="1958" w:name="X8e174eeff38450abb0b7f2ebc18cbbeb0dab28d"/>
    <w:p>
      <w:pPr>
        <w:pStyle w:val="Heading3"/>
      </w:pPr>
      <w:r>
        <w:t xml:space="preserve">10. Myths and misconceptions</w:t>
      </w:r>
    </w:p>
    <w:bookmarkStart w:id="1954" w:name="X085708d734a076f718bb7e672e24e28b79735f3"/>
    <w:p>
      <w:pPr>
        <w:pStyle w:val="Heading5"/>
      </w:pPr>
      <w:r>
        <w:t xml:space="preserve">Myth 1: “All repeated stealing is kleptomania”</w:t>
      </w:r>
    </w:p>
    <w:p>
      <w:pPr>
        <w:pStyle w:val="FirstParagraph"/>
      </w:pPr>
      <w:r>
        <w:t xml:space="preserve">Evidence: Most theft is motivation-based; kleptomania rare.</w:t>
      </w:r>
    </w:p>
    <w:bookmarkEnd w:id="1954"/>
    <w:bookmarkStart w:id="1955" w:name="Xebea6e78603a2658e56ee27cd01f2a6206326b7"/>
    <w:p>
      <w:pPr>
        <w:pStyle w:val="Heading5"/>
      </w:pPr>
      <w:r>
        <w:t xml:space="preserve">Myth 2: “The patient can stop ‘voluntarily’”</w:t>
      </w:r>
    </w:p>
    <w:p>
      <w:pPr>
        <w:pStyle w:val="FirstParagraph"/>
      </w:pPr>
      <w:r>
        <w:t xml:space="preserve">Evidence: impulse control disorder — failure to resist is clinical diagnostic feature.</w:t>
      </w:r>
    </w:p>
    <w:bookmarkEnd w:id="1955"/>
    <w:bookmarkStart w:id="1956" w:name="X89c66d45f44678967a9a31e12a6dad37d6b993a"/>
    <w:p>
      <w:pPr>
        <w:pStyle w:val="Heading5"/>
      </w:pPr>
      <w:r>
        <w:t xml:space="preserve">Myth 3: “Legal punishment alone is sufficient”</w:t>
      </w:r>
    </w:p>
    <w:p>
      <w:pPr>
        <w:pStyle w:val="FirstParagraph"/>
      </w:pPr>
      <w:r>
        <w:t xml:space="preserve">Evidence: Clinical intervention and comorbidity treatment reduce relapse risk.</w:t>
      </w:r>
    </w:p>
    <w:bookmarkEnd w:id="1956"/>
    <w:bookmarkStart w:id="1957" w:name="myth-4-there-is-no-specific-treatment"/>
    <w:p>
      <w:pPr>
        <w:pStyle w:val="Heading5"/>
      </w:pPr>
      <w:r>
        <w:t xml:space="preserve">Myth 4: “There is no specific treatment”</w:t>
      </w:r>
    </w:p>
    <w:p>
      <w:pPr>
        <w:pStyle w:val="FirstParagraph"/>
      </w:pPr>
      <w:r>
        <w:t xml:space="preserve">Evidence: Naltrexone evidence base (Grant 2009 RCT); CBT is effective.</w:t>
      </w:r>
    </w:p>
    <w:bookmarkEnd w:id="1957"/>
    <w:bookmarkEnd w:id="1958"/>
    <w:bookmarkStart w:id="2948" w:name="X3f509fe810fce302faa48d4def526c8769d6b1b"/>
    <w:p>
      <w:pPr>
        <w:pStyle w:val="Heading3"/>
      </w:pPr>
      <w:r>
        <w:t xml:space="preserve">11. Sources</w:t>
      </w:r>
    </w:p>
    <w:p>
      <w:pPr>
        <w:pStyle w:val="Compact"/>
        <w:numPr>
          <w:ilvl w:val="0"/>
          <w:numId w:val="1966"/>
        </w:numPr>
      </w:pPr>
      <w:r>
        <w:t xml:space="preserve">WHO. ICD-11. 6C71 Kleptomania. 2024.</w:t>
      </w:r>
    </w:p>
    <w:p>
      <w:pPr>
        <w:pStyle w:val="Compact"/>
        <w:numPr>
          <w:ilvl w:val="0"/>
          <w:numId w:val="1966"/>
        </w:numPr>
      </w:pPr>
      <w:r>
        <w:t xml:space="preserve">APA. DSM-5-TR. 2022.</w:t>
      </w:r>
    </w:p>
    <w:p>
      <w:pPr>
        <w:pStyle w:val="Compact"/>
        <w:numPr>
          <w:ilvl w:val="0"/>
          <w:numId w:val="1966"/>
        </w:numPr>
      </w:pPr>
      <w:r>
        <w:t xml:space="preserve">Grant J.E. et al. A double-blind, placebo-controlled study of the opiate antagonist naltrexone in the treatment of kleptomania. Biol Psychiatry 2009;65(7):600–606.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59" w:name="X375579cc2e473751068c372f19554aa237092e5"/>
            <w:r>
              <w:t xml:space="preserve">6C72 COMPULSIVE SEXUAL BEHAVIOUR DISORDER</w:t>
            </w:r>
            <w:bookmarkEnd w:id="1959"/>
          </w:p>
          <w:p>
            <w:pPr>
              <w:pStyle w:val="Compact"/>
              <w:ind w:firstLine="0" w:left="0"/>
            </w:pPr>
            <w:r>
              <w:rPr>
                <w:lang w:val="en"/>
              </w:rPr>
              <w:t xml:space="preserve">Compulsive sexual behaviour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Excessive sexual drive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DSM-5-TR equivalent</w:t>
            </w:r>
          </w:p>
        </w:tc>
      </w:tr>
    </w:tbl>
    <w:bookmarkStart w:id="1960" w:name="X4b7db94a708b711832a54837cacf02535a2e25e"/>
    <w:p>
      <w:pPr>
        <w:pStyle w:val="Heading3"/>
      </w:pPr>
      <w:r>
        <w:t xml:space="preserve">1. Definition and nosology</w:t>
      </w:r>
    </w:p>
    <w:p>
      <w:pPr>
        <w:pStyle w:val="FirstParagraph"/>
      </w:pPr>
      <w:r>
        <w:t xml:space="preserve">Compulsive Sexual Behavior Disorder (ICD-11:</w:t>
      </w:r>
      <w:r>
        <w:t xml:space="preserve"> </w:t>
      </w:r>
      <w:r>
        <w:t xml:space="preserve">6C72</w:t>
      </w:r>
      <w:r>
        <w:t xml:space="preserve">) — a persistent pattern of failure to control intense, repetitive sexual impulses and behaviors, causing significant distress or functional impairment. Included in the impulse control disorders category in ICD-11.</w:t>
      </w:r>
    </w:p>
    <w:p>
      <w:pPr>
        <w:pStyle w:val="BodyText"/>
      </w:pPr>
      <w:r>
        <w:t xml:space="preserve">DSM-5-TR has no separate diagnosis (“Hypersexual Disorder” was not included in DSM-5). The term “Sex addiction” is controversial in the scientific community.</w:t>
      </w:r>
    </w:p>
    <w:bookmarkEnd w:id="1960"/>
    <w:bookmarkStart w:id="1961" w:name="X3eb32a99c9896ee5b4f169e2dd2d45152bdb332"/>
    <w:p>
      <w:pPr>
        <w:pStyle w:val="Heading3"/>
      </w:pPr>
      <w:r>
        <w:t xml:space="preserve">2. History</w:t>
      </w:r>
    </w:p>
    <w:p>
      <w:pPr>
        <w:pStyle w:val="Compact"/>
        <w:numPr>
          <w:ilvl w:val="0"/>
          <w:numId w:val="1967"/>
        </w:numPr>
      </w:pPr>
      <w:r>
        <w:t xml:space="preserve">Krafft-Ebing (1886) — “hyperaesthesia sexualis”.</w:t>
      </w:r>
    </w:p>
    <w:p>
      <w:pPr>
        <w:pStyle w:val="Compact"/>
        <w:numPr>
          <w:ilvl w:val="0"/>
          <w:numId w:val="1967"/>
        </w:numPr>
      </w:pPr>
      <w:r>
        <w:t xml:space="preserve">1980s–1990s — concept of ‘sexual addiction’ (Carnes P.) became popular, but remained controversial within the scientific community.</w:t>
      </w:r>
    </w:p>
    <w:p>
      <w:pPr>
        <w:pStyle w:val="Compact"/>
        <w:numPr>
          <w:ilvl w:val="0"/>
          <w:numId w:val="1967"/>
        </w:numPr>
      </w:pPr>
      <w:r>
        <w:t xml:space="preserve">DSM-5 (2013) — “Hypersexual Disorder” not included.</w:t>
      </w:r>
    </w:p>
    <w:p>
      <w:pPr>
        <w:pStyle w:val="Compact"/>
        <w:numPr>
          <w:ilvl w:val="0"/>
          <w:numId w:val="1967"/>
        </w:numPr>
      </w:pPr>
      <w:r>
        <w:t xml:space="preserve">ICD-11 (2019) — Compulsive Sexual Behavior Disorder (impulse control, not addiction) added as an official category.</w:t>
      </w:r>
    </w:p>
    <w:bookmarkEnd w:id="1961"/>
    <w:bookmarkStart w:id="1962" w:name="X63b111bc64a7a2d2e28aec4f4a34ff8ab2e2a48"/>
    <w:p>
      <w:pPr>
        <w:pStyle w:val="Heading3"/>
      </w:pPr>
      <w:r>
        <w:t xml:space="preserve">3. Epidemiology</w:t>
      </w:r>
    </w:p>
    <w:p>
      <w:pPr>
        <w:pStyle w:val="Compact"/>
        <w:numPr>
          <w:ilvl w:val="0"/>
          <w:numId w:val="1968"/>
        </w:numPr>
      </w:pPr>
      <w:r>
        <w:t xml:space="preserve">Prevalence: 1–6% (broad range, depending on assessment tools).</w:t>
      </w:r>
    </w:p>
    <w:p>
      <w:pPr>
        <w:pStyle w:val="Compact"/>
        <w:numPr>
          <w:ilvl w:val="0"/>
          <w:numId w:val="1968"/>
        </w:numPr>
      </w:pPr>
      <w:r>
        <w:t xml:space="preserve">Sex: higher in males (5:1 in clinical populations).</w:t>
      </w:r>
    </w:p>
    <w:p>
      <w:pPr>
        <w:pStyle w:val="Compact"/>
        <w:numPr>
          <w:ilvl w:val="0"/>
          <w:numId w:val="1968"/>
        </w:numPr>
      </w:pPr>
      <w:r>
        <w:t xml:space="preserve">Comorbidity: MDD, anxiety, BPD, substance use, OCD, ADHD.</w:t>
      </w:r>
    </w:p>
    <w:bookmarkEnd w:id="1962"/>
    <w:bookmarkStart w:id="1963" w:name="Xd46765ee6d9afdee6dd62ab9f5acfa25cedd09c"/>
    <w:p>
      <w:pPr>
        <w:pStyle w:val="Heading3"/>
      </w:pPr>
      <w:r>
        <w:t xml:space="preserve">4. Aetiology and pathogenesis</w:t>
      </w:r>
    </w:p>
    <w:p>
      <w:pPr>
        <w:pStyle w:val="Compact"/>
        <w:numPr>
          <w:ilvl w:val="0"/>
          <w:numId w:val="1969"/>
        </w:numPr>
      </w:pPr>
      <w:r>
        <w:t xml:space="preserve">Multiple factors — impulsivity, compulsivity, cognitive-emotional dysregulation, trauma.</w:t>
      </w:r>
    </w:p>
    <w:p>
      <w:pPr>
        <w:pStyle w:val="Compact"/>
        <w:numPr>
          <w:ilvl w:val="0"/>
          <w:numId w:val="1969"/>
        </w:numPr>
      </w:pPr>
      <w:r>
        <w:t xml:space="preserve">Neurobiological similarities with substance use disorders and OCD.</w:t>
      </w:r>
    </w:p>
    <w:p>
      <w:pPr>
        <w:pStyle w:val="Compact"/>
        <w:numPr>
          <w:ilvl w:val="0"/>
          <w:numId w:val="1969"/>
        </w:numPr>
      </w:pPr>
      <w:r>
        <w:t xml:space="preserve">Social-cultural — accessibility of internet pornography.</w:t>
      </w:r>
    </w:p>
    <w:bookmarkEnd w:id="1963"/>
    <w:bookmarkStart w:id="1964" w:name="Xcd1eb2f7ecb53675d4fc078e6f3f5cf2fb59fdd"/>
    <w:p>
      <w:pPr>
        <w:pStyle w:val="Heading3"/>
      </w:pPr>
      <w:r>
        <w:t xml:space="preserve">5. Clinical features</w:t>
      </w:r>
    </w:p>
    <w:p>
      <w:pPr>
        <w:pStyle w:val="Compact"/>
        <w:numPr>
          <w:ilvl w:val="0"/>
          <w:numId w:val="1970"/>
        </w:numPr>
      </w:pPr>
      <w:r>
        <w:t xml:space="preserve">Excessive time spent on sexual fantasies, urges, or behaviors.</w:t>
      </w:r>
    </w:p>
    <w:p>
      <w:pPr>
        <w:pStyle w:val="Compact"/>
        <w:numPr>
          <w:ilvl w:val="0"/>
          <w:numId w:val="1970"/>
        </w:numPr>
      </w:pPr>
      <w:r>
        <w:t xml:space="preserve">Failure of attempts to reduce behavior despite negative consequences.</w:t>
      </w:r>
    </w:p>
    <w:p>
      <w:pPr>
        <w:pStyle w:val="Compact"/>
        <w:numPr>
          <w:ilvl w:val="0"/>
          <w:numId w:val="1970"/>
        </w:numPr>
      </w:pPr>
      <w:r>
        <w:t xml:space="preserve">Use of sexual behavior to reduce distress or achieve emotional acceptance.</w:t>
      </w:r>
    </w:p>
    <w:p>
      <w:pPr>
        <w:pStyle w:val="Compact"/>
        <w:numPr>
          <w:ilvl w:val="0"/>
          <w:numId w:val="1970"/>
        </w:numPr>
      </w:pPr>
      <w:r>
        <w:t xml:space="preserve">Significant functional impairment due to impaired control of sexual behavior (relationships, work, health, legal).</w:t>
      </w:r>
    </w:p>
    <w:p>
      <w:pPr>
        <w:pStyle w:val="Compact"/>
        <w:numPr>
          <w:ilvl w:val="0"/>
          <w:numId w:val="1970"/>
        </w:numPr>
      </w:pPr>
      <w:r>
        <w:t xml:space="preserve">Typical forms — compulsive masturbation, multiple sexual partners, patronizing commercial sex services, problematic pornography use.</w:t>
      </w:r>
    </w:p>
    <w:bookmarkEnd w:id="1964"/>
    <w:bookmarkStart w:id="1969" w:name="Xf7ae352c9054dd66f19246e06d2870cccb23a60"/>
    <w:p>
      <w:pPr>
        <w:pStyle w:val="Heading3"/>
      </w:pPr>
      <w:r>
        <w:t xml:space="preserve">6. Diagnosis</w:t>
      </w:r>
    </w:p>
    <w:bookmarkStart w:id="1965" w:name="unified-diagnostic-criteria-icd-11-3"/>
    <w:p>
      <w:pPr>
        <w:pStyle w:val="Heading4"/>
      </w:pPr>
      <w:r>
        <w:t xml:space="preserve">6.1 Unified diagnostic criteria (ICD-11)</w:t>
      </w:r>
    </w:p>
    <w:p>
      <w:pPr>
        <w:pStyle w:val="FirstParagraph"/>
      </w:pPr>
      <w:r>
        <w:t xml:space="preserve">A. Pattern of persistent failure to control intense sexual impulses and behaviors.</w:t>
      </w:r>
    </w:p>
    <w:p>
      <w:pPr>
        <w:pStyle w:val="BodyText"/>
      </w:pPr>
      <w:r>
        <w:t xml:space="preserve">B. ≥ 1 of the following:</w:t>
      </w:r>
    </w:p>
    <w:p>
      <w:pPr>
        <w:pStyle w:val="Compact"/>
        <w:numPr>
          <w:ilvl w:val="0"/>
          <w:numId w:val="1971"/>
        </w:numPr>
      </w:pPr>
      <w:r>
        <w:t xml:space="preserve">Repeated sexual activity leads to impairment in other areas of the individual's life (health, relationships, responsibility);</w:t>
      </w:r>
    </w:p>
    <w:p>
      <w:pPr>
        <w:pStyle w:val="Compact"/>
        <w:numPr>
          <w:ilvl w:val="0"/>
          <w:numId w:val="1971"/>
        </w:numPr>
      </w:pPr>
      <w:r>
        <w:t xml:space="preserve">The patient has made repeated and significant efforts to regain control — unsuccessfully.</w:t>
      </w:r>
    </w:p>
    <w:p>
      <w:pPr>
        <w:pStyle w:val="Compact"/>
        <w:numPr>
          <w:ilvl w:val="0"/>
          <w:numId w:val="1971"/>
        </w:numPr>
      </w:pPr>
      <w:r>
        <w:t xml:space="preserve">The behavior continues despite negative consequences;</w:t>
      </w:r>
    </w:p>
    <w:p>
      <w:pPr>
        <w:pStyle w:val="Compact"/>
        <w:numPr>
          <w:ilvl w:val="0"/>
          <w:numId w:val="1971"/>
        </w:numPr>
      </w:pPr>
      <w:r>
        <w:t xml:space="preserve">Behavior persists even when it does not produce significant pleasure.</w:t>
      </w:r>
    </w:p>
    <w:p>
      <w:pPr>
        <w:pStyle w:val="FirstParagraph"/>
      </w:pPr>
      <w:r>
        <w:t xml:space="preserve">C. Duration ≥ 6 months.</w:t>
      </w:r>
    </w:p>
    <w:p>
      <w:pPr>
        <w:pStyle w:val="BodyText"/>
      </w:pPr>
      <w:r>
        <w:t xml:space="preserve">D. Significant distress or functional impairment.</w:t>
      </w:r>
    </w:p>
    <w:p>
      <w:pPr>
        <w:pStyle w:val="BodyText"/>
      </w:pPr>
      <w:r>
        <w:t xml:space="preserve">E. Distress arising entirely from moral or religious judgement and disapproval does not satisfy the criterion; functional impairment, or distress independent of that judgement, is required.</w:t>
      </w:r>
    </w:p>
    <w:bookmarkEnd w:id="1965"/>
    <w:bookmarkStart w:id="1966" w:name="differences-between-sources-115"/>
    <w:p>
      <w:pPr>
        <w:pStyle w:val="Heading4"/>
      </w:pPr>
      <w:r>
        <w:t xml:space="preserve">6.2 Differences between sources</w:t>
      </w:r>
    </w:p>
    <w:p>
      <w:pPr>
        <w:pStyle w:val="Compact"/>
        <w:numPr>
          <w:ilvl w:val="0"/>
          <w:numId w:val="1972"/>
        </w:numPr>
      </w:pPr>
      <w:r>
        <w:t xml:space="preserve">ICD-11: impulse control disorders; “sex addiction” term not used.</w:t>
      </w:r>
    </w:p>
    <w:p>
      <w:pPr>
        <w:pStyle w:val="Compact"/>
        <w:numPr>
          <w:ilvl w:val="0"/>
          <w:numId w:val="1972"/>
        </w:numPr>
      </w:pPr>
      <w:r>
        <w:t xml:space="preserve">DSM-5-TR: no distinct diagnosis; in clinical practice falls under ‘Other Specified Disruptive, Impulse-Control, and Conduct Disorder.’</w:t>
      </w:r>
    </w:p>
    <w:p>
      <w:pPr>
        <w:pStyle w:val="Compact"/>
        <w:numPr>
          <w:ilvl w:val="0"/>
          <w:numId w:val="1972"/>
        </w:numPr>
      </w:pPr>
      <w:r>
        <w:t xml:space="preserve">Diagnosis should not be based solely on spiritual-religious distress.</w:t>
      </w:r>
    </w:p>
    <w:bookmarkEnd w:id="1966"/>
    <w:bookmarkStart w:id="1967" w:name="diagnostic-algorithm-65"/>
    <w:p>
      <w:pPr>
        <w:pStyle w:val="Heading4"/>
      </w:pPr>
      <w:r>
        <w:t xml:space="preserve">6.3 Diagnostic algorithm</w:t>
      </w:r>
    </w:p>
    <w:p>
      <w:pPr>
        <w:pStyle w:val="Compact"/>
        <w:numPr>
          <w:ilvl w:val="0"/>
          <w:numId w:val="1973"/>
        </w:numPr>
      </w:pPr>
      <w:r>
        <w:t xml:space="preserve">Clinical interview.</w:t>
      </w:r>
    </w:p>
    <w:p>
      <w:pPr>
        <w:pStyle w:val="Compact"/>
        <w:numPr>
          <w:ilvl w:val="0"/>
          <w:numId w:val="1973"/>
        </w:numPr>
      </w:pPr>
      <w:r>
        <w:t xml:space="preserve">Scale — CSBI (Compulsive Sexual Behavior Inventory).</w:t>
      </w:r>
    </w:p>
    <w:p>
      <w:pPr>
        <w:pStyle w:val="Compact"/>
        <w:numPr>
          <w:ilvl w:val="0"/>
          <w:numId w:val="1973"/>
        </w:numPr>
      </w:pPr>
      <w:r>
        <w:t xml:space="preserve">Comorbidity (MDD, anxiety, BPD, substance, OCD).</w:t>
      </w:r>
    </w:p>
    <w:p>
      <w:pPr>
        <w:pStyle w:val="Compact"/>
        <w:numPr>
          <w:ilvl w:val="0"/>
          <w:numId w:val="1973"/>
        </w:numPr>
      </w:pPr>
      <w:r>
        <w:t xml:space="preserve">Screening for sexually transmitted infections (STIs).</w:t>
      </w:r>
    </w:p>
    <w:p>
      <w:pPr>
        <w:pStyle w:val="Compact"/>
        <w:numPr>
          <w:ilvl w:val="0"/>
          <w:numId w:val="1973"/>
        </w:numPr>
      </w:pPr>
      <w:r>
        <w:t xml:space="preserve">Legal and relationship consequences.</w:t>
      </w:r>
    </w:p>
    <w:bookmarkEnd w:id="1967"/>
    <w:bookmarkStart w:id="1968" w:name="differential-diagnosis-6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 (hypersexuality)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context.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 (impulsivity)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 persistent pattern across all domains.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OCD (sexual obsessions)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obsession;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Paraphilic disorder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Specific atypical sexual object.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High sexual interest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impairment.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Moral-religious disapproval alone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a basis for clinical diagnosis.</w:t>
            </w:r>
          </w:p>
        </w:tc>
      </w:tr>
    </w:tbl>
    <w:bookmarkEnd w:id="1968"/>
    <w:bookmarkEnd w:id="1969"/>
    <w:bookmarkStart w:id="1970" w:name="X8d421a6ff7b9452c39c76bd42ad98dacfa60dca"/>
    <w:p>
      <w:pPr>
        <w:pStyle w:val="Heading3"/>
      </w:pPr>
      <w:r>
        <w:t xml:space="preserve">7. Examination and assessment</w:t>
      </w:r>
    </w:p>
    <w:p>
      <w:pPr>
        <w:pStyle w:val="Compact"/>
        <w:numPr>
          <w:ilvl w:val="0"/>
          <w:numId w:val="1974"/>
        </w:numPr>
      </w:pPr>
      <w:r>
        <w:t xml:space="preserve">CSBI.</w:t>
      </w:r>
    </w:p>
    <w:p>
      <w:pPr>
        <w:pStyle w:val="Compact"/>
        <w:numPr>
          <w:ilvl w:val="0"/>
          <w:numId w:val="1974"/>
        </w:numPr>
      </w:pPr>
      <w:r>
        <w:t xml:space="preserve">Comorbidity scales.</w:t>
      </w:r>
    </w:p>
    <w:p>
      <w:pPr>
        <w:pStyle w:val="Compact"/>
        <w:numPr>
          <w:ilvl w:val="0"/>
          <w:numId w:val="1974"/>
        </w:numPr>
      </w:pPr>
      <w:r>
        <w:t xml:space="preserve">STI screening.</w:t>
      </w:r>
    </w:p>
    <w:bookmarkEnd w:id="1970"/>
    <w:bookmarkStart w:id="1973" w:name="Xfd1603b5127ae02ff0099d6411d7e0816f9a7ae"/>
    <w:p>
      <w:pPr>
        <w:pStyle w:val="Heading3"/>
      </w:pPr>
      <w:r>
        <w:t xml:space="preserve">8. Treatment</w:t>
      </w:r>
    </w:p>
    <w:p>
      <w:pPr>
        <w:pStyle w:val="Compact"/>
        <w:numPr>
          <w:ilvl w:val="0"/>
          <w:numId w:val="1975"/>
        </w:numPr>
      </w:pPr>
      <w:r>
        <w:t xml:space="preserve">Psychotherapy first line — CBT, ACT, mindfulness-based approach. Evidence base is developing.</w:t>
      </w:r>
    </w:p>
    <w:p>
      <w:pPr>
        <w:pStyle w:val="Compact"/>
        <w:numPr>
          <w:ilvl w:val="0"/>
          <w:numId w:val="1975"/>
        </w:numPr>
      </w:pPr>
      <w:r>
        <w:t xml:space="preserve">Naltrexone off-label — opioid antagonist; modest effect in some studies.</w:t>
      </w:r>
    </w:p>
    <w:p>
      <w:pPr>
        <w:pStyle w:val="Compact"/>
        <w:numPr>
          <w:ilvl w:val="0"/>
          <w:numId w:val="1975"/>
        </w:numPr>
      </w:pPr>
      <w:r>
        <w:t xml:space="preserve">SSRIs — for comorbid MDD/anxiety.</w:t>
      </w:r>
    </w:p>
    <w:p>
      <w:pPr>
        <w:pStyle w:val="Compact"/>
        <w:numPr>
          <w:ilvl w:val="0"/>
          <w:numId w:val="1975"/>
        </w:numPr>
      </w:pPr>
      <w:r>
        <w:t xml:space="preserve">Group support (S-Anon, SAA) — adjunct.</w:t>
      </w:r>
    </w:p>
    <w:p>
      <w:pPr>
        <w:pStyle w:val="Compact"/>
        <w:numPr>
          <w:ilvl w:val="0"/>
          <w:numId w:val="1975"/>
        </w:numPr>
      </w:pPr>
      <w:r>
        <w:t xml:space="preserve">Relationship/couple therapy — in comorbid context.</w:t>
      </w:r>
    </w:p>
    <w:p>
      <w:pPr>
        <w:pStyle w:val="Compact"/>
        <w:numPr>
          <w:ilvl w:val="0"/>
          <w:numId w:val="1975"/>
        </w:numPr>
      </w:pPr>
      <w:r>
        <w:t xml:space="preserve">There is no specific FDA-approved pharmacotherapy.</w:t>
      </w:r>
    </w:p>
    <w:bookmarkStart w:id="1971" w:name="treatment-methods-63"/>
    <w:p>
      <w:pPr>
        <w:pStyle w:val="Heading4"/>
      </w:pPr>
      <w:r>
        <w:t xml:space="preserve">8.1 Treatment methods</w:t>
      </w:r>
    </w:p>
    <w:p>
      <w:pPr>
        <w:pStyle w:val="Compact"/>
        <w:numPr>
          <w:ilvl w:val="0"/>
          <w:numId w:val="1976"/>
        </w:numPr>
      </w:pPr>
      <w:r>
        <w:t xml:space="preserve">CBT and Acceptance and Commitment Therapy (ACT) — Trigger management, value-based behavior.</w:t>
      </w:r>
    </w:p>
    <w:p>
      <w:pPr>
        <w:pStyle w:val="Compact"/>
        <w:numPr>
          <w:ilvl w:val="0"/>
          <w:numId w:val="1976"/>
        </w:numPr>
      </w:pPr>
      <w:r>
        <w:t xml:space="preserve">Naltrexone off-label — Craving reduction.</w:t>
      </w:r>
    </w:p>
    <w:p>
      <w:pPr>
        <w:pStyle w:val="Compact"/>
        <w:numPr>
          <w:ilvl w:val="0"/>
          <w:numId w:val="1976"/>
        </w:numPr>
      </w:pPr>
      <w:r>
        <w:t xml:space="preserve">Compulsive Sexual Behavior Inventory (CSBI) — Severity scale.</w:t>
      </w:r>
    </w:p>
    <w:p>
      <w:pPr>
        <w:pStyle w:val="Compact"/>
        <w:numPr>
          <w:ilvl w:val="0"/>
          <w:numId w:val="1976"/>
        </w:numPr>
      </w:pPr>
      <w:r>
        <w:t xml:space="preserve">Self-help (SAA, SLAA) — 12-step-based; evidence base limited.</w:t>
      </w:r>
    </w:p>
    <w:bookmarkEnd w:id="1971"/>
    <w:bookmarkStart w:id="1972" w:name="differences-between-sources-116"/>
    <w:p>
      <w:pPr>
        <w:pStyle w:val="Heading4"/>
      </w:pPr>
      <w:r>
        <w:t xml:space="preserve">8.2 Differences between sources</w:t>
      </w:r>
    </w:p>
    <w:p>
      <w:pPr>
        <w:pStyle w:val="Compact"/>
        <w:numPr>
          <w:ilvl w:val="0"/>
          <w:numId w:val="1977"/>
        </w:numPr>
      </w:pPr>
      <w:r>
        <w:t xml:space="preserve">WHO — ICD-11 official category.</w:t>
      </w:r>
    </w:p>
    <w:p>
      <w:pPr>
        <w:pStyle w:val="Compact"/>
        <w:numPr>
          <w:ilvl w:val="0"/>
          <w:numId w:val="1977"/>
        </w:numPr>
      </w:pPr>
      <w:r>
        <w:t xml:space="preserve">APA — DSM-5-TR does not have a separate diagnosis; controversial area.</w:t>
      </w:r>
    </w:p>
    <w:bookmarkEnd w:id="1972"/>
    <w:bookmarkEnd w:id="1973"/>
    <w:bookmarkStart w:id="1974" w:name="Xaaf29248956439a4aae9fff11759a2f574654cc"/>
    <w:p>
      <w:pPr>
        <w:pStyle w:val="Heading3"/>
      </w:pPr>
      <w:r>
        <w:t xml:space="preserve">9. Prognosis</w:t>
      </w:r>
    </w:p>
    <w:p>
      <w:pPr>
        <w:pStyle w:val="Compact"/>
        <w:numPr>
          <w:ilvl w:val="0"/>
          <w:numId w:val="1978"/>
        </w:numPr>
      </w:pPr>
      <w:r>
        <w:t xml:space="preserve">Significant improvement with CBT and ACT.</w:t>
      </w:r>
    </w:p>
    <w:p>
      <w:pPr>
        <w:pStyle w:val="Compact"/>
        <w:numPr>
          <w:ilvl w:val="0"/>
          <w:numId w:val="1978"/>
        </w:numPr>
      </w:pPr>
      <w:r>
        <w:t xml:space="preserve">Comorbidity treatment important.</w:t>
      </w:r>
    </w:p>
    <w:bookmarkEnd w:id="1974"/>
    <w:bookmarkStart w:id="1980" w:name="X76d2c3b71d0193f97bc83b3b370507df10d587c"/>
    <w:p>
      <w:pPr>
        <w:pStyle w:val="Heading3"/>
      </w:pPr>
      <w:r>
        <w:t xml:space="preserve">10. Myths and misconceptions</w:t>
      </w:r>
    </w:p>
    <w:bookmarkStart w:id="1975" w:name="X383c26c90025085fbd2ece9b9254d604ec68d63"/>
    <w:p>
      <w:pPr>
        <w:pStyle w:val="Heading5"/>
      </w:pPr>
      <w:r>
        <w:t xml:space="preserve">Myth 1: “Sex addiction is a diagnosis like substance addiction”</w:t>
      </w:r>
    </w:p>
    <w:p>
      <w:pPr>
        <w:pStyle w:val="FirstParagraph"/>
      </w:pPr>
      <w:r>
        <w:t xml:space="preserve">Evidence: ICD-11 — impulse control disorder; ‘addiction’ concept controversial, not adopted in DSM-5.</w:t>
      </w:r>
    </w:p>
    <w:bookmarkEnd w:id="1975"/>
    <w:bookmarkStart w:id="1976" w:name="Xb457cd52289561d52bfb249fc4c365067988e4f"/>
    <w:p>
      <w:pPr>
        <w:pStyle w:val="Heading5"/>
      </w:pPr>
      <w:r>
        <w:t xml:space="preserve">Myth 2: “High sexual interest is a sign of sex addiction”</w:t>
      </w:r>
    </w:p>
    <w:p>
      <w:pPr>
        <w:pStyle w:val="FirstParagraph"/>
      </w:pPr>
      <w:r>
        <w:t xml:space="preserve">Evidence: Clinical diagnosis requires functional impairment and failure of control; mere high sexual activity not a disease.</w:t>
      </w:r>
    </w:p>
    <w:bookmarkEnd w:id="1976"/>
    <w:bookmarkStart w:id="1977" w:name="Xdd4308b6bbe1fc850548444dfa6ec783040c344"/>
    <w:p>
      <w:pPr>
        <w:pStyle w:val="Heading5"/>
      </w:pPr>
      <w:r>
        <w:t xml:space="preserve">Myth 3: “Deviation from moral-religious norms is a basis for diagnosis”</w:t>
      </w:r>
    </w:p>
    <w:p>
      <w:pPr>
        <w:pStyle w:val="FirstParagraph"/>
      </w:pPr>
      <w:r>
        <w:t xml:space="preserve">Evidence: ICD-11 — religious/spiritual cause not sufficient; functional impairment or marked distress is required.</w:t>
      </w:r>
    </w:p>
    <w:bookmarkEnd w:id="1977"/>
    <w:bookmarkStart w:id="1978" w:name="X72864ae8ea43d006dcc70064a6421ed92b18814"/>
    <w:p>
      <w:pPr>
        <w:pStyle w:val="Heading5"/>
      </w:pPr>
      <w:r>
        <w:t xml:space="preserve">Myth 4: “Pornography use is always a disorder”</w:t>
      </w:r>
    </w:p>
    <w:p>
      <w:pPr>
        <w:pStyle w:val="FirstParagraph"/>
      </w:pPr>
      <w:r>
        <w:t xml:space="preserve">Evidence: Normal use and compulsive use are different; loss of control and functional burden are diagnostic.</w:t>
      </w:r>
    </w:p>
    <w:bookmarkEnd w:id="1978"/>
    <w:bookmarkStart w:id="1979" w:name="Xd96036b4ab2a1ee44d9feee3ee2c3e3b75038db"/>
    <w:p>
      <w:pPr>
        <w:pStyle w:val="Heading5"/>
      </w:pPr>
      <w:r>
        <w:t xml:space="preserve">Myth 5: “Chemical castration (testosterone suppression) is standard treatment”</w:t>
      </w:r>
    </w:p>
    <w:p>
      <w:pPr>
        <w:pStyle w:val="FirstParagraph"/>
      </w:pPr>
      <w:r>
        <w:t xml:space="preserve">Evidence: This approach is only indicated for severe paraphilic disorders (e.g., pedophilic activity risk) according to WFSBP guideline; not recommended for general compulsive sexual behavior.</w:t>
      </w:r>
    </w:p>
    <w:bookmarkEnd w:id="1979"/>
    <w:bookmarkEnd w:id="1980"/>
    <w:bookmarkStart w:id="2947" w:name="X88e01e9d2cc6670c6f7fd5ca173bb1fcf9f0c77"/>
    <w:p>
      <w:pPr>
        <w:pStyle w:val="Heading3"/>
      </w:pPr>
      <w:r>
        <w:t xml:space="preserve">11. Sources</w:t>
      </w:r>
    </w:p>
    <w:p>
      <w:pPr>
        <w:pStyle w:val="Compact"/>
        <w:numPr>
          <w:ilvl w:val="0"/>
          <w:numId w:val="1979"/>
        </w:numPr>
      </w:pPr>
      <w:r>
        <w:t xml:space="preserve">WHO. ICD-11. 6C72 Compulsive sexual behaviour disorder. 2024.</w:t>
      </w:r>
    </w:p>
    <w:p>
      <w:pPr>
        <w:pStyle w:val="Compact"/>
        <w:numPr>
          <w:ilvl w:val="0"/>
          <w:numId w:val="1979"/>
        </w:numPr>
      </w:pPr>
      <w:r>
        <w:t xml:space="preserve">APA. DSM-5-TR. 2022.</w:t>
      </w:r>
    </w:p>
    <w:p>
      <w:pPr>
        <w:pStyle w:val="Compact"/>
        <w:numPr>
          <w:ilvl w:val="0"/>
          <w:numId w:val="1979"/>
        </w:numPr>
      </w:pPr>
      <w:r>
        <w:t xml:space="preserve">Kraus S.W. et al. Compulsive sexual behaviour disorder in the ICD-11. World Psychiatry 2018;17(1):109–110.</w:t>
      </w:r>
    </w:p>
    <w:p>
      <w:pPr>
        <w:pStyle w:val="Compact"/>
        <w:numPr>
          <w:ilvl w:val="0"/>
          <w:numId w:val="1979"/>
        </w:numPr>
      </w:pPr>
      <w:r>
        <w:t xml:space="preserve">Grubbs J.B., Hoagland K.C., Lee B.N. et al. Sexual addiction 25 years on. Clin Psychol Rev 2020;82:101925.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1981" w:name="Xfd5676c875f0f673cd75d1d490a03282dab62bb"/>
            <w:r>
              <w:t xml:space="preserve">6C73 INTERMITTENT EXPLOSIVE DISORDER (IED)</w:t>
            </w:r>
            <w:bookmarkEnd w:id="1981"/>
          </w:p>
          <w:p>
            <w:pPr>
              <w:pStyle w:val="Compact"/>
              <w:ind w:firstLine="0" w:left="0"/>
            </w:pPr>
            <w:r>
              <w:rPr>
                <w:lang w:val="en"/>
              </w:rPr>
              <w:t xml:space="preserve">Intermittent explosive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habit and impulse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Intermittent Explosive Disorder</w:t>
            </w:r>
          </w:p>
        </w:tc>
      </w:tr>
    </w:tbl>
    <w:bookmarkStart w:id="1982" w:name="X27c2dbdec01779d5e19ce321934c3b2524b55b5"/>
    <w:p>
      <w:pPr>
        <w:pStyle w:val="Heading3"/>
      </w:pPr>
      <w:r>
        <w:t xml:space="preserve">1. Definition and nosology</w:t>
      </w:r>
    </w:p>
    <w:p>
      <w:pPr>
        <w:pStyle w:val="FirstParagraph"/>
      </w:pPr>
      <w:r>
        <w:t xml:space="preserve">Intermittent Explosive Disorder (IED; ICD-11:</w:t>
      </w:r>
      <w:r>
        <w:t xml:space="preserve"> </w:t>
      </w:r>
      <w:r>
        <w:t xml:space="preserve">6C73</w:t>
      </w:r>
      <w:r>
        <w:t xml:space="preserve"> </w:t>
      </w:r>
      <w:r>
        <w:t xml:space="preserve">Intermittent Explosive Disorder; DSM-5-TR: F63.81) — recurrent, uncontrolled verbal or physical aggressive outbursts; disproportionately intense relative to triggering provocation. Remorse or shame after the act.</w:t>
      </w:r>
    </w:p>
    <w:bookmarkEnd w:id="1982"/>
    <w:bookmarkStart w:id="1983" w:name="Xb326645c8c366f1a29a271564b3c2af89cb83b0"/>
    <w:p>
      <w:pPr>
        <w:pStyle w:val="Heading3"/>
      </w:pPr>
      <w:r>
        <w:t xml:space="preserve">2. History</w:t>
      </w:r>
    </w:p>
    <w:p>
      <w:pPr>
        <w:pStyle w:val="Compact"/>
        <w:numPr>
          <w:ilvl w:val="0"/>
          <w:numId w:val="1980"/>
        </w:numPr>
      </w:pPr>
      <w:r>
        <w:t xml:space="preserve">DSM-III (1980) — Official diagnosis of IED.</w:t>
      </w:r>
    </w:p>
    <w:p>
      <w:pPr>
        <w:pStyle w:val="Compact"/>
        <w:numPr>
          <w:ilvl w:val="0"/>
          <w:numId w:val="1980"/>
        </w:numPr>
      </w:pPr>
      <w:r>
        <w:t xml:space="preserve">DSM-5 (2013) — criteria refined.</w:t>
      </w:r>
    </w:p>
    <w:p>
      <w:pPr>
        <w:pStyle w:val="Compact"/>
        <w:numPr>
          <w:ilvl w:val="0"/>
          <w:numId w:val="1980"/>
        </w:numPr>
      </w:pPr>
      <w:r>
        <w:t xml:space="preserve">ICD-11 (2019) — under impulse control disorders.</w:t>
      </w:r>
    </w:p>
    <w:bookmarkEnd w:id="1983"/>
    <w:bookmarkStart w:id="1984" w:name="X492100847ffa20c31af3b8011b590ff9869a610"/>
    <w:p>
      <w:pPr>
        <w:pStyle w:val="Heading3"/>
      </w:pPr>
      <w:r>
        <w:t xml:space="preserve">3. Epidemiology</w:t>
      </w:r>
    </w:p>
    <w:p>
      <w:pPr>
        <w:pStyle w:val="Compact"/>
        <w:numPr>
          <w:ilvl w:val="0"/>
          <w:numId w:val="1981"/>
        </w:numPr>
      </w:pPr>
      <w:r>
        <w:t xml:space="preserve">Lifetime prevalence: 4–7% (Kessler R.C. et al. Arch Gen Psychiatry 2006).</w:t>
      </w:r>
    </w:p>
    <w:p>
      <w:pPr>
        <w:pStyle w:val="Compact"/>
        <w:numPr>
          <w:ilvl w:val="0"/>
          <w:numId w:val="1981"/>
        </w:numPr>
      </w:pPr>
      <w:r>
        <w:t xml:space="preserve">Sex: higher in males.</w:t>
      </w:r>
    </w:p>
    <w:p>
      <w:pPr>
        <w:pStyle w:val="Compact"/>
        <w:numPr>
          <w:ilvl w:val="0"/>
          <w:numId w:val="1981"/>
        </w:numPr>
      </w:pPr>
      <w:r>
        <w:t xml:space="preserve">Onset: mid-adolescence.</w:t>
      </w:r>
    </w:p>
    <w:p>
      <w:pPr>
        <w:pStyle w:val="Compact"/>
        <w:numPr>
          <w:ilvl w:val="0"/>
          <w:numId w:val="1981"/>
        </w:numPr>
      </w:pPr>
      <w:r>
        <w:t xml:space="preserve">Comorbidity: MDD ~70%, anxiety, substance use, BPD, ASPD.</w:t>
      </w:r>
    </w:p>
    <w:bookmarkEnd w:id="1984"/>
    <w:bookmarkStart w:id="1985" w:name="Xa79bed94417c6fafc8b04a5f160b714105e3504"/>
    <w:p>
      <w:pPr>
        <w:pStyle w:val="Heading3"/>
      </w:pPr>
      <w:r>
        <w:t xml:space="preserve">4. Aetiology and pathogenesis</w:t>
      </w:r>
    </w:p>
    <w:p>
      <w:pPr>
        <w:pStyle w:val="Compact"/>
        <w:numPr>
          <w:ilvl w:val="0"/>
          <w:numId w:val="1982"/>
        </w:numPr>
      </w:pPr>
      <w:r>
        <w:t xml:space="preserve">Heritability 40%.</w:t>
      </w:r>
    </w:p>
    <w:p>
      <w:pPr>
        <w:pStyle w:val="Compact"/>
        <w:numPr>
          <w:ilvl w:val="0"/>
          <w:numId w:val="1982"/>
        </w:numPr>
      </w:pPr>
      <w:r>
        <w:t xml:space="preserve">Serotonin dysregulation — SSRI effect.</w:t>
      </w:r>
    </w:p>
    <w:p>
      <w:pPr>
        <w:pStyle w:val="Compact"/>
        <w:numPr>
          <w:ilvl w:val="0"/>
          <w:numId w:val="1982"/>
        </w:numPr>
      </w:pPr>
      <w:r>
        <w:t xml:space="preserve">Trauma and abuse history.</w:t>
      </w:r>
    </w:p>
    <w:p>
      <w:pPr>
        <w:pStyle w:val="Compact"/>
        <w:numPr>
          <w:ilvl w:val="0"/>
          <w:numId w:val="1982"/>
        </w:numPr>
      </w:pPr>
      <w:r>
        <w:t xml:space="preserve">Disruption of cortex-amygdala regulation.</w:t>
      </w:r>
    </w:p>
    <w:bookmarkEnd w:id="1985"/>
    <w:bookmarkStart w:id="1986" w:name="X16808ccd7b6b591f1da3e91869e32be38912924"/>
    <w:p>
      <w:pPr>
        <w:pStyle w:val="Heading3"/>
      </w:pPr>
      <w:r>
        <w:t xml:space="preserve">5. Clinical features</w:t>
      </w:r>
    </w:p>
    <w:p>
      <w:pPr>
        <w:pStyle w:val="Compact"/>
        <w:numPr>
          <w:ilvl w:val="0"/>
          <w:numId w:val="1983"/>
        </w:numPr>
      </w:pPr>
      <w:r>
        <w:t xml:space="preserve">Recurrent aggression outbursts — verbal (screaming, threat) or physical (object damage, harm to others).</w:t>
      </w:r>
    </w:p>
    <w:p>
      <w:pPr>
        <w:pStyle w:val="Compact"/>
        <w:numPr>
          <w:ilvl w:val="0"/>
          <w:numId w:val="1983"/>
        </w:numPr>
      </w:pPr>
      <w:r>
        <w:t xml:space="preserve">Explosion out of control — patient unsuccessful in restraining.</w:t>
      </w:r>
    </w:p>
    <w:p>
      <w:pPr>
        <w:pStyle w:val="Compact"/>
        <w:numPr>
          <w:ilvl w:val="0"/>
          <w:numId w:val="1983"/>
        </w:numPr>
      </w:pPr>
      <w:r>
        <w:t xml:space="preserve">Trigger minimal or minor.</w:t>
      </w:r>
    </w:p>
    <w:p>
      <w:pPr>
        <w:pStyle w:val="Compact"/>
        <w:numPr>
          <w:ilvl w:val="0"/>
          <w:numId w:val="1983"/>
        </w:numPr>
      </w:pPr>
      <w:r>
        <w:t xml:space="preserve">Post-act remorse, shame, guilt.</w:t>
      </w:r>
    </w:p>
    <w:p>
      <w:pPr>
        <w:pStyle w:val="Compact"/>
        <w:numPr>
          <w:ilvl w:val="0"/>
          <w:numId w:val="1983"/>
        </w:numPr>
      </w:pPr>
      <w:r>
        <w:t xml:space="preserve">Relationship, work, legal consequences.</w:t>
      </w:r>
    </w:p>
    <w:bookmarkEnd w:id="1986"/>
    <w:bookmarkStart w:id="1991" w:name="X2ae15242378388bcbdfee89609f4c8715828066"/>
    <w:p>
      <w:pPr>
        <w:pStyle w:val="Heading3"/>
      </w:pPr>
      <w:r>
        <w:t xml:space="preserve">6. Diagnosis</w:t>
      </w:r>
    </w:p>
    <w:bookmarkStart w:id="1987" w:name="unified-diagnostic-criteria-44"/>
    <w:p>
      <w:pPr>
        <w:pStyle w:val="Heading4"/>
      </w:pPr>
      <w:r>
        <w:t xml:space="preserve">6.1 Unified diagnostic criteria</w:t>
      </w:r>
    </w:p>
    <w:p>
      <w:pPr>
        <w:pStyle w:val="FirstParagraph"/>
      </w:pPr>
      <w:r>
        <w:t xml:space="preserve">A. One of the following:</w:t>
      </w:r>
    </w:p>
    <w:p>
      <w:pPr>
        <w:pStyle w:val="Compact"/>
        <w:numPr>
          <w:ilvl w:val="0"/>
          <w:numId w:val="1984"/>
        </w:numPr>
      </w:pPr>
      <w:r>
        <w:t xml:space="preserve">Verbal or physical aggression outbursts, without destructive harm, ≥2 times per week, ≥3 months</w:t>
      </w:r>
    </w:p>
    <w:p>
      <w:pPr>
        <w:pStyle w:val="Compact"/>
        <w:numPr>
          <w:ilvl w:val="0"/>
          <w:numId w:val="1984"/>
        </w:numPr>
      </w:pPr>
      <w:r>
        <w:t xml:space="preserve">Three or more disruptive/damaging outbursts within a 12-month period.</w:t>
      </w:r>
    </w:p>
    <w:p>
      <w:pPr>
        <w:pStyle w:val="FirstParagraph"/>
      </w:pPr>
      <w:r>
        <w:t xml:space="preserve">B. Aggression disproportionate to the trigger.</w:t>
      </w:r>
    </w:p>
    <w:p>
      <w:pPr>
        <w:pStyle w:val="BodyText"/>
      </w:pPr>
      <w:r>
        <w:t xml:space="preserve">C. Impulsive (not planned) and not for a specific purpose.</w:t>
      </w:r>
    </w:p>
    <w:p>
      <w:pPr>
        <w:pStyle w:val="BodyText"/>
      </w:pPr>
      <w:r>
        <w:t xml:space="preserve">D. Significant distress or functional impairment.</w:t>
      </w:r>
    </w:p>
    <w:p>
      <w:pPr>
        <w:pStyle w:val="BodyText"/>
      </w:pPr>
      <w:r>
        <w:t xml:space="preserve">E. Chronological age ≥ 6 years.</w:t>
      </w:r>
    </w:p>
    <w:p>
      <w:pPr>
        <w:pStyle w:val="BodyText"/>
      </w:pPr>
      <w:r>
        <w:t xml:space="preserve">F. Not better explained by another mental disorder (manic, ASPD, BPD, conduct disorder); rule out substance effects.</w:t>
      </w:r>
    </w:p>
    <w:bookmarkEnd w:id="1987"/>
    <w:bookmarkStart w:id="1988" w:name="differences-between-sources-117"/>
    <w:p>
      <w:pPr>
        <w:pStyle w:val="Heading4"/>
      </w:pPr>
      <w:r>
        <w:t xml:space="preserve">6.2 Differences between sources</w:t>
      </w:r>
    </w:p>
    <w:p>
      <w:pPr>
        <w:pStyle w:val="Compact"/>
        <w:numPr>
          <w:ilvl w:val="0"/>
          <w:numId w:val="1985"/>
        </w:numPr>
      </w:pPr>
      <w:r>
        <w:t xml:space="preserve">DSM-5-TR — criterion A1 (mild) and A2 (destructive) separately.</w:t>
      </w:r>
    </w:p>
    <w:p>
      <w:pPr>
        <w:pStyle w:val="Compact"/>
        <w:numPr>
          <w:ilvl w:val="0"/>
          <w:numId w:val="1985"/>
        </w:numPr>
      </w:pPr>
      <w:r>
        <w:t xml:space="preserve">ICD-11 — neither frequency nor age: DSM-5-TR requires the A1/A2 split, twice weekly for three months or three destructive outbursts in 12 months, and age ≥6; ICD-11 sets none of these.</w:t>
      </w:r>
    </w:p>
    <w:bookmarkEnd w:id="1988"/>
    <w:bookmarkStart w:id="1989" w:name="diagnostic-algorithm-66"/>
    <w:p>
      <w:pPr>
        <w:pStyle w:val="Heading4"/>
      </w:pPr>
      <w:r>
        <w:t xml:space="preserve">6.3 Diagnostic algorithm</w:t>
      </w:r>
    </w:p>
    <w:p>
      <w:pPr>
        <w:pStyle w:val="Compact"/>
        <w:numPr>
          <w:ilvl w:val="0"/>
          <w:numId w:val="1986"/>
        </w:numPr>
      </w:pPr>
      <w:r>
        <w:t xml:space="preserve">Clinical interview + family information.</w:t>
      </w:r>
    </w:p>
    <w:p>
      <w:pPr>
        <w:pStyle w:val="Compact"/>
        <w:numPr>
          <w:ilvl w:val="0"/>
          <w:numId w:val="1986"/>
        </w:numPr>
      </w:pPr>
      <w:r>
        <w:t xml:space="preserve">Scale — OAS (Overt Aggression Scale), BPAQ (Buss-Perry Aggression Questionnaire).</w:t>
      </w:r>
    </w:p>
    <w:p>
      <w:pPr>
        <w:pStyle w:val="Compact"/>
        <w:numPr>
          <w:ilvl w:val="0"/>
          <w:numId w:val="1986"/>
        </w:numPr>
      </w:pPr>
      <w:r>
        <w:t xml:space="preserve">Comorbidity and exclusion of medical causes (frontal lobe injury, epilepsy, hypoglycemia).</w:t>
      </w:r>
    </w:p>
    <w:p>
      <w:pPr>
        <w:pStyle w:val="Compact"/>
        <w:numPr>
          <w:ilvl w:val="0"/>
          <w:numId w:val="1986"/>
        </w:numPr>
      </w:pPr>
      <w:r>
        <w:t xml:space="preserve">Toxicology.</w:t>
      </w:r>
    </w:p>
    <w:bookmarkEnd w:id="1989"/>
    <w:bookmarkStart w:id="1990" w:name="differential-diagnosis-6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 (Antisocial)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Planned aggression, no regret.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Emotional lability and relationships central.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the context of an affective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instances of antisocial behavior.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oppositional component with aggression, but outbursts are not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Frontal lobe pathology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Neurological.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aggression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bl>
    <w:bookmarkEnd w:id="1990"/>
    <w:bookmarkEnd w:id="1991"/>
    <w:bookmarkStart w:id="1992" w:name="X28343a8a103b50526278779aba510481515c073"/>
    <w:p>
      <w:pPr>
        <w:pStyle w:val="Heading3"/>
      </w:pPr>
      <w:r>
        <w:t xml:space="preserve">7. Examination and assessment</w:t>
      </w:r>
    </w:p>
    <w:p>
      <w:pPr>
        <w:pStyle w:val="Compact"/>
        <w:numPr>
          <w:ilvl w:val="0"/>
          <w:numId w:val="1987"/>
        </w:numPr>
      </w:pPr>
      <w:r>
        <w:t xml:space="preserve">OAS, BPAQ.</w:t>
      </w:r>
    </w:p>
    <w:p>
      <w:pPr>
        <w:pStyle w:val="Compact"/>
        <w:numPr>
          <w:ilvl w:val="0"/>
          <w:numId w:val="1987"/>
        </w:numPr>
      </w:pPr>
      <w:r>
        <w:t xml:space="preserve">Medical and neurological.</w:t>
      </w:r>
    </w:p>
    <w:p>
      <w:pPr>
        <w:pStyle w:val="Compact"/>
        <w:numPr>
          <w:ilvl w:val="0"/>
          <w:numId w:val="1987"/>
        </w:numPr>
      </w:pPr>
      <w:r>
        <w:t xml:space="preserve">Toxicology.</w:t>
      </w:r>
    </w:p>
    <w:p>
      <w:pPr>
        <w:pStyle w:val="Compact"/>
        <w:numPr>
          <w:ilvl w:val="0"/>
          <w:numId w:val="1987"/>
        </w:numPr>
      </w:pPr>
      <w:r>
        <w:t xml:space="preserve">Comorbidity scales.</w:t>
      </w:r>
    </w:p>
    <w:bookmarkEnd w:id="1992"/>
    <w:bookmarkStart w:id="1995" w:name="Xa8f37f50df08aa5ef1e7adadf9986994105f125"/>
    <w:p>
      <w:pPr>
        <w:pStyle w:val="Heading3"/>
      </w:pPr>
      <w:r>
        <w:t xml:space="preserve">8. Treatment</w:t>
      </w:r>
    </w:p>
    <w:p>
      <w:pPr>
        <w:pStyle w:val="Compact"/>
        <w:numPr>
          <w:ilvl w:val="0"/>
          <w:numId w:val="1988"/>
        </w:numPr>
      </w:pPr>
      <w:r>
        <w:t xml:space="preserve">Fluoxetine (SSRI) — Coccaro E.F. et al. J Clin Psychiatry 2009 RCT — most evidence-based pharmacotherapy in IED; 20–60 mg/day.</w:t>
      </w:r>
    </w:p>
    <w:p>
      <w:pPr>
        <w:pStyle w:val="Compact"/>
        <w:numPr>
          <w:ilvl w:val="0"/>
          <w:numId w:val="1988"/>
        </w:numPr>
      </w:pPr>
      <w:r>
        <w:t xml:space="preserve">CBT — anger management, cognitive restructuring, behavioral activation, relaxation. McCloskey M.S. et al. J Consult Clin Psychol 2008.</w:t>
      </w:r>
    </w:p>
    <w:p>
      <w:pPr>
        <w:pStyle w:val="Compact"/>
        <w:numPr>
          <w:ilvl w:val="0"/>
          <w:numId w:val="1988"/>
        </w:numPr>
      </w:pPr>
      <w:r>
        <w:t xml:space="preserve">Mood stabilizers — valproate, lithium (off-label in refractory cases).</w:t>
      </w:r>
    </w:p>
    <w:p>
      <w:pPr>
        <w:pStyle w:val="Compact"/>
        <w:numPr>
          <w:ilvl w:val="0"/>
          <w:numId w:val="1988"/>
        </w:numPr>
      </w:pPr>
      <w:r>
        <w:t xml:space="preserve">Comorbid disorder treatment.</w:t>
      </w:r>
    </w:p>
    <w:p>
      <w:pPr>
        <w:pStyle w:val="Compact"/>
        <w:numPr>
          <w:ilvl w:val="0"/>
          <w:numId w:val="1988"/>
        </w:numPr>
      </w:pPr>
      <w:r>
        <w:t xml:space="preserve">Legal coordination when needed.</w:t>
      </w:r>
    </w:p>
    <w:bookmarkStart w:id="1993" w:name="treatment-methods-64"/>
    <w:p>
      <w:pPr>
        <w:pStyle w:val="Heading4"/>
      </w:pPr>
      <w:r>
        <w:t xml:space="preserve">8.1 Treatment methods</w:t>
      </w:r>
    </w:p>
    <w:p>
      <w:pPr>
        <w:pStyle w:val="Compact"/>
        <w:numPr>
          <w:ilvl w:val="0"/>
          <w:numId w:val="1989"/>
        </w:numPr>
      </w:pPr>
      <w:r>
        <w:t xml:space="preserve">Fluoxetine — SSRI; evidence base from Coccaro RCT in IED.</w:t>
      </w:r>
    </w:p>
    <w:p>
      <w:pPr>
        <w:pStyle w:val="Compact"/>
        <w:numPr>
          <w:ilvl w:val="0"/>
          <w:numId w:val="1989"/>
        </w:numPr>
      </w:pPr>
      <w:r>
        <w:t xml:space="preserve">CBT for Anger Management — Trigger identification, cognitive restructuring, time-out, relaxation, problem-solving.</w:t>
      </w:r>
    </w:p>
    <w:p>
      <w:pPr>
        <w:pStyle w:val="Compact"/>
        <w:numPr>
          <w:ilvl w:val="0"/>
          <w:numId w:val="1989"/>
        </w:numPr>
      </w:pPr>
      <w:r>
        <w:t xml:space="preserve">Overt Aggression Scale (OAS) — Aggression Scale.</w:t>
      </w:r>
    </w:p>
    <w:bookmarkEnd w:id="1993"/>
    <w:bookmarkStart w:id="1994" w:name="differences-between-sources-118"/>
    <w:p>
      <w:pPr>
        <w:pStyle w:val="Heading4"/>
      </w:pPr>
      <w:r>
        <w:t xml:space="preserve">8.2 Differences between sources</w:t>
      </w:r>
    </w:p>
    <w:p>
      <w:pPr>
        <w:pStyle w:val="Compact"/>
        <w:numPr>
          <w:ilvl w:val="0"/>
          <w:numId w:val="1990"/>
        </w:numPr>
      </w:pPr>
      <w:r>
        <w:t xml:space="preserve">Coccaro J Clin Psychiatry 2009 — fluoxetine evidence-based.</w:t>
      </w:r>
    </w:p>
    <w:p>
      <w:pPr>
        <w:pStyle w:val="Compact"/>
        <w:numPr>
          <w:ilvl w:val="0"/>
          <w:numId w:val="1990"/>
        </w:numPr>
      </w:pPr>
      <w:r>
        <w:t xml:space="preserve">McCloskey 2008 — CBT efficacy.</w:t>
      </w:r>
    </w:p>
    <w:bookmarkEnd w:id="1994"/>
    <w:bookmarkEnd w:id="1995"/>
    <w:bookmarkStart w:id="1996" w:name="Xd4c541cf0fa86e85431289a4537288aefc91e92"/>
    <w:p>
      <w:pPr>
        <w:pStyle w:val="Heading3"/>
      </w:pPr>
      <w:r>
        <w:t xml:space="preserve">9. Prognosis</w:t>
      </w:r>
    </w:p>
    <w:p>
      <w:pPr>
        <w:pStyle w:val="Compact"/>
        <w:numPr>
          <w:ilvl w:val="0"/>
          <w:numId w:val="1991"/>
        </w:numPr>
      </w:pPr>
      <w:r>
        <w:t xml:space="preserve">Significant improvement with fluoxetine and CBT.</w:t>
      </w:r>
    </w:p>
    <w:p>
      <w:pPr>
        <w:pStyle w:val="Compact"/>
        <w:numPr>
          <w:ilvl w:val="0"/>
          <w:numId w:val="1991"/>
        </w:numPr>
      </w:pPr>
      <w:r>
        <w:t xml:space="preserve">Comorbid ASPD, substance use poor prognosis.</w:t>
      </w:r>
    </w:p>
    <w:bookmarkEnd w:id="1996"/>
    <w:bookmarkStart w:id="2002" w:name="X745efb9d14e5e5f40ee2df9886a2e7be2cd69af"/>
    <w:p>
      <w:pPr>
        <w:pStyle w:val="Heading3"/>
      </w:pPr>
      <w:r>
        <w:t xml:space="preserve">10. Myths and misconceptions</w:t>
      </w:r>
    </w:p>
    <w:bookmarkStart w:id="1997" w:name="Xcf5a658ad0c56db5c81e878a4ffb76ee505ee51"/>
    <w:p>
      <w:pPr>
        <w:pStyle w:val="Heading5"/>
      </w:pPr>
      <w:r>
        <w:t xml:space="preserve">Myth 1: “IED is just ordinary ‘temper tantrum’”</w:t>
      </w:r>
    </w:p>
    <w:p>
      <w:pPr>
        <w:pStyle w:val="FirstParagraph"/>
      </w:pPr>
      <w:r>
        <w:t xml:space="preserve">Evidence: Clinical diagnosis based on frequency and functional impairment.</w:t>
      </w:r>
    </w:p>
    <w:bookmarkEnd w:id="1997"/>
    <w:bookmarkStart w:id="1998" w:name="X5a4afdf5f74379124659c4239763629a854dc3c"/>
    <w:p>
      <w:pPr>
        <w:pStyle w:val="Heading5"/>
      </w:pPr>
      <w:r>
        <w:t xml:space="preserve">Myth 2: “The patient can stop ‘voluntarily’”</w:t>
      </w:r>
    </w:p>
    <w:p>
      <w:pPr>
        <w:pStyle w:val="FirstParagraph"/>
      </w:pPr>
      <w:r>
        <w:t xml:space="preserve">Evidence: impulse control disorder — failure of control is clinical feature; evidence-based treatment (fluoxetine, CBT) required.</w:t>
      </w:r>
    </w:p>
    <w:bookmarkEnd w:id="1998"/>
    <w:bookmarkStart w:id="1999" w:name="myth-3-benzodiazepine-calms-aggression"/>
    <w:p>
      <w:pPr>
        <w:pStyle w:val="Heading5"/>
      </w:pPr>
      <w:r>
        <w:t xml:space="preserve">Myth 3: “Benzodiazepine calms aggression”</w:t>
      </w:r>
    </w:p>
    <w:p>
      <w:pPr>
        <w:pStyle w:val="FirstParagraph"/>
      </w:pPr>
      <w:r>
        <w:t xml:space="preserve">Evidence: benzodiazepine paradoxical disinhibition can occur; contraindicated or used cautiously in IED.</w:t>
      </w:r>
    </w:p>
    <w:bookmarkEnd w:id="1999"/>
    <w:bookmarkStart w:id="2000" w:name="X60ee0116384821a82f98bda6628e1538f844497"/>
    <w:p>
      <w:pPr>
        <w:pStyle w:val="Heading5"/>
      </w:pPr>
      <w:r>
        <w:t xml:space="preserve">Myth 4: “Only legal punishment is effective”</w:t>
      </w:r>
    </w:p>
    <w:p>
      <w:pPr>
        <w:pStyle w:val="FirstParagraph"/>
      </w:pPr>
      <w:r>
        <w:t xml:space="preserve">Evidence: legal punishment alone ineffective; clinical treatment required.</w:t>
      </w:r>
    </w:p>
    <w:bookmarkEnd w:id="2000"/>
    <w:bookmarkStart w:id="2001" w:name="myth-5-antipsychotic-is-first-line"/>
    <w:p>
      <w:pPr>
        <w:pStyle w:val="Heading5"/>
      </w:pPr>
      <w:r>
        <w:t xml:space="preserve">Myth 5: “Antipsychotic is first-line”</w:t>
      </w:r>
    </w:p>
    <w:p>
      <w:pPr>
        <w:pStyle w:val="FirstParagraph"/>
      </w:pPr>
      <w:r>
        <w:t xml:space="preserve">Evidence: SSRI first-line; antipsychotic in refractory case.</w:t>
      </w:r>
    </w:p>
    <w:bookmarkEnd w:id="2001"/>
    <w:bookmarkEnd w:id="2002"/>
    <w:bookmarkStart w:id="2003" w:name="X8f259035a794437e7ecec10ad2ead4c095d8d08"/>
    <w:p>
      <w:pPr>
        <w:pStyle w:val="Heading3"/>
      </w:pPr>
      <w:r>
        <w:t xml:space="preserve">11. Sources</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et al.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003"/>
    <w:bookmarkStart w:id="2004" w:name="m836c906c9z-disruptive-behaviour"/>
    <w:p>
      <w:pPr>
        <w:pageBreakBefore/>
        <w:pStyle w:val="Heading1"/>
      </w:pPr>
      <w:r>
        <w:t xml:space="preserve">6C90–6C9Z DISRUPTIVE BEHAVIOUR</w:t>
      </w:r>
    </w:p>
    <w:p>
      <w:pPr>
        <w:pStyle w:val="FirstParagraph"/>
      </w:pPr>
      <w:r>
        <w:t xml:space="preserve">Disruptive behaviour or dissocial disorders</w:t>
      </w:r>
    </w:p>
    <w:bookmarkEnd w:id="200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05" w:name="m846c91-conduct-dissocial-disorder"/>
            <w:r>
              <w:t xml:space="preserve">6C91 CONDUCT-DISSOCIAL DISORDER</w:t>
            </w:r>
            <w:bookmarkEnd w:id="2005"/>
          </w:p>
          <w:p>
            <w:pPr>
              <w:pStyle w:val="Compact"/>
              <w:ind w:firstLine="0" w:left="0"/>
            </w:pPr>
            <w:r>
              <w:rPr>
                <w:lang w:val="en"/>
              </w:rPr>
              <w:t xml:space="preserve">Conduct-dissocial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Conduct Disorder, Childhood-Onset Type</w:t>
            </w:r>
          </w:p>
        </w:tc>
      </w:tr>
    </w:tbl>
    <w:bookmarkStart w:id="2006" w:name="Xf83e9e41c7eb53dfd9906481f44907d571bbfa6"/>
    <w:p>
      <w:pPr>
        <w:pStyle w:val="Heading3"/>
      </w:pPr>
      <w:r>
        <w:t xml:space="preserve">1. Definition and nosology</w:t>
      </w:r>
    </w:p>
    <w:p>
      <w:pPr>
        <w:pStyle w:val="FirstParagraph"/>
      </w:pPr>
      <w:r>
        <w:t xml:space="preserve">Conduct-dissocial disorder (ICD-11:</w:t>
      </w:r>
      <w:r>
        <w:t xml:space="preserve"> </w:t>
      </w:r>
      <w:r>
        <w:t xml:space="preserve">6C91</w:t>
      </w:r>
      <w:r>
        <w:t xml:space="preserve">; DSM-5-TR: F91.1 Conduct Disorder) — a persistent and repetitive pattern of violating the rights of others or age-appropriate social norms. Typically begins in childhood/adolescence; may transition to ASPD in adulthood.</w:t>
      </w:r>
    </w:p>
    <w:bookmarkEnd w:id="2006"/>
    <w:bookmarkStart w:id="2007" w:name="Xc14eb80705e25278f99c9f39e8762d7928ece1b"/>
    <w:p>
      <w:pPr>
        <w:pStyle w:val="Heading3"/>
      </w:pPr>
      <w:r>
        <w:t xml:space="preserve">2. History</w:t>
      </w:r>
    </w:p>
    <w:p>
      <w:pPr>
        <w:pStyle w:val="Compact"/>
        <w:numPr>
          <w:ilvl w:val="0"/>
          <w:numId w:val="1993"/>
        </w:numPr>
      </w:pPr>
      <w:r>
        <w:t xml:space="preserve">DSM-III (1980) — Official diagnosis.</w:t>
      </w:r>
    </w:p>
    <w:p>
      <w:pPr>
        <w:pStyle w:val="Compact"/>
        <w:numPr>
          <w:ilvl w:val="0"/>
          <w:numId w:val="1993"/>
        </w:numPr>
      </w:pPr>
      <w:r>
        <w:t xml:space="preserve">DSM-5 (2013) — “limited prosocial emotions” specifier (childhood marker of psychopathic traits).</w:t>
      </w:r>
    </w:p>
    <w:p>
      <w:pPr>
        <w:pStyle w:val="Compact"/>
        <w:numPr>
          <w:ilvl w:val="0"/>
          <w:numId w:val="1993"/>
        </w:numPr>
      </w:pPr>
      <w:r>
        <w:t xml:space="preserve">NICE CG158 (2017) — child and adolescent antisocial behavior.</w:t>
      </w:r>
    </w:p>
    <w:bookmarkEnd w:id="2007"/>
    <w:bookmarkStart w:id="2008" w:name="X89a8af9056fecffb3e4c31582b9166d30f2fe40"/>
    <w:p>
      <w:pPr>
        <w:pStyle w:val="Heading3"/>
      </w:pPr>
      <w:r>
        <w:t xml:space="preserve">3. Epidemiology</w:t>
      </w:r>
    </w:p>
    <w:p>
      <w:pPr>
        <w:pStyle w:val="Compact"/>
        <w:numPr>
          <w:ilvl w:val="0"/>
          <w:numId w:val="1994"/>
        </w:numPr>
      </w:pPr>
      <w:r>
        <w:t xml:space="preserve">Prevalence: 12-month prevalence 2–10%, median 4%; higher in boys than in girls (DSM-5-TR).</w:t>
      </w:r>
    </w:p>
    <w:p>
      <w:pPr>
        <w:pStyle w:val="Compact"/>
        <w:numPr>
          <w:ilvl w:val="0"/>
          <w:numId w:val="1994"/>
        </w:numPr>
      </w:pPr>
      <w:r>
        <w:t xml:space="preserve">Sex: 3 times higher in males.</w:t>
      </w:r>
    </w:p>
    <w:p>
      <w:pPr>
        <w:pStyle w:val="Compact"/>
        <w:numPr>
          <w:ilvl w:val="0"/>
          <w:numId w:val="1994"/>
        </w:numPr>
      </w:pPr>
      <w:r>
        <w:t xml:space="preserve">Onset — childhood (before age 10, poor prognosis) or adolescence (age 10+, good prognosis).</w:t>
      </w:r>
    </w:p>
    <w:p>
      <w:pPr>
        <w:pStyle w:val="Compact"/>
        <w:numPr>
          <w:ilvl w:val="0"/>
          <w:numId w:val="1994"/>
        </w:numPr>
      </w:pPr>
      <w:r>
        <w:t xml:space="preserve">Comorbidity: ADHD 50%, ODD, MDD, anxiety, substance use, learning disorders.</w:t>
      </w:r>
    </w:p>
    <w:bookmarkEnd w:id="2008"/>
    <w:bookmarkStart w:id="2009" w:name="Xa14f87aeb18efb9243da2a465ec541a1efc212d"/>
    <w:p>
      <w:pPr>
        <w:pStyle w:val="Heading3"/>
      </w:pPr>
      <w:r>
        <w:t xml:space="preserve">4. Aetiology and pathogenesis</w:t>
      </w:r>
    </w:p>
    <w:p>
      <w:pPr>
        <w:pStyle w:val="Compact"/>
        <w:numPr>
          <w:ilvl w:val="0"/>
          <w:numId w:val="1995"/>
        </w:numPr>
      </w:pPr>
      <w:r>
        <w:t xml:space="preserve">Heritability 40–60%.</w:t>
      </w:r>
    </w:p>
    <w:p>
      <w:pPr>
        <w:pStyle w:val="Compact"/>
        <w:numPr>
          <w:ilvl w:val="0"/>
          <w:numId w:val="1995"/>
        </w:numPr>
      </w:pPr>
      <w:r>
        <w:t xml:space="preserve">Neurobiological — amygdala, prefrontal dysregulation, low sympathetic arousal.</w:t>
      </w:r>
    </w:p>
    <w:p>
      <w:pPr>
        <w:pStyle w:val="Compact"/>
        <w:numPr>
          <w:ilvl w:val="0"/>
          <w:numId w:val="1995"/>
        </w:numPr>
      </w:pPr>
      <w:r>
        <w:t xml:space="preserve">Environment — childhood trauma, harsh parenting, family dysfunction, peers.</w:t>
      </w:r>
    </w:p>
    <w:p>
      <w:pPr>
        <w:pStyle w:val="Compact"/>
        <w:numPr>
          <w:ilvl w:val="0"/>
          <w:numId w:val="1995"/>
        </w:numPr>
      </w:pPr>
      <w:r>
        <w:t xml:space="preserve">Prenatal — tobacco, alcohol.</w:t>
      </w:r>
    </w:p>
    <w:bookmarkEnd w:id="2009"/>
    <w:bookmarkStart w:id="2012" w:name="Xffb68be5d8a63ed150da9f7799010b1b8aa9552"/>
    <w:p>
      <w:pPr>
        <w:pStyle w:val="Heading3"/>
      </w:pPr>
      <w:r>
        <w:t xml:space="preserve">5. Clinical features</w:t>
      </w:r>
    </w:p>
    <w:bookmarkStart w:id="2010" w:name="Xeb207223fc7c67e1f6976771dd3bdc4b77cbdc4"/>
    <w:p>
      <w:pPr>
        <w:pStyle w:val="Heading4"/>
      </w:pPr>
      <w:r>
        <w:t xml:space="preserve">DSM-5-TR 15 symptoms in 4 categories (≥ 3 symptoms in 12 months)</w:t>
      </w:r>
    </w:p>
    <w:p>
      <w:pPr>
        <w:pStyle w:val="Compact"/>
        <w:numPr>
          <w:ilvl w:val="0"/>
          <w:numId w:val="1996"/>
        </w:numPr>
      </w:pPr>
      <w:r>
        <w:t xml:space="preserve">Aggression — towards people/animals: threat, assault, use of weapons, physical violence, sexual violence.</w:t>
      </w:r>
    </w:p>
    <w:p>
      <w:pPr>
        <w:pStyle w:val="Compact"/>
        <w:numPr>
          <w:ilvl w:val="0"/>
          <w:numId w:val="1996"/>
        </w:numPr>
      </w:pPr>
      <w:r>
        <w:t xml:space="preserve">Object injury: Intentional arson, damage of other objects.</w:t>
      </w:r>
    </w:p>
    <w:p>
      <w:pPr>
        <w:pStyle w:val="Compact"/>
        <w:numPr>
          <w:ilvl w:val="0"/>
          <w:numId w:val="1996"/>
        </w:numPr>
      </w:pPr>
      <w:r>
        <w:t xml:space="preserve">Deception/theft: Breaking and entering, lying, theft.</w:t>
      </w:r>
    </w:p>
    <w:p>
      <w:pPr>
        <w:pStyle w:val="Compact"/>
        <w:numPr>
          <w:ilvl w:val="0"/>
          <w:numId w:val="1996"/>
        </w:numPr>
      </w:pPr>
      <w:r>
        <w:t xml:space="preserve">Serious rule violation: Arriving late, running away from home, truancy.</w:t>
      </w:r>
    </w:p>
    <w:bookmarkEnd w:id="2010"/>
    <w:bookmarkStart w:id="2011" w:name="X3b1fdc9fa16eef03a6658382de8c6494e24845a"/>
    <w:p>
      <w:pPr>
        <w:pStyle w:val="Heading4"/>
      </w:pPr>
      <w:r>
        <w:t xml:space="preserve">“Limited prosocial emotions” qualifier (psychopathic traits)</w:t>
      </w:r>
    </w:p>
    <w:p>
      <w:pPr>
        <w:pStyle w:val="Compact"/>
        <w:numPr>
          <w:ilvl w:val="0"/>
          <w:numId w:val="1997"/>
        </w:numPr>
      </w:pPr>
      <w:r>
        <w:t xml:space="preserve">Lack of empathy or remorse;</w:t>
      </w:r>
    </w:p>
    <w:p>
      <w:pPr>
        <w:pStyle w:val="Compact"/>
        <w:numPr>
          <w:ilvl w:val="0"/>
          <w:numId w:val="1997"/>
        </w:numPr>
      </w:pPr>
      <w:r>
        <w:t xml:space="preserve">Lack of concern about performance;</w:t>
      </w:r>
    </w:p>
    <w:p>
      <w:pPr>
        <w:pStyle w:val="Compact"/>
        <w:numPr>
          <w:ilvl w:val="0"/>
          <w:numId w:val="1997"/>
        </w:numPr>
      </w:pPr>
      <w:r>
        <w:t xml:space="preserve">Callous lack of emotion;</w:t>
      </w:r>
    </w:p>
    <w:p>
      <w:pPr>
        <w:pStyle w:val="Compact"/>
        <w:numPr>
          <w:ilvl w:val="0"/>
          <w:numId w:val="1997"/>
        </w:numPr>
      </w:pPr>
      <w:r>
        <w:t xml:space="preserve">Shallow affect.</w:t>
      </w:r>
    </w:p>
    <w:bookmarkEnd w:id="2011"/>
    <w:bookmarkEnd w:id="2012"/>
    <w:bookmarkStart w:id="2017" w:name="X6fba72fe12d26c41913c88de9fb53657b1a4f37"/>
    <w:p>
      <w:pPr>
        <w:pStyle w:val="Heading3"/>
      </w:pPr>
      <w:r>
        <w:t xml:space="preserve">6. Diagnosis</w:t>
      </w:r>
    </w:p>
    <w:bookmarkStart w:id="2013" w:name="unified-diagnostic-criteria-45"/>
    <w:p>
      <w:pPr>
        <w:pStyle w:val="Heading4"/>
      </w:pPr>
      <w:r>
        <w:t xml:space="preserve">6.1 Unified diagnostic criteria</w:t>
      </w:r>
    </w:p>
    <w:p>
      <w:pPr>
        <w:pStyle w:val="FirstParagraph"/>
      </w:pPr>
      <w:r>
        <w:t xml:space="preserve">DSM-5-TR criteria (≥ 3 symptoms from 15 in 12 months; at least 1 symptom in the last 6 months). Severity: mild, moderate, severe.</w:t>
      </w:r>
    </w:p>
    <w:p>
      <w:pPr>
        <w:pStyle w:val="BodyText"/>
      </w:pPr>
      <w:r>
        <w:t xml:space="preserve">Onset: childhood type (≥1 symptom by age 10), adolescent type.</w:t>
      </w:r>
    </w:p>
    <w:bookmarkEnd w:id="2013"/>
    <w:bookmarkStart w:id="2014" w:name="differences-between-sources-119"/>
    <w:p>
      <w:pPr>
        <w:pStyle w:val="Heading4"/>
      </w:pPr>
      <w:r>
        <w:t xml:space="preserve">6.2 Differences between sources</w:t>
      </w:r>
    </w:p>
    <w:p>
      <w:pPr>
        <w:pStyle w:val="Compact"/>
        <w:numPr>
          <w:ilvl w:val="0"/>
          <w:numId w:val="1998"/>
        </w:numPr>
      </w:pPr>
      <w:r>
        <w:t xml:space="preserve">DSM-5-TR — ‘limited prosocial emotions’ qualifier.</w:t>
      </w:r>
    </w:p>
    <w:p>
      <w:pPr>
        <w:pStyle w:val="Compact"/>
        <w:numPr>
          <w:ilvl w:val="0"/>
          <w:numId w:val="1998"/>
        </w:numPr>
      </w:pPr>
      <w:r>
        <w:t xml:space="preserve">ICD-11 — ‘Conduct-Dissocial Disorder’; according to child, adolescent, adult patterns.</w:t>
      </w:r>
    </w:p>
    <w:p>
      <w:pPr>
        <w:pStyle w:val="Compact"/>
        <w:numPr>
          <w:ilvl w:val="0"/>
          <w:numId w:val="1998"/>
        </w:numPr>
      </w:pPr>
      <w:r>
        <w:t xml:space="preserve">NICE CG158 — diagnosis and intervention in children and adolescents.</w:t>
      </w:r>
    </w:p>
    <w:bookmarkEnd w:id="2014"/>
    <w:bookmarkStart w:id="2015" w:name="diagnostic-algorithm-67"/>
    <w:p>
      <w:pPr>
        <w:pStyle w:val="Heading4"/>
      </w:pPr>
      <w:r>
        <w:t xml:space="preserve">6.3 Diagnostic algorithm</w:t>
      </w:r>
    </w:p>
    <w:p>
      <w:pPr>
        <w:pStyle w:val="Compact"/>
        <w:numPr>
          <w:ilvl w:val="0"/>
          <w:numId w:val="1999"/>
        </w:numPr>
      </w:pPr>
      <w:r>
        <w:t xml:space="preserve">Clinical interview + parent, teacher.</w:t>
      </w:r>
    </w:p>
    <w:p>
      <w:pPr>
        <w:pStyle w:val="Compact"/>
        <w:numPr>
          <w:ilvl w:val="0"/>
          <w:numId w:val="1999"/>
        </w:numPr>
      </w:pPr>
      <w:r>
        <w:t xml:space="preserve">Structured interview (K-SADS).</w:t>
      </w:r>
    </w:p>
    <w:p>
      <w:pPr>
        <w:pStyle w:val="Compact"/>
        <w:numPr>
          <w:ilvl w:val="0"/>
          <w:numId w:val="1999"/>
        </w:numPr>
      </w:pPr>
      <w:r>
        <w:t xml:space="preserve">CBCL (Child Behavior Checklist), TRF (Teacher Report Form).</w:t>
      </w:r>
    </w:p>
    <w:p>
      <w:pPr>
        <w:pStyle w:val="Compact"/>
        <w:numPr>
          <w:ilvl w:val="0"/>
          <w:numId w:val="1999"/>
        </w:numPr>
      </w:pPr>
      <w:r>
        <w:t xml:space="preserve">The Inventory of Callous-Unemotional Traits — for psychopathic traits.</w:t>
      </w:r>
    </w:p>
    <w:p>
      <w:pPr>
        <w:pStyle w:val="Compact"/>
        <w:numPr>
          <w:ilvl w:val="0"/>
          <w:numId w:val="1999"/>
        </w:numPr>
      </w:pPr>
      <w:r>
        <w:t xml:space="preserve">Comorbidity (ADHD, MDD, substance, learning).</w:t>
      </w:r>
    </w:p>
    <w:bookmarkEnd w:id="2015"/>
    <w:bookmarkStart w:id="2016" w:name="differential-diagnosis-6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ODD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serious legal violation.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Impulsivity and attention; common comorbidity.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Explosive type; absence of persistent antisocial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context.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Attachment disturbance since childhood.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bl>
    <w:bookmarkEnd w:id="2016"/>
    <w:bookmarkEnd w:id="2017"/>
    <w:bookmarkStart w:id="2018" w:name="Xbfebb24ee992a8c65cff403aa7dcb31f8cd3648"/>
    <w:p>
      <w:pPr>
        <w:pStyle w:val="Heading3"/>
      </w:pPr>
      <w:r>
        <w:t xml:space="preserve">7. Examination and assessment</w:t>
      </w:r>
    </w:p>
    <w:p>
      <w:pPr>
        <w:pStyle w:val="Compact"/>
        <w:numPr>
          <w:ilvl w:val="0"/>
          <w:numId w:val="2000"/>
        </w:numPr>
      </w:pPr>
      <w:r>
        <w:t xml:space="preserve">CBCL, TRF, ICU.</w:t>
      </w:r>
    </w:p>
    <w:p>
      <w:pPr>
        <w:pStyle w:val="Compact"/>
        <w:numPr>
          <w:ilvl w:val="0"/>
          <w:numId w:val="2000"/>
        </w:numPr>
      </w:pPr>
      <w:r>
        <w:t xml:space="preserve">Comorbidity screening.</w:t>
      </w:r>
    </w:p>
    <w:p>
      <w:pPr>
        <w:pStyle w:val="Compact"/>
        <w:numPr>
          <w:ilvl w:val="0"/>
          <w:numId w:val="2000"/>
        </w:numPr>
      </w:pPr>
      <w:r>
        <w:t xml:space="preserve">Intellectual and academic assessment.</w:t>
      </w:r>
    </w:p>
    <w:bookmarkEnd w:id="2018"/>
    <w:bookmarkStart w:id="2022" w:name="Xc8ad3f74805381063e722f744179d9e9ede90bd"/>
    <w:p>
      <w:pPr>
        <w:pStyle w:val="Heading3"/>
      </w:pPr>
      <w:r>
        <w:t xml:space="preserve">8. Treatment</w:t>
      </w:r>
    </w:p>
    <w:bookmarkStart w:id="2019" w:name="general-principles-nice-cg158-aacap"/>
    <w:p>
      <w:pPr>
        <w:pStyle w:val="Heading4"/>
      </w:pPr>
      <w:r>
        <w:t xml:space="preserve">8.1 General Principles (NICE CG158 · AACAP)</w:t>
      </w:r>
    </w:p>
    <w:p>
      <w:pPr>
        <w:pStyle w:val="Compact"/>
        <w:numPr>
          <w:ilvl w:val="0"/>
          <w:numId w:val="2001"/>
        </w:numPr>
      </w:pPr>
      <w:r>
        <w:t xml:space="preserve">Parent training programs first-line — for ages 3–11:</w:t>
      </w:r>
    </w:p>
    <w:p>
      <w:pPr>
        <w:pStyle w:val="Compact"/>
        <w:numPr>
          <w:ilvl w:val="1"/>
          <w:numId w:val="2002"/>
        </w:numPr>
      </w:pPr>
      <w:r>
        <w:t xml:space="preserve">Incredible Years (Webster-Stratton);</w:t>
      </w:r>
    </w:p>
    <w:p>
      <w:pPr>
        <w:pStyle w:val="Compact"/>
        <w:numPr>
          <w:ilvl w:val="1"/>
          <w:numId w:val="2002"/>
        </w:numPr>
      </w:pPr>
      <w:r>
        <w:t xml:space="preserve">PCIT (Parent-Child Interaction Therapy);</w:t>
      </w:r>
    </w:p>
    <w:p>
      <w:pPr>
        <w:pStyle w:val="Compact"/>
        <w:numPr>
          <w:ilvl w:val="1"/>
          <w:numId w:val="2002"/>
        </w:numPr>
      </w:pPr>
      <w:r>
        <w:t xml:space="preserve">Triple P.</w:t>
      </w:r>
    </w:p>
    <w:p>
      <w:pPr>
        <w:pStyle w:val="Compact"/>
        <w:numPr>
          <w:ilvl w:val="0"/>
          <w:numId w:val="2001"/>
        </w:numPr>
      </w:pPr>
      <w:r>
        <w:t xml:space="preserve">For adolescents:</w:t>
      </w:r>
    </w:p>
    <w:p>
      <w:pPr>
        <w:pStyle w:val="Compact"/>
        <w:numPr>
          <w:ilvl w:val="1"/>
          <w:numId w:val="2003"/>
        </w:numPr>
      </w:pPr>
      <w:r>
        <w:t xml:space="preserve">MST — Multisystemic Therapy (Henggeler S.W.) — encompassing family, peer, school, community;</w:t>
      </w:r>
    </w:p>
    <w:p>
      <w:pPr>
        <w:pStyle w:val="Compact"/>
        <w:numPr>
          <w:ilvl w:val="1"/>
          <w:numId w:val="2003"/>
        </w:numPr>
      </w:pPr>
      <w:r>
        <w:t xml:space="preserve">FFT — Functional Family Therapy;</w:t>
      </w:r>
    </w:p>
    <w:p>
      <w:pPr>
        <w:pStyle w:val="Compact"/>
        <w:numPr>
          <w:ilvl w:val="1"/>
          <w:numId w:val="2003"/>
        </w:numPr>
      </w:pPr>
      <w:r>
        <w:t xml:space="preserve">MTFC — Multidimensional Treatment Foster Care.</w:t>
      </w:r>
    </w:p>
    <w:p>
      <w:pPr>
        <w:pStyle w:val="Compact"/>
        <w:numPr>
          <w:ilvl w:val="0"/>
          <w:numId w:val="2001"/>
        </w:numPr>
      </w:pPr>
      <w:r>
        <w:t xml:space="preserve">Comorbid ADHD — stimulant (also reduces aggression).</w:t>
      </w:r>
    </w:p>
    <w:p>
      <w:pPr>
        <w:pStyle w:val="Compact"/>
        <w:numPr>
          <w:ilvl w:val="0"/>
          <w:numId w:val="2001"/>
        </w:numPr>
      </w:pPr>
      <w:r>
        <w:t xml:space="preserve">Antipsychotic (risperidone) — off-label in severe aggression, with caution; no FDA approval (specific for childhood aggression).</w:t>
      </w:r>
    </w:p>
    <w:p>
      <w:pPr>
        <w:pStyle w:val="Compact"/>
        <w:numPr>
          <w:ilvl w:val="0"/>
          <w:numId w:val="2001"/>
        </w:numPr>
      </w:pPr>
      <w:r>
        <w:t xml:space="preserve">“Scared Straight” and similar programs are contraindicated — Cochrane (Petrosino A. 2013) — these programs increase antisocial behaviour.</w:t>
      </w:r>
    </w:p>
    <w:p>
      <w:pPr>
        <w:pStyle w:val="Compact"/>
        <w:numPr>
          <w:ilvl w:val="0"/>
          <w:numId w:val="2001"/>
        </w:numPr>
      </w:pPr>
      <w:r>
        <w:t xml:space="preserve">Boot camp type “tough love” programs — no evidence, harmful.</w:t>
      </w:r>
    </w:p>
    <w:bookmarkEnd w:id="2019"/>
    <w:bookmarkStart w:id="2020" w:name="treatment-methods-65"/>
    <w:p>
      <w:pPr>
        <w:pStyle w:val="Heading4"/>
      </w:pPr>
      <w:r>
        <w:t xml:space="preserve">8.2 Treatment methods</w:t>
      </w:r>
    </w:p>
    <w:p>
      <w:pPr>
        <w:pStyle w:val="Compact"/>
        <w:numPr>
          <w:ilvl w:val="0"/>
          <w:numId w:val="2004"/>
        </w:numPr>
      </w:pPr>
      <w:r>
        <w:t xml:space="preserve">“Incredible Years” program — Webster-Stratton — group program for parents of children aged 3–8 years; 14–22 sessions.</w:t>
      </w:r>
    </w:p>
    <w:p>
      <w:pPr>
        <w:pStyle w:val="Compact"/>
        <w:numPr>
          <w:ilvl w:val="0"/>
          <w:numId w:val="2004"/>
        </w:numPr>
      </w:pPr>
      <w:r>
        <w:t xml:space="preserve">Parent-Child Interaction Therapy (PCIT) — 4–7 years; CDI + PDI.</w:t>
      </w:r>
    </w:p>
    <w:p>
      <w:pPr>
        <w:pStyle w:val="Compact"/>
        <w:numPr>
          <w:ilvl w:val="0"/>
          <w:numId w:val="2004"/>
        </w:numPr>
      </w:pPr>
      <w:r>
        <w:t xml:space="preserve">Multisystemic Therapy (MST) — Home-based multisystem intervention for adolescents; evidence base strong for severe behavioral disturbances.</w:t>
      </w:r>
    </w:p>
    <w:p>
      <w:pPr>
        <w:pStyle w:val="Compact"/>
        <w:numPr>
          <w:ilvl w:val="0"/>
          <w:numId w:val="2004"/>
        </w:numPr>
      </w:pPr>
      <w:r>
        <w:t xml:space="preserve">Functional Family Therapy (FFT) — Family-based, 8-30 sessions.</w:t>
      </w:r>
    </w:p>
    <w:p>
      <w:pPr>
        <w:pStyle w:val="Compact"/>
        <w:numPr>
          <w:ilvl w:val="0"/>
          <w:numId w:val="2004"/>
        </w:numPr>
      </w:pPr>
      <w:r>
        <w:t xml:space="preserve">Multidimensional Treatment Foster Care (MTFC) — Structured fostering program; for severe case.</w:t>
      </w:r>
    </w:p>
    <w:bookmarkEnd w:id="2020"/>
    <w:bookmarkStart w:id="2021" w:name="differences-between-sources-120"/>
    <w:p>
      <w:pPr>
        <w:pStyle w:val="Heading4"/>
      </w:pPr>
      <w:r>
        <w:t xml:space="preserve">8.3 Differences between sources</w:t>
      </w:r>
    </w:p>
    <w:p>
      <w:pPr>
        <w:pStyle w:val="Compact"/>
        <w:numPr>
          <w:ilvl w:val="0"/>
          <w:numId w:val="2005"/>
        </w:numPr>
      </w:pPr>
      <w:r>
        <w:t xml:space="preserve">NICE CG158 (2017).</w:t>
      </w:r>
    </w:p>
    <w:p>
      <w:pPr>
        <w:pStyle w:val="Compact"/>
        <w:numPr>
          <w:ilvl w:val="0"/>
          <w:numId w:val="2005"/>
        </w:numPr>
      </w:pPr>
      <w:r>
        <w:t xml:space="preserve">AACAP Practice Parameter (Steiner H. 2007).</w:t>
      </w:r>
    </w:p>
    <w:p>
      <w:pPr>
        <w:pStyle w:val="Compact"/>
        <w:numPr>
          <w:ilvl w:val="0"/>
          <w:numId w:val="2005"/>
        </w:numPr>
      </w:pPr>
      <w:r>
        <w:t xml:space="preserve">Cochrane (Petrosino 2013) — Scared Straight is counterproductive.</w:t>
      </w:r>
    </w:p>
    <w:bookmarkEnd w:id="2021"/>
    <w:bookmarkEnd w:id="2022"/>
    <w:bookmarkStart w:id="2023" w:name="Xd3c49d00312b3f4c1a1efe578621a8a32ff31b2"/>
    <w:p>
      <w:pPr>
        <w:pStyle w:val="Heading3"/>
      </w:pPr>
      <w:r>
        <w:t xml:space="preserve">9. Prognosis</w:t>
      </w:r>
    </w:p>
    <w:p>
      <w:pPr>
        <w:pStyle w:val="Compact"/>
        <w:numPr>
          <w:ilvl w:val="0"/>
          <w:numId w:val="2006"/>
        </w:numPr>
      </w:pPr>
      <w:r>
        <w:t xml:space="preserve">With childhood-type and psychopathic traits — risk of ASPD in adulthood ~40–50%.</w:t>
      </w:r>
    </w:p>
    <w:p>
      <w:pPr>
        <w:pStyle w:val="Compact"/>
        <w:numPr>
          <w:ilvl w:val="0"/>
          <w:numId w:val="2006"/>
        </w:numPr>
      </w:pPr>
      <w:r>
        <w:t xml:space="preserve">Adolescent-type good prognosis.</w:t>
      </w:r>
    </w:p>
    <w:p>
      <w:pPr>
        <w:pStyle w:val="Compact"/>
        <w:numPr>
          <w:ilvl w:val="0"/>
          <w:numId w:val="2006"/>
        </w:numPr>
      </w:pPr>
      <w:r>
        <w:t xml:space="preserve">Early parent training and multisystem intervention significantly improve outcomes.</w:t>
      </w:r>
    </w:p>
    <w:bookmarkEnd w:id="2023"/>
    <w:bookmarkStart w:id="2030" w:name="Xf2a1882ea75fa4801d3150cc6e2c649de76c83d"/>
    <w:p>
      <w:pPr>
        <w:pStyle w:val="Heading3"/>
      </w:pPr>
      <w:r>
        <w:t xml:space="preserve">10. Myths and misconceptions</w:t>
      </w:r>
    </w:p>
    <w:bookmarkStart w:id="2024" w:name="Xe111f0f9eeca7bc94802edde74e2a0b67ffd143"/>
    <w:p>
      <w:pPr>
        <w:pStyle w:val="Heading5"/>
      </w:pPr>
      <w:r>
        <w:t xml:space="preserve">Myth 1: “Harsh punishment/discipline is the most effective intervention”</w:t>
      </w:r>
    </w:p>
    <w:p>
      <w:pPr>
        <w:pStyle w:val="FirstParagraph"/>
      </w:pPr>
      <w:r>
        <w:t xml:space="preserve">Evidence: Harsh punishment strengthens antisocial behavior; positive parenting training is evidenced.</w:t>
      </w:r>
    </w:p>
    <w:bookmarkEnd w:id="2024"/>
    <w:bookmarkStart w:id="2025" w:name="Xe4128d6b4e0effcd5221548f19ca1b8ac672043"/>
    <w:p>
      <w:pPr>
        <w:pStyle w:val="Heading5"/>
      </w:pPr>
      <w:r>
        <w:t xml:space="preserve">Myth 2: “‘Scared Straight’ programs ‘correct’ youth”</w:t>
      </w:r>
    </w:p>
    <w:p>
      <w:pPr>
        <w:pStyle w:val="FirstParagraph"/>
      </w:pPr>
      <w:r>
        <w:t xml:space="preserve">Evidence: Petrosino A. Cochrane 2013 — Scared Straight increases antisocial behaviour (OR 1.68; 95% CI 1.20–2.36); contraindicated; sometimes presented as “effective” in media, but meta-analysis negative.</w:t>
      </w:r>
    </w:p>
    <w:bookmarkEnd w:id="2025"/>
    <w:bookmarkStart w:id="2026" w:name="Xe98bd03f690fd8137ad89e7dcd19a4d055410b5"/>
    <w:p>
      <w:pPr>
        <w:pStyle w:val="Heading5"/>
      </w:pPr>
      <w:r>
        <w:t xml:space="preserve">Myth 3: “Conduct disorder inevitably turns into ASPD”</w:t>
      </w:r>
    </w:p>
    <w:p>
      <w:pPr>
        <w:pStyle w:val="FirstParagraph"/>
      </w:pPr>
      <w:r>
        <w:t xml:space="preserve">Evidence: Approximately 50% of cases with adolescent-onset type remit; childhood-onset type and psychopathic traits indicate a poor prognosis.</w:t>
      </w:r>
    </w:p>
    <w:bookmarkEnd w:id="2026"/>
    <w:bookmarkStart w:id="2027" w:name="myth-4-stimulants-increase-aggression"/>
    <w:p>
      <w:pPr>
        <w:pStyle w:val="Heading5"/>
      </w:pPr>
      <w:r>
        <w:t xml:space="preserve">Myth 4: “Stimulants increase aggression”</w:t>
      </w:r>
    </w:p>
    <w:p>
      <w:pPr>
        <w:pStyle w:val="FirstParagraph"/>
      </w:pPr>
      <w:r>
        <w:t xml:space="preserve">Evidence: In comorbid ADHD, stimulants REDUCE aggression; use with monitoring of behaviour and adverse effects.</w:t>
      </w:r>
    </w:p>
    <w:bookmarkEnd w:id="2027"/>
    <w:bookmarkStart w:id="2028" w:name="X02e8942e002f759ff3739234997ffc0d1b852b8"/>
    <w:p>
      <w:pPr>
        <w:pStyle w:val="Heading5"/>
      </w:pPr>
      <w:r>
        <w:t xml:space="preserve">Myth 5: “Boot camp or military environment cures severe CD”</w:t>
      </w:r>
    </w:p>
    <w:p>
      <w:pPr>
        <w:pStyle w:val="FirstParagraph"/>
      </w:pPr>
      <w:r>
        <w:t xml:space="preserve">Evidence: No evidence; some studies show counter-effect efficacy.</w:t>
      </w:r>
    </w:p>
    <w:bookmarkEnd w:id="2028"/>
    <w:bookmarkStart w:id="2029" w:name="myth-6-antipsychotic-standard-first-line"/>
    <w:p>
      <w:pPr>
        <w:pStyle w:val="Heading5"/>
      </w:pPr>
      <w:r>
        <w:t xml:space="preserve">Myth 6: “Antipsychotic standard first-line”</w:t>
      </w:r>
    </w:p>
    <w:p>
      <w:pPr>
        <w:pStyle w:val="FirstParagraph"/>
      </w:pPr>
      <w:r>
        <w:t xml:space="preserve">Evidence: parent training and psychosocial approaches first-line; risperidone off-label in severe refractory cases.</w:t>
      </w:r>
    </w:p>
    <w:bookmarkEnd w:id="2029"/>
    <w:bookmarkEnd w:id="2030"/>
    <w:bookmarkStart w:id="2946" w:name="Xc0d4fc8ea050610f646b1166d9b292efcc01108"/>
    <w:p>
      <w:pPr>
        <w:pStyle w:val="Heading3"/>
      </w:pPr>
      <w:r>
        <w:t xml:space="preserve">11. Sources</w:t>
      </w:r>
    </w:p>
    <w:p>
      <w:pPr>
        <w:pStyle w:val="Compact"/>
        <w:numPr>
          <w:ilvl w:val="0"/>
          <w:numId w:val="2007"/>
        </w:numPr>
      </w:pPr>
      <w:r>
        <w:t xml:space="preserve">WHO. ICD-11. 6C91 Conduct-dissocial disorder. 2024.</w:t>
      </w:r>
    </w:p>
    <w:p>
      <w:pPr>
        <w:pStyle w:val="Compact"/>
        <w:numPr>
          <w:ilvl w:val="0"/>
          <w:numId w:val="2007"/>
        </w:numPr>
      </w:pPr>
      <w:r>
        <w:t xml:space="preserve">APA. DSM-5-TR. 2022.</w:t>
      </w:r>
    </w:p>
    <w:p>
      <w:pPr>
        <w:pStyle w:val="Compact"/>
        <w:numPr>
          <w:ilvl w:val="0"/>
          <w:numId w:val="2007"/>
        </w:numPr>
      </w:pPr>
      <w:r>
        <w:t xml:space="preserve">NICE CG158.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p>
      <w:pPr>
        <w:pStyle w:val="Compact"/>
        <w:numPr>
          <w:ilvl w:val="0"/>
          <w:numId w:val="2007"/>
        </w:numPr>
      </w:pPr>
      <w:r>
        <w:t xml:space="preserve">Sanders M.R. Development, evaluation, and multinational dissemination of the Triple P-Positive Parenting Program. Annu Rev Clin Psychol 2012;8:345–379.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31" w:name="X5e3651128fff24aeefc1f5b688ef4367417f9bc"/>
            <w:r>
              <w:t xml:space="preserve">6C90 OPPOSITIONAL DEFIANT DISORDER (ODD)</w:t>
            </w:r>
            <w:bookmarkEnd w:id="2031"/>
          </w:p>
          <w:p>
            <w:pPr>
              <w:pStyle w:val="Compact"/>
              <w:ind w:firstLine="0" w:left="0"/>
            </w:pPr>
            <w:r>
              <w:rPr>
                <w:lang w:val="en"/>
              </w:rPr>
              <w:t xml:space="preserve">Oppositional defiant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Oppositional defiant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Oppositional Defiant Disorder</w:t>
            </w:r>
          </w:p>
        </w:tc>
      </w:tr>
    </w:tbl>
    <w:bookmarkStart w:id="2032" w:name="X7060b06a2cc571fce68ed40f404ae28416be611"/>
    <w:p>
      <w:pPr>
        <w:pStyle w:val="Heading3"/>
      </w:pPr>
      <w:r>
        <w:t xml:space="preserve">1. Definition and nosology</w:t>
      </w:r>
    </w:p>
    <w:p>
      <w:pPr>
        <w:pStyle w:val="FirstParagraph"/>
      </w:pPr>
      <w:r>
        <w:t xml:space="preserve">Oppositional defiant disorder (ODD; ICD-11:</w:t>
      </w:r>
      <w:r>
        <w:t xml:space="preserve"> </w:t>
      </w:r>
      <w:r>
        <w:t xml:space="preserve">6C90</w:t>
      </w:r>
      <w:r>
        <w:t xml:space="preserve"> </w:t>
      </w:r>
      <w:r>
        <w:t xml:space="preserve">Oppositional Defiant Disorder; DSM-5-TR: F91.3) — pattern of angry/irritable mood, argumentative/defiant behavior, or vindictive behavior. Unlike Conduct Disorder (CD), there is no interference with the fundamental rights of others.</w:t>
      </w:r>
    </w:p>
    <w:bookmarkEnd w:id="2032"/>
    <w:bookmarkStart w:id="2033" w:name="X6cf0f1e165241492f3c949195a9e88a79bff8b8"/>
    <w:p>
      <w:pPr>
        <w:pStyle w:val="Heading3"/>
      </w:pPr>
      <w:r>
        <w:t xml:space="preserve">2. History</w:t>
      </w:r>
    </w:p>
    <w:p>
      <w:pPr>
        <w:pStyle w:val="Compact"/>
        <w:numPr>
          <w:ilvl w:val="0"/>
          <w:numId w:val="2008"/>
        </w:numPr>
      </w:pPr>
      <w:r>
        <w:t xml:space="preserve">DSM-III (1980) — Official diagnosis.</w:t>
      </w:r>
    </w:p>
    <w:p>
      <w:pPr>
        <w:pStyle w:val="Compact"/>
        <w:numPr>
          <w:ilvl w:val="0"/>
          <w:numId w:val="2008"/>
        </w:numPr>
      </w:pPr>
      <w:r>
        <w:t xml:space="preserve">DSM-5 (2013) — emotional component (angry/irritable) separately emphasized.</w:t>
      </w:r>
    </w:p>
    <w:bookmarkEnd w:id="2033"/>
    <w:bookmarkStart w:id="2034" w:name="X33dd2ee80d040e0ce27613fcb15c273d5619392"/>
    <w:p>
      <w:pPr>
        <w:pStyle w:val="Heading3"/>
      </w:pPr>
      <w:r>
        <w:t xml:space="preserve">3. Epidemiology</w:t>
      </w:r>
    </w:p>
    <w:p>
      <w:pPr>
        <w:pStyle w:val="Compact"/>
        <w:numPr>
          <w:ilvl w:val="0"/>
          <w:numId w:val="2009"/>
        </w:numPr>
      </w:pPr>
      <w:r>
        <w:t xml:space="preserve">Prevalence: 1–11% (mean 3.3%) in preschool and school-aged children (DSM-5-TR).</w:t>
      </w:r>
    </w:p>
    <w:p>
      <w:pPr>
        <w:pStyle w:val="Compact"/>
        <w:numPr>
          <w:ilvl w:val="0"/>
          <w:numId w:val="2009"/>
        </w:numPr>
      </w:pPr>
      <w:r>
        <w:t xml:space="preserve">Sex: higher in prepubertal boys; postpubertal difference decreases.</w:t>
      </w:r>
    </w:p>
    <w:p>
      <w:pPr>
        <w:pStyle w:val="Compact"/>
        <w:numPr>
          <w:ilvl w:val="0"/>
          <w:numId w:val="2009"/>
        </w:numPr>
      </w:pPr>
      <w:r>
        <w:t xml:space="preserve">Comorbidity: ADHD ~40–60%, MDD, anxiety, transition to CD in 30% (severe childhood type).</w:t>
      </w:r>
    </w:p>
    <w:bookmarkEnd w:id="2034"/>
    <w:bookmarkStart w:id="2035" w:name="X01977a66399a30fd308abd32b06525fa3828ded"/>
    <w:p>
      <w:pPr>
        <w:pStyle w:val="Heading3"/>
      </w:pPr>
      <w:r>
        <w:t xml:space="preserve">4. Aetiology and pathogenesis</w:t>
      </w:r>
    </w:p>
    <w:p>
      <w:pPr>
        <w:pStyle w:val="Compact"/>
        <w:numPr>
          <w:ilvl w:val="0"/>
          <w:numId w:val="2010"/>
        </w:numPr>
      </w:pPr>
      <w:r>
        <w:t xml:space="preserve">Heritability 50%.</w:t>
      </w:r>
    </w:p>
    <w:p>
      <w:pPr>
        <w:pStyle w:val="Compact"/>
        <w:numPr>
          <w:ilvl w:val="0"/>
          <w:numId w:val="2010"/>
        </w:numPr>
      </w:pPr>
      <w:r>
        <w:t xml:space="preserve">Environment — harsh parenting, family dysfunction.</w:t>
      </w:r>
    </w:p>
    <w:p>
      <w:pPr>
        <w:pStyle w:val="Compact"/>
        <w:numPr>
          <w:ilvl w:val="0"/>
          <w:numId w:val="2010"/>
        </w:numPr>
      </w:pPr>
      <w:r>
        <w:t xml:space="preserve">Neurobiological — affective regulation, frontal-amygdala circuitry.</w:t>
      </w:r>
    </w:p>
    <w:p>
      <w:pPr>
        <w:pStyle w:val="Compact"/>
        <w:numPr>
          <w:ilvl w:val="0"/>
          <w:numId w:val="2010"/>
        </w:numPr>
      </w:pPr>
      <w:r>
        <w:t xml:space="preserve">Temperamental traits (irritability).</w:t>
      </w:r>
    </w:p>
    <w:bookmarkEnd w:id="2035"/>
    <w:bookmarkStart w:id="2037" w:name="X84617dcd17065233d5462f974bb13c6a6a0c5f4"/>
    <w:p>
      <w:pPr>
        <w:pStyle w:val="Heading3"/>
      </w:pPr>
      <w:r>
        <w:t xml:space="preserve">5. Clinical features</w:t>
      </w:r>
    </w:p>
    <w:bookmarkStart w:id="2036" w:name="X3f882a7b20d7afbce78139a54322e24212a7ae6"/>
    <w:p>
      <w:pPr>
        <w:pStyle w:val="Heading4"/>
      </w:pPr>
      <w:r>
        <w:t xml:space="preserve">8 symptoms in 3 categories (≥ 4 symptoms for 6 months)</w:t>
      </w:r>
    </w:p>
    <w:p>
      <w:pPr>
        <w:pStyle w:val="Compact"/>
        <w:numPr>
          <w:ilvl w:val="0"/>
          <w:numId w:val="2011"/>
        </w:numPr>
      </w:pPr>
      <w:r>
        <w:t xml:space="preserve">Angry/Irritable mood. Easily irritated, discontented.</w:t>
      </w:r>
    </w:p>
    <w:p>
      <w:pPr>
        <w:pStyle w:val="Compact"/>
        <w:numPr>
          <w:ilvl w:val="0"/>
          <w:numId w:val="2011"/>
        </w:numPr>
      </w:pPr>
      <w:r>
        <w:t xml:space="preserve">Quarrelsome/oppositional behavior: Arguing with adults; non-compliance with rules; deliberately annoying others; blaming others.</w:t>
      </w:r>
    </w:p>
    <w:p>
      <w:pPr>
        <w:pStyle w:val="Compact"/>
        <w:numPr>
          <w:ilvl w:val="0"/>
          <w:numId w:val="2011"/>
        </w:numPr>
      </w:pPr>
      <w:r>
        <w:t xml:space="preserve">Vengeful behavior: at least twice in the last 6 months.</w:t>
      </w:r>
    </w:p>
    <w:bookmarkEnd w:id="2036"/>
    <w:bookmarkEnd w:id="2037"/>
    <w:bookmarkStart w:id="2042" w:name="X40bcb8c1b9a351faece53de05e599ad0c186075"/>
    <w:p>
      <w:pPr>
        <w:pStyle w:val="Heading3"/>
      </w:pPr>
      <w:r>
        <w:t xml:space="preserve">6. Diagnosis</w:t>
      </w:r>
    </w:p>
    <w:bookmarkStart w:id="2038" w:name="unified-diagnostic-criteria-46"/>
    <w:p>
      <w:pPr>
        <w:pStyle w:val="Heading4"/>
      </w:pPr>
      <w:r>
        <w:t xml:space="preserve">6.1 Unified diagnostic criteria</w:t>
      </w:r>
    </w:p>
    <w:p>
      <w:pPr>
        <w:pStyle w:val="FirstParagraph"/>
      </w:pPr>
      <w:r>
        <w:t xml:space="preserve">DSM-5-TR — ≥4 of 8 symptoms for 6 months; in at least one context (home, school, peers); in at least one other context with different individuals.</w:t>
      </w:r>
    </w:p>
    <w:p>
      <w:pPr>
        <w:pStyle w:val="BodyText"/>
      </w:pPr>
      <w:r>
        <w:t xml:space="preserve">Age qualifier: symptoms on most days for 6 months until age 5; age ≥5 — ≥1 per week for 6 months.</w:t>
      </w:r>
    </w:p>
    <w:bookmarkEnd w:id="2038"/>
    <w:bookmarkStart w:id="2039" w:name="differences-between-sources-121"/>
    <w:p>
      <w:pPr>
        <w:pStyle w:val="Heading4"/>
      </w:pPr>
      <w:r>
        <w:t xml:space="preserve">6.2 Differences between sources</w:t>
      </w:r>
    </w:p>
    <w:p>
      <w:pPr>
        <w:pStyle w:val="Compact"/>
        <w:numPr>
          <w:ilvl w:val="0"/>
          <w:numId w:val="2012"/>
        </w:numPr>
      </w:pPr>
      <w:r>
        <w:t xml:space="preserve">DSM-5-TR — severity (mild, moderate, severe) based on number of contexts.</w:t>
      </w:r>
    </w:p>
    <w:p>
      <w:pPr>
        <w:pStyle w:val="Compact"/>
        <w:numPr>
          <w:ilvl w:val="0"/>
          <w:numId w:val="2012"/>
        </w:numPr>
      </w:pPr>
      <w:r>
        <w:t xml:space="preserve">NICE CG158 — guidance for child antisocial behavior.</w:t>
      </w:r>
    </w:p>
    <w:bookmarkEnd w:id="2039"/>
    <w:bookmarkStart w:id="2040" w:name="diagnostic-algorithm-68"/>
    <w:p>
      <w:pPr>
        <w:pStyle w:val="Heading4"/>
      </w:pPr>
      <w:r>
        <w:t xml:space="preserve">6.3 Diagnostic algorithm</w:t>
      </w:r>
    </w:p>
    <w:p>
      <w:pPr>
        <w:pStyle w:val="Compact"/>
        <w:numPr>
          <w:ilvl w:val="0"/>
          <w:numId w:val="2013"/>
        </w:numPr>
      </w:pPr>
      <w:r>
        <w:t xml:space="preserve">Clinical interview + parent, teacher.</w:t>
      </w:r>
    </w:p>
    <w:p>
      <w:pPr>
        <w:pStyle w:val="Compact"/>
        <w:numPr>
          <w:ilvl w:val="0"/>
          <w:numId w:val="2013"/>
        </w:numPr>
      </w:pPr>
      <w:r>
        <w:t xml:space="preserve">CBCL, TRF, ECBI (Eyberg Child Behavior Inventory).</w:t>
      </w:r>
    </w:p>
    <w:p>
      <w:pPr>
        <w:pStyle w:val="Compact"/>
        <w:numPr>
          <w:ilvl w:val="0"/>
          <w:numId w:val="2013"/>
        </w:numPr>
      </w:pPr>
      <w:r>
        <w:t xml:space="preserve">Comorbid ADHD screening.</w:t>
      </w:r>
    </w:p>
    <w:p>
      <w:pPr>
        <w:pStyle w:val="Compact"/>
        <w:numPr>
          <w:ilvl w:val="0"/>
          <w:numId w:val="2013"/>
        </w:numPr>
      </w:pPr>
      <w:r>
        <w:t xml:space="preserve">Difference between Disruptive Mood Dysregulation Disorder (DMDD) and depressive disorder.</w:t>
      </w:r>
    </w:p>
    <w:bookmarkEnd w:id="2040"/>
    <w:bookmarkStart w:id="2041" w:name="differential-diagnosis-6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Serious legal violation.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Attention/impulsivity; frequent comorbidity.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irritability + severe anger outbursts, ≥ 12 months (with no symptom-free period of ≥ 3 consecutive months); if criteria for ODD are also met, only DMDD is diagnosed.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Anxiety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Anxiety component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disability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Behavioral disturbance in the context of cognitive deficit.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Age-appropriate ‘child resistance’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impairment.</w:t>
            </w:r>
          </w:p>
        </w:tc>
      </w:tr>
    </w:tbl>
    <w:bookmarkEnd w:id="2041"/>
    <w:bookmarkEnd w:id="2042"/>
    <w:bookmarkStart w:id="2043" w:name="Xeac20a0c5d88f97738a3e8646b25684d183427f"/>
    <w:p>
      <w:pPr>
        <w:pStyle w:val="Heading3"/>
      </w:pPr>
      <w:r>
        <w:t xml:space="preserve">7. Examination and assessment</w:t>
      </w:r>
    </w:p>
    <w:p>
      <w:pPr>
        <w:pStyle w:val="Compact"/>
        <w:numPr>
          <w:ilvl w:val="0"/>
          <w:numId w:val="2014"/>
        </w:numPr>
      </w:pPr>
      <w:r>
        <w:t xml:space="preserve">ECBI, CBCL.</w:t>
      </w:r>
    </w:p>
    <w:p>
      <w:pPr>
        <w:pStyle w:val="Compact"/>
        <w:numPr>
          <w:ilvl w:val="0"/>
          <w:numId w:val="2014"/>
        </w:numPr>
      </w:pPr>
      <w:r>
        <w:t xml:space="preserve">Comorbid ADHD, anxiety, MDD.</w:t>
      </w:r>
    </w:p>
    <w:bookmarkEnd w:id="2043"/>
    <w:bookmarkStart w:id="2046" w:name="Xbeae4a4a45ad59143fbf4fc6c1dae79b075509c"/>
    <w:p>
      <w:pPr>
        <w:pStyle w:val="Heading3"/>
      </w:pPr>
      <w:r>
        <w:t xml:space="preserve">8. Treatment</w:t>
      </w:r>
    </w:p>
    <w:p>
      <w:pPr>
        <w:pStyle w:val="Compact"/>
        <w:numPr>
          <w:ilvl w:val="0"/>
          <w:numId w:val="2015"/>
        </w:numPr>
      </w:pPr>
      <w:r>
        <w:t xml:space="preserve">Parent training first-line:</w:t>
      </w:r>
    </w:p>
    <w:p>
      <w:pPr>
        <w:pStyle w:val="Compact"/>
        <w:numPr>
          <w:ilvl w:val="1"/>
          <w:numId w:val="2016"/>
        </w:numPr>
      </w:pPr>
      <w:r>
        <w:t xml:space="preserve">PCIT — 2–7 years;</w:t>
      </w:r>
    </w:p>
    <w:p>
      <w:pPr>
        <w:pStyle w:val="Compact"/>
        <w:numPr>
          <w:ilvl w:val="1"/>
          <w:numId w:val="2016"/>
        </w:numPr>
      </w:pPr>
      <w:r>
        <w:t xml:space="preserve">Incredible Years — ages 3–8;</w:t>
      </w:r>
    </w:p>
    <w:p>
      <w:pPr>
        <w:pStyle w:val="Compact"/>
        <w:numPr>
          <w:ilvl w:val="1"/>
          <w:numId w:val="2016"/>
        </w:numPr>
      </w:pPr>
      <w:r>
        <w:t xml:space="preserve">Parent Management Training (Barkley) — age 6+;</w:t>
      </w:r>
    </w:p>
    <w:p>
      <w:pPr>
        <w:pStyle w:val="Compact"/>
        <w:numPr>
          <w:ilvl w:val="1"/>
          <w:numId w:val="2016"/>
        </w:numPr>
      </w:pPr>
      <w:r>
        <w:t xml:space="preserve">Triple P.</w:t>
      </w:r>
    </w:p>
    <w:p>
      <w:pPr>
        <w:pStyle w:val="Compact"/>
        <w:numPr>
          <w:ilvl w:val="0"/>
          <w:numId w:val="2015"/>
        </w:numPr>
      </w:pPr>
      <w:r>
        <w:t xml:space="preserve">Comorbid ADHD — stimulant.</w:t>
      </w:r>
    </w:p>
    <w:p>
      <w:pPr>
        <w:pStyle w:val="Compact"/>
        <w:numPr>
          <w:ilvl w:val="0"/>
          <w:numId w:val="2015"/>
        </w:numPr>
      </w:pPr>
      <w:r>
        <w:t xml:space="preserve">SSRI — comorbid anxiety/depression.</w:t>
      </w:r>
    </w:p>
    <w:p>
      <w:pPr>
        <w:pStyle w:val="Compact"/>
        <w:numPr>
          <w:ilvl w:val="0"/>
          <w:numId w:val="2015"/>
        </w:numPr>
      </w:pPr>
      <w:r>
        <w:t xml:space="preserve">School-based intervention.</w:t>
      </w:r>
    </w:p>
    <w:p>
      <w:pPr>
        <w:pStyle w:val="Compact"/>
        <w:numPr>
          <w:ilvl w:val="0"/>
          <w:numId w:val="2015"/>
        </w:numPr>
      </w:pPr>
      <w:r>
        <w:t xml:space="preserve">Suspected child maltreatment or domestic violence — child protection and social service coordination.</w:t>
      </w:r>
    </w:p>
    <w:bookmarkStart w:id="2044" w:name="treatment-methods-66"/>
    <w:p>
      <w:pPr>
        <w:pStyle w:val="Heading4"/>
      </w:pPr>
      <w:r>
        <w:t xml:space="preserve">8.1 Treatment methods</w:t>
      </w:r>
    </w:p>
    <w:p>
      <w:pPr>
        <w:pStyle w:val="Compact"/>
        <w:numPr>
          <w:ilvl w:val="0"/>
          <w:numId w:val="2017"/>
        </w:numPr>
      </w:pPr>
      <w:r>
        <w:t xml:space="preserve">Parent-Child Interaction Therapy (PCIT) — Real-time coaching by therapist.</w:t>
      </w:r>
    </w:p>
    <w:p>
      <w:pPr>
        <w:pStyle w:val="Compact"/>
        <w:numPr>
          <w:ilvl w:val="0"/>
          <w:numId w:val="2017"/>
        </w:numPr>
      </w:pPr>
      <w:r>
        <w:t xml:space="preserve">“Incredible Years” program — Group format.</w:t>
      </w:r>
    </w:p>
    <w:p>
      <w:pPr>
        <w:pStyle w:val="Compact"/>
        <w:numPr>
          <w:ilvl w:val="0"/>
          <w:numId w:val="2017"/>
        </w:numPr>
      </w:pPr>
      <w:r>
        <w:t xml:space="preserve">Triple P — Positive Parenting Program — 5-tier system.</w:t>
      </w:r>
    </w:p>
    <w:p>
      <w:pPr>
        <w:pStyle w:val="Compact"/>
        <w:numPr>
          <w:ilvl w:val="0"/>
          <w:numId w:val="2017"/>
        </w:numPr>
      </w:pPr>
      <w:r>
        <w:t xml:space="preserve">Parent Management Training — Barkley (Barkley) — Training based on behavioral principles.</w:t>
      </w:r>
    </w:p>
    <w:p>
      <w:pPr>
        <w:pStyle w:val="Compact"/>
        <w:numPr>
          <w:ilvl w:val="0"/>
          <w:numId w:val="2017"/>
        </w:numPr>
      </w:pPr>
      <w:r>
        <w:t xml:space="preserve">Eyberg Child Behavior Inventory (ECBI) — Parent-rated behavior scale.</w:t>
      </w:r>
    </w:p>
    <w:bookmarkEnd w:id="2044"/>
    <w:bookmarkStart w:id="2045" w:name="differences-between-sources-122"/>
    <w:p>
      <w:pPr>
        <w:pStyle w:val="Heading4"/>
      </w:pPr>
      <w:r>
        <w:t xml:space="preserve">8.2 Differences between sources</w:t>
      </w:r>
    </w:p>
    <w:p>
      <w:pPr>
        <w:pStyle w:val="Compact"/>
        <w:numPr>
          <w:ilvl w:val="0"/>
          <w:numId w:val="2018"/>
        </w:numPr>
      </w:pPr>
      <w:r>
        <w:t xml:space="preserve">NICE CG158.</w:t>
      </w:r>
    </w:p>
    <w:p>
      <w:pPr>
        <w:pStyle w:val="Compact"/>
        <w:numPr>
          <w:ilvl w:val="0"/>
          <w:numId w:val="2018"/>
        </w:numPr>
      </w:pPr>
      <w:r>
        <w:t xml:space="preserve">AACAP — parent training.</w:t>
      </w:r>
    </w:p>
    <w:bookmarkEnd w:id="2045"/>
    <w:bookmarkEnd w:id="2046"/>
    <w:bookmarkStart w:id="2047" w:name="Xdf4acef379fdb932fae09f96cb12dd01d2cfdc4"/>
    <w:p>
      <w:pPr>
        <w:pStyle w:val="Heading3"/>
      </w:pPr>
      <w:r>
        <w:t xml:space="preserve">9. Prognosis</w:t>
      </w:r>
    </w:p>
    <w:p>
      <w:pPr>
        <w:pStyle w:val="Compact"/>
        <w:numPr>
          <w:ilvl w:val="0"/>
          <w:numId w:val="2019"/>
        </w:numPr>
      </w:pPr>
      <w:r>
        <w:t xml:space="preserve">Most patients improve with early parent training.</w:t>
      </w:r>
    </w:p>
    <w:p>
      <w:pPr>
        <w:pStyle w:val="Compact"/>
        <w:numPr>
          <w:ilvl w:val="0"/>
          <w:numId w:val="2019"/>
        </w:numPr>
      </w:pPr>
      <w:r>
        <w:t xml:space="preserve">Comorbid ADHD, severe variant — risk of CD/ASPD.</w:t>
      </w:r>
    </w:p>
    <w:bookmarkEnd w:id="2047"/>
    <w:bookmarkStart w:id="2053" w:name="Xda23d05e457470531cfa7178fbfae1f0df97983"/>
    <w:p>
      <w:pPr>
        <w:pStyle w:val="Heading3"/>
      </w:pPr>
      <w:r>
        <w:t xml:space="preserve">10. Myths and misconceptions</w:t>
      </w:r>
    </w:p>
    <w:bookmarkStart w:id="2048" w:name="X952e1b9a7282d30bb007e9b8ca1a1adda3fc846"/>
    <w:p>
      <w:pPr>
        <w:pStyle w:val="Heading5"/>
      </w:pPr>
      <w:r>
        <w:t xml:space="preserve">Myth 1: “ODD is just ordinary ‘stubborn child’ behavior”</w:t>
      </w:r>
    </w:p>
    <w:p>
      <w:pPr>
        <w:pStyle w:val="FirstParagraph"/>
      </w:pPr>
      <w:r>
        <w:t xml:space="preserve">Evidence: Clinical diagnosis based on functional impairment and frequency; distinct from normal life variant.</w:t>
      </w:r>
    </w:p>
    <w:bookmarkEnd w:id="2048"/>
    <w:bookmarkStart w:id="2049" w:name="myth-2-strict-discipline-will-fix-odd"/>
    <w:p>
      <w:pPr>
        <w:pStyle w:val="Heading5"/>
      </w:pPr>
      <w:r>
        <w:t xml:space="preserve">Myth 2: “Strict discipline will fix ODD”</w:t>
      </w:r>
    </w:p>
    <w:p>
      <w:pPr>
        <w:pStyle w:val="FirstParagraph"/>
      </w:pPr>
      <w:r>
        <w:t xml:space="preserve">Evidence: Severe punishment exacerbates symptoms; positive parenting training is evidence-based.</w:t>
      </w:r>
    </w:p>
    <w:bookmarkEnd w:id="2049"/>
    <w:bookmarkStart w:id="2050" w:name="myth-3-antipsychotic-is-first-line"/>
    <w:p>
      <w:pPr>
        <w:pStyle w:val="Heading5"/>
      </w:pPr>
      <w:r>
        <w:t xml:space="preserve">Myth 3: “Antipsychotic is first-line”</w:t>
      </w:r>
    </w:p>
    <w:p>
      <w:pPr>
        <w:pStyle w:val="FirstParagraph"/>
      </w:pPr>
      <w:r>
        <w:t xml:space="preserve">Evidence: parent training first-line; antipsychotics rarely in refractory cases.</w:t>
      </w:r>
    </w:p>
    <w:bookmarkEnd w:id="2050"/>
    <w:bookmarkStart w:id="2051" w:name="myth-4-odd-always-turns-into-cd"/>
    <w:p>
      <w:pPr>
        <w:pStyle w:val="Heading5"/>
      </w:pPr>
      <w:r>
        <w:t xml:space="preserve">Myth 4: “ODD always turns into CD”</w:t>
      </w:r>
    </w:p>
    <w:p>
      <w:pPr>
        <w:pStyle w:val="FirstParagraph"/>
      </w:pPr>
      <w:r>
        <w:t xml:space="preserve">Evidence: 30% transition to CD; risk higher with childhood type and comorbidity; majority do not convert to CD.</w:t>
      </w:r>
    </w:p>
    <w:bookmarkEnd w:id="2051"/>
    <w:bookmarkStart w:id="2052" w:name="Xae7ca8bc5794da0c5cf3f8604bdfd2ddb4aee86"/>
    <w:p>
      <w:pPr>
        <w:pStyle w:val="Heading5"/>
      </w:pPr>
      <w:r>
        <w:t xml:space="preserve">Myth 5: “Only the child should be treated, not the family”</w:t>
      </w:r>
    </w:p>
    <w:p>
      <w:pPr>
        <w:pStyle w:val="FirstParagraph"/>
      </w:pPr>
      <w:r>
        <w:t xml:space="preserve">Evidence: parent training is a central component; child psychotherapy alone is less effective.</w:t>
      </w:r>
    </w:p>
    <w:bookmarkEnd w:id="2052"/>
    <w:bookmarkEnd w:id="2053"/>
    <w:bookmarkStart w:id="2054" w:name="X84029e28d015ad71478f11bf5dc44f49ab04380"/>
    <w:p>
      <w:pPr>
        <w:pStyle w:val="Heading3"/>
      </w:pPr>
      <w:r>
        <w:t xml:space="preserve">11. Sources</w:t>
      </w:r>
    </w:p>
    <w:p>
      <w:pPr>
        <w:pStyle w:val="Compact"/>
        <w:numPr>
          <w:ilvl w:val="0"/>
          <w:numId w:val="2020"/>
        </w:numPr>
      </w:pPr>
      <w:r>
        <w:t xml:space="preserve">WHO. ICD-11. 6C90 Oppositional defiant disorder. 2024.</w:t>
      </w:r>
    </w:p>
    <w:p>
      <w:pPr>
        <w:pStyle w:val="Compact"/>
        <w:numPr>
          <w:ilvl w:val="0"/>
          <w:numId w:val="2020"/>
        </w:numPr>
      </w:pPr>
      <w:r>
        <w:t xml:space="preserve">APA. DSM-5-TR. 2022.</w:t>
      </w:r>
    </w:p>
    <w:p>
      <w:pPr>
        <w:pStyle w:val="Compact"/>
        <w:numPr>
          <w:ilvl w:val="0"/>
          <w:numId w:val="2020"/>
        </w:numPr>
      </w:pPr>
      <w:r>
        <w:t xml:space="preserve">NICE CG158. 2017.</w:t>
      </w:r>
    </w:p>
    <w:p>
      <w:pPr>
        <w:pStyle w:val="Compact"/>
        <w:numPr>
          <w:ilvl w:val="0"/>
          <w:numId w:val="2020"/>
        </w:numPr>
      </w:pPr>
      <w:r>
        <w:t xml:space="preserve">AACAP Practice Parameter (Steiner 2007).</w:t>
      </w:r>
    </w:p>
    <w:p>
      <w:pPr>
        <w:pStyle w:val="Compact"/>
        <w:numPr>
          <w:ilvl w:val="0"/>
          <w:numId w:val="2020"/>
        </w:numPr>
      </w:pPr>
      <w:r>
        <w:t xml:space="preserve">Eyberg S.M. et al. Evidence-based psychosocial treatments for children and adolescents with disruptive behavior. J Clin Child Adolesc Psychol 2008;37(1):215–237.</w:t>
      </w:r>
    </w:p>
    <w:p>
      <w:pPr>
        <w:pStyle w:val="Compact"/>
        <w:numPr>
          <w:ilvl w:val="0"/>
          <w:numId w:val="2020"/>
        </w:numPr>
      </w:pPr>
      <w:r>
        <w:t xml:space="preserve">Sanders M.R. Development, evaluation, and multinational dissemination of the Triple P-Positive Parenting Program. Annu Rev Clin Psychol 2012;8:345–379.</w:t>
      </w:r>
    </w:p>
    <w:bookmarkEnd w:id="2054"/>
    <w:bookmarkStart w:id="2055" w:name="m866d106d1z-personality-disorders"/>
    <w:p>
      <w:pPr>
        <w:pageBreakBefore/>
        <w:pStyle w:val="Heading1"/>
      </w:pPr>
      <w:r>
        <w:t xml:space="preserve">6D10–6D1Z PERSONALITY DISORDERS</w:t>
      </w:r>
    </w:p>
    <w:p>
      <w:pPr>
        <w:pStyle w:val="FirstParagraph"/>
      </w:pPr>
      <w:r>
        <w:t xml:space="preserve">Personality disorders and related traits</w:t>
      </w:r>
    </w:p>
    <w:bookmarkEnd w:id="2055"/>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56" w:name="m876d10-personality-disorder"/>
            <w:r>
              <w:t xml:space="preserve">6D10 PERSONALITY DISORDER</w:t>
            </w:r>
            <w:bookmarkEnd w:id="2056"/>
          </w:p>
          <w:p>
            <w:pPr>
              <w:pStyle w:val="Compact"/>
              <w:ind w:firstLine="0" w:left="0"/>
            </w:pPr>
            <w:r>
              <w:rPr>
                <w:lang w:val="en"/>
              </w:rPr>
              <w:t xml:space="preserve">Personality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 disorder, unspecified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Unspecified Personality Disorder</w:t>
            </w:r>
          </w:p>
        </w:tc>
      </w:tr>
    </w:tbl>
    <w:bookmarkStart w:id="2057" w:name="X4dfd6de9c3301daa1bd81abcb5ef1ca8cfba1a0"/>
    <w:p>
      <w:pPr>
        <w:pStyle w:val="Heading3"/>
      </w:pPr>
      <w:r>
        <w:t xml:space="preserve">1. Definition and nosology</w:t>
      </w:r>
    </w:p>
    <w:p>
      <w:pPr>
        <w:pStyle w:val="FirstParagraph"/>
      </w:pPr>
      <w:r>
        <w:t xml:space="preserve">Personality Disorder (ICD-11:</w:t>
      </w:r>
      <w:r>
        <w:t xml:space="preserve"> </w:t>
      </w:r>
      <w:r>
        <w:t xml:space="preserve">6D10</w:t>
      </w:r>
      <w:r>
        <w:t xml:space="preserve">; DSM-5-TR: F60.9; 10 categories) — persistent and pervasive pattern in personal and social functioning; thoughts, feelings, and behaviors regarding self and others. ICD-11 has fundamentally moved to a model of a single category + severity degrees + trait domains; classical 10 distinct personality disorders (paranoid, schizoid, borderline, antisocial, etc.) have been abolished as categorical diagnoses.</w:t>
      </w:r>
    </w:p>
    <w:bookmarkEnd w:id="2057"/>
    <w:bookmarkStart w:id="2058" w:name="X285cd7041bbd23d1d61885c07f06ea0a7e31580"/>
    <w:p>
      <w:pPr>
        <w:pStyle w:val="Heading3"/>
      </w:pPr>
      <w:r>
        <w:t xml:space="preserve">2. History</w:t>
      </w:r>
    </w:p>
    <w:p>
      <w:pPr>
        <w:pStyle w:val="Compact"/>
        <w:numPr>
          <w:ilvl w:val="0"/>
          <w:numId w:val="2021"/>
        </w:numPr>
      </w:pPr>
      <w:r>
        <w:t xml:space="preserve">DSM-III (1980) — 11 categorical personality disorders (Cluster A, B, C).</w:t>
      </w:r>
    </w:p>
    <w:p>
      <w:pPr>
        <w:pStyle w:val="Compact"/>
        <w:numPr>
          <w:ilvl w:val="0"/>
          <w:numId w:val="2021"/>
        </w:numPr>
      </w:pPr>
      <w:r>
        <w:t xml:space="preserve">DSM-IV (1994), DSM-5-TR (2022) — Same categorical model retained; however, DSM-5 Section III has an alternative ‘dimensional’ model in the research category.</w:t>
      </w:r>
    </w:p>
    <w:p>
      <w:pPr>
        <w:pStyle w:val="Compact"/>
        <w:numPr>
          <w:ilvl w:val="0"/>
          <w:numId w:val="2021"/>
        </w:numPr>
      </w:pPr>
      <w:r>
        <w:t xml:space="preserve">ICD-11 (2019) — radical change: Categorical 10 disorders abolished, unified Personality Disorder (mild, moderate, severe + Personality Difficulty) + assessment of 5 trait domains.</w:t>
      </w:r>
    </w:p>
    <w:bookmarkEnd w:id="2058"/>
    <w:bookmarkStart w:id="2059" w:name="X3fcd57b039256d22ca19352ceebd1e0cfe1c9a9"/>
    <w:p>
      <w:pPr>
        <w:pStyle w:val="Heading3"/>
      </w:pPr>
      <w:r>
        <w:t xml:space="preserve">3. Epidemiology</w:t>
      </w:r>
    </w:p>
    <w:p>
      <w:pPr>
        <w:pStyle w:val="Compact"/>
        <w:numPr>
          <w:ilvl w:val="0"/>
          <w:numId w:val="2022"/>
        </w:numPr>
      </w:pPr>
      <w:r>
        <w:t xml:space="preserve">Lifetime prevalence: ~9% (Lenzenweger M.F. et al. Biol Psychiatry 2007); BPD ~1.4%, ASPD ~1%, schizoid 3%.</w:t>
      </w:r>
    </w:p>
    <w:p>
      <w:pPr>
        <w:pStyle w:val="Compact"/>
        <w:numPr>
          <w:ilvl w:val="0"/>
          <w:numId w:val="2022"/>
        </w:numPr>
      </w:pPr>
      <w:r>
        <w:t xml:space="preserve">Sex: BPD higher in females in clinical populations; ASPD higher in males.</w:t>
      </w:r>
    </w:p>
    <w:p>
      <w:pPr>
        <w:pStyle w:val="Compact"/>
        <w:numPr>
          <w:ilvl w:val="0"/>
          <w:numId w:val="2022"/>
        </w:numPr>
      </w:pPr>
      <w:r>
        <w:t xml:space="preserve">Onset: adolescence and early adulthood.</w:t>
      </w:r>
    </w:p>
    <w:p>
      <w:pPr>
        <w:pStyle w:val="Compact"/>
        <w:numPr>
          <w:ilvl w:val="0"/>
          <w:numId w:val="2022"/>
        </w:numPr>
      </w:pPr>
      <w:r>
        <w:t xml:space="preserve">Mortality: in BPD, suicide 8–10% lifetime; in ASPD, violent death.</w:t>
      </w:r>
    </w:p>
    <w:p>
      <w:pPr>
        <w:pStyle w:val="Compact"/>
        <w:numPr>
          <w:ilvl w:val="0"/>
          <w:numId w:val="2022"/>
        </w:numPr>
      </w:pPr>
      <w:r>
        <w:t xml:space="preserve">Comorbidity: MDD, anxiety, substance use, eating disorders.</w:t>
      </w:r>
    </w:p>
    <w:bookmarkEnd w:id="2059"/>
    <w:bookmarkStart w:id="2060" w:name="Xe0e0e74ba9e5e5b4da5c82b0b928f4fc2f33994"/>
    <w:p>
      <w:pPr>
        <w:pStyle w:val="Heading3"/>
      </w:pPr>
      <w:r>
        <w:t xml:space="preserve">4. Aetiology and pathogenesis</w:t>
      </w:r>
    </w:p>
    <w:p>
      <w:pPr>
        <w:pStyle w:val="Compact"/>
        <w:numPr>
          <w:ilvl w:val="0"/>
          <w:numId w:val="2023"/>
        </w:numPr>
      </w:pPr>
      <w:r>
        <w:t xml:space="preserve">Heritability 40–60%.</w:t>
      </w:r>
    </w:p>
    <w:p>
      <w:pPr>
        <w:pStyle w:val="Compact"/>
        <w:numPr>
          <w:ilvl w:val="0"/>
          <w:numId w:val="2023"/>
        </w:numPr>
      </w:pPr>
      <w:r>
        <w:t xml:space="preserve">Early trauma, childhood abuse (especially BPD).</w:t>
      </w:r>
    </w:p>
    <w:p>
      <w:pPr>
        <w:pStyle w:val="Compact"/>
        <w:numPr>
          <w:ilvl w:val="0"/>
          <w:numId w:val="2023"/>
        </w:numPr>
      </w:pPr>
      <w:r>
        <w:t xml:space="preserve">Disorganized attachment.</w:t>
      </w:r>
    </w:p>
    <w:p>
      <w:pPr>
        <w:pStyle w:val="Compact"/>
        <w:numPr>
          <w:ilvl w:val="0"/>
          <w:numId w:val="2023"/>
        </w:numPr>
      </w:pPr>
      <w:r>
        <w:t xml:space="preserve">Neurobiological — frontal-limbic regulation, serotonergic dysregulation.</w:t>
      </w:r>
    </w:p>
    <w:bookmarkEnd w:id="2060"/>
    <w:bookmarkStart w:id="2063" w:name="X4c368b20460f4cac733f89bada16a9e552ed1d2"/>
    <w:p>
      <w:pPr>
        <w:pStyle w:val="Heading3"/>
      </w:pPr>
      <w:r>
        <w:t xml:space="preserve">5. Clinical features</w:t>
      </w:r>
    </w:p>
    <w:bookmarkStart w:id="2061" w:name="icd-11-5-characteristic-domains"/>
    <w:p>
      <w:pPr>
        <w:pStyle w:val="Heading4"/>
      </w:pPr>
      <w:r>
        <w:t xml:space="preserve">5.1 ICD-11 5 characteristic domains</w:t>
      </w:r>
    </w:p>
    <w:p>
      <w:pPr>
        <w:pStyle w:val="Compact"/>
        <w:numPr>
          <w:ilvl w:val="0"/>
          <w:numId w:val="2024"/>
        </w:numPr>
      </w:pPr>
      <w:r>
        <w:t xml:space="preserve">Negative affectivity — anxiety, depression, variability.</w:t>
      </w:r>
    </w:p>
    <w:p>
      <w:pPr>
        <w:pStyle w:val="Compact"/>
        <w:numPr>
          <w:ilvl w:val="0"/>
          <w:numId w:val="2024"/>
        </w:numPr>
      </w:pPr>
      <w:r>
        <w:t xml:space="preserve">Detachment — social and emotional distance.</w:t>
      </w:r>
    </w:p>
    <w:p>
      <w:pPr>
        <w:pStyle w:val="Compact"/>
        <w:numPr>
          <w:ilvl w:val="0"/>
          <w:numId w:val="2024"/>
        </w:numPr>
      </w:pPr>
      <w:r>
        <w:t xml:space="preserve">Dissociality — lack of empathy, egocentricity.</w:t>
      </w:r>
    </w:p>
    <w:p>
      <w:pPr>
        <w:pStyle w:val="Compact"/>
        <w:numPr>
          <w:ilvl w:val="0"/>
          <w:numId w:val="2024"/>
        </w:numPr>
      </w:pPr>
      <w:r>
        <w:t xml:space="preserve">Disinhibition — impulsivity, irresponsibility.</w:t>
      </w:r>
    </w:p>
    <w:p>
      <w:pPr>
        <w:pStyle w:val="Compact"/>
        <w:numPr>
          <w:ilvl w:val="0"/>
          <w:numId w:val="2024"/>
        </w:numPr>
      </w:pPr>
      <w:r>
        <w:t xml:space="preserve">Anankastia — perfectionism, control, rigid rules.</w:t>
      </w:r>
    </w:p>
    <w:p>
      <w:pPr>
        <w:pStyle w:val="FirstParagraph"/>
      </w:pPr>
      <w:r>
        <w:t xml:space="preserve">“Borderline model” — a separate qualifier in ICD-11 (corresponding to BPD, instead of 10 categorical separate diagnoses).</w:t>
      </w:r>
    </w:p>
    <w:bookmarkEnd w:id="2061"/>
    <w:bookmarkStart w:id="2062" w:name="dsm-5-tr-10-categorical-disorders-brief"/>
    <w:p>
      <w:pPr>
        <w:pStyle w:val="Heading4"/>
      </w:pPr>
      <w:r>
        <w:t xml:space="preserve">5.2 DSM-5-TR 10 categorical disorders (brief)</w:t>
      </w:r>
    </w:p>
    <w:p>
      <w:pPr>
        <w:pStyle w:val="Compact"/>
        <w:numPr>
          <w:ilvl w:val="0"/>
          <w:numId w:val="2025"/>
        </w:numPr>
      </w:pPr>
      <w:r>
        <w:t xml:space="preserve">Cluster A (odd/eccentric): Paranoid, Schizoid, Schizotypal.</w:t>
      </w:r>
    </w:p>
    <w:p>
      <w:pPr>
        <w:pStyle w:val="Compact"/>
        <w:numPr>
          <w:ilvl w:val="0"/>
          <w:numId w:val="2025"/>
        </w:numPr>
      </w:pPr>
      <w:r>
        <w:t xml:space="preserve">Cluster B (dramatic/erratic): Antisocial (ASPD), Borderline (BPD), Histrionic, Narcissistic.</w:t>
      </w:r>
    </w:p>
    <w:p>
      <w:pPr>
        <w:pStyle w:val="Compact"/>
        <w:numPr>
          <w:ilvl w:val="0"/>
          <w:numId w:val="2025"/>
        </w:numPr>
      </w:pPr>
      <w:r>
        <w:t xml:space="preserve">Cluster C (anxious/fearful): Avoidant, Dependent, Obsessive-Compulsive (OCPD).</w:t>
      </w:r>
    </w:p>
    <w:bookmarkEnd w:id="2062"/>
    <w:bookmarkEnd w:id="2063"/>
    <w:bookmarkStart w:id="2068" w:name="Xdeeb38c65fe7f4bfd4b8c33a1b1cd6c1d5dac24"/>
    <w:p>
      <w:pPr>
        <w:pStyle w:val="Heading3"/>
      </w:pPr>
      <w:r>
        <w:t xml:space="preserve">6. Diagnosis</w:t>
      </w:r>
    </w:p>
    <w:bookmarkStart w:id="2064" w:name="unified-diagnostic-criteria-icd-11-4"/>
    <w:p>
      <w:pPr>
        <w:pStyle w:val="Heading4"/>
      </w:pPr>
      <w:r>
        <w:t xml:space="preserve">6.1 Unified diagnostic criteria (ICD-11)</w:t>
      </w:r>
    </w:p>
    <w:p>
      <w:pPr>
        <w:pStyle w:val="FirstParagraph"/>
      </w:pPr>
      <w:r>
        <w:t xml:space="preserve">A. Persistent and pervasive personality dysfunction — in self (identity, self-worth, self-direction) and/or interpersonal (relationships, empathy, intimacy, responsibility) functioning.</w:t>
      </w:r>
    </w:p>
    <w:p>
      <w:pPr>
        <w:pStyle w:val="BodyText"/>
      </w:pPr>
      <w:r>
        <w:t xml:space="preserve">B. Duration — long-term (years).</w:t>
      </w:r>
    </w:p>
    <w:p>
      <w:pPr>
        <w:pStyle w:val="BodyText"/>
      </w:pPr>
      <w:r>
        <w:t xml:space="preserve">C. Not consistent with developmental age, cultural norm, or family situation.</w:t>
      </w:r>
    </w:p>
    <w:p>
      <w:pPr>
        <w:pStyle w:val="BodyText"/>
      </w:pPr>
      <w:r>
        <w:t xml:space="preserve">D. Severity: Personality Difficulty (subclinical), Mild PD, Moderate PD, Severe PD.</w:t>
      </w:r>
    </w:p>
    <w:p>
      <w:pPr>
        <w:pStyle w:val="BodyText"/>
      </w:pPr>
      <w:r>
        <w:t xml:space="preserve">E. Feature domain qualifiers (above).</w:t>
      </w:r>
    </w:p>
    <w:bookmarkEnd w:id="2064"/>
    <w:bookmarkStart w:id="2065" w:name="differences-between-sources-123"/>
    <w:p>
      <w:pPr>
        <w:pStyle w:val="Heading4"/>
      </w:pPr>
      <w:r>
        <w:t xml:space="preserve">6.2 Differences between sources</w:t>
      </w:r>
    </w:p>
    <w:p>
      <w:pPr>
        <w:pStyle w:val="Compact"/>
        <w:numPr>
          <w:ilvl w:val="0"/>
          <w:numId w:val="2026"/>
        </w:numPr>
      </w:pPr>
      <w:r>
        <w:t xml:space="preserve">ICD-11: Radical change to categorical system; requires training in clinical practice.</w:t>
      </w:r>
    </w:p>
    <w:p>
      <w:pPr>
        <w:pStyle w:val="Compact"/>
        <w:numPr>
          <w:ilvl w:val="0"/>
          <w:numId w:val="2026"/>
        </w:numPr>
      </w:pPr>
      <w:r>
        <w:t xml:space="preserve">DSM-5-TR: 10 categorical diagnoses retained; Section III alternative model.</w:t>
      </w:r>
    </w:p>
    <w:p>
      <w:pPr>
        <w:pStyle w:val="Compact"/>
        <w:numPr>
          <w:ilvl w:val="0"/>
          <w:numId w:val="2026"/>
        </w:numPr>
      </w:pPr>
      <w:r>
        <w:t xml:space="preserve">NICE CG78 (BPD), CG77 (ASPD): Separate clinical guidelines for BPD and ASPD.</w:t>
      </w:r>
    </w:p>
    <w:bookmarkEnd w:id="2065"/>
    <w:bookmarkStart w:id="2066" w:name="diagnostic-algorithm-69"/>
    <w:p>
      <w:pPr>
        <w:pStyle w:val="Heading4"/>
      </w:pPr>
      <w:r>
        <w:t xml:space="preserve">6.3 Diagnostic algorithm</w:t>
      </w:r>
    </w:p>
    <w:p>
      <w:pPr>
        <w:pStyle w:val="Compact"/>
        <w:numPr>
          <w:ilvl w:val="0"/>
          <w:numId w:val="2027"/>
        </w:numPr>
      </w:pPr>
      <w:r>
        <w:t xml:space="preserve">Clinical interview + long history.</w:t>
      </w:r>
    </w:p>
    <w:p>
      <w:pPr>
        <w:pStyle w:val="Compact"/>
        <w:numPr>
          <w:ilvl w:val="0"/>
          <w:numId w:val="2027"/>
        </w:numPr>
      </w:pPr>
      <w:r>
        <w:t xml:space="preserve">SCID-5-PD (DSM categorical) or ICD-11 PD assessment.</w:t>
      </w:r>
    </w:p>
    <w:p>
      <w:pPr>
        <w:pStyle w:val="Compact"/>
        <w:numPr>
          <w:ilvl w:val="0"/>
          <w:numId w:val="2027"/>
        </w:numPr>
      </w:pPr>
      <w:r>
        <w:t xml:space="preserve">Personality scales — PID-5 (DSM-5 dimensional), MMPI-2-RF.</w:t>
      </w:r>
    </w:p>
    <w:p>
      <w:pPr>
        <w:pStyle w:val="Compact"/>
        <w:numPr>
          <w:ilvl w:val="0"/>
          <w:numId w:val="2027"/>
        </w:numPr>
      </w:pPr>
      <w:r>
        <w:t xml:space="preserve">Comorbidity (MDD, substance, trauma).</w:t>
      </w:r>
    </w:p>
    <w:p>
      <w:pPr>
        <w:pStyle w:val="Compact"/>
        <w:numPr>
          <w:ilvl w:val="0"/>
          <w:numId w:val="2027"/>
        </w:numPr>
      </w:pPr>
      <w:r>
        <w:t xml:space="preserve">Suicide and violence risk.</w:t>
      </w:r>
    </w:p>
    <w:bookmarkEnd w:id="2066"/>
    <w:bookmarkStart w:id="2067" w:name="differential-diagnosis-7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Change in the context of an affective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Episodic course; personality stable.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 history.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PTSD / complex PTSD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trauma context; clinical overlap with BPD.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episodes.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condition (frontal lobe, 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Neurological.</w:t>
            </w:r>
          </w:p>
        </w:tc>
      </w:tr>
    </w:tbl>
    <w:bookmarkEnd w:id="2067"/>
    <w:bookmarkEnd w:id="2068"/>
    <w:bookmarkStart w:id="2069" w:name="X815d4cfd7f3c8417169c4b8f8931ff501fa636a"/>
    <w:p>
      <w:pPr>
        <w:pStyle w:val="Heading3"/>
      </w:pPr>
      <w:r>
        <w:t xml:space="preserve">7. Examination and assessment</w:t>
      </w:r>
    </w:p>
    <w:p>
      <w:pPr>
        <w:pStyle w:val="Compact"/>
        <w:numPr>
          <w:ilvl w:val="0"/>
          <w:numId w:val="2028"/>
        </w:numPr>
      </w:pPr>
      <w:r>
        <w:t xml:space="preserve">SCID-5-PD, PID-5.</w:t>
      </w:r>
    </w:p>
    <w:p>
      <w:pPr>
        <w:pStyle w:val="Compact"/>
        <w:numPr>
          <w:ilvl w:val="0"/>
          <w:numId w:val="2028"/>
        </w:numPr>
      </w:pPr>
      <w:r>
        <w:t xml:space="preserve">MMPI-2-RF, MCMI-IV.</w:t>
      </w:r>
    </w:p>
    <w:p>
      <w:pPr>
        <w:pStyle w:val="Compact"/>
        <w:numPr>
          <w:ilvl w:val="0"/>
          <w:numId w:val="2028"/>
        </w:numPr>
      </w:pPr>
      <w:r>
        <w:t xml:space="preserve">Comorbidity and suicide.</w:t>
      </w:r>
    </w:p>
    <w:bookmarkEnd w:id="2069"/>
    <w:bookmarkStart w:id="2073" w:name="Xa8bf6494cfbe5b3c957d1cbdac3da8d4c4b4e72"/>
    <w:p>
      <w:pPr>
        <w:pStyle w:val="Heading3"/>
      </w:pPr>
      <w:r>
        <w:t xml:space="preserve">8. Treatment</w:t>
      </w:r>
    </w:p>
    <w:bookmarkStart w:id="2070" w:name="Xb273a7e8044a030f511e80b4add6c0369895004"/>
    <w:p>
      <w:pPr>
        <w:pStyle w:val="Heading4"/>
      </w:pPr>
      <w:r>
        <w:t xml:space="preserve">8.1 General Principles (NICE CG78 (BPD), CG77 (ASPD); APA 2024 (BPD, 2nd ed.))</w:t>
      </w:r>
    </w:p>
    <w:p>
      <w:pPr>
        <w:pStyle w:val="Compact"/>
        <w:numPr>
          <w:ilvl w:val="0"/>
          <w:numId w:val="2029"/>
        </w:numPr>
      </w:pPr>
      <w:r>
        <w:t xml:space="preserve">Psychotherapy first line — gold standard in personality disorders.</w:t>
      </w:r>
    </w:p>
    <w:p>
      <w:pPr>
        <w:pStyle w:val="Compact"/>
        <w:numPr>
          <w:ilvl w:val="0"/>
          <w:numId w:val="2029"/>
        </w:numPr>
      </w:pPr>
      <w:r>
        <w:t xml:space="preserve">Evidence-based approaches for BPD (5):</w:t>
      </w:r>
    </w:p>
    <w:p>
      <w:pPr>
        <w:pStyle w:val="Compact"/>
        <w:numPr>
          <w:ilvl w:val="1"/>
          <w:numId w:val="2030"/>
        </w:numPr>
      </w:pPr>
      <w:r>
        <w:t xml:space="preserve">DBT (Dialectical Behavior Therapy, Linehan M.) — emotional regulation, distress tolerance, social skills, mindfulness; standard 12 months;</w:t>
      </w:r>
    </w:p>
    <w:p>
      <w:pPr>
        <w:pStyle w:val="Compact"/>
        <w:numPr>
          <w:ilvl w:val="1"/>
          <w:numId w:val="2030"/>
        </w:numPr>
      </w:pPr>
      <w:r>
        <w:t xml:space="preserve">MBT (Mentalization-Based Treatment, Bateman A., Fonagy P.)</w:t>
      </w:r>
    </w:p>
    <w:p>
      <w:pPr>
        <w:pStyle w:val="Compact"/>
        <w:numPr>
          <w:ilvl w:val="1"/>
          <w:numId w:val="2030"/>
        </w:numPr>
      </w:pPr>
      <w:r>
        <w:t xml:space="preserve">Schema Therapy (Young J.)</w:t>
      </w:r>
    </w:p>
    <w:p>
      <w:pPr>
        <w:pStyle w:val="Compact"/>
        <w:numPr>
          <w:ilvl w:val="1"/>
          <w:numId w:val="2030"/>
        </w:numPr>
      </w:pPr>
      <w:r>
        <w:t xml:space="preserve">TFP (Transference-Focused Psychotherapy, Kernberg O.)</w:t>
      </w:r>
    </w:p>
    <w:p>
      <w:pPr>
        <w:pStyle w:val="Compact"/>
        <w:numPr>
          <w:ilvl w:val="1"/>
          <w:numId w:val="2030"/>
        </w:numPr>
      </w:pPr>
      <w:r>
        <w:t xml:space="preserve">STEPPS (Systems Training for Emotional Predictability and Problem Solving).</w:t>
      </w:r>
    </w:p>
    <w:p>
      <w:pPr>
        <w:pStyle w:val="Compact"/>
        <w:numPr>
          <w:ilvl w:val="0"/>
          <w:numId w:val="2029"/>
        </w:numPr>
      </w:pPr>
      <w:r>
        <w:t xml:space="preserve">For ASPD — therapeutic limitation; CBT in structured, motivated patient.</w:t>
      </w:r>
    </w:p>
    <w:p>
      <w:pPr>
        <w:pStyle w:val="Compact"/>
        <w:numPr>
          <w:ilvl w:val="0"/>
          <w:numId w:val="2029"/>
        </w:numPr>
      </w:pPr>
      <w:r>
        <w:t xml:space="preserve">Pharmacotherapy — no specific approval for personality disorder itself; for comorbid symptoms (impulsivity, depression, anxiety, psychosis-like) — SSRIs, mood stabilizers, low-dose atypical antipsychotics.</w:t>
      </w:r>
    </w:p>
    <w:p>
      <w:pPr>
        <w:pStyle w:val="Compact"/>
        <w:numPr>
          <w:ilvl w:val="0"/>
          <w:numId w:val="2029"/>
        </w:numPr>
      </w:pPr>
      <w:r>
        <w:t xml:space="preserve">Crisis management — DBT skills, short-term inpatient stay.</w:t>
      </w:r>
    </w:p>
    <w:p>
      <w:pPr>
        <w:pStyle w:val="Compact"/>
        <w:numPr>
          <w:ilvl w:val="0"/>
          <w:numId w:val="2029"/>
        </w:numPr>
      </w:pPr>
      <w:r>
        <w:t xml:space="preserve">Long-term treatment (years).</w:t>
      </w:r>
    </w:p>
    <w:bookmarkEnd w:id="2070"/>
    <w:bookmarkStart w:id="2071" w:name="treatment-methods-67"/>
    <w:p>
      <w:pPr>
        <w:pStyle w:val="Heading4"/>
      </w:pPr>
      <w:r>
        <w:t xml:space="preserve">8.2 Treatment methods</w:t>
      </w:r>
    </w:p>
    <w:p>
      <w:pPr>
        <w:pStyle w:val="Compact"/>
        <w:numPr>
          <w:ilvl w:val="0"/>
          <w:numId w:val="2031"/>
        </w:numPr>
      </w:pPr>
      <w:r>
        <w:t xml:space="preserve">Dialectical Behavior Therapy (DBT) — Linehan (Linehan M.) — 4 modules (mindfulness, distress tolerance, emotional regulation, social skills); individual + group + telephone coaching + therapist consultation. 12-month standard. Evidence: Linehan M.M. JAMA Psychiatry 2015.</w:t>
      </w:r>
    </w:p>
    <w:p>
      <w:pPr>
        <w:pStyle w:val="Compact"/>
        <w:numPr>
          <w:ilvl w:val="0"/>
          <w:numId w:val="2031"/>
        </w:numPr>
      </w:pPr>
      <w:r>
        <w:t xml:space="preserve">Mentalization-Based Therapy (MBT) — Bateman A., Fonagy P — Mentalization — recognition of one's own and others' mental states; based on psychodynamic roots. Bateman A. Am J Psychiatry 2009.</w:t>
      </w:r>
    </w:p>
    <w:p>
      <w:pPr>
        <w:pStyle w:val="Compact"/>
        <w:numPr>
          <w:ilvl w:val="0"/>
          <w:numId w:val="2031"/>
        </w:numPr>
      </w:pPr>
      <w:r>
        <w:t xml:space="preserve">Schema Therapy — Young J. — Restructuring early maladaptive schemas; long-term psychotherapy.</w:t>
      </w:r>
    </w:p>
    <w:p>
      <w:pPr>
        <w:pStyle w:val="Compact"/>
        <w:numPr>
          <w:ilvl w:val="0"/>
          <w:numId w:val="2031"/>
        </w:numPr>
      </w:pPr>
      <w:r>
        <w:t xml:space="preserve">Transference-Focused Psychotherapy (TFP — Transference-Focused Psychotherapy) — Kernberg (Kernberg O.) — Processing of primitive defense mechanisms in the context of transference.</w:t>
      </w:r>
    </w:p>
    <w:p>
      <w:pPr>
        <w:pStyle w:val="Compact"/>
        <w:numPr>
          <w:ilvl w:val="0"/>
          <w:numId w:val="2031"/>
        </w:numPr>
      </w:pPr>
      <w:r>
        <w:t xml:space="preserve">STEPPS — 20-week group; participation of the patient's social system in BPD.</w:t>
      </w:r>
    </w:p>
    <w:p>
      <w:pPr>
        <w:pStyle w:val="Compact"/>
        <w:numPr>
          <w:ilvl w:val="0"/>
          <w:numId w:val="2031"/>
        </w:numPr>
      </w:pPr>
      <w:r>
        <w:t xml:space="preserve">Structured Clinical Interview for Personality Disorders (SCID-5-PD) — DSM-5 categorical diagnosis.</w:t>
      </w:r>
    </w:p>
    <w:bookmarkEnd w:id="2071"/>
    <w:bookmarkStart w:id="2072" w:name="differences-between-sources-124"/>
    <w:p>
      <w:pPr>
        <w:pStyle w:val="Heading4"/>
      </w:pPr>
      <w:r>
        <w:t xml:space="preserve">8.3 Differences between sources</w:t>
      </w:r>
    </w:p>
    <w:p>
      <w:pPr>
        <w:pStyle w:val="Compact"/>
        <w:numPr>
          <w:ilvl w:val="0"/>
          <w:numId w:val="2032"/>
        </w:numPr>
      </w:pPr>
      <w:r>
        <w:t xml:space="preserve">NICE CG78 (BPD, 2009) — DBT, MBT, and similar structured approaches; pharmacotherapy not routinely recommended for BPD itself.</w:t>
      </w:r>
    </w:p>
    <w:p>
      <w:pPr>
        <w:pStyle w:val="Compact"/>
        <w:numPr>
          <w:ilvl w:val="0"/>
          <w:numId w:val="2032"/>
        </w:numPr>
      </w:pPr>
      <w:r>
        <w:t xml:space="preserve">NICE CG77 (ASPD, 2009).</w:t>
      </w:r>
    </w:p>
    <w:p>
      <w:pPr>
        <w:pStyle w:val="Compact"/>
        <w:numPr>
          <w:ilvl w:val="0"/>
          <w:numId w:val="2032"/>
        </w:numPr>
      </w:pPr>
      <w:r>
        <w:t xml:space="preserve">APA Practice Guideline for the Treatment of Patients With Borderline Personality Disorder, 2nd ed. (2024) — supersedes the 2001 edition.</w:t>
      </w:r>
    </w:p>
    <w:bookmarkEnd w:id="2072"/>
    <w:bookmarkEnd w:id="2073"/>
    <w:bookmarkStart w:id="2074" w:name="X5ba36c8776f1de36bd0b93053b503182bd87bf3"/>
    <w:p>
      <w:pPr>
        <w:pStyle w:val="Heading3"/>
      </w:pPr>
      <w:r>
        <w:t xml:space="preserve">9. Prognosis</w:t>
      </w:r>
    </w:p>
    <w:p>
      <w:pPr>
        <w:pStyle w:val="Compact"/>
        <w:numPr>
          <w:ilvl w:val="0"/>
          <w:numId w:val="2033"/>
        </w:numPr>
      </w:pPr>
      <w:r>
        <w:t xml:space="preserve">BPD — 50%+ remission at 10-year follow-up (Zanarini M.C. reviews).</w:t>
      </w:r>
    </w:p>
    <w:p>
      <w:pPr>
        <w:pStyle w:val="Compact"/>
        <w:numPr>
          <w:ilvl w:val="0"/>
          <w:numId w:val="2033"/>
        </w:numPr>
      </w:pPr>
      <w:r>
        <w:t xml:space="preserve">ASPD — worst prognosis; but aggression decreases with age.</w:t>
      </w:r>
    </w:p>
    <w:p>
      <w:pPr>
        <w:pStyle w:val="Compact"/>
        <w:numPr>
          <w:ilvl w:val="0"/>
          <w:numId w:val="2033"/>
        </w:numPr>
      </w:pPr>
      <w:r>
        <w:t xml:space="preserve">Treatment significantly improves the prognosis.</w:t>
      </w:r>
    </w:p>
    <w:bookmarkEnd w:id="2074"/>
    <w:bookmarkStart w:id="2081" w:name="X98fcb27fc7907958500342db85d97421b97ebab"/>
    <w:p>
      <w:pPr>
        <w:pStyle w:val="Heading3"/>
      </w:pPr>
      <w:r>
        <w:t xml:space="preserve">10. Myths and misconceptions</w:t>
      </w:r>
    </w:p>
    <w:bookmarkStart w:id="2075" w:name="X1e28f6d5279905d969dbba7436054b4352f3c44"/>
    <w:p>
      <w:pPr>
        <w:pStyle w:val="Heading5"/>
      </w:pPr>
      <w:r>
        <w:t xml:space="preserve">Myth 1: “Personality disorders are untreatable”</w:t>
      </w:r>
    </w:p>
    <w:p>
      <w:pPr>
        <w:pStyle w:val="FirstParagraph"/>
      </w:pPr>
      <w:r>
        <w:t xml:space="preserve">Evidence: DBT, MBT, Schema, TFP — evidence-based approaches; most patients improve significantly; pessimistic prognostic stance is outdated.</w:t>
      </w:r>
    </w:p>
    <w:bookmarkEnd w:id="2075"/>
    <w:bookmarkStart w:id="2076" w:name="X1f1e6a1b9862543aa3863e5a22f046898463815"/>
    <w:p>
      <w:pPr>
        <w:pStyle w:val="Heading5"/>
      </w:pPr>
      <w:r>
        <w:t xml:space="preserve">Myth 2: “BPD patients are manipulative and require strict boundaries”</w:t>
      </w:r>
    </w:p>
    <w:p>
      <w:pPr>
        <w:pStyle w:val="FirstParagraph"/>
      </w:pPr>
      <w:r>
        <w:t xml:space="preserve">Evidence: Term “manipulative” is stigmatizing and incorrect; BPD behaviors stem from emotional dysregulation; DBT recommends validation + structure balance.</w:t>
      </w:r>
    </w:p>
    <w:bookmarkEnd w:id="2076"/>
    <w:bookmarkStart w:id="2077" w:name="myth-3-pharmacotherapy-cures-bpd"/>
    <w:p>
      <w:pPr>
        <w:pStyle w:val="Heading5"/>
      </w:pPr>
      <w:r>
        <w:t xml:space="preserve">Myth 3: “Pharmacotherapy cures BPD”</w:t>
      </w:r>
    </w:p>
    <w:p>
      <w:pPr>
        <w:pStyle w:val="FirstParagraph"/>
      </w:pPr>
      <w:r>
        <w:t xml:space="preserve">Evidence: NICE CG78 — pharmacotherapy not routinely recommended for BPD itself; psychotherapy first-line.</w:t>
      </w:r>
    </w:p>
    <w:bookmarkEnd w:id="2077"/>
    <w:bookmarkStart w:id="2078" w:name="myth-4-aspd-cannot-be-treated"/>
    <w:p>
      <w:pPr>
        <w:pStyle w:val="Heading5"/>
      </w:pPr>
      <w:r>
        <w:t xml:space="preserve">Myth 4: “ASPD cannot be treated”</w:t>
      </w:r>
    </w:p>
    <w:p>
      <w:pPr>
        <w:pStyle w:val="FirstParagraph"/>
      </w:pPr>
      <w:r>
        <w:t xml:space="preserve">Evidence: in severe ASPD intervention limited, but in motivated patients structured treatment may yield improvement; nihilistic stance contraindicated.</w:t>
      </w:r>
    </w:p>
    <w:bookmarkEnd w:id="2078"/>
    <w:bookmarkStart w:id="2079" w:name="Xf4c5a6ef7c6ca0ee6c953eb0927dae5e3dc95eb"/>
    <w:p>
      <w:pPr>
        <w:pStyle w:val="Heading5"/>
      </w:pPr>
      <w:r>
        <w:t xml:space="preserve">Myth 5: “Personality disorder stabilizes with age and does not require treatment”</w:t>
      </w:r>
    </w:p>
    <w:p>
      <w:pPr>
        <w:pStyle w:val="FirstParagraph"/>
      </w:pPr>
      <w:r>
        <w:t xml:space="preserve">Evidence: long-term follow-up — BPD remission rate 50%+ over 10 years; treatment accelerates this process.</w:t>
      </w:r>
    </w:p>
    <w:bookmarkEnd w:id="2079"/>
    <w:bookmarkStart w:id="2080" w:name="Xd0b453b325b18bbc1abc3bf09efac6f872e938b"/>
    <w:p>
      <w:pPr>
        <w:pStyle w:val="Heading5"/>
      </w:pPr>
      <w:r>
        <w:t xml:space="preserve">Myth 6: “Hypnotherapy, esoteric interventions cure personality disorders”</w:t>
      </w:r>
    </w:p>
    <w:p>
      <w:pPr>
        <w:pStyle w:val="FirstParagraph"/>
      </w:pPr>
      <w:r>
        <w:t xml:space="preserve">Evidence: No evidence; evidenced structured psychotherapy is recommended.</w:t>
      </w:r>
    </w:p>
    <w:bookmarkEnd w:id="2080"/>
    <w:bookmarkEnd w:id="2081"/>
    <w:bookmarkStart w:id="2945" w:name="Xabf23edc37d135e77be99f8c994c933e3fe31b2"/>
    <w:p>
      <w:pPr>
        <w:pStyle w:val="Heading3"/>
      </w:pPr>
      <w:r>
        <w:t xml:space="preserve">11. Sources</w:t>
      </w:r>
    </w:p>
    <w:p>
      <w:pPr>
        <w:pStyle w:val="Compact"/>
        <w:numPr>
          <w:ilvl w:val="0"/>
          <w:numId w:val="2034"/>
        </w:numPr>
      </w:pPr>
      <w:r>
        <w:t xml:space="preserve">WHO. ICD-11. 6D10 Personality disorder. 2024.</w:t>
      </w:r>
    </w:p>
    <w:p>
      <w:pPr>
        <w:pStyle w:val="Compact"/>
        <w:numPr>
          <w:ilvl w:val="0"/>
          <w:numId w:val="2034"/>
        </w:numPr>
      </w:pPr>
      <w:r>
        <w:t xml:space="preserve">APA. DSM-5-TR. 2022.</w:t>
      </w:r>
    </w:p>
    <w:p>
      <w:pPr>
        <w:pStyle w:val="Compact"/>
        <w:numPr>
          <w:ilvl w:val="0"/>
          <w:numId w:val="2034"/>
        </w:numPr>
      </w:pPr>
      <w:r>
        <w:t xml:space="preserve">NICE CG78. Borderline personality disorder: recognition and management. 2009.</w:t>
      </w:r>
    </w:p>
    <w:p>
      <w:pPr>
        <w:pStyle w:val="Compact"/>
        <w:numPr>
          <w:ilvl w:val="0"/>
          <w:numId w:val="2034"/>
        </w:numPr>
      </w:pPr>
      <w:r>
        <w:t xml:space="preserve">NICE CG77. Antisocial personality disorder: prevention and management. 2009.</w:t>
      </w:r>
    </w:p>
    <w:p>
      <w:pPr>
        <w:pStyle w:val="Compact"/>
        <w:numPr>
          <w:ilvl w:val="0"/>
          <w:numId w:val="2034"/>
        </w:numPr>
      </w:pPr>
      <w:r>
        <w:t xml:space="preserve">Linehan M.M. et al. Dialectical behavior therapy for high suicide risk in individuals with borderline personality disorder: a randomized clinical trial and component analysis. JAMA Psychiatry 2015;72(5):475–482.</w:t>
      </w:r>
    </w:p>
    <w:p>
      <w:pPr>
        <w:pStyle w:val="Compact"/>
        <w:numPr>
          <w:ilvl w:val="0"/>
          <w:numId w:val="2034"/>
        </w:numPr>
      </w:pPr>
      <w:r>
        <w:t xml:space="preserve">Bateman A., Fonagy P. Randomized controlled trial of outpatient mentalization-based treatment versus structured clinical management for BPD. Am J Psychiatry 2009;166(12):1355–1364.</w:t>
      </w:r>
    </w:p>
    <w:p>
      <w:pPr>
        <w:pStyle w:val="Compact"/>
        <w:numPr>
          <w:ilvl w:val="0"/>
          <w:numId w:val="2034"/>
        </w:numPr>
      </w:pPr>
      <w:r>
        <w:t xml:space="preserve">Zanarini M.C. et al. Prediction of the 10-year course of borderline personality disorder. Am J Psychiatry 2006;163(5):827–832.</w:t>
      </w:r>
    </w:p>
    <w:p>
      <w:pPr>
        <w:pStyle w:val="Compact"/>
        <w:numPr>
          <w:ilvl w:val="0"/>
          <w:numId w:val="2034"/>
        </w:numPr>
      </w:pPr>
      <w:r>
        <w:t xml:space="preserve">Tyrer P., Reed G.M., Crawford M.J. Classification, assessment, prevalence, and effect of personality disorder. Lancet 2015;385(9969):717–726.</w:t>
      </w:r>
    </w:p>
    <w:p>
      <w:pPr>
        <w:pStyle w:val="Compact"/>
        <w:numPr>
          <w:ilvl w:val="0"/>
          <w:numId w:val="2034"/>
        </w:numPr>
      </w:pPr>
      <w:r>
        <w:t xml:space="preserve">Young J.E., Klosko J.S., Weishaar M.E. Schema Therapy: A Practitioner’s Guide. New York: Guilford Press, 2003.</w:t>
      </w:r>
    </w:p>
    <w:p>
      <w:pPr>
        <w:pStyle w:val="Compact"/>
        <w:numPr>
          <w:ilvl w:val="0"/>
          <w:numId w:val="2034"/>
        </w:numPr>
      </w:pPr>
      <w:r>
        <w:t xml:space="preserve">Yeomans F.E., Clarkin J.F., Kernberg O.F. Transference-Focused Psychotherapy for Borderline Personality Disorder: A Clinical Guide. Washington: American Psychiatric Publishing, 2015.</w:t>
      </w:r>
    </w:p>
    <w:p>
      <w:pPr>
        <w:pStyle w:val="Compact"/>
        <w:numPr>
          <w:ilvl w:val="0"/>
          <w:numId w:val="2034"/>
        </w:numPr>
      </w:pPr>
      <w:r>
        <w:t xml:space="preserve">Lenzenweger M.F., Lane M.C., Loranger A.W., Kessler R.C. DSM-IV personality disorders in the National Comorbidity Survey Replication. Biol Psychiatry 2007;62(6):553–564.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082" w:name="X61058d5ad437d0a4e10fc1ad8a2449c51e17bc8"/>
            <w:r>
              <w:t xml:space="preserve">6D11 PROMINENT PERSONALITY TRAITS OR PATTERNS</w:t>
            </w:r>
            <w:bookmarkEnd w:id="2082"/>
          </w:p>
          <w:p>
            <w:pPr>
              <w:pStyle w:val="Compact"/>
              <w:ind w:firstLine="0" w:left="0"/>
            </w:pPr>
            <w:r>
              <w:rPr>
                <w:lang w:val="en"/>
              </w:rPr>
              <w:t xml:space="preserve">Prominent personality traits or patterns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ICD-10 equivalent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Borderline Personality Disorder (matches only the 6D11.5 borderline pattern qualifier)</w:t>
            </w:r>
          </w:p>
        </w:tc>
      </w:tr>
    </w:tbl>
    <w:bookmarkStart w:id="2083" w:name="X27b7b18c51b707b4414f6c083b32a4972905c97"/>
    <w:p>
      <w:pPr>
        <w:pStyle w:val="Heading3"/>
      </w:pPr>
      <w:r>
        <w:t xml:space="preserve">1. Definition and nosology</w:t>
      </w:r>
    </w:p>
    <w:p>
      <w:pPr>
        <w:pStyle w:val="FirstParagraph"/>
      </w:pPr>
      <w:r>
        <w:t xml:space="preserve">Prominent personality traits or patterns (ICD-11:</w:t>
      </w:r>
      <w:r>
        <w:t xml:space="preserve"> </w:t>
      </w:r>
      <w:r>
        <w:t xml:space="preserve">6D11</w:t>
      </w:r>
      <w:r>
        <w:t xml:space="preserve"> </w:t>
      </w:r>
      <w:r>
        <w:t xml:space="preserve">Prominent personality traits or patterns) is not a stand-alone diagnosis but a set of qualifiers: they record which trait domains a personality disorder (6D10) or personality difficulty is expressed through. Severity is coded in 6D10 and the domains here; 6D11 is never assigned on its own.</w:t>
      </w:r>
    </w:p>
    <w:p>
      <w:pPr>
        <w:pStyle w:val="BodyText"/>
      </w:pPr>
      <w:r>
        <w:t xml:space="preserve">Personality difficulty is not a mental disorder in ICD-11 — it sits in the chapter “Factors influencing health status” under the code QE50.7. Personality traits cause functional difficulty but fall short of the 6D10 criteria.</w:t>
      </w:r>
    </w:p>
    <w:bookmarkEnd w:id="2083"/>
    <w:bookmarkStart w:id="2084" w:name="X2debea1634c5a7b132421646455b39fd273409d"/>
    <w:p>
      <w:pPr>
        <w:pStyle w:val="Heading3"/>
      </w:pPr>
      <w:r>
        <w:t xml:space="preserve">2. History</w:t>
      </w:r>
    </w:p>
    <w:p>
      <w:pPr>
        <w:pStyle w:val="Compact"/>
        <w:numPr>
          <w:ilvl w:val="0"/>
          <w:numId w:val="2035"/>
        </w:numPr>
      </w:pPr>
      <w:r>
        <w:t xml:space="preserve">ICD-11 (2019) — the 10 categorical personality disorders were dropped in favour of a severity rating (6D10) plus five trait domains (6D11.0–6D11.4).</w:t>
      </w:r>
    </w:p>
    <w:p>
      <w:pPr>
        <w:pStyle w:val="Compact"/>
        <w:numPr>
          <w:ilvl w:val="0"/>
          <w:numId w:val="2035"/>
        </w:numPr>
      </w:pPr>
      <w:r>
        <w:t xml:space="preserve">The borderline pattern (6D11.5) was added separately as the successor to ICD-10 borderline personality disorder (F60.3); in DSM-5-TR the only parallel is the Section III dimensional model.</w:t>
      </w:r>
    </w:p>
    <w:bookmarkEnd w:id="2084"/>
    <w:bookmarkStart w:id="2085" w:name="X8368994fc4821b677d861e21b8499e8963b23a8"/>
    <w:p>
      <w:pPr>
        <w:pStyle w:val="Heading3"/>
      </w:pPr>
      <w:r>
        <w:t xml:space="preserve">3. Epidemiology</w:t>
      </w:r>
    </w:p>
    <w:p>
      <w:pPr>
        <w:pStyle w:val="FirstParagraph"/>
      </w:pPr>
      <w:r>
        <w:t xml:space="preserve">Precise epidemiological data are limited; subclinical personality traits are widespread in the population.</w:t>
      </w:r>
    </w:p>
    <w:bookmarkEnd w:id="2085"/>
    <w:bookmarkStart w:id="2086" w:name="X7960a8bcc3e48f9efd810094513ac0a336a4385"/>
    <w:p>
      <w:pPr>
        <w:pStyle w:val="Heading3"/>
      </w:pPr>
      <w:r>
        <w:t xml:space="preserve">4. Aetiology and pathogenesis</w:t>
      </w:r>
    </w:p>
    <w:p>
      <w:pPr>
        <w:pStyle w:val="FirstParagraph"/>
      </w:pPr>
      <w:r>
        <w:t xml:space="preserve">Same as 6D10 — genetic and environmental interaction.</w:t>
      </w:r>
    </w:p>
    <w:bookmarkEnd w:id="2086"/>
    <w:bookmarkStart w:id="2087" w:name="Xef7ea5a164b8a8ac14374d69f5781a4fcf7393c"/>
    <w:p>
      <w:pPr>
        <w:pStyle w:val="Heading3"/>
      </w:pPr>
      <w:r>
        <w:t xml:space="preserve">5. Clinical features</w:t>
      </w:r>
    </w:p>
    <w:p>
      <w:pPr>
        <w:pStyle w:val="Compact"/>
        <w:numPr>
          <w:ilvl w:val="0"/>
          <w:numId w:val="2036"/>
        </w:numPr>
      </w:pPr>
      <w:r>
        <w:t xml:space="preserve">6D11.0 Negative affectivity — a broad range of negative emotions: anxiousness, irritability, low self-esteem, emotional lability.</w:t>
      </w:r>
    </w:p>
    <w:p>
      <w:pPr>
        <w:pStyle w:val="Compact"/>
        <w:numPr>
          <w:ilvl w:val="0"/>
          <w:numId w:val="2036"/>
        </w:numPr>
      </w:pPr>
      <w:r>
        <w:t xml:space="preserve">6D11.1 Detachment — social and emotional distance: avoidance, restricted affect, refusal of intimacy.</w:t>
      </w:r>
    </w:p>
    <w:p>
      <w:pPr>
        <w:pStyle w:val="Compact"/>
        <w:numPr>
          <w:ilvl w:val="0"/>
          <w:numId w:val="2036"/>
        </w:numPr>
      </w:pPr>
      <w:r>
        <w:t xml:space="preserve">6D11.2 Dissociality — disregard for the rights and feelings of others: self-centredness, lack of empathy, exploitativeness.</w:t>
      </w:r>
    </w:p>
    <w:p>
      <w:pPr>
        <w:pStyle w:val="Compact"/>
        <w:numPr>
          <w:ilvl w:val="0"/>
          <w:numId w:val="2036"/>
        </w:numPr>
      </w:pPr>
      <w:r>
        <w:t xml:space="preserve">6D11.3 Disinhibition — impulsivity, distractibility, irresponsibility, a pull towards immediate reward.</w:t>
      </w:r>
    </w:p>
    <w:p>
      <w:pPr>
        <w:pStyle w:val="Compact"/>
        <w:numPr>
          <w:ilvl w:val="0"/>
          <w:numId w:val="2036"/>
        </w:numPr>
      </w:pPr>
      <w:r>
        <w:t xml:space="preserve">6D11.4 Anankastia — perfectionism, rigid rules, emotional and behavioural control.</w:t>
      </w:r>
    </w:p>
    <w:p>
      <w:pPr>
        <w:pStyle w:val="Compact"/>
        <w:numPr>
          <w:ilvl w:val="0"/>
          <w:numId w:val="2036"/>
        </w:numPr>
      </w:pPr>
      <w:r>
        <w:t xml:space="preserve">6D11.5 Borderline pattern — instability of relationships, self-image and affect, impulsivity, fear of abandonment, self-harm and suicidal behaviour.</w:t>
      </w:r>
    </w:p>
    <w:bookmarkEnd w:id="2087"/>
    <w:bookmarkStart w:id="2092" w:name="X86a07e5fa5b8e8d266e28262170fb9111423568"/>
    <w:p>
      <w:pPr>
        <w:pStyle w:val="Heading3"/>
      </w:pPr>
      <w:r>
        <w:t xml:space="preserve">6. Diagnosis</w:t>
      </w:r>
    </w:p>
    <w:bookmarkStart w:id="2088" w:name="unified-diagnostic-criteria-47"/>
    <w:p>
      <w:pPr>
        <w:pStyle w:val="Heading4"/>
      </w:pPr>
      <w:r>
        <w:t xml:space="preserve">6.1 Unified diagnostic criteria</w:t>
      </w:r>
    </w:p>
    <w:p>
      <w:pPr>
        <w:pStyle w:val="FirstParagraph"/>
      </w:pPr>
      <w:r>
        <w:t xml:space="preserve">A. The diagnosis is made under 6D10 (personality disorder) or QE50.7 (personality difficulty); 6D11 is added only as a qualifier.</w:t>
      </w:r>
    </w:p>
    <w:p>
      <w:pPr>
        <w:pStyle w:val="BodyText"/>
      </w:pPr>
      <w:r>
        <w:t xml:space="preserve">B. All domains present to a clinically significant degree are recorded — there may be several.</w:t>
      </w:r>
    </w:p>
    <w:p>
      <w:pPr>
        <w:pStyle w:val="BodyText"/>
      </w:pPr>
      <w:r>
        <w:t xml:space="preserve">C. The borderline pattern (6D11.5) may be recorded in addition to any combination of domains.</w:t>
      </w:r>
    </w:p>
    <w:bookmarkEnd w:id="2088"/>
    <w:bookmarkStart w:id="2089" w:name="differences-between-sources-125"/>
    <w:p>
      <w:pPr>
        <w:pStyle w:val="Heading4"/>
      </w:pPr>
      <w:r>
        <w:t xml:space="preserve">6.2 Differences between sources</w:t>
      </w:r>
    </w:p>
    <w:p>
      <w:pPr>
        <w:pStyle w:val="FirstParagraph"/>
      </w:pPr>
      <w:r>
        <w:t xml:space="preserve">ICD-11 — category somewhat similar to the Z-code for ‘clinical attention to personality problems.’</w:t>
      </w:r>
    </w:p>
    <w:bookmarkEnd w:id="2089"/>
    <w:bookmarkStart w:id="2090" w:name="diagnostic-algorithm-70"/>
    <w:p>
      <w:pPr>
        <w:pStyle w:val="Heading4"/>
      </w:pPr>
      <w:r>
        <w:t xml:space="preserve">6.3 Diagnostic algorithm</w:t>
      </w:r>
    </w:p>
    <w:p>
      <w:pPr>
        <w:pStyle w:val="Compact"/>
        <w:numPr>
          <w:ilvl w:val="0"/>
          <w:numId w:val="2037"/>
        </w:numPr>
      </w:pPr>
      <w:r>
        <w:t xml:space="preserve">Clinical interview.</w:t>
      </w:r>
    </w:p>
    <w:p>
      <w:pPr>
        <w:pStyle w:val="Compact"/>
        <w:numPr>
          <w:ilvl w:val="0"/>
          <w:numId w:val="2037"/>
        </w:numPr>
      </w:pPr>
      <w:r>
        <w:t xml:space="preserve">5-domain assessment.</w:t>
      </w:r>
    </w:p>
    <w:p>
      <w:pPr>
        <w:pStyle w:val="Compact"/>
        <w:numPr>
          <w:ilvl w:val="0"/>
          <w:numId w:val="2037"/>
        </w:numPr>
      </w:pPr>
      <w:r>
        <w:t xml:space="preserve">Exclusion of full PD diagnosis.</w:t>
      </w:r>
    </w:p>
    <w:bookmarkEnd w:id="2090"/>
    <w:bookmarkStart w:id="2091" w:name="differential-diagnosis-7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Significant functional impairment.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Response to stress factor.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personality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functional difficulty.</w:t>
            </w:r>
          </w:p>
        </w:tc>
      </w:tr>
    </w:tbl>
    <w:bookmarkEnd w:id="2091"/>
    <w:bookmarkEnd w:id="2092"/>
    <w:bookmarkStart w:id="2093" w:name="X08a01b0ca61846da262b05762234ad6e857edaa"/>
    <w:p>
      <w:pPr>
        <w:pStyle w:val="Heading3"/>
      </w:pPr>
      <w:r>
        <w:t xml:space="preserve">7. Examination and assessment</w:t>
      </w:r>
    </w:p>
    <w:p>
      <w:pPr>
        <w:pStyle w:val="FirstParagraph"/>
      </w:pPr>
      <w:r>
        <w:t xml:space="preserve">Personality inventories (PID-5).</w:t>
      </w:r>
    </w:p>
    <w:bookmarkEnd w:id="2093"/>
    <w:bookmarkStart w:id="2095" w:name="Xe16b1b858d3bb573843eb96534e4478d757e8fb"/>
    <w:p>
      <w:pPr>
        <w:pStyle w:val="Heading3"/>
      </w:pPr>
      <w:r>
        <w:t xml:space="preserve">8. Treatment</w:t>
      </w:r>
    </w:p>
    <w:p>
      <w:pPr>
        <w:pStyle w:val="Compact"/>
        <w:numPr>
          <w:ilvl w:val="0"/>
          <w:numId w:val="2038"/>
        </w:numPr>
      </w:pPr>
      <w:r>
        <w:t xml:space="preserve">Psychotherapy — short-to-medium term; problem-focused CBT or supportive.</w:t>
      </w:r>
    </w:p>
    <w:p>
      <w:pPr>
        <w:pStyle w:val="Compact"/>
        <w:numPr>
          <w:ilvl w:val="0"/>
          <w:numId w:val="2038"/>
        </w:numPr>
      </w:pPr>
      <w:r>
        <w:t xml:space="preserve">Stress management and coping skills.</w:t>
      </w:r>
    </w:p>
    <w:p>
      <w:pPr>
        <w:pStyle w:val="Compact"/>
        <w:numPr>
          <w:ilvl w:val="0"/>
          <w:numId w:val="2038"/>
        </w:numPr>
      </w:pPr>
      <w:r>
        <w:t xml:space="preserve">Specific intervention for comorbid symptoms.</w:t>
      </w:r>
    </w:p>
    <w:bookmarkStart w:id="2094" w:name="treatment-methods-68"/>
    <w:p>
      <w:pPr>
        <w:pStyle w:val="Heading4"/>
      </w:pPr>
      <w:r>
        <w:t xml:space="preserve">8.1 Treatment methods</w:t>
      </w:r>
    </w:p>
    <w:p>
      <w:pPr>
        <w:pStyle w:val="Compact"/>
        <w:numPr>
          <w:ilvl w:val="0"/>
          <w:numId w:val="2039"/>
        </w:numPr>
      </w:pPr>
      <w:r>
        <w:t xml:space="preserve">DSM-5 — Personality Inventory for DSM-5 (PID-5) — Dimensional personality scale.</w:t>
      </w:r>
    </w:p>
    <w:bookmarkEnd w:id="2094"/>
    <w:bookmarkEnd w:id="2095"/>
    <w:bookmarkStart w:id="2096" w:name="X9f3bc0a9f23088745b454c1471481b5689809bf"/>
    <w:p>
      <w:pPr>
        <w:pStyle w:val="Heading3"/>
      </w:pPr>
      <w:r>
        <w:t xml:space="preserve">9. Prognosis</w:t>
      </w:r>
    </w:p>
    <w:p>
      <w:pPr>
        <w:pStyle w:val="FirstParagraph"/>
      </w:pPr>
      <w:r>
        <w:t xml:space="preserve">Improvement with treatment; risk of progression to stable or full PD.</w:t>
      </w:r>
    </w:p>
    <w:bookmarkEnd w:id="2096"/>
    <w:bookmarkStart w:id="2101" w:name="X8798009c046c6cef74b0c4d7ed1108d3e6eaa57"/>
    <w:p>
      <w:pPr>
        <w:pStyle w:val="Heading3"/>
      </w:pPr>
      <w:r>
        <w:t xml:space="preserve">10. Myths and misconceptions</w:t>
      </w:r>
    </w:p>
    <w:bookmarkStart w:id="2097" w:name="X3207e4b62e3baaec32d1a9c7e4641886d3d5dbb"/>
    <w:p>
      <w:pPr>
        <w:pStyle w:val="Heading5"/>
      </w:pPr>
      <w:r>
        <w:t xml:space="preserve">Myth 1: “Personality Difficulty is not a real diagnosis”</w:t>
      </w:r>
    </w:p>
    <w:p>
      <w:pPr>
        <w:pStyle w:val="FirstParagraph"/>
      </w:pPr>
      <w:r>
        <w:t xml:space="preserve">Evidence: ICD-11 is the official code; it provides clinical attention to subclinical personality problems.</w:t>
      </w:r>
    </w:p>
    <w:bookmarkEnd w:id="2097"/>
    <w:bookmarkStart w:id="2098" w:name="X431d92a8578d12cbd7f7df3c28ce0ec0477a3c9"/>
    <w:p>
      <w:pPr>
        <w:pStyle w:val="Heading5"/>
      </w:pPr>
      <w:r>
        <w:t xml:space="preserve">Myth 2: “Personality difficulty inevitably turns into PD”</w:t>
      </w:r>
    </w:p>
    <w:p>
      <w:pPr>
        <w:pStyle w:val="FirstParagraph"/>
      </w:pPr>
      <w:r>
        <w:t xml:space="preserve">Evidence: Some patients experience deterioration, but most stabilize or improve.</w:t>
      </w:r>
    </w:p>
    <w:bookmarkEnd w:id="2098"/>
    <w:bookmarkStart w:id="2099" w:name="X37597fcc6895c64eeee54bf85c47d31490cc676"/>
    <w:p>
      <w:pPr>
        <w:pStyle w:val="Heading5"/>
      </w:pPr>
      <w:r>
        <w:t xml:space="preserve">Myth 3: “Should only be treated with medication”</w:t>
      </w:r>
    </w:p>
    <w:p>
      <w:pPr>
        <w:pStyle w:val="FirstParagraph"/>
      </w:pPr>
      <w:r>
        <w:t xml:space="preserve">Evidence: Psychotherapy is first-line; pharmacotherapy for comorbid symptoms.</w:t>
      </w:r>
    </w:p>
    <w:bookmarkEnd w:id="2099"/>
    <w:bookmarkStart w:id="2100" w:name="X8a7bda850646e584c4bf4898b9a47b755dea586"/>
    <w:p>
      <w:pPr>
        <w:pStyle w:val="Heading5"/>
      </w:pPr>
      <w:r>
        <w:t xml:space="preserve">Myth 4: “This category is only for labeling ‘anxious’ patients”</w:t>
      </w:r>
    </w:p>
    <w:p>
      <w:pPr>
        <w:pStyle w:val="FirstParagraph"/>
      </w:pPr>
      <w:r>
        <w:t xml:space="preserve">Evidence: ICD-11 — clinical response to functional difficulty; provides clinical support.</w:t>
      </w:r>
    </w:p>
    <w:bookmarkEnd w:id="2100"/>
    <w:bookmarkEnd w:id="2101"/>
    <w:bookmarkStart w:id="2102" w:name="X7ead19b75b9063d651848c6556044795d135c23"/>
    <w:p>
      <w:pPr>
        <w:pStyle w:val="Heading3"/>
      </w:pPr>
      <w:r>
        <w:t xml:space="preserve">11. Sources</w:t>
      </w:r>
    </w:p>
    <w:p>
      <w:pPr>
        <w:pStyle w:val="Compact"/>
        <w:numPr>
          <w:ilvl w:val="0"/>
          <w:numId w:val="2040"/>
        </w:numPr>
      </w:pPr>
      <w:r>
        <w:t xml:space="preserve">WHO. ICD-11. 6D11 Prominent personality traits or patterns. 2024.</w:t>
      </w:r>
    </w:p>
    <w:p>
      <w:pPr>
        <w:pStyle w:val="Compact"/>
        <w:numPr>
          <w:ilvl w:val="0"/>
          <w:numId w:val="2040"/>
        </w:numPr>
      </w:pPr>
      <w:r>
        <w:t xml:space="preserve">WHO. ICD-11. QE50.7 Personality difficulty. 2024.</w:t>
      </w:r>
    </w:p>
    <w:p>
      <w:pPr>
        <w:pStyle w:val="Compact"/>
        <w:numPr>
          <w:ilvl w:val="0"/>
          <w:numId w:val="2040"/>
        </w:numPr>
      </w:pPr>
      <w:r>
        <w:t xml:space="preserve">Tyrer P. et al. Lancet 2015;385(9969):717–726.</w:t>
      </w:r>
    </w:p>
    <w:bookmarkEnd w:id="2102"/>
    <w:bookmarkStart w:id="2103" w:name="m896d306d3z-paraphilic-disorders"/>
    <w:p>
      <w:pPr>
        <w:pageBreakBefore/>
        <w:pStyle w:val="Heading1"/>
      </w:pPr>
      <w:r>
        <w:t xml:space="preserve">6D30–6D3Z PARAPHILIC DISORDERS</w:t>
      </w:r>
    </w:p>
    <w:p>
      <w:pPr>
        <w:pStyle w:val="FirstParagraph"/>
      </w:pPr>
      <w:r>
        <w:t xml:space="preserve">Paraphilic disorders</w:t>
      </w:r>
    </w:p>
    <w:bookmarkEnd w:id="210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04" w:name="m906d30-exhibitionistic-disorder"/>
            <w:r>
              <w:t xml:space="preserve">6D30 EXHIBITIONISTIC DISORDER</w:t>
            </w:r>
            <w:bookmarkEnd w:id="2104"/>
          </w:p>
          <w:p>
            <w:pPr>
              <w:pStyle w:val="Compact"/>
              <w:ind w:firstLine="0" w:left="0"/>
            </w:pPr>
            <w:r>
              <w:rPr>
                <w:lang w:val="en"/>
              </w:rPr>
              <w:t xml:space="preserve">Exhibitionistic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Exhibitionism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Exhibitionistic Disorder</w:t>
            </w:r>
          </w:p>
        </w:tc>
      </w:tr>
    </w:tbl>
    <w:bookmarkStart w:id="2105" w:name="X00fb59b0603b0f275a08fc68148408138c41b52"/>
    <w:p>
      <w:pPr>
        <w:pStyle w:val="Heading3"/>
      </w:pPr>
      <w:r>
        <w:t xml:space="preserve">1. Definition and nosology</w:t>
      </w:r>
    </w:p>
    <w:p>
      <w:pPr>
        <w:pStyle w:val="FirstParagraph"/>
      </w:pPr>
      <w:r>
        <w:t xml:space="preserve">Exhibitionistic disorder (ICD-11:</w:t>
      </w:r>
      <w:r>
        <w:t xml:space="preserve"> </w:t>
      </w:r>
      <w:r>
        <w:t xml:space="preserve">6D30</w:t>
      </w:r>
      <w:r>
        <w:t xml:space="preserve">; DSM-5-TR: F65.2) — persistent or intense sexual arousal from exposing genitals to non-consenting persons; the patient experiences significant distress or functional impairment in response to these fantasies, urges, or behaviors, and/or acts on them with actual non-consenting individuals.</w:t>
      </w:r>
    </w:p>
    <w:bookmarkEnd w:id="2105"/>
    <w:bookmarkStart w:id="2106" w:name="Xb84ba9a79317d43f0809903d347de8cb99a61ad"/>
    <w:p>
      <w:pPr>
        <w:pStyle w:val="Heading3"/>
      </w:pPr>
      <w:r>
        <w:t xml:space="preserve">2. History</w:t>
      </w:r>
    </w:p>
    <w:p>
      <w:pPr>
        <w:pStyle w:val="Compact"/>
        <w:numPr>
          <w:ilvl w:val="0"/>
          <w:numId w:val="2041"/>
        </w:numPr>
      </w:pPr>
      <w:r>
        <w:t xml:space="preserve">Lasègue C. (1877) — term ‘exhibitionnistes’.</w:t>
      </w:r>
    </w:p>
    <w:p>
      <w:pPr>
        <w:pStyle w:val="Compact"/>
        <w:numPr>
          <w:ilvl w:val="0"/>
          <w:numId w:val="2041"/>
        </w:numPr>
      </w:pPr>
      <w:r>
        <w:t xml:space="preserve">DSM-III (1980) — Official diagnosis.</w:t>
      </w:r>
    </w:p>
    <w:p>
      <w:pPr>
        <w:pStyle w:val="Compact"/>
        <w:numPr>
          <w:ilvl w:val="0"/>
          <w:numId w:val="2041"/>
        </w:numPr>
      </w:pPr>
      <w:r>
        <w:t xml:space="preserve">DSM-5 (2013) — distinction between paraphilia (atypical sexual interest) and paraphilic disorder (clinical distress or harm to others).</w:t>
      </w:r>
    </w:p>
    <w:p>
      <w:pPr>
        <w:pStyle w:val="Compact"/>
        <w:numPr>
          <w:ilvl w:val="0"/>
          <w:numId w:val="2041"/>
        </w:numPr>
      </w:pPr>
      <w:r>
        <w:t xml:space="preserve">WFSBP 2020 (Thibaut F. et al.) — international recommendation for paraphilic disorders.</w:t>
      </w:r>
    </w:p>
    <w:bookmarkEnd w:id="2106"/>
    <w:bookmarkStart w:id="2107" w:name="Xd7a99ecf3ebe24f806f3b3363f9c7491cb72fb1"/>
    <w:p>
      <w:pPr>
        <w:pStyle w:val="Heading3"/>
      </w:pPr>
      <w:r>
        <w:t xml:space="preserve">3. Epidemiology</w:t>
      </w:r>
    </w:p>
    <w:p>
      <w:pPr>
        <w:pStyle w:val="Compact"/>
        <w:numPr>
          <w:ilvl w:val="0"/>
          <w:numId w:val="2042"/>
        </w:numPr>
      </w:pPr>
      <w:r>
        <w:t xml:space="preserve">Prevalence: males 2–4%; rare in females.</w:t>
      </w:r>
    </w:p>
    <w:p>
      <w:pPr>
        <w:pStyle w:val="Compact"/>
        <w:numPr>
          <w:ilvl w:val="0"/>
          <w:numId w:val="2042"/>
        </w:numPr>
      </w:pPr>
      <w:r>
        <w:t xml:space="preserve">Onset: adolescence and early adulthood.</w:t>
      </w:r>
    </w:p>
    <w:p>
      <w:pPr>
        <w:pStyle w:val="Compact"/>
        <w:numPr>
          <w:ilvl w:val="0"/>
          <w:numId w:val="2042"/>
        </w:numPr>
      </w:pPr>
      <w:r>
        <w:t xml:space="preserve">Comorbidity: other paraphilia (50–80% of paraphilic disorder patients), ASPD, substance use, MDD.</w:t>
      </w:r>
    </w:p>
    <w:bookmarkEnd w:id="2107"/>
    <w:bookmarkStart w:id="2108" w:name="X9b99a0ba65ab9f7464bfc448869340c753cf4ec"/>
    <w:p>
      <w:pPr>
        <w:pStyle w:val="Heading3"/>
      </w:pPr>
      <w:r>
        <w:t xml:space="preserve">4. Aetiology and pathogenesis</w:t>
      </w:r>
    </w:p>
    <w:p>
      <w:pPr>
        <w:pStyle w:val="Compact"/>
        <w:numPr>
          <w:ilvl w:val="0"/>
          <w:numId w:val="2043"/>
        </w:numPr>
      </w:pPr>
      <w:r>
        <w:t xml:space="preserve">Numerous factors — biological, behavioral conditioning, psychosocial.</w:t>
      </w:r>
    </w:p>
    <w:p>
      <w:pPr>
        <w:pStyle w:val="Compact"/>
        <w:numPr>
          <w:ilvl w:val="0"/>
          <w:numId w:val="2043"/>
        </w:numPr>
      </w:pPr>
      <w:r>
        <w:t xml:space="preserve">Comorbid impulsivity and hypersexuality.</w:t>
      </w:r>
    </w:p>
    <w:bookmarkEnd w:id="2108"/>
    <w:bookmarkStart w:id="2109" w:name="Xb2f2e86b4f53ca6e73266652f3fcd598b51ff89"/>
    <w:p>
      <w:pPr>
        <w:pStyle w:val="Heading3"/>
      </w:pPr>
      <w:r>
        <w:t xml:space="preserve">5. Clinical features</w:t>
      </w:r>
    </w:p>
    <w:p>
      <w:pPr>
        <w:pStyle w:val="Compact"/>
        <w:numPr>
          <w:ilvl w:val="0"/>
          <w:numId w:val="2044"/>
        </w:numPr>
      </w:pPr>
      <w:r>
        <w:t xml:space="preserve">Repeated and intense sexual arousal for exposing genitals to nonconsenting persons.</w:t>
      </w:r>
    </w:p>
    <w:p>
      <w:pPr>
        <w:pStyle w:val="Compact"/>
        <w:numPr>
          <w:ilvl w:val="0"/>
          <w:numId w:val="2044"/>
        </w:numPr>
      </w:pPr>
      <w:r>
        <w:t xml:space="preserve">The patient acts on fantasy, impulse, or behavior or experiences distress.</w:t>
      </w:r>
    </w:p>
    <w:p>
      <w:pPr>
        <w:pStyle w:val="Compact"/>
        <w:numPr>
          <w:ilvl w:val="0"/>
          <w:numId w:val="2044"/>
        </w:numPr>
      </w:pPr>
      <w:r>
        <w:t xml:space="preserve">Typical context — street, public transportation.</w:t>
      </w:r>
    </w:p>
    <w:p>
      <w:pPr>
        <w:pStyle w:val="Compact"/>
        <w:numPr>
          <w:ilvl w:val="0"/>
          <w:numId w:val="2044"/>
        </w:numPr>
      </w:pPr>
      <w:r>
        <w:t xml:space="preserve">Legal and social consequences (sexual crime).</w:t>
      </w:r>
    </w:p>
    <w:bookmarkEnd w:id="2109"/>
    <w:bookmarkStart w:id="2114" w:name="X5280c68235a13bc086210c44fe1ce546126f3c2"/>
    <w:p>
      <w:pPr>
        <w:pStyle w:val="Heading3"/>
      </w:pPr>
      <w:r>
        <w:t xml:space="preserve">6. Diagnosis</w:t>
      </w:r>
    </w:p>
    <w:bookmarkStart w:id="2110" w:name="unified-diagnostic-criteria-48"/>
    <w:p>
      <w:pPr>
        <w:pStyle w:val="Heading4"/>
      </w:pPr>
      <w:r>
        <w:t xml:space="preserve">6.1 Unified diagnostic criteria</w:t>
      </w:r>
    </w:p>
    <w:p>
      <w:pPr>
        <w:pStyle w:val="FirstParagraph"/>
      </w:pPr>
      <w:r>
        <w:t xml:space="preserve">A. ≥6 months repeated and intense sexual arousal from genital exposure to non-consenting individuals.</w:t>
      </w:r>
    </w:p>
    <w:p>
      <w:pPr>
        <w:pStyle w:val="BodyText"/>
      </w:pPr>
      <w:r>
        <w:t xml:space="preserve">B. The patient has acted on fantasies/impulses or experiences significant distress/functional impairment.</w:t>
      </w:r>
    </w:p>
    <w:bookmarkEnd w:id="2110"/>
    <w:bookmarkStart w:id="2111" w:name="differences-between-sources-126"/>
    <w:p>
      <w:pPr>
        <w:pStyle w:val="Heading4"/>
      </w:pPr>
      <w:r>
        <w:t xml:space="preserve">6.2 Differences between sources</w:t>
      </w:r>
    </w:p>
    <w:p>
      <w:pPr>
        <w:pStyle w:val="Compact"/>
        <w:numPr>
          <w:ilvl w:val="0"/>
          <w:numId w:val="2045"/>
        </w:numPr>
      </w:pPr>
      <w:r>
        <w:t xml:space="preserve">DSM-5-TR requires a 6-month duration; ICD-11 sets no duration criterion — it speaks of a “sustained, focused and intense pattern of arousal”.</w:t>
      </w:r>
    </w:p>
    <w:p>
      <w:pPr>
        <w:pStyle w:val="Compact"/>
        <w:numPr>
          <w:ilvl w:val="0"/>
          <w:numId w:val="2045"/>
        </w:numPr>
      </w:pPr>
      <w:r>
        <w:t xml:space="preserve">WFSBP 2020 — step-by-step therapy for paraphilic disorders.</w:t>
      </w:r>
    </w:p>
    <w:bookmarkEnd w:id="2111"/>
    <w:bookmarkStart w:id="2112" w:name="diagnostic-algorithm-71"/>
    <w:p>
      <w:pPr>
        <w:pStyle w:val="Heading4"/>
      </w:pPr>
      <w:r>
        <w:t xml:space="preserve">6.3 Diagnostic algorithm</w:t>
      </w:r>
    </w:p>
    <w:p>
      <w:pPr>
        <w:pStyle w:val="Compact"/>
        <w:numPr>
          <w:ilvl w:val="0"/>
          <w:numId w:val="2046"/>
        </w:numPr>
      </w:pPr>
      <w:r>
        <w:t xml:space="preserve">Clinical interview.</w:t>
      </w:r>
    </w:p>
    <w:p>
      <w:pPr>
        <w:pStyle w:val="Compact"/>
        <w:numPr>
          <w:ilvl w:val="0"/>
          <w:numId w:val="2046"/>
        </w:numPr>
      </w:pPr>
      <w:r>
        <w:t xml:space="preserve">Comorbidity (ASPD, substance, other paraphilic).</w:t>
      </w:r>
    </w:p>
    <w:p>
      <w:pPr>
        <w:pStyle w:val="Compact"/>
        <w:numPr>
          <w:ilvl w:val="0"/>
          <w:numId w:val="2046"/>
        </w:numPr>
      </w:pPr>
      <w:r>
        <w:t xml:space="preserve">Risk assessment (forensic context).</w:t>
      </w:r>
    </w:p>
    <w:bookmarkEnd w:id="2112"/>
    <w:bookmarkStart w:id="2113" w:name="differential-diagnosis-7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Hypersexuality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Partners with consent.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context.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Disinhibition due to frontal lobe pathology.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bl>
    <w:bookmarkEnd w:id="2113"/>
    <w:bookmarkEnd w:id="2114"/>
    <w:bookmarkStart w:id="2115" w:name="Xd193fafe2e1598dc589ab282793feac1f0f9ea7"/>
    <w:p>
      <w:pPr>
        <w:pStyle w:val="Heading3"/>
      </w:pPr>
      <w:r>
        <w:t xml:space="preserve">7. Examination and assessment</w:t>
      </w:r>
    </w:p>
    <w:p>
      <w:pPr>
        <w:pStyle w:val="Compact"/>
        <w:numPr>
          <w:ilvl w:val="0"/>
          <w:numId w:val="2047"/>
        </w:numPr>
      </w:pPr>
      <w:r>
        <w:t xml:space="preserve">Clinical interview.</w:t>
      </w:r>
    </w:p>
    <w:p>
      <w:pPr>
        <w:pStyle w:val="Compact"/>
        <w:numPr>
          <w:ilvl w:val="0"/>
          <w:numId w:val="2047"/>
        </w:numPr>
      </w:pPr>
      <w:r>
        <w:t xml:space="preserve">Risk scales (Static-99R for sexual recidivism).</w:t>
      </w:r>
    </w:p>
    <w:bookmarkEnd w:id="2115"/>
    <w:bookmarkStart w:id="2119" w:name="Xada67e7948ee5a584efb27aea83c9a274eaa35b"/>
    <w:p>
      <w:pPr>
        <w:pStyle w:val="Heading3"/>
      </w:pPr>
      <w:r>
        <w:t xml:space="preserve">8. Treatment</w:t>
      </w:r>
    </w:p>
    <w:bookmarkStart w:id="2116" w:name="general-principles-wfsbp-2020-stepwise"/>
    <w:p>
      <w:pPr>
        <w:pStyle w:val="Heading4"/>
      </w:pPr>
      <w:r>
        <w:t xml:space="preserve">8.1 General Principles (WFSBP 2020 Stepwise)</w:t>
      </w:r>
    </w:p>
    <w:p>
      <w:pPr>
        <w:pStyle w:val="Compact"/>
        <w:numPr>
          <w:ilvl w:val="0"/>
          <w:numId w:val="2048"/>
        </w:numPr>
      </w:pPr>
      <w:r>
        <w:t xml:space="preserve">CBT and cognitive-behavioral intervention — first-line; prevention of relapse, management of cognitive distortions.</w:t>
      </w:r>
    </w:p>
    <w:p>
      <w:pPr>
        <w:pStyle w:val="Compact"/>
        <w:numPr>
          <w:ilvl w:val="0"/>
          <w:numId w:val="2048"/>
        </w:numPr>
      </w:pPr>
      <w:r>
        <w:t xml:space="preserve">SSRIs — high dose (fluoxetine 40–80 mg); reduces impulsivity and sexual drive.</w:t>
      </w:r>
    </w:p>
    <w:p>
      <w:pPr>
        <w:pStyle w:val="Compact"/>
        <w:numPr>
          <w:ilvl w:val="0"/>
          <w:numId w:val="2048"/>
        </w:numPr>
      </w:pPr>
      <w:r>
        <w:t xml:space="preserve">In refractory cases / severe cases — antiandrogen (CPA cyproterone, MPA medroxyprogesterone).</w:t>
      </w:r>
    </w:p>
    <w:p>
      <w:pPr>
        <w:pStyle w:val="Compact"/>
        <w:numPr>
          <w:ilvl w:val="0"/>
          <w:numId w:val="2048"/>
        </w:numPr>
      </w:pPr>
      <w:r>
        <w:t xml:space="preserve">In most severe case — GnRH agonist (leuprolide, triptorelin) — chemical castration; continuous monitoring.</w:t>
      </w:r>
    </w:p>
    <w:p>
      <w:pPr>
        <w:pStyle w:val="Compact"/>
        <w:numPr>
          <w:ilvl w:val="0"/>
          <w:numId w:val="2048"/>
        </w:numPr>
      </w:pPr>
      <w:r>
        <w:t xml:space="preserve">Legal-medical coordination.</w:t>
      </w:r>
    </w:p>
    <w:bookmarkEnd w:id="2116"/>
    <w:bookmarkStart w:id="2117" w:name="treatment-methods-69"/>
    <w:p>
      <w:pPr>
        <w:pStyle w:val="Heading4"/>
      </w:pPr>
      <w:r>
        <w:t xml:space="preserve">8.2 Treatment methods</w:t>
      </w:r>
    </w:p>
    <w:p>
      <w:pPr>
        <w:pStyle w:val="Compact"/>
        <w:numPr>
          <w:ilvl w:val="0"/>
          <w:numId w:val="2049"/>
        </w:numPr>
      </w:pPr>
      <w:r>
        <w:t xml:space="preserve">CBT (relapse prevention) — Trigger management, cognitive distortion.</w:t>
      </w:r>
    </w:p>
    <w:p>
      <w:pPr>
        <w:pStyle w:val="Compact"/>
        <w:numPr>
          <w:ilvl w:val="0"/>
          <w:numId w:val="2049"/>
        </w:numPr>
      </w:pPr>
      <w:r>
        <w:t xml:space="preserve">SSRI High Dose — First pharmacotherapy.</w:t>
      </w:r>
    </w:p>
    <w:p>
      <w:pPr>
        <w:pStyle w:val="Compact"/>
        <w:numPr>
          <w:ilvl w:val="0"/>
          <w:numId w:val="2049"/>
        </w:numPr>
      </w:pPr>
      <w:r>
        <w:t xml:space="preserve">Antiandrogen (CPA, MPA) — In refractory cases.</w:t>
      </w:r>
    </w:p>
    <w:p>
      <w:pPr>
        <w:pStyle w:val="Compact"/>
        <w:numPr>
          <w:ilvl w:val="0"/>
          <w:numId w:val="2049"/>
        </w:numPr>
      </w:pPr>
      <w:r>
        <w:t xml:space="preserve">GnRH Agonist — In most severe case.</w:t>
      </w:r>
    </w:p>
    <w:bookmarkEnd w:id="2117"/>
    <w:bookmarkStart w:id="2118" w:name="differences-between-sources-127"/>
    <w:p>
      <w:pPr>
        <w:pStyle w:val="Heading4"/>
      </w:pPr>
      <w:r>
        <w:t xml:space="preserve">8.3 Differences between sources</w:t>
      </w:r>
    </w:p>
    <w:p>
      <w:pPr>
        <w:pStyle w:val="Compact"/>
        <w:numPr>
          <w:ilvl w:val="0"/>
          <w:numId w:val="2050"/>
        </w:numPr>
      </w:pPr>
      <w:r>
        <w:t xml:space="preserve">WFSBP 2020 — step-by-step algorithm.</w:t>
      </w:r>
    </w:p>
    <w:bookmarkEnd w:id="2118"/>
    <w:bookmarkEnd w:id="2119"/>
    <w:bookmarkStart w:id="2120" w:name="X8edfd932196b0ba9eb6f6e5ace4e78dd5e55333"/>
    <w:p>
      <w:pPr>
        <w:pStyle w:val="Heading3"/>
      </w:pPr>
      <w:r>
        <w:t xml:space="preserve">9. Prognosis</w:t>
      </w:r>
    </w:p>
    <w:p>
      <w:pPr>
        <w:pStyle w:val="FirstParagraph"/>
      </w:pPr>
      <w:r>
        <w:t xml:space="preserve">Reduction of relapse with evidence-based treatment; comorbid ASPD and substance abuse poor prognosis.</w:t>
      </w:r>
    </w:p>
    <w:bookmarkEnd w:id="2120"/>
    <w:bookmarkStart w:id="2125" w:name="X8b87d20eabd9728ff96466e3c578ac706a65ac3"/>
    <w:p>
      <w:pPr>
        <w:pStyle w:val="Heading3"/>
      </w:pPr>
      <w:r>
        <w:t xml:space="preserve">10. Myths and misconceptions</w:t>
      </w:r>
    </w:p>
    <w:bookmarkStart w:id="2121" w:name="myth-1-exhibitionism-is-harmless"/>
    <w:p>
      <w:pPr>
        <w:pStyle w:val="Heading5"/>
      </w:pPr>
      <w:r>
        <w:t xml:space="preserve">Myth 1: “Exhibitionism is harmless”</w:t>
      </w:r>
    </w:p>
    <w:p>
      <w:pPr>
        <w:pStyle w:val="FirstParagraph"/>
      </w:pPr>
      <w:r>
        <w:t xml:space="preserve">Evidence: Psychological trauma for victim; sexual crime; risk of progression to more severe paraphilias.</w:t>
      </w:r>
    </w:p>
    <w:bookmarkEnd w:id="2121"/>
    <w:bookmarkStart w:id="2122" w:name="myth-2-chemical-castration-is-first-line"/>
    <w:p>
      <w:pPr>
        <w:pStyle w:val="Heading5"/>
      </w:pPr>
      <w:r>
        <w:t xml:space="preserve">Myth 2: “Chemical castration is first-line”</w:t>
      </w:r>
    </w:p>
    <w:p>
      <w:pPr>
        <w:pStyle w:val="FirstParagraph"/>
      </w:pPr>
      <w:r>
        <w:t xml:space="preserve">Evidence: WFSBP 2020 step‑by‑step — CBT and SSRI first; GnRH in most severe cases</w:t>
      </w:r>
    </w:p>
    <w:bookmarkEnd w:id="2122"/>
    <w:bookmarkStart w:id="2123" w:name="myth-3-treatment-is-ineffective"/>
    <w:p>
      <w:pPr>
        <w:pStyle w:val="Heading5"/>
      </w:pPr>
      <w:r>
        <w:t xml:space="preserve">Myth 3: “Treatment is ineffective”</w:t>
      </w:r>
    </w:p>
    <w:p>
      <w:pPr>
        <w:pStyle w:val="FirstParagraph"/>
      </w:pPr>
      <w:r>
        <w:t xml:space="preserve">Evidence: CBT and pharmacotherapy significantly reduce recidivism.</w:t>
      </w:r>
    </w:p>
    <w:bookmarkEnd w:id="2123"/>
    <w:bookmarkStart w:id="2124" w:name="myth-4-only-legal-punishment-is-required"/>
    <w:p>
      <w:pPr>
        <w:pStyle w:val="Heading5"/>
      </w:pPr>
      <w:r>
        <w:t xml:space="preserve">Myth 4: “Only legal punishment is required”</w:t>
      </w:r>
    </w:p>
    <w:p>
      <w:pPr>
        <w:pStyle w:val="FirstParagraph"/>
      </w:pPr>
      <w:r>
        <w:t xml:space="preserve">Evidence: Clinical intervention reduces relapse risk.</w:t>
      </w:r>
    </w:p>
    <w:bookmarkEnd w:id="2124"/>
    <w:bookmarkEnd w:id="2125"/>
    <w:bookmarkStart w:id="2944" w:name="X8aca1c15886f18b7a380dcf311c5f7fba8230ed"/>
    <w:p>
      <w:pPr>
        <w:pStyle w:val="Heading3"/>
      </w:pPr>
      <w:r>
        <w:t xml:space="preserve">11. Sources</w:t>
      </w:r>
    </w:p>
    <w:p>
      <w:pPr>
        <w:pStyle w:val="Compact"/>
        <w:numPr>
          <w:ilvl w:val="0"/>
          <w:numId w:val="2051"/>
        </w:numPr>
      </w:pPr>
      <w:r>
        <w:t xml:space="preserve">WHO. ICD-11. 6D30 Exhibitionistic disorder. 2024.</w:t>
      </w:r>
    </w:p>
    <w:p>
      <w:pPr>
        <w:pStyle w:val="Compact"/>
        <w:numPr>
          <w:ilvl w:val="0"/>
          <w:numId w:val="2051"/>
        </w:numPr>
      </w:pPr>
      <w:r>
        <w:t xml:space="preserve">APA. DSM-5-TR. 2022.</w:t>
      </w:r>
    </w:p>
    <w:p>
      <w:pPr>
        <w:pStyle w:val="Compact"/>
        <w:numPr>
          <w:ilvl w:val="0"/>
          <w:numId w:val="205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26" w:name="m916d31-voyeuristic-disorder"/>
            <w:r>
              <w:t xml:space="preserve">6D31 VOYEURISTIC DISORDER</w:t>
            </w:r>
            <w:bookmarkEnd w:id="2126"/>
          </w:p>
          <w:p>
            <w:pPr>
              <w:pStyle w:val="Compact"/>
              <w:ind w:firstLine="0" w:left="0"/>
            </w:pPr>
            <w:r>
              <w:rPr>
                <w:lang w:val="en"/>
              </w:rPr>
              <w:t xml:space="preserve">Voyeuristic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Voyeurism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Voyeuristic Disorder</w:t>
            </w:r>
          </w:p>
        </w:tc>
      </w:tr>
    </w:tbl>
    <w:bookmarkStart w:id="2127" w:name="Xc859999e3c6bdae719a4e9ca10beca2f0db776d"/>
    <w:p>
      <w:pPr>
        <w:pStyle w:val="Heading3"/>
      </w:pPr>
      <w:r>
        <w:t xml:space="preserve">1. Definition and nosology</w:t>
      </w:r>
    </w:p>
    <w:p>
      <w:pPr>
        <w:pStyle w:val="FirstParagraph"/>
      </w:pPr>
      <w:r>
        <w:t xml:space="preserve">Voyeuristic disorder (ICD-11:</w:t>
      </w:r>
      <w:r>
        <w:t xml:space="preserve"> </w:t>
      </w:r>
      <w:r>
        <w:t xml:space="preserve">6D31</w:t>
      </w:r>
      <w:r>
        <w:t xml:space="preserve">; DSM-5-TR: F65.3) — persistent and intense sexual arousal from secretly observing undressing, nakedness, sexual activity of non‑consenting persons; patient experiences distress from these fantasies or acts upon them with non‑consenting individuals.</w:t>
      </w:r>
    </w:p>
    <w:bookmarkEnd w:id="2127"/>
    <w:bookmarkStart w:id="2128" w:name="X02b30a9bb4147e9d5beb3e8044aa2deb35de5e1"/>
    <w:p>
      <w:pPr>
        <w:pStyle w:val="Heading3"/>
      </w:pPr>
      <w:r>
        <w:t xml:space="preserve">2. History</w:t>
      </w:r>
    </w:p>
    <w:p>
      <w:pPr>
        <w:pStyle w:val="FirstParagraph"/>
      </w:pPr>
      <w:r>
        <w:t xml:space="preserve">Voyeurism has been described in the clinical literature in parallel with exhibitionistic disorder (6D30).</w:t>
      </w:r>
    </w:p>
    <w:bookmarkEnd w:id="2128"/>
    <w:bookmarkStart w:id="2129" w:name="Xea8ecae2e9d7687fe9bb649243ebc72b08bdb0c"/>
    <w:p>
      <w:pPr>
        <w:pStyle w:val="Heading3"/>
      </w:pPr>
      <w:r>
        <w:t xml:space="preserve">3. Epidemiology</w:t>
      </w:r>
    </w:p>
    <w:p>
      <w:pPr>
        <w:pStyle w:val="Compact"/>
        <w:numPr>
          <w:ilvl w:val="0"/>
          <w:numId w:val="2052"/>
        </w:numPr>
      </w:pPr>
      <w:r>
        <w:t xml:space="preserve">Prevalence: the population prevalence of the disorder is unknown; based on voyeuristic acts in non-clinical samples, DSM-5-TR gives a highest possible lifetime prevalence of ~12% in males and ~4% in females (Långström N., Seto M.C. Arch Sex Behav 2006, n=2450). Most people with voyeuristic behaviour do not meet criteria for the disorder.</w:t>
      </w:r>
    </w:p>
    <w:p>
      <w:pPr>
        <w:pStyle w:val="Compact"/>
        <w:numPr>
          <w:ilvl w:val="0"/>
          <w:numId w:val="2052"/>
        </w:numPr>
      </w:pPr>
      <w:r>
        <w:t xml:space="preserve">Comorbid other paraphilic disorders.</w:t>
      </w:r>
    </w:p>
    <w:p>
      <w:pPr>
        <w:pStyle w:val="Compact"/>
        <w:numPr>
          <w:ilvl w:val="0"/>
          <w:numId w:val="2052"/>
        </w:numPr>
      </w:pPr>
      <w:r>
        <w:t xml:space="preserve">Internet voyeurism (hidden camera, “upskirt”) is developing.</w:t>
      </w:r>
    </w:p>
    <w:bookmarkEnd w:id="2129"/>
    <w:bookmarkStart w:id="2130" w:name="X1f8d53559b08a7085430aae9d3a5e70830a6030"/>
    <w:p>
      <w:pPr>
        <w:pStyle w:val="Heading3"/>
      </w:pPr>
      <w:r>
        <w:t xml:space="preserve">4. Aetiology and pathogenesis</w:t>
      </w:r>
    </w:p>
    <w:p>
      <w:pPr>
        <w:pStyle w:val="FirstParagraph"/>
      </w:pPr>
      <w:r>
        <w:t xml:space="preserve">General etiology for paraphilic disorders.</w:t>
      </w:r>
    </w:p>
    <w:bookmarkEnd w:id="2130"/>
    <w:bookmarkStart w:id="2131" w:name="X8b2e89b0ef1a9bbe2da0df71ae9b3ce4a7a12f6"/>
    <w:p>
      <w:pPr>
        <w:pStyle w:val="Heading3"/>
      </w:pPr>
      <w:r>
        <w:t xml:space="preserve">5. Clinical features</w:t>
      </w:r>
    </w:p>
    <w:p>
      <w:pPr>
        <w:pStyle w:val="Compact"/>
        <w:numPr>
          <w:ilvl w:val="0"/>
          <w:numId w:val="2053"/>
        </w:numPr>
      </w:pPr>
      <w:r>
        <w:t xml:space="preserve">Observing unsuspecting individuals naked or during sexual activity without their consent.</w:t>
      </w:r>
    </w:p>
    <w:p>
      <w:pPr>
        <w:pStyle w:val="Compact"/>
        <w:numPr>
          <w:ilvl w:val="0"/>
          <w:numId w:val="2053"/>
        </w:numPr>
      </w:pPr>
      <w:r>
        <w:t xml:space="preserve">Typical context — window, dressing rooms, public places.</w:t>
      </w:r>
    </w:p>
    <w:p>
      <w:pPr>
        <w:pStyle w:val="Compact"/>
        <w:numPr>
          <w:ilvl w:val="0"/>
          <w:numId w:val="2053"/>
        </w:numPr>
      </w:pPr>
      <w:r>
        <w:t xml:space="preserve">“Upskirting” — the modern form.</w:t>
      </w:r>
    </w:p>
    <w:p>
      <w:pPr>
        <w:pStyle w:val="Compact"/>
        <w:numPr>
          <w:ilvl w:val="0"/>
          <w:numId w:val="2053"/>
        </w:numPr>
      </w:pPr>
      <w:r>
        <w:t xml:space="preserve">Legal consequences.</w:t>
      </w:r>
    </w:p>
    <w:bookmarkEnd w:id="2131"/>
    <w:bookmarkStart w:id="2136" w:name="X2245b9584e67879c1b657fc9ca2418ed5d556aa"/>
    <w:p>
      <w:pPr>
        <w:pStyle w:val="Heading3"/>
      </w:pPr>
      <w:r>
        <w:t xml:space="preserve">6. Diagnosis</w:t>
      </w:r>
    </w:p>
    <w:bookmarkStart w:id="2132" w:name="unified-diagnostic-criteria-49"/>
    <w:p>
      <w:pPr>
        <w:pStyle w:val="Heading4"/>
      </w:pPr>
      <w:r>
        <w:t xml:space="preserve">6.1 Unified diagnostic criteria</w:t>
      </w:r>
    </w:p>
    <w:p>
      <w:pPr>
        <w:pStyle w:val="FirstParagraph"/>
      </w:pPr>
      <w:r>
        <w:t xml:space="preserve">A. ≥6 months repeated sexual arousal from observing non-consenting individuals.</w:t>
      </w:r>
    </w:p>
    <w:p>
      <w:pPr>
        <w:pStyle w:val="BodyText"/>
      </w:pPr>
      <w:r>
        <w:t xml:space="preserve">B. The patient has acted on fantasy or experiences distress.</w:t>
      </w:r>
    </w:p>
    <w:p>
      <w:pPr>
        <w:pStyle w:val="BodyText"/>
      </w:pPr>
      <w:r>
        <w:t xml:space="preserve">C. Age ≥18 (DSM-5-TR; normal curiosity in adolescents is an exception).</w:t>
      </w:r>
    </w:p>
    <w:bookmarkEnd w:id="2132"/>
    <w:bookmarkStart w:id="2133" w:name="differences-between-sources-128"/>
    <w:p>
      <w:pPr>
        <w:pStyle w:val="Heading4"/>
      </w:pPr>
      <w:r>
        <w:t xml:space="preserve">6.2 Differences between sources</w:t>
      </w:r>
    </w:p>
    <w:p>
      <w:pPr>
        <w:pStyle w:val="Compact"/>
        <w:numPr>
          <w:ilvl w:val="0"/>
          <w:numId w:val="2054"/>
        </w:numPr>
      </w:pPr>
      <w:r>
        <w:t xml:space="preserve">DSM-5-TR requires a 6-month duration; ICD-11 sets no duration criterion — it speaks of a “sustained, focused and intense pattern of arousal”.</w:t>
      </w:r>
    </w:p>
    <w:p>
      <w:pPr>
        <w:pStyle w:val="Compact"/>
        <w:numPr>
          <w:ilvl w:val="0"/>
          <w:numId w:val="2054"/>
        </w:numPr>
      </w:pPr>
      <w:r>
        <w:t xml:space="preserve">WFSBP 2020.</w:t>
      </w:r>
    </w:p>
    <w:bookmarkEnd w:id="2133"/>
    <w:bookmarkStart w:id="2134" w:name="diagnostic-algorithm-72"/>
    <w:p>
      <w:pPr>
        <w:pStyle w:val="Heading4"/>
      </w:pPr>
      <w:r>
        <w:t xml:space="preserve">6.3 Diagnostic algorithm</w:t>
      </w:r>
    </w:p>
    <w:p>
      <w:pPr>
        <w:pStyle w:val="Compact"/>
        <w:numPr>
          <w:ilvl w:val="0"/>
          <w:numId w:val="2055"/>
        </w:numPr>
      </w:pPr>
      <w:r>
        <w:t xml:space="preserve">Clinical interview.</w:t>
      </w:r>
    </w:p>
    <w:p>
      <w:pPr>
        <w:pStyle w:val="Compact"/>
        <w:numPr>
          <w:ilvl w:val="0"/>
          <w:numId w:val="2055"/>
        </w:numPr>
      </w:pPr>
      <w:r>
        <w:t xml:space="preserve">Comorbidity.</w:t>
      </w:r>
    </w:p>
    <w:p>
      <w:pPr>
        <w:pStyle w:val="Compact"/>
        <w:numPr>
          <w:ilvl w:val="0"/>
          <w:numId w:val="2055"/>
        </w:numPr>
      </w:pPr>
      <w:r>
        <w:t xml:space="preserve">Risk assessment.</w:t>
      </w:r>
    </w:p>
    <w:bookmarkEnd w:id="2134"/>
    <w:bookmarkStart w:id="2135" w:name="differential-diagnosis-7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Adolescent curiosity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Part of normal development.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Consensual viewing (pornography)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Consensual context.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context.</w:t>
            </w:r>
          </w:p>
        </w:tc>
      </w:tr>
    </w:tbl>
    <w:bookmarkEnd w:id="2135"/>
    <w:bookmarkEnd w:id="2136"/>
    <w:bookmarkStart w:id="2137" w:name="X0743712df39137a5a88cec899531bc3457b1954"/>
    <w:p>
      <w:pPr>
        <w:pStyle w:val="Heading3"/>
      </w:pPr>
      <w:r>
        <w:t xml:space="preserve">7. Examination and assessment</w:t>
      </w:r>
    </w:p>
    <w:p>
      <w:pPr>
        <w:pStyle w:val="Compact"/>
        <w:numPr>
          <w:ilvl w:val="0"/>
          <w:numId w:val="2056"/>
        </w:numPr>
      </w:pPr>
      <w:r>
        <w:t xml:space="preserve">Clinical interview.</w:t>
      </w:r>
    </w:p>
    <w:p>
      <w:pPr>
        <w:pStyle w:val="Compact"/>
        <w:numPr>
          <w:ilvl w:val="0"/>
          <w:numId w:val="2056"/>
        </w:numPr>
      </w:pPr>
      <w:r>
        <w:t xml:space="preserve">Risk scales.</w:t>
      </w:r>
    </w:p>
    <w:bookmarkEnd w:id="2137"/>
    <w:bookmarkStart w:id="2139" w:name="X51d63d3fca9917ddd725c45020f28275a35cf90"/>
    <w:p>
      <w:pPr>
        <w:pStyle w:val="Heading3"/>
      </w:pPr>
      <w:r>
        <w:t xml:space="preserve">8. Treatment</w:t>
      </w:r>
    </w:p>
    <w:p>
      <w:pPr>
        <w:pStyle w:val="Compact"/>
        <w:numPr>
          <w:ilvl w:val="0"/>
          <w:numId w:val="2057"/>
        </w:numPr>
      </w:pPr>
      <w:r>
        <w:t xml:space="preserve">WFSBP 2020 step‑by‑step algorithm (same as 6D30):</w:t>
      </w:r>
    </w:p>
    <w:p>
      <w:pPr>
        <w:pStyle w:val="Compact"/>
        <w:numPr>
          <w:ilvl w:val="1"/>
          <w:numId w:val="2058"/>
        </w:numPr>
      </w:pPr>
      <w:r>
        <w:t xml:space="preserve">CBT for relapse prevention;</w:t>
      </w:r>
    </w:p>
    <w:p>
      <w:pPr>
        <w:pStyle w:val="Compact"/>
        <w:numPr>
          <w:ilvl w:val="1"/>
          <w:numId w:val="2058"/>
        </w:numPr>
      </w:pPr>
      <w:r>
        <w:t xml:space="preserve">SSRI high dose;</w:t>
      </w:r>
    </w:p>
    <w:p>
      <w:pPr>
        <w:pStyle w:val="Compact"/>
        <w:numPr>
          <w:ilvl w:val="1"/>
          <w:numId w:val="2058"/>
        </w:numPr>
      </w:pPr>
      <w:r>
        <w:t xml:space="preserve">Antiandrogen;</w:t>
      </w:r>
    </w:p>
    <w:p>
      <w:pPr>
        <w:pStyle w:val="Compact"/>
        <w:numPr>
          <w:ilvl w:val="1"/>
          <w:numId w:val="2058"/>
        </w:numPr>
      </w:pPr>
      <w:r>
        <w:t xml:space="preserve">GnRH in the most severe case.</w:t>
      </w:r>
    </w:p>
    <w:p>
      <w:pPr>
        <w:pStyle w:val="Compact"/>
        <w:numPr>
          <w:ilvl w:val="0"/>
          <w:numId w:val="2057"/>
        </w:numPr>
      </w:pPr>
      <w:r>
        <w:t xml:space="preserve">Legal-medical coordination.</w:t>
      </w:r>
    </w:p>
    <w:bookmarkStart w:id="2138" w:name="treatment-methods-70"/>
    <w:p>
      <w:pPr>
        <w:pStyle w:val="Heading4"/>
      </w:pPr>
      <w:r>
        <w:t xml:space="preserve">8.1 Treatment methods</w:t>
      </w:r>
    </w:p>
    <w:p>
      <w:pPr>
        <w:pStyle w:val="FirstParagraph"/>
      </w:pPr>
      <w:r>
        <w:t xml:space="preserve">Same as 6D30.</w:t>
      </w:r>
    </w:p>
    <w:bookmarkEnd w:id="2138"/>
    <w:bookmarkEnd w:id="2139"/>
    <w:bookmarkStart w:id="2140" w:name="X97d195d4f5dd7e33ad8f0a5454f331809a249cf"/>
    <w:p>
      <w:pPr>
        <w:pStyle w:val="Heading3"/>
      </w:pPr>
      <w:r>
        <w:t xml:space="preserve">9. Prognosis</w:t>
      </w:r>
    </w:p>
    <w:p>
      <w:pPr>
        <w:pStyle w:val="FirstParagraph"/>
      </w:pPr>
      <w:r>
        <w:t xml:space="preserve">Reduction of relapse with evidence-based treatment.</w:t>
      </w:r>
    </w:p>
    <w:bookmarkEnd w:id="2140"/>
    <w:bookmarkStart w:id="2145" w:name="X2e4e87ef32c2c147929ee5f38c5856b1796a5b7"/>
    <w:p>
      <w:pPr>
        <w:pStyle w:val="Heading3"/>
      </w:pPr>
      <w:r>
        <w:t xml:space="preserve">10. Myths and misconceptions</w:t>
      </w:r>
    </w:p>
    <w:bookmarkStart w:id="2141" w:name="X6563e592cf3634b0c262d36cf9f5ff66875086c"/>
    <w:p>
      <w:pPr>
        <w:pStyle w:val="Heading5"/>
      </w:pPr>
      <w:r>
        <w:t xml:space="preserve">Myth 1: “Voyeurism is harmless; the victim remains unaware”</w:t>
      </w:r>
    </w:p>
    <w:p>
      <w:pPr>
        <w:pStyle w:val="FirstParagraph"/>
      </w:pPr>
      <w:r>
        <w:t xml:space="preserve">Evidence: Trauma if victim evident; consent violation sexual crime.</w:t>
      </w:r>
    </w:p>
    <w:bookmarkEnd w:id="2141"/>
    <w:bookmarkStart w:id="2142" w:name="myth-2-pornography-use-is-voyeurism"/>
    <w:p>
      <w:pPr>
        <w:pStyle w:val="Heading5"/>
      </w:pPr>
      <w:r>
        <w:t xml:space="preserve">Myth 2: “Pornography use is voyeurism”</w:t>
      </w:r>
    </w:p>
    <w:p>
      <w:pPr>
        <w:pStyle w:val="FirstParagraph"/>
      </w:pPr>
      <w:r>
        <w:t xml:space="preserve">Evidence: Consensual production and consumption — voyeurism absent; clinical diagnosis focuses on those without consent.</w:t>
      </w:r>
    </w:p>
    <w:bookmarkEnd w:id="2142"/>
    <w:bookmarkStart w:id="2143" w:name="Xddee71797dbc0af87f602eff2af26ad86701839"/>
    <w:p>
      <w:pPr>
        <w:pStyle w:val="Heading5"/>
      </w:pPr>
      <w:r>
        <w:t xml:space="preserve">Myth 3: “Internet voyeurism is only new; it has no clinical significance”</w:t>
      </w:r>
    </w:p>
    <w:p>
      <w:pPr>
        <w:pStyle w:val="FirstParagraph"/>
      </w:pPr>
      <w:r>
        <w:t xml:space="preserve">Evidence: “Upskirting”, hidden camera — sexual crime; requires clinical and legal intervention.</w:t>
      </w:r>
    </w:p>
    <w:bookmarkEnd w:id="2143"/>
    <w:bookmarkStart w:id="2144" w:name="myth-4-treatment-is-ineffective"/>
    <w:p>
      <w:pPr>
        <w:pStyle w:val="Heading5"/>
      </w:pPr>
      <w:r>
        <w:t xml:space="preserve">Myth 4: “Treatment is ineffective”</w:t>
      </w:r>
    </w:p>
    <w:p>
      <w:pPr>
        <w:pStyle w:val="FirstParagraph"/>
      </w:pPr>
      <w:r>
        <w:t xml:space="preserve">Evidence: CBT and pharmacotherapy are effective.</w:t>
      </w:r>
    </w:p>
    <w:bookmarkEnd w:id="2144"/>
    <w:bookmarkEnd w:id="2145"/>
    <w:bookmarkStart w:id="2943" w:name="Xf755a14da64b1fbb9eafb8b13810b4219c5c9dc"/>
    <w:p>
      <w:pPr>
        <w:pStyle w:val="Heading3"/>
      </w:pPr>
      <w:r>
        <w:t xml:space="preserve">11. Sources</w:t>
      </w:r>
    </w:p>
    <w:p>
      <w:pPr>
        <w:pStyle w:val="Compact"/>
        <w:numPr>
          <w:ilvl w:val="0"/>
          <w:numId w:val="2059"/>
        </w:numPr>
      </w:pPr>
      <w:r>
        <w:t xml:space="preserve">WHO. ICD-11. 6D31 Voyeuristic disorder. 2024.</w:t>
      </w:r>
    </w:p>
    <w:p>
      <w:pPr>
        <w:pStyle w:val="Compact"/>
        <w:numPr>
          <w:ilvl w:val="0"/>
          <w:numId w:val="2059"/>
        </w:numPr>
      </w:pPr>
      <w:r>
        <w:t xml:space="preserve">APA. DSM-5-TR. 2022.</w:t>
      </w:r>
    </w:p>
    <w:p>
      <w:pPr>
        <w:pStyle w:val="Compact"/>
        <w:numPr>
          <w:ilvl w:val="0"/>
          <w:numId w:val="2059"/>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59"/>
        </w:numPr>
      </w:pPr>
      <w:r>
        <w:t xml:space="preserve">Långström N., Seto M.C. Exhibitionistic and voyeuristic behavior in a Swedish national population survey. Arch Sex Behav 2006;35(4):427–435.</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46" w:name="m926d32-pedophilic-disorder"/>
            <w:r>
              <w:t xml:space="preserve">6D32 PEDOPHILIC DISORDER</w:t>
            </w:r>
            <w:bookmarkEnd w:id="2146"/>
          </w:p>
          <w:p>
            <w:pPr>
              <w:pStyle w:val="Compact"/>
              <w:ind w:firstLine="0" w:left="0"/>
            </w:pPr>
            <w:r>
              <w:rPr>
                <w:lang w:val="en"/>
              </w:rPr>
              <w:t xml:space="preserve">Pedophilic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Paedophilia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Pedophilic Disorder</w:t>
            </w:r>
          </w:p>
        </w:tc>
      </w:tr>
    </w:tbl>
    <w:bookmarkStart w:id="2147" w:name="X43d8b9764df0fea2719dbc0f9ee41cd4ff9cc1f"/>
    <w:p>
      <w:pPr>
        <w:pStyle w:val="Heading3"/>
      </w:pPr>
      <w:r>
        <w:t xml:space="preserve">1. Definition and nosology</w:t>
      </w:r>
    </w:p>
    <w:p>
      <w:pPr>
        <w:pStyle w:val="FirstParagraph"/>
      </w:pPr>
      <w:r>
        <w:t xml:space="preserve">Paedophilic Disorder (ICD-11:</w:t>
      </w:r>
      <w:r>
        <w:t xml:space="preserve"> </w:t>
      </w:r>
      <w:r>
        <w:t xml:space="preserve">6D32</w:t>
      </w:r>
      <w:r>
        <w:t xml:space="preserve">; DSM-5-TR: F65.4) — persistent and intense sexual arousal toward prepubescent children (typically &lt;13 years) for ≥6 months; the patient has acted on fantasies involving children or experiences significant distress/functional impairment. Patient is at least 16 years and victim at least 5 years younger.</w:t>
      </w:r>
    </w:p>
    <w:p>
      <w:pPr>
        <w:pStyle w:val="BodyText"/>
      </w:pPr>
      <w:r>
        <w:t xml:space="preserve">Important: “Pedophilic interest” (paraphilia) and “Pedophilic Disorder” (clinical diagnosis) are distinct — the diagnosis requires functional impairment and/or harm to the child.</w:t>
      </w:r>
    </w:p>
    <w:bookmarkEnd w:id="2147"/>
    <w:bookmarkStart w:id="2148" w:name="X8d858e98168ebb5a237a70db4420962ddddc348"/>
    <w:p>
      <w:pPr>
        <w:pStyle w:val="Heading3"/>
      </w:pPr>
      <w:r>
        <w:t xml:space="preserve">2. History</w:t>
      </w:r>
    </w:p>
    <w:p>
      <w:pPr>
        <w:pStyle w:val="Compact"/>
        <w:numPr>
          <w:ilvl w:val="0"/>
          <w:numId w:val="2060"/>
        </w:numPr>
      </w:pPr>
      <w:r>
        <w:t xml:space="preserve">Krafft-Ebing (1886).</w:t>
      </w:r>
    </w:p>
    <w:p>
      <w:pPr>
        <w:pStyle w:val="Compact"/>
        <w:numPr>
          <w:ilvl w:val="0"/>
          <w:numId w:val="2060"/>
        </w:numPr>
      </w:pPr>
      <w:r>
        <w:t xml:space="preserve">DSM-III (1980).</w:t>
      </w:r>
    </w:p>
    <w:p>
      <w:pPr>
        <w:pStyle w:val="Compact"/>
        <w:numPr>
          <w:ilvl w:val="0"/>
          <w:numId w:val="2060"/>
        </w:numPr>
      </w:pPr>
      <w:r>
        <w:t xml:space="preserve">WFSBP 2020 — international guideline for paraphilic disorders.</w:t>
      </w:r>
    </w:p>
    <w:bookmarkEnd w:id="2148"/>
    <w:bookmarkStart w:id="2149" w:name="Xb13530fbde6f3088b6a2263c65d8465fcdb0314"/>
    <w:p>
      <w:pPr>
        <w:pStyle w:val="Heading3"/>
      </w:pPr>
      <w:r>
        <w:t xml:space="preserve">3. Epidemiology</w:t>
      </w:r>
    </w:p>
    <w:p>
      <w:pPr>
        <w:pStyle w:val="Compact"/>
        <w:numPr>
          <w:ilvl w:val="0"/>
          <w:numId w:val="2061"/>
        </w:numPr>
      </w:pPr>
      <w:r>
        <w:t xml:space="preserve">Prevalence — precise data are hard to obtain (stigmatised category); DSM-5-TR gives 3–5% as the highest possible figure in the male population; true pedophilic preference ~1%.</w:t>
      </w:r>
    </w:p>
    <w:p>
      <w:pPr>
        <w:pStyle w:val="Compact"/>
        <w:numPr>
          <w:ilvl w:val="0"/>
          <w:numId w:val="2061"/>
        </w:numPr>
      </w:pPr>
      <w:r>
        <w:t xml:space="preserve">Sex: almost always in males.</w:t>
      </w:r>
    </w:p>
    <w:p>
      <w:pPr>
        <w:pStyle w:val="Compact"/>
        <w:numPr>
          <w:ilvl w:val="0"/>
          <w:numId w:val="2061"/>
        </w:numPr>
      </w:pPr>
      <w:r>
        <w:t xml:space="preserve">Comorbidity: other paraphilic, ASPD, MDD, anxiety, substance use.</w:t>
      </w:r>
    </w:p>
    <w:bookmarkEnd w:id="2149"/>
    <w:bookmarkStart w:id="2150" w:name="Xf5d32d140822f45455374b1e54c6e05bc168688"/>
    <w:p>
      <w:pPr>
        <w:pStyle w:val="Heading3"/>
      </w:pPr>
      <w:r>
        <w:t xml:space="preserve">4. Aetiology and pathogenesis</w:t>
      </w:r>
    </w:p>
    <w:p>
      <w:pPr>
        <w:pStyle w:val="Compact"/>
        <w:numPr>
          <w:ilvl w:val="0"/>
          <w:numId w:val="2062"/>
        </w:numPr>
      </w:pPr>
      <w:r>
        <w:t xml:space="preserve">Biological — neurodevelopmental anomalies (Cantor J.M. reviews — IQ, neuroanatomical differences).</w:t>
      </w:r>
    </w:p>
    <w:p>
      <w:pPr>
        <w:pStyle w:val="Compact"/>
        <w:numPr>
          <w:ilvl w:val="0"/>
          <w:numId w:val="2062"/>
        </w:numPr>
      </w:pPr>
      <w:r>
        <w:t xml:space="preserve">History of childhood trauma or sexual abuse (but most individuals with pedophilic disorder were not victims themselves; the “abused-abuser” concept is semi-scholarly).</w:t>
      </w:r>
    </w:p>
    <w:p>
      <w:pPr>
        <w:pStyle w:val="Compact"/>
        <w:numPr>
          <w:ilvl w:val="0"/>
          <w:numId w:val="2062"/>
        </w:numPr>
      </w:pPr>
      <w:r>
        <w:t xml:space="preserve">Comorbid impulsivity and hypersexuality.</w:t>
      </w:r>
    </w:p>
    <w:bookmarkEnd w:id="2150"/>
    <w:bookmarkStart w:id="2151" w:name="X2d59c92f8989cbc330dc9356a12e15846546d78"/>
    <w:p>
      <w:pPr>
        <w:pStyle w:val="Heading3"/>
      </w:pPr>
      <w:r>
        <w:t xml:space="preserve">5. Clinical features</w:t>
      </w:r>
    </w:p>
    <w:p>
      <w:pPr>
        <w:pStyle w:val="Compact"/>
        <w:numPr>
          <w:ilvl w:val="0"/>
          <w:numId w:val="2063"/>
        </w:numPr>
      </w:pPr>
      <w:r>
        <w:t xml:space="preserve">Persistent and intense sexual arousal toward prepubertal children.</w:t>
      </w:r>
    </w:p>
    <w:p>
      <w:pPr>
        <w:pStyle w:val="Compact"/>
        <w:numPr>
          <w:ilvl w:val="0"/>
          <w:numId w:val="2063"/>
        </w:numPr>
      </w:pPr>
      <w:r>
        <w:t xml:space="preserve">The patient has acted on fantasy (sexual abuse of a child) or experiences distress/functional impairment.</w:t>
      </w:r>
    </w:p>
    <w:p>
      <w:pPr>
        <w:pStyle w:val="Compact"/>
        <w:numPr>
          <w:ilvl w:val="0"/>
          <w:numId w:val="2063"/>
        </w:numPr>
      </w:pPr>
      <w:r>
        <w:t xml:space="preserve">Subtypes (DSM-5-TR): exclusive type (attracted only to children), nonexclusive type (attracted to both children and adults); male/female/both.</w:t>
      </w:r>
    </w:p>
    <w:p>
      <w:pPr>
        <w:pStyle w:val="Compact"/>
        <w:numPr>
          <w:ilvl w:val="0"/>
          <w:numId w:val="2063"/>
        </w:numPr>
      </w:pPr>
      <w:r>
        <w:t xml:space="preserve">Legal consequences (crime).</w:t>
      </w:r>
    </w:p>
    <w:bookmarkEnd w:id="2151"/>
    <w:bookmarkStart w:id="2156" w:name="X936f0f1efd35fc409e15a7aea715df515ebf291"/>
    <w:p>
      <w:pPr>
        <w:pStyle w:val="Heading3"/>
      </w:pPr>
      <w:r>
        <w:t xml:space="preserve">6. Diagnosis</w:t>
      </w:r>
    </w:p>
    <w:bookmarkStart w:id="2152" w:name="unified-diagnostic-criteria-50"/>
    <w:p>
      <w:pPr>
        <w:pStyle w:val="Heading4"/>
      </w:pPr>
      <w:r>
        <w:t xml:space="preserve">6.1 Unified diagnostic criteria</w:t>
      </w:r>
    </w:p>
    <w:p>
      <w:pPr>
        <w:pStyle w:val="FirstParagraph"/>
      </w:pPr>
      <w:r>
        <w:t xml:space="preserve">A. ≥6 months repeated and intense sexual arousal towards prepubertal children (typically ≤13).</w:t>
      </w:r>
    </w:p>
    <w:p>
      <w:pPr>
        <w:pStyle w:val="BodyText"/>
      </w:pPr>
      <w:r>
        <w:t xml:space="preserve">B. The patient has acted on fantasy or experiences significant distress/functional impairment.</w:t>
      </w:r>
    </w:p>
    <w:p>
      <w:pPr>
        <w:pStyle w:val="BodyText"/>
      </w:pPr>
      <w:r>
        <w:t xml:space="preserve">C. Patient ≥ 16 years old and at least 5 years older than the child.</w:t>
      </w:r>
    </w:p>
    <w:bookmarkEnd w:id="2152"/>
    <w:bookmarkStart w:id="2153" w:name="differences-between-sources-129"/>
    <w:p>
      <w:pPr>
        <w:pStyle w:val="Heading4"/>
      </w:pPr>
      <w:r>
        <w:t xml:space="preserve">6.2 Differences between sources</w:t>
      </w:r>
    </w:p>
    <w:p>
      <w:pPr>
        <w:pStyle w:val="Compact"/>
        <w:numPr>
          <w:ilvl w:val="0"/>
          <w:numId w:val="2064"/>
        </w:numPr>
      </w:pPr>
      <w:r>
        <w:t xml:space="preserve">DSM-5-TR requires a 6-month duration and an age rule (patient ≥16 years and at least 5 years older than the child); ICD-11 has neither a duration nor an age criterion — it only excludes behaviour between peers close in age.</w:t>
      </w:r>
    </w:p>
    <w:p>
      <w:pPr>
        <w:pStyle w:val="Compact"/>
        <w:numPr>
          <w:ilvl w:val="0"/>
          <w:numId w:val="2064"/>
        </w:numPr>
      </w:pPr>
      <w:r>
        <w:t xml:space="preserve">WFSBP 2020.</w:t>
      </w:r>
    </w:p>
    <w:p>
      <w:pPr>
        <w:pStyle w:val="Compact"/>
        <w:numPr>
          <w:ilvl w:val="0"/>
          <w:numId w:val="2064"/>
        </w:numPr>
      </w:pPr>
      <w:r>
        <w:t xml:space="preserve">Structured risk assessment in forensic psychiatry context.</w:t>
      </w:r>
    </w:p>
    <w:bookmarkEnd w:id="2153"/>
    <w:bookmarkStart w:id="2154" w:name="diagnostic-algorithm-73"/>
    <w:p>
      <w:pPr>
        <w:pStyle w:val="Heading4"/>
      </w:pPr>
      <w:r>
        <w:t xml:space="preserve">6.3 Diagnostic algorithm</w:t>
      </w:r>
    </w:p>
    <w:p>
      <w:pPr>
        <w:pStyle w:val="Compact"/>
        <w:numPr>
          <w:ilvl w:val="0"/>
          <w:numId w:val="2065"/>
        </w:numPr>
      </w:pPr>
      <w:r>
        <w:t xml:space="preserve">Clinical interview (difficult to confess; patient may conceal).</w:t>
      </w:r>
    </w:p>
    <w:p>
      <w:pPr>
        <w:pStyle w:val="Compact"/>
        <w:numPr>
          <w:ilvl w:val="0"/>
          <w:numId w:val="2065"/>
        </w:numPr>
      </w:pPr>
      <w:r>
        <w:t xml:space="preserve">Penile plethysmography — investigation and forensic context.</w:t>
      </w:r>
    </w:p>
    <w:p>
      <w:pPr>
        <w:pStyle w:val="Compact"/>
        <w:numPr>
          <w:ilvl w:val="0"/>
          <w:numId w:val="2065"/>
        </w:numPr>
      </w:pPr>
      <w:r>
        <w:t xml:space="preserve">Forensic risk assessment (Static-99R, STABLE-2007).</w:t>
      </w:r>
    </w:p>
    <w:p>
      <w:pPr>
        <w:pStyle w:val="Compact"/>
        <w:numPr>
          <w:ilvl w:val="0"/>
          <w:numId w:val="2065"/>
        </w:numPr>
      </w:pPr>
      <w:r>
        <w:t xml:space="preserve">Comorbidity.</w:t>
      </w:r>
    </w:p>
    <w:bookmarkEnd w:id="2154"/>
    <w:bookmarkStart w:id="2155" w:name="differential-diagnosis-7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disinhibition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Cognitive decline, neurological.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Intellectual disability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the context of cognitive deficit.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Hypersexuality in adults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paedophilic focus.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Focus on puberty and post-puberty; DSM-5-TR no separate category.</w:t>
            </w:r>
          </w:p>
        </w:tc>
      </w:tr>
    </w:tbl>
    <w:bookmarkEnd w:id="2155"/>
    <w:bookmarkEnd w:id="2156"/>
    <w:bookmarkStart w:id="2157" w:name="X470ebde361173f76ef6864bcb0f33a6dcc70b2f"/>
    <w:p>
      <w:pPr>
        <w:pStyle w:val="Heading3"/>
      </w:pPr>
      <w:r>
        <w:t xml:space="preserve">7. Examination and assessment</w:t>
      </w:r>
    </w:p>
    <w:p>
      <w:pPr>
        <w:pStyle w:val="Compact"/>
        <w:numPr>
          <w:ilvl w:val="0"/>
          <w:numId w:val="2066"/>
        </w:numPr>
      </w:pPr>
      <w:r>
        <w:t xml:space="preserve">Forensic clinical interview.</w:t>
      </w:r>
    </w:p>
    <w:p>
      <w:pPr>
        <w:pStyle w:val="Compact"/>
        <w:numPr>
          <w:ilvl w:val="0"/>
          <w:numId w:val="2066"/>
        </w:numPr>
      </w:pPr>
      <w:r>
        <w:t xml:space="preserve">Static-99R, STABLE-2007.</w:t>
      </w:r>
    </w:p>
    <w:p>
      <w:pPr>
        <w:pStyle w:val="Compact"/>
        <w:numPr>
          <w:ilvl w:val="0"/>
          <w:numId w:val="2066"/>
        </w:numPr>
      </w:pPr>
      <w:r>
        <w:t xml:space="preserve">Penile plethysmography (investigation).</w:t>
      </w:r>
    </w:p>
    <w:p>
      <w:pPr>
        <w:pStyle w:val="Compact"/>
        <w:numPr>
          <w:ilvl w:val="0"/>
          <w:numId w:val="2066"/>
        </w:numPr>
      </w:pPr>
      <w:r>
        <w:t xml:space="preserve">Comorbidity.</w:t>
      </w:r>
    </w:p>
    <w:bookmarkEnd w:id="2157"/>
    <w:bookmarkStart w:id="2161" w:name="Xb953a479a67dc57353e0de6608b56c3c76cd2a4"/>
    <w:p>
      <w:pPr>
        <w:pStyle w:val="Heading3"/>
      </w:pPr>
      <w:r>
        <w:t xml:space="preserve">8. Treatment</w:t>
      </w:r>
    </w:p>
    <w:bookmarkStart w:id="2158" w:name="general-principles-wfsbp-2020-stepwise-1"/>
    <w:p>
      <w:pPr>
        <w:pStyle w:val="Heading4"/>
      </w:pPr>
      <w:r>
        <w:t xml:space="preserve">8.1 General Principles (WFSBP 2020 Stepwise)</w:t>
      </w:r>
    </w:p>
    <w:p>
      <w:pPr>
        <w:pStyle w:val="Compact"/>
        <w:numPr>
          <w:ilvl w:val="0"/>
          <w:numId w:val="2067"/>
        </w:numPr>
      </w:pPr>
      <w:r>
        <w:t xml:space="preserve">CBT and prevention of relapse — first-line; trigger management, management of cognitive distortions, empathy development.</w:t>
      </w:r>
    </w:p>
    <w:p>
      <w:pPr>
        <w:pStyle w:val="Compact"/>
        <w:numPr>
          <w:ilvl w:val="0"/>
          <w:numId w:val="2067"/>
        </w:numPr>
      </w:pPr>
      <w:r>
        <w:t xml:space="preserve">SSRI high dose — first pharmacotherapy — reduces impulsivity and sexual urge.</w:t>
      </w:r>
    </w:p>
    <w:p>
      <w:pPr>
        <w:pStyle w:val="Compact"/>
        <w:numPr>
          <w:ilvl w:val="0"/>
          <w:numId w:val="2067"/>
        </w:numPr>
      </w:pPr>
      <w:r>
        <w:t xml:space="preserve">Antiandrogen (CPA, MPA) — in moderate-to-severe cases; libido and sexual activity decrease.</w:t>
      </w:r>
    </w:p>
    <w:p>
      <w:pPr>
        <w:pStyle w:val="Compact"/>
        <w:numPr>
          <w:ilvl w:val="0"/>
          <w:numId w:val="2067"/>
        </w:numPr>
      </w:pPr>
      <w:r>
        <w:t xml:space="preserve">GnRH agonist (leuprolide, triptorelin) — chemical castration; in most severe or high-risk cases; continuous monitoring (osteoporosis, metabolic).</w:t>
      </w:r>
    </w:p>
    <w:p>
      <w:pPr>
        <w:pStyle w:val="Compact"/>
        <w:numPr>
          <w:ilvl w:val="0"/>
          <w:numId w:val="2067"/>
        </w:numPr>
      </w:pPr>
      <w:r>
        <w:t xml:space="preserve">Forensic intervention and community monitoring parallel.</w:t>
      </w:r>
    </w:p>
    <w:p>
      <w:pPr>
        <w:pStyle w:val="Compact"/>
        <w:numPr>
          <w:ilvl w:val="0"/>
          <w:numId w:val="2067"/>
        </w:numPr>
      </w:pPr>
      <w:r>
        <w:t xml:space="preserve">Multidisciplinary approach — psychiatrist, therapist, social service, legal.</w:t>
      </w:r>
    </w:p>
    <w:bookmarkEnd w:id="2158"/>
    <w:bookmarkStart w:id="2159" w:name="treatment-methods-71"/>
    <w:p>
      <w:pPr>
        <w:pStyle w:val="Heading4"/>
      </w:pPr>
      <w:r>
        <w:t xml:space="preserve">8.2 Treatment methods</w:t>
      </w:r>
    </w:p>
    <w:p>
      <w:pPr>
        <w:pStyle w:val="Compact"/>
        <w:numPr>
          <w:ilvl w:val="0"/>
          <w:numId w:val="2068"/>
        </w:numPr>
      </w:pPr>
      <w:r>
        <w:t xml:space="preserve">CBT and Relapse Prevention — Trigger and context management; cognitive distortion; empathy training.</w:t>
      </w:r>
    </w:p>
    <w:p>
      <w:pPr>
        <w:pStyle w:val="Compact"/>
        <w:numPr>
          <w:ilvl w:val="0"/>
          <w:numId w:val="2068"/>
        </w:numPr>
      </w:pPr>
      <w:r>
        <w:t xml:space="preserve">SSRI High Dose — First pharmacotherapy.</w:t>
      </w:r>
    </w:p>
    <w:p>
      <w:pPr>
        <w:pStyle w:val="Compact"/>
        <w:numPr>
          <w:ilvl w:val="0"/>
          <w:numId w:val="2068"/>
        </w:numPr>
      </w:pPr>
      <w:r>
        <w:t xml:space="preserve">Antiandrogen (CPA, MPA) — Libido reduction.</w:t>
      </w:r>
    </w:p>
    <w:p>
      <w:pPr>
        <w:pStyle w:val="Compact"/>
        <w:numPr>
          <w:ilvl w:val="0"/>
          <w:numId w:val="2068"/>
        </w:numPr>
      </w:pPr>
      <w:r>
        <w:t xml:space="preserve">GnRH Agonist — Chemical castration; ongoing monitoring.</w:t>
      </w:r>
    </w:p>
    <w:p>
      <w:pPr>
        <w:pStyle w:val="Compact"/>
        <w:numPr>
          <w:ilvl w:val="0"/>
          <w:numId w:val="2068"/>
        </w:numPr>
      </w:pPr>
      <w:r>
        <w:t xml:space="preserve">Static-99R, STABLE-2007 — Forensic risk assessment.</w:t>
      </w:r>
    </w:p>
    <w:bookmarkEnd w:id="2159"/>
    <w:bookmarkStart w:id="2160" w:name="differences-between-sources-130"/>
    <w:p>
      <w:pPr>
        <w:pStyle w:val="Heading4"/>
      </w:pPr>
      <w:r>
        <w:t xml:space="preserve">8.3 Differences between sources</w:t>
      </w:r>
    </w:p>
    <w:p>
      <w:pPr>
        <w:pStyle w:val="Compact"/>
        <w:numPr>
          <w:ilvl w:val="0"/>
          <w:numId w:val="2069"/>
        </w:numPr>
      </w:pPr>
      <w:r>
        <w:t xml:space="preserve">WFSBP 2020 — Thibaut et al. — step‑by‑step pharmacotherapy.</w:t>
      </w:r>
    </w:p>
    <w:p>
      <w:pPr>
        <w:pStyle w:val="Compact"/>
        <w:numPr>
          <w:ilvl w:val="0"/>
          <w:numId w:val="2069"/>
        </w:numPr>
      </w:pPr>
      <w:r>
        <w:t xml:space="preserve">STABLE-2007 – dynamic risk factors.</w:t>
      </w:r>
    </w:p>
    <w:bookmarkEnd w:id="2160"/>
    <w:bookmarkEnd w:id="2161"/>
    <w:bookmarkStart w:id="2162" w:name="X3681d36323a78d06b923dcf0b64030fb843723f"/>
    <w:p>
      <w:pPr>
        <w:pStyle w:val="Heading3"/>
      </w:pPr>
      <w:r>
        <w:t xml:space="preserve">9. Prognosis</w:t>
      </w:r>
    </w:p>
    <w:p>
      <w:pPr>
        <w:pStyle w:val="Compact"/>
        <w:numPr>
          <w:ilvl w:val="0"/>
          <w:numId w:val="2070"/>
        </w:numPr>
      </w:pPr>
      <w:r>
        <w:t xml:space="preserve">Behavior management improves with evidence-based treatment.</w:t>
      </w:r>
    </w:p>
    <w:p>
      <w:pPr>
        <w:pStyle w:val="Compact"/>
        <w:numPr>
          <w:ilvl w:val="0"/>
          <w:numId w:val="2070"/>
        </w:numPr>
      </w:pPr>
      <w:r>
        <w:t xml:space="preserve">Comorbid ASPD and substance use — poor prognosis.</w:t>
      </w:r>
    </w:p>
    <w:p>
      <w:pPr>
        <w:pStyle w:val="Compact"/>
        <w:numPr>
          <w:ilvl w:val="0"/>
          <w:numId w:val="2070"/>
        </w:numPr>
      </w:pPr>
      <w:r>
        <w:t xml:space="preserve">Continuous monitoring critical.</w:t>
      </w:r>
    </w:p>
    <w:bookmarkEnd w:id="2162"/>
    <w:bookmarkStart w:id="2169" w:name="X9c3f6432d64cba79d7637308ced4ab7008e762c"/>
    <w:p>
      <w:pPr>
        <w:pStyle w:val="Heading3"/>
      </w:pPr>
      <w:r>
        <w:t xml:space="preserve">10. Myths and misconceptions</w:t>
      </w:r>
    </w:p>
    <w:bookmarkStart w:id="2163" w:name="X1fad6796fa5a6f9af3928f6fd0d93426c708e6c"/>
    <w:p>
      <w:pPr>
        <w:pStyle w:val="Heading5"/>
      </w:pPr>
      <w:r>
        <w:t xml:space="preserve">Myth 1: “Pedophilic interest always means child abuse”</w:t>
      </w:r>
    </w:p>
    <w:p>
      <w:pPr>
        <w:pStyle w:val="FirstParagraph"/>
      </w:pPr>
      <w:r>
        <w:t xml:space="preserve">Evidence: “Having pedophilic fantasies” and “committing child abuse” are different; some patients never abuse and seek clinical support (e.g., “Dunkelfeld” program in Germany).</w:t>
      </w:r>
    </w:p>
    <w:bookmarkEnd w:id="2163"/>
    <w:bookmarkStart w:id="2164" w:name="X23ff3d21fbe68b7d17158f6f0006c380e4522d9"/>
    <w:p>
      <w:pPr>
        <w:pStyle w:val="Heading5"/>
      </w:pPr>
      <w:r>
        <w:t xml:space="preserve">Myth 2: “All child sexual abusers are pedophilic”</w:t>
      </w:r>
    </w:p>
    <w:p>
      <w:pPr>
        <w:pStyle w:val="FirstParagraph"/>
      </w:pPr>
      <w:r>
        <w:t xml:space="preserve">Evidence: Most child sex offenders are not pedophilic — the offence is situational, with other motivations. Pedophilic diagnosis requires persistent sexual arousal for ≥ 6 months.</w:t>
      </w:r>
    </w:p>
    <w:bookmarkEnd w:id="2164"/>
    <w:bookmarkStart w:id="2165" w:name="X357d38e6969718a78003396fffc5d37873eae84"/>
    <w:p>
      <w:pPr>
        <w:pStyle w:val="Heading5"/>
      </w:pPr>
      <w:r>
        <w:t xml:space="preserve">Myth 3: “Chemical castration should be mandatory for all patients”</w:t>
      </w:r>
    </w:p>
    <w:p>
      <w:pPr>
        <w:pStyle w:val="FirstParagraph"/>
      </w:pPr>
      <w:r>
        <w:t xml:space="preserve">Evidence: WFSBP 2020 step‑by‑step approach — GnRH in most severe cases; CBT and SSRI first. Ethical and legal caution.</w:t>
      </w:r>
    </w:p>
    <w:bookmarkEnd w:id="2165"/>
    <w:bookmarkStart w:id="2166" w:name="X0e54bfc3101635de754d5453628e7e241b71289"/>
    <w:p>
      <w:pPr>
        <w:pStyle w:val="Heading5"/>
      </w:pPr>
      <w:r>
        <w:t xml:space="preserve">Myth 4: “Once a pedophile, always a pedophile”</w:t>
      </w:r>
    </w:p>
    <w:p>
      <w:pPr>
        <w:pStyle w:val="FirstParagraph"/>
      </w:pPr>
      <w:r>
        <w:t xml:space="preserve">Evidence: Sexual interest may be stable, but behavioral control can significantly improve with CBT and pharmacotherapy.</w:t>
      </w:r>
    </w:p>
    <w:bookmarkEnd w:id="2166"/>
    <w:bookmarkStart w:id="2167" w:name="myth-5-treatment-is-ineffective"/>
    <w:p>
      <w:pPr>
        <w:pStyle w:val="Heading5"/>
      </w:pPr>
      <w:r>
        <w:t xml:space="preserve">Myth 5: “Treatment is ineffective”</w:t>
      </w:r>
    </w:p>
    <w:p>
      <w:pPr>
        <w:pStyle w:val="FirstParagraph"/>
      </w:pPr>
      <w:r>
        <w:t xml:space="preserve">Evidence: WFSBP 2020 and meta‑analyses — multimodal intervention reduces recidivism</w:t>
      </w:r>
    </w:p>
    <w:bookmarkEnd w:id="2167"/>
    <w:bookmarkStart w:id="2168" w:name="X2a9c6460018331932ac5280669eb2a4b986b634"/>
    <w:p>
      <w:pPr>
        <w:pStyle w:val="Heading5"/>
      </w:pPr>
      <w:r>
        <w:t xml:space="preserve">Myth 6: “The patient is a ‘victim’ of childhood trauma”</w:t>
      </w:r>
    </w:p>
    <w:p>
      <w:pPr>
        <w:pStyle w:val="FirstParagraph"/>
      </w:pPr>
      <w:r>
        <w:t xml:space="preserve">Evidence: “Abused-abuser” concept not fully supported; most patients were not abused in childhood; victimhood is not the basis for perpetration.</w:t>
      </w:r>
    </w:p>
    <w:bookmarkEnd w:id="2168"/>
    <w:bookmarkEnd w:id="2169"/>
    <w:bookmarkStart w:id="2942" w:name="X34a85be6e44f39210f50de5089b469077b1b001"/>
    <w:p>
      <w:pPr>
        <w:pStyle w:val="Heading3"/>
      </w:pPr>
      <w:r>
        <w:t xml:space="preserve">11. Sources</w:t>
      </w:r>
    </w:p>
    <w:p>
      <w:pPr>
        <w:pStyle w:val="Compact"/>
        <w:numPr>
          <w:ilvl w:val="0"/>
          <w:numId w:val="2071"/>
        </w:numPr>
      </w:pPr>
      <w:r>
        <w:t xml:space="preserve">WHO. ICD-11. 6D32 Pedophilic disorder. 2024.</w:t>
      </w:r>
    </w:p>
    <w:p>
      <w:pPr>
        <w:pStyle w:val="Compact"/>
        <w:numPr>
          <w:ilvl w:val="0"/>
          <w:numId w:val="2071"/>
        </w:numPr>
      </w:pPr>
      <w:r>
        <w:t xml:space="preserve">APA. DSM-5-TR. 2022.</w:t>
      </w:r>
    </w:p>
    <w:p>
      <w:pPr>
        <w:pStyle w:val="Compact"/>
        <w:numPr>
          <w:ilvl w:val="0"/>
          <w:numId w:val="2071"/>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71"/>
        </w:numPr>
      </w:pPr>
      <w:r>
        <w:t xml:space="preserve">Cantor J.M. et al. Cerebral white matter deficiencies in pedophilic men. J Psychiatr Res 2008;42(3):167–183.</w:t>
      </w:r>
    </w:p>
    <w:p>
      <w:pPr>
        <w:pStyle w:val="Compact"/>
        <w:numPr>
          <w:ilvl w:val="0"/>
          <w:numId w:val="2071"/>
        </w:numPr>
      </w:pPr>
      <w:r>
        <w:t xml:space="preserve">Beier K.M. et al. Encouraging self-identified pedophiles and hebephiles to seek professional help (Prevention Project Dunkelfeld). Child Abuse Negl 2009;33(8):545–549.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70" w:name="m936d33-coercive-sexual-sadism-disorder"/>
            <w:r>
              <w:t xml:space="preserve">6D33 COERCIVE SEXUAL SADISM DISORDER</w:t>
            </w:r>
            <w:bookmarkEnd w:id="2170"/>
          </w:p>
          <w:p>
            <w:pPr>
              <w:pStyle w:val="Compact"/>
              <w:ind w:firstLine="0" w:left="0"/>
            </w:pPr>
            <w:r>
              <w:rPr>
                <w:lang w:val="en"/>
              </w:rPr>
              <w:t xml:space="preserve">Coercive sexual sadism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Sadomasochism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Sexual Sadism Disorder</w:t>
            </w:r>
          </w:p>
        </w:tc>
      </w:tr>
    </w:tbl>
    <w:bookmarkStart w:id="2171" w:name="X9bf0827b373dfa2c4bfd33d21bffa8295bb2cb9"/>
    <w:p>
      <w:pPr>
        <w:pStyle w:val="Heading3"/>
      </w:pPr>
      <w:r>
        <w:t xml:space="preserve">1. Definition and nosology</w:t>
      </w:r>
    </w:p>
    <w:p>
      <w:pPr>
        <w:pStyle w:val="FirstParagraph"/>
      </w:pPr>
      <w:r>
        <w:t xml:space="preserve">Coercive sexual sadism disorder (ICD-11:</w:t>
      </w:r>
      <w:r>
        <w:t xml:space="preserve"> </w:t>
      </w:r>
      <w:r>
        <w:t xml:space="preserve">6D33</w:t>
      </w:r>
      <w:r>
        <w:t xml:space="preserve">; DSM-5-TR: F65.52 Sexual Sadism Disorder) — persistent and intense sexual arousal from inflicting physical or psychological suffering on a non-consenting person. The patient has acted on these fantasies or experiences significant distress/functional impairment.</w:t>
      </w:r>
    </w:p>
    <w:p>
      <w:pPr>
        <w:pStyle w:val="BodyText"/>
      </w:pPr>
      <w:r>
        <w:t xml:space="preserve">Important difference: Consensual BDSM (Bondage/Discipline, Dominance/Submission, Sadism/Masochism) practice — not a clinical disorder; ICD-11 emphasizes this distinction.</w:t>
      </w:r>
    </w:p>
    <w:bookmarkEnd w:id="2171"/>
    <w:bookmarkStart w:id="2172" w:name="X396e0e57e1727cfba464889ce03884f9c56d53d"/>
    <w:p>
      <w:pPr>
        <w:pStyle w:val="Heading3"/>
      </w:pPr>
      <w:r>
        <w:t xml:space="preserve">2. History</w:t>
      </w:r>
    </w:p>
    <w:p>
      <w:pPr>
        <w:pStyle w:val="Compact"/>
        <w:numPr>
          <w:ilvl w:val="0"/>
          <w:numId w:val="2072"/>
        </w:numPr>
      </w:pPr>
      <w:r>
        <w:t xml:space="preserve">Krafft-Ebing (1886) — term sadism from Marquis de Sade.</w:t>
      </w:r>
    </w:p>
    <w:p>
      <w:pPr>
        <w:pStyle w:val="Compact"/>
        <w:numPr>
          <w:ilvl w:val="0"/>
          <w:numId w:val="2072"/>
        </w:numPr>
      </w:pPr>
      <w:r>
        <w:t xml:space="preserve">DSM-5 (2013) — difference between paraphilia and paraphilic disorder.</w:t>
      </w:r>
    </w:p>
    <w:p>
      <w:pPr>
        <w:pStyle w:val="Compact"/>
        <w:numPr>
          <w:ilvl w:val="0"/>
          <w:numId w:val="2072"/>
        </w:numPr>
      </w:pPr>
      <w:r>
        <w:t xml:space="preserve">ICD-11 (2019) — “Coercive” emphasizes the importance of consent.</w:t>
      </w:r>
    </w:p>
    <w:p>
      <w:pPr>
        <w:pStyle w:val="Compact"/>
        <w:numPr>
          <w:ilvl w:val="0"/>
          <w:numId w:val="2072"/>
        </w:numPr>
      </w:pPr>
      <w:r>
        <w:t xml:space="preserve">WFSBP 2020.</w:t>
      </w:r>
    </w:p>
    <w:bookmarkEnd w:id="2172"/>
    <w:bookmarkStart w:id="2173" w:name="Xb2aed94ffe74242195a7219aa2f8c5e4c486bd9"/>
    <w:p>
      <w:pPr>
        <w:pStyle w:val="Heading3"/>
      </w:pPr>
      <w:r>
        <w:t xml:space="preserve">3. Epidemiology</w:t>
      </w:r>
    </w:p>
    <w:p>
      <w:pPr>
        <w:pStyle w:val="Compact"/>
        <w:numPr>
          <w:ilvl w:val="0"/>
          <w:numId w:val="2073"/>
        </w:numPr>
      </w:pPr>
      <w:r>
        <w:t xml:space="preserve">Rare in clinical populations; 5–15% in forensic contexts of sexual offense samples.</w:t>
      </w:r>
    </w:p>
    <w:p>
      <w:pPr>
        <w:pStyle w:val="Compact"/>
        <w:numPr>
          <w:ilvl w:val="0"/>
          <w:numId w:val="2073"/>
        </w:numPr>
      </w:pPr>
      <w:r>
        <w:t xml:space="preserve">Almost always in males.</w:t>
      </w:r>
    </w:p>
    <w:p>
      <w:pPr>
        <w:pStyle w:val="Compact"/>
        <w:numPr>
          <w:ilvl w:val="0"/>
          <w:numId w:val="2073"/>
        </w:numPr>
      </w:pPr>
      <w:r>
        <w:t xml:space="preserve">High comorbidity ASPD, other paraphilic disorders.</w:t>
      </w:r>
    </w:p>
    <w:bookmarkEnd w:id="2173"/>
    <w:bookmarkStart w:id="2174" w:name="Xe55eec5a989032df53753852d9141d0aee69112"/>
    <w:p>
      <w:pPr>
        <w:pStyle w:val="Heading3"/>
      </w:pPr>
      <w:r>
        <w:t xml:space="preserve">4. Aetiology and pathogenesis</w:t>
      </w:r>
    </w:p>
    <w:p>
      <w:pPr>
        <w:pStyle w:val="Compact"/>
        <w:numPr>
          <w:ilvl w:val="0"/>
          <w:numId w:val="2074"/>
        </w:numPr>
      </w:pPr>
      <w:r>
        <w:t xml:space="preserve">Biological and psychosocial factors; childhood trauma, antisocial traits.</w:t>
      </w:r>
    </w:p>
    <w:p>
      <w:pPr>
        <w:pStyle w:val="Compact"/>
        <w:numPr>
          <w:ilvl w:val="0"/>
          <w:numId w:val="2074"/>
        </w:numPr>
      </w:pPr>
      <w:r>
        <w:t xml:space="preserve">Hypersexuality and impulsivity are frequently comorbid.</w:t>
      </w:r>
    </w:p>
    <w:bookmarkEnd w:id="2174"/>
    <w:bookmarkStart w:id="2175" w:name="X8e5e685345fbe068f9feead43abb69d50c2af4c"/>
    <w:p>
      <w:pPr>
        <w:pStyle w:val="Heading3"/>
      </w:pPr>
      <w:r>
        <w:t xml:space="preserve">5. Clinical features</w:t>
      </w:r>
    </w:p>
    <w:p>
      <w:pPr>
        <w:pStyle w:val="Compact"/>
        <w:numPr>
          <w:ilvl w:val="0"/>
          <w:numId w:val="2075"/>
        </w:numPr>
      </w:pPr>
      <w:r>
        <w:t xml:space="preserve">Sexual arousal from inflicting suffering on a non-consenting victim.</w:t>
      </w:r>
    </w:p>
    <w:p>
      <w:pPr>
        <w:pStyle w:val="Compact"/>
        <w:numPr>
          <w:ilvl w:val="0"/>
          <w:numId w:val="2075"/>
        </w:numPr>
      </w:pPr>
      <w:r>
        <w:t xml:space="preserve">Typical context — forensic offence (rape-sadistic).</w:t>
      </w:r>
    </w:p>
    <w:p>
      <w:pPr>
        <w:pStyle w:val="Compact"/>
        <w:numPr>
          <w:ilvl w:val="0"/>
          <w:numId w:val="2075"/>
        </w:numPr>
      </w:pPr>
      <w:r>
        <w:t xml:space="preserve">In severe cases — sadistic murders, serious physical injury.</w:t>
      </w:r>
    </w:p>
    <w:p>
      <w:pPr>
        <w:pStyle w:val="Compact"/>
        <w:numPr>
          <w:ilvl w:val="0"/>
          <w:numId w:val="2075"/>
        </w:numPr>
      </w:pPr>
      <w:r>
        <w:t xml:space="preserve">Forensic risk high.</w:t>
      </w:r>
    </w:p>
    <w:bookmarkEnd w:id="2175"/>
    <w:bookmarkStart w:id="2180" w:name="Xafc97e86a61fb0ef9e2eb221a6723c31dba99a9"/>
    <w:p>
      <w:pPr>
        <w:pStyle w:val="Heading3"/>
      </w:pPr>
      <w:r>
        <w:t xml:space="preserve">6. Diagnosis</w:t>
      </w:r>
    </w:p>
    <w:bookmarkStart w:id="2176" w:name="unified-diagnostic-criteria-51"/>
    <w:p>
      <w:pPr>
        <w:pStyle w:val="Heading4"/>
      </w:pPr>
      <w:r>
        <w:t xml:space="preserve">6.1 Unified diagnostic criteria</w:t>
      </w:r>
    </w:p>
    <w:p>
      <w:pPr>
        <w:pStyle w:val="FirstParagraph"/>
      </w:pPr>
      <w:r>
        <w:t xml:space="preserve">A. ≥6 months persistent and intense sexual arousal from physical or psychological suffering of a non-consenting individual.</w:t>
      </w:r>
    </w:p>
    <w:p>
      <w:pPr>
        <w:pStyle w:val="BodyText"/>
      </w:pPr>
      <w:r>
        <w:t xml:space="preserve">B. The patient has acted on fantasy or experiences significant distress.</w:t>
      </w:r>
    </w:p>
    <w:bookmarkEnd w:id="2176"/>
    <w:bookmarkStart w:id="2177" w:name="differences-between-sources-131"/>
    <w:p>
      <w:pPr>
        <w:pStyle w:val="Heading4"/>
      </w:pPr>
      <w:r>
        <w:t xml:space="preserve">6.2 Differences between sources</w:t>
      </w:r>
    </w:p>
    <w:p>
      <w:pPr>
        <w:pStyle w:val="Compact"/>
        <w:numPr>
          <w:ilvl w:val="0"/>
          <w:numId w:val="2076"/>
        </w:numPr>
      </w:pPr>
      <w:r>
        <w:t xml:space="preserve">DSM-5-TR requires a 6-month duration; ICD-11 sets no duration criterion — it speaks of a “sustained, focused and intense pattern of arousal”.</w:t>
      </w:r>
    </w:p>
    <w:p>
      <w:pPr>
        <w:pStyle w:val="Compact"/>
        <w:numPr>
          <w:ilvl w:val="0"/>
          <w:numId w:val="2076"/>
        </w:numPr>
      </w:pPr>
      <w:r>
        <w:t xml:space="preserve">Consensual BDSM is not a clinical disorder.</w:t>
      </w:r>
    </w:p>
    <w:bookmarkEnd w:id="2177"/>
    <w:bookmarkStart w:id="2178" w:name="diagnostic-algorithm-74"/>
    <w:p>
      <w:pPr>
        <w:pStyle w:val="Heading4"/>
      </w:pPr>
      <w:r>
        <w:t xml:space="preserve">6.3 Diagnostic algorithm</w:t>
      </w:r>
    </w:p>
    <w:p>
      <w:pPr>
        <w:pStyle w:val="Compact"/>
        <w:numPr>
          <w:ilvl w:val="0"/>
          <w:numId w:val="2077"/>
        </w:numPr>
      </w:pPr>
      <w:r>
        <w:t xml:space="preserve">Forensic clinical interview.</w:t>
      </w:r>
    </w:p>
    <w:p>
      <w:pPr>
        <w:pStyle w:val="Compact"/>
        <w:numPr>
          <w:ilvl w:val="0"/>
          <w:numId w:val="2077"/>
        </w:numPr>
      </w:pPr>
      <w:r>
        <w:t xml:space="preserve">Risk assessment (Static-99R, SVR-20).</w:t>
      </w:r>
    </w:p>
    <w:p>
      <w:pPr>
        <w:pStyle w:val="Compact"/>
        <w:numPr>
          <w:ilvl w:val="0"/>
          <w:numId w:val="2077"/>
        </w:numPr>
      </w:pPr>
      <w:r>
        <w:t xml:space="preserve">Comorbid disorders (ASPD, psychopathy — PCL-R).</w:t>
      </w:r>
    </w:p>
    <w:bookmarkEnd w:id="2178"/>
    <w:bookmarkStart w:id="2179" w:name="differential-diagnosis-7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Consensual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Consensual context — not a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Violence without a sexual component.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Psychopathy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PCL-R; clinical overlap.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Toxicology.</w:t>
            </w:r>
          </w:p>
        </w:tc>
      </w:tr>
    </w:tbl>
    <w:bookmarkEnd w:id="2179"/>
    <w:bookmarkEnd w:id="2180"/>
    <w:bookmarkStart w:id="2181" w:name="Xee7b2f0b7ecea1522dbc348f4d97615e9d3009a"/>
    <w:p>
      <w:pPr>
        <w:pStyle w:val="Heading3"/>
      </w:pPr>
      <w:r>
        <w:t xml:space="preserve">7. Examination and assessment</w:t>
      </w:r>
    </w:p>
    <w:p>
      <w:pPr>
        <w:pStyle w:val="Compact"/>
        <w:numPr>
          <w:ilvl w:val="0"/>
          <w:numId w:val="2078"/>
        </w:numPr>
      </w:pPr>
      <w:r>
        <w:t xml:space="preserve">Forensic clinical interview.</w:t>
      </w:r>
    </w:p>
    <w:p>
      <w:pPr>
        <w:pStyle w:val="Compact"/>
        <w:numPr>
          <w:ilvl w:val="0"/>
          <w:numId w:val="2078"/>
        </w:numPr>
      </w:pPr>
      <w:r>
        <w:t xml:space="preserve">PCL-R (Psychopathy Checklist), Static-99R, SVR-20.</w:t>
      </w:r>
    </w:p>
    <w:bookmarkEnd w:id="2181"/>
    <w:bookmarkStart w:id="2184" w:name="X3f1b9580a0b1058dd0b68ed5350a324bbb1072f"/>
    <w:p>
      <w:pPr>
        <w:pStyle w:val="Heading3"/>
      </w:pPr>
      <w:r>
        <w:t xml:space="preserve">8. Treatment</w:t>
      </w:r>
    </w:p>
    <w:p>
      <w:pPr>
        <w:pStyle w:val="Compact"/>
        <w:numPr>
          <w:ilvl w:val="0"/>
          <w:numId w:val="2079"/>
        </w:numPr>
      </w:pPr>
      <w:r>
        <w:t xml:space="preserve">WFSBP 2020 step‑by‑step algorithm:</w:t>
      </w:r>
    </w:p>
    <w:p>
      <w:pPr>
        <w:pStyle w:val="Compact"/>
        <w:numPr>
          <w:ilvl w:val="1"/>
          <w:numId w:val="2080"/>
        </w:numPr>
      </w:pPr>
      <w:r>
        <w:t xml:space="preserve">CBT and prevention of relapse;</w:t>
      </w:r>
    </w:p>
    <w:p>
      <w:pPr>
        <w:pStyle w:val="Compact"/>
        <w:numPr>
          <w:ilvl w:val="1"/>
          <w:numId w:val="2080"/>
        </w:numPr>
      </w:pPr>
      <w:r>
        <w:t xml:space="preserve">SSRI high dose;</w:t>
      </w:r>
    </w:p>
    <w:p>
      <w:pPr>
        <w:pStyle w:val="Compact"/>
        <w:numPr>
          <w:ilvl w:val="1"/>
          <w:numId w:val="2080"/>
        </w:numPr>
      </w:pPr>
      <w:r>
        <w:t xml:space="preserve">Antiandrogen;</w:t>
      </w:r>
    </w:p>
    <w:p>
      <w:pPr>
        <w:pStyle w:val="Compact"/>
        <w:numPr>
          <w:ilvl w:val="1"/>
          <w:numId w:val="2080"/>
        </w:numPr>
      </w:pPr>
      <w:r>
        <w:t xml:space="preserve">GnRH agonist in the most severe case.</w:t>
      </w:r>
    </w:p>
    <w:p>
      <w:pPr>
        <w:pStyle w:val="Compact"/>
        <w:numPr>
          <w:ilvl w:val="0"/>
          <w:numId w:val="2079"/>
        </w:numPr>
      </w:pPr>
      <w:r>
        <w:t xml:space="preserve">Forensic psychiatric supervision; in hospital or correctional setting.</w:t>
      </w:r>
    </w:p>
    <w:p>
      <w:pPr>
        <w:pStyle w:val="Compact"/>
        <w:numPr>
          <w:ilvl w:val="0"/>
          <w:numId w:val="2079"/>
        </w:numPr>
      </w:pPr>
      <w:r>
        <w:t xml:space="preserve">In cases with comorbid psychopathy, standard psychotherapy is less effective.</w:t>
      </w:r>
    </w:p>
    <w:bookmarkStart w:id="2182" w:name="treatment-methods-72"/>
    <w:p>
      <w:pPr>
        <w:pStyle w:val="Heading4"/>
      </w:pPr>
      <w:r>
        <w:t xml:space="preserve">8.1 Treatment methods</w:t>
      </w:r>
    </w:p>
    <w:p>
      <w:pPr>
        <w:pStyle w:val="Compact"/>
        <w:numPr>
          <w:ilvl w:val="0"/>
          <w:numId w:val="2081"/>
        </w:numPr>
      </w:pPr>
      <w:r>
        <w:t xml:space="preserve">CBT and Relapse Prevention — Limited effectiveness; limited in psychopathy context.</w:t>
      </w:r>
    </w:p>
    <w:p>
      <w:pPr>
        <w:pStyle w:val="Compact"/>
        <w:numPr>
          <w:ilvl w:val="0"/>
          <w:numId w:val="2081"/>
        </w:numPr>
      </w:pPr>
      <w:r>
        <w:t xml:space="preserve">SSRI + Antiandrogen + GnRH — WFSBP 2020 stepwise.</w:t>
      </w:r>
    </w:p>
    <w:p>
      <w:pPr>
        <w:pStyle w:val="Compact"/>
        <w:numPr>
          <w:ilvl w:val="0"/>
          <w:numId w:val="2081"/>
        </w:numPr>
      </w:pPr>
      <w:r>
        <w:t xml:space="preserve">PCL-R, Static-99R, SVR-20 — Forensic risk assessment.</w:t>
      </w:r>
    </w:p>
    <w:bookmarkEnd w:id="2182"/>
    <w:bookmarkStart w:id="2183" w:name="differences-between-sources-132"/>
    <w:p>
      <w:pPr>
        <w:pStyle w:val="Heading4"/>
      </w:pPr>
      <w:r>
        <w:t xml:space="preserve">8.2 Differences between sources</w:t>
      </w:r>
    </w:p>
    <w:p>
      <w:pPr>
        <w:pStyle w:val="Compact"/>
        <w:numPr>
          <w:ilvl w:val="0"/>
          <w:numId w:val="2082"/>
        </w:numPr>
      </w:pPr>
      <w:r>
        <w:t xml:space="preserve">WFSBP 2020 — in severe cases combination (CBT + antiandrogen + GnRH).</w:t>
      </w:r>
    </w:p>
    <w:bookmarkEnd w:id="2183"/>
    <w:bookmarkEnd w:id="2184"/>
    <w:bookmarkStart w:id="2185" w:name="Xc068892e8814d4d7d96d893d490502dc9cd20a8"/>
    <w:p>
      <w:pPr>
        <w:pStyle w:val="Heading3"/>
      </w:pPr>
      <w:r>
        <w:t xml:space="preserve">9. Prognosis</w:t>
      </w:r>
    </w:p>
    <w:p>
      <w:pPr>
        <w:pStyle w:val="FirstParagraph"/>
      </w:pPr>
      <w:r>
        <w:t xml:space="preserve">In severe cases, high risk of relapse; multimodal intervention and continuous monitoring are essential.</w:t>
      </w:r>
    </w:p>
    <w:bookmarkEnd w:id="2185"/>
    <w:bookmarkStart w:id="2190" w:name="X2748235722fd6b23b192d4e1c791b5508d01a63"/>
    <w:p>
      <w:pPr>
        <w:pStyle w:val="Heading3"/>
      </w:pPr>
      <w:r>
        <w:t xml:space="preserve">10. Myths and misconceptions</w:t>
      </w:r>
    </w:p>
    <w:bookmarkStart w:id="2186" w:name="myth-1-bdsm-sadistic-disorder"/>
    <w:p>
      <w:pPr>
        <w:pStyle w:val="Heading5"/>
      </w:pPr>
      <w:r>
        <w:t xml:space="preserve">Myth 1: “BDSM = sadistic disorder”</w:t>
      </w:r>
    </w:p>
    <w:p>
      <w:pPr>
        <w:pStyle w:val="FirstParagraph"/>
      </w:pPr>
      <w:r>
        <w:t xml:space="preserve">Evidence: Consensual BDSM is not a clinical disorder; ICD-11 distinguishes precisely with term ‘coercive’. APA and other professional associations do not consider consensual BDSM pathology.</w:t>
      </w:r>
    </w:p>
    <w:bookmarkEnd w:id="2186"/>
    <w:bookmarkStart w:id="2187" w:name="Xd8df8516af78a761bcbb9b932d603c31fb0a6b0"/>
    <w:p>
      <w:pPr>
        <w:pStyle w:val="Heading5"/>
      </w:pPr>
      <w:r>
        <w:t xml:space="preserve">Myth 2: “Sadistic disorder cannot be treated”</w:t>
      </w:r>
    </w:p>
    <w:p>
      <w:pPr>
        <w:pStyle w:val="FirstParagraph"/>
      </w:pPr>
      <w:r>
        <w:t xml:space="preserve">Evidence: WFSBP 2020 — multimodal intervention reduces relapse risk; effect is less in comorbid psychopathy.</w:t>
      </w:r>
    </w:p>
    <w:bookmarkEnd w:id="2187"/>
    <w:bookmarkStart w:id="2188" w:name="myth-3-only-legal-punishment-is-required"/>
    <w:p>
      <w:pPr>
        <w:pStyle w:val="Heading5"/>
      </w:pPr>
      <w:r>
        <w:t xml:space="preserve">Myth 3: “Only legal punishment is required”</w:t>
      </w:r>
    </w:p>
    <w:p>
      <w:pPr>
        <w:pStyle w:val="FirstParagraph"/>
      </w:pPr>
      <w:r>
        <w:t xml:space="preserve">Evidence: Clinical intervention recommended jointly with legal oversight.</w:t>
      </w:r>
    </w:p>
    <w:bookmarkEnd w:id="2188"/>
    <w:bookmarkStart w:id="2189" w:name="X9dd6a453c0df8c71dae069e9deda1ecebb69cfa"/>
    <w:p>
      <w:pPr>
        <w:pStyle w:val="Heading5"/>
      </w:pPr>
      <w:r>
        <w:t xml:space="preserve">Myth 4: “All sexual murderers have sadistic disorder”</w:t>
      </w:r>
    </w:p>
    <w:p>
      <w:pPr>
        <w:pStyle w:val="FirstParagraph"/>
      </w:pPr>
      <w:r>
        <w:t xml:space="preserve">Evidence: Most sex crimes are ASPD or otherwise motivated; sadistic clinical diagnosis requires a concrete fantasy pattern.</w:t>
      </w:r>
    </w:p>
    <w:bookmarkEnd w:id="2189"/>
    <w:bookmarkEnd w:id="2190"/>
    <w:bookmarkStart w:id="2941" w:name="X39a03a252778ccda603b37194f18f354afe2ebd"/>
    <w:p>
      <w:pPr>
        <w:pStyle w:val="Heading3"/>
      </w:pPr>
      <w:r>
        <w:t xml:space="preserve">11. Sources</w:t>
      </w:r>
    </w:p>
    <w:p>
      <w:pPr>
        <w:pStyle w:val="Compact"/>
        <w:numPr>
          <w:ilvl w:val="0"/>
          <w:numId w:val="2083"/>
        </w:numPr>
      </w:pPr>
      <w:r>
        <w:t xml:space="preserve">WHO. ICD-11. 6D33 Coercive sexual sadism disorder. 2024.</w:t>
      </w:r>
    </w:p>
    <w:p>
      <w:pPr>
        <w:pStyle w:val="Compact"/>
        <w:numPr>
          <w:ilvl w:val="0"/>
          <w:numId w:val="2083"/>
        </w:numPr>
      </w:pPr>
      <w:r>
        <w:t xml:space="preserve">APA. DSM-5-TR. 2022.</w:t>
      </w:r>
    </w:p>
    <w:p>
      <w:pPr>
        <w:pStyle w:val="Compact"/>
        <w:numPr>
          <w:ilvl w:val="0"/>
          <w:numId w:val="2083"/>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p>
      <w:pPr>
        <w:pStyle w:val="Compact"/>
        <w:numPr>
          <w:ilvl w:val="0"/>
          <w:numId w:val="2083"/>
        </w:numPr>
      </w:pPr>
      <w:r>
        <w:t xml:space="preserve">Hare R.D. Psychopathy Checklist-Revised (PCL-R). 2nd ed. 2003.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191" w:name="m946d34-frotteuristic-disorder"/>
            <w:r>
              <w:t xml:space="preserve">6D34 FROTTEURISTIC DISORDER</w:t>
            </w:r>
            <w:bookmarkEnd w:id="2191"/>
          </w:p>
          <w:p>
            <w:pPr>
              <w:pStyle w:val="Compact"/>
              <w:ind w:firstLine="0" w:left="0"/>
            </w:pPr>
            <w:r>
              <w:rPr>
                <w:lang w:val="en"/>
              </w:rPr>
              <w:t xml:space="preserve">Frotteuristic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disorders of sexual preference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Frotteuristic Disorder</w:t>
            </w:r>
          </w:p>
        </w:tc>
      </w:tr>
    </w:tbl>
    <w:bookmarkStart w:id="2192" w:name="X55b7820f6bbd24560f4d07091c7e01996c9e8b1"/>
    <w:p>
      <w:pPr>
        <w:pStyle w:val="Heading3"/>
      </w:pPr>
      <w:r>
        <w:t xml:space="preserve">1. Definition and nosology</w:t>
      </w:r>
    </w:p>
    <w:p>
      <w:pPr>
        <w:pStyle w:val="FirstParagraph"/>
      </w:pPr>
      <w:r>
        <w:t xml:space="preserve">Frotteuristic disorder (ICD-11:</w:t>
      </w:r>
      <w:r>
        <w:t xml:space="preserve"> </w:t>
      </w:r>
      <w:r>
        <w:t xml:space="preserve">6D34</w:t>
      </w:r>
      <w:r>
        <w:t xml:space="preserve">; DSM-5-TR: F65.81) — persistent and intense sexual arousal from touching or rubbing one's genitals against a non-consenting person. The patient has acted on the fantasies or experiences significant distress/functional impairment. Typical context — crowded public transport and crowds.</w:t>
      </w:r>
    </w:p>
    <w:bookmarkEnd w:id="2192"/>
    <w:bookmarkStart w:id="2193" w:name="Xb53599f4047be526a9c0d3681b98b30e0c578c3"/>
    <w:p>
      <w:pPr>
        <w:pStyle w:val="Heading3"/>
      </w:pPr>
      <w:r>
        <w:t xml:space="preserve">2. History</w:t>
      </w:r>
    </w:p>
    <w:p>
      <w:pPr>
        <w:pStyle w:val="Compact"/>
        <w:numPr>
          <w:ilvl w:val="0"/>
          <w:numId w:val="2084"/>
        </w:numPr>
      </w:pPr>
      <w:r>
        <w:t xml:space="preserve">“Frotteur” — from the French word for “to rub”.</w:t>
      </w:r>
    </w:p>
    <w:p>
      <w:pPr>
        <w:pStyle w:val="Compact"/>
        <w:numPr>
          <w:ilvl w:val="0"/>
          <w:numId w:val="2084"/>
        </w:numPr>
      </w:pPr>
      <w:r>
        <w:t xml:space="preserve">DSM-IV (1994) — ‘Other Specified Paraphilia’; DSM-5 (2013) — separate category.</w:t>
      </w:r>
    </w:p>
    <w:bookmarkEnd w:id="2193"/>
    <w:bookmarkStart w:id="2194" w:name="X351d56815721f342d3b6766f00bf1d6bf8c850f"/>
    <w:p>
      <w:pPr>
        <w:pStyle w:val="Heading3"/>
      </w:pPr>
      <w:r>
        <w:t xml:space="preserve">3. Epidemiology</w:t>
      </w:r>
    </w:p>
    <w:p>
      <w:pPr>
        <w:pStyle w:val="Compact"/>
        <w:numPr>
          <w:ilvl w:val="0"/>
          <w:numId w:val="2085"/>
        </w:numPr>
      </w:pPr>
      <w:r>
        <w:t xml:space="preserve">Prevalence: frotteuristic acts may occur in as many as 30% of adult males; 10–14% of adult males seen as outpatients for paraphilic disorders and hypersexuality meet the diagnostic criteria (DSM-5-TR).</w:t>
      </w:r>
    </w:p>
    <w:p>
      <w:pPr>
        <w:pStyle w:val="Compact"/>
        <w:numPr>
          <w:ilvl w:val="0"/>
          <w:numId w:val="2085"/>
        </w:numPr>
      </w:pPr>
      <w:r>
        <w:t xml:space="preserve">Comorbid other paraphilic disorders.</w:t>
      </w:r>
    </w:p>
    <w:bookmarkEnd w:id="2194"/>
    <w:bookmarkStart w:id="2195" w:name="X42b5ee7f5ad0bc11276939410feb59b39596840"/>
    <w:p>
      <w:pPr>
        <w:pStyle w:val="Heading3"/>
      </w:pPr>
      <w:r>
        <w:t xml:space="preserve">4. Aetiology and pathogenesis</w:t>
      </w:r>
    </w:p>
    <w:p>
      <w:pPr>
        <w:pStyle w:val="FirstParagraph"/>
      </w:pPr>
      <w:r>
        <w:t xml:space="preserve">General etiology for paraphilia; comorbid hypersexuality and impulsivity.</w:t>
      </w:r>
    </w:p>
    <w:bookmarkEnd w:id="2195"/>
    <w:bookmarkStart w:id="2196" w:name="Xe9e8f5ff4ae3f066982cea1cccf0e3bfc1870f3"/>
    <w:p>
      <w:pPr>
        <w:pStyle w:val="Heading3"/>
      </w:pPr>
      <w:r>
        <w:t xml:space="preserve">5. Clinical features</w:t>
      </w:r>
    </w:p>
    <w:p>
      <w:pPr>
        <w:pStyle w:val="Compact"/>
        <w:numPr>
          <w:ilvl w:val="0"/>
          <w:numId w:val="2086"/>
        </w:numPr>
      </w:pPr>
      <w:r>
        <w:t xml:space="preserve">Touching an unwilling person in crowded public places (bus, metro, crowd)</w:t>
      </w:r>
    </w:p>
    <w:p>
      <w:pPr>
        <w:pStyle w:val="Compact"/>
        <w:numPr>
          <w:ilvl w:val="0"/>
          <w:numId w:val="2086"/>
        </w:numPr>
      </w:pPr>
      <w:r>
        <w:t xml:space="preserve">Patient escapes — victim cannot complain immediately.</w:t>
      </w:r>
    </w:p>
    <w:p>
      <w:pPr>
        <w:pStyle w:val="Compact"/>
        <w:numPr>
          <w:ilvl w:val="0"/>
          <w:numId w:val="2086"/>
        </w:numPr>
      </w:pPr>
      <w:r>
        <w:t xml:space="preserve">Legal consequences (sexual harassment, sexual crime).</w:t>
      </w:r>
    </w:p>
    <w:bookmarkEnd w:id="2196"/>
    <w:bookmarkStart w:id="2201" w:name="Xdb22d9a3b6ab972d73713c99f99e6aaa9990578"/>
    <w:p>
      <w:pPr>
        <w:pStyle w:val="Heading3"/>
      </w:pPr>
      <w:r>
        <w:t xml:space="preserve">6. Diagnosis</w:t>
      </w:r>
    </w:p>
    <w:bookmarkStart w:id="2197" w:name="unified-diagnostic-criteria-52"/>
    <w:p>
      <w:pPr>
        <w:pStyle w:val="Heading4"/>
      </w:pPr>
      <w:r>
        <w:t xml:space="preserve">6.1 Unified diagnostic criteria</w:t>
      </w:r>
    </w:p>
    <w:p>
      <w:pPr>
        <w:pStyle w:val="FirstParagraph"/>
      </w:pPr>
      <w:r>
        <w:t xml:space="preserve">A. ≥6 months persistent and intense sexual arousal from touching or rubbing against a non-consenting individual.</w:t>
      </w:r>
    </w:p>
    <w:p>
      <w:pPr>
        <w:pStyle w:val="BodyText"/>
      </w:pPr>
      <w:r>
        <w:t xml:space="preserve">B. The patient has acted on fantasy or experiences significant distress.</w:t>
      </w:r>
    </w:p>
    <w:bookmarkEnd w:id="2197"/>
    <w:bookmarkStart w:id="2198" w:name="differences-between-sources-133"/>
    <w:p>
      <w:pPr>
        <w:pStyle w:val="Heading4"/>
      </w:pPr>
      <w:r>
        <w:t xml:space="preserve">6.2 Differences between sources</w:t>
      </w:r>
    </w:p>
    <w:p>
      <w:pPr>
        <w:pStyle w:val="FirstParagraph"/>
      </w:pPr>
      <w:r>
        <w:t xml:space="preserve">DSM-5-TR / ICD-11 — same; WFSBP 2020.</w:t>
      </w:r>
    </w:p>
    <w:bookmarkEnd w:id="2198"/>
    <w:bookmarkStart w:id="2199" w:name="diagnostic-algorithm-75"/>
    <w:p>
      <w:pPr>
        <w:pStyle w:val="Heading4"/>
      </w:pPr>
      <w:r>
        <w:t xml:space="preserve">6.3 Diagnostic algorithm</w:t>
      </w:r>
    </w:p>
    <w:p>
      <w:pPr>
        <w:pStyle w:val="Compact"/>
        <w:numPr>
          <w:ilvl w:val="0"/>
          <w:numId w:val="2087"/>
        </w:numPr>
      </w:pPr>
      <w:r>
        <w:t xml:space="preserve">Clinical interview.</w:t>
      </w:r>
    </w:p>
    <w:p>
      <w:pPr>
        <w:pStyle w:val="Compact"/>
        <w:numPr>
          <w:ilvl w:val="0"/>
          <w:numId w:val="2087"/>
        </w:numPr>
      </w:pPr>
      <w:r>
        <w:t xml:space="preserve">Risk assessment.</w:t>
      </w:r>
    </w:p>
    <w:p>
      <w:pPr>
        <w:pStyle w:val="Compact"/>
        <w:numPr>
          <w:ilvl w:val="0"/>
          <w:numId w:val="2087"/>
        </w:numPr>
      </w:pPr>
      <w:r>
        <w:t xml:space="preserve">Comorbidity.</w:t>
      </w:r>
    </w:p>
    <w:bookmarkEnd w:id="2199"/>
    <w:bookmarkStart w:id="2200" w:name="differential-diagnosis-7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Accidental touching (in dense crowd)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Consent issues and fantasy not present.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Broad antisocial model.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context.</w:t>
            </w:r>
          </w:p>
        </w:tc>
      </w:tr>
    </w:tbl>
    <w:bookmarkEnd w:id="2200"/>
    <w:bookmarkEnd w:id="2201"/>
    <w:bookmarkStart w:id="2202" w:name="X58135acd4694b098ee22e2eaf622c1b1495256c"/>
    <w:p>
      <w:pPr>
        <w:pStyle w:val="Heading3"/>
      </w:pPr>
      <w:r>
        <w:t xml:space="preserve">7. Examination and assessment</w:t>
      </w:r>
    </w:p>
    <w:p>
      <w:pPr>
        <w:pStyle w:val="Compact"/>
        <w:numPr>
          <w:ilvl w:val="0"/>
          <w:numId w:val="2088"/>
        </w:numPr>
      </w:pPr>
      <w:r>
        <w:t xml:space="preserve">Forensic clinical interview.</w:t>
      </w:r>
    </w:p>
    <w:p>
      <w:pPr>
        <w:pStyle w:val="Compact"/>
        <w:numPr>
          <w:ilvl w:val="0"/>
          <w:numId w:val="2088"/>
        </w:numPr>
      </w:pPr>
      <w:r>
        <w:t xml:space="preserve">Risk scales.</w:t>
      </w:r>
    </w:p>
    <w:bookmarkEnd w:id="2202"/>
    <w:bookmarkStart w:id="2204" w:name="X32f0b77b4e90b5b16280ffc5e8cf7af00569564"/>
    <w:p>
      <w:pPr>
        <w:pStyle w:val="Heading3"/>
      </w:pPr>
      <w:r>
        <w:t xml:space="preserve">8. Treatment</w:t>
      </w:r>
    </w:p>
    <w:p>
      <w:pPr>
        <w:pStyle w:val="Compact"/>
        <w:numPr>
          <w:ilvl w:val="0"/>
          <w:numId w:val="2089"/>
        </w:numPr>
      </w:pPr>
      <w:r>
        <w:t xml:space="preserve">WFSBP 2020 step‑by‑step:</w:t>
      </w:r>
    </w:p>
    <w:p>
      <w:pPr>
        <w:pStyle w:val="Compact"/>
        <w:numPr>
          <w:ilvl w:val="1"/>
          <w:numId w:val="2090"/>
        </w:numPr>
      </w:pPr>
      <w:r>
        <w:t xml:space="preserve">CBT and prevention of relapse;</w:t>
      </w:r>
    </w:p>
    <w:p>
      <w:pPr>
        <w:pStyle w:val="Compact"/>
        <w:numPr>
          <w:ilvl w:val="1"/>
          <w:numId w:val="2090"/>
        </w:numPr>
      </w:pPr>
      <w:r>
        <w:t xml:space="preserve">SSRI high dose;</w:t>
      </w:r>
    </w:p>
    <w:p>
      <w:pPr>
        <w:pStyle w:val="Compact"/>
        <w:numPr>
          <w:ilvl w:val="1"/>
          <w:numId w:val="2090"/>
        </w:numPr>
      </w:pPr>
      <w:r>
        <w:t xml:space="preserve">Antiandrogen / GnRH in severe cases.</w:t>
      </w:r>
    </w:p>
    <w:p>
      <w:pPr>
        <w:pStyle w:val="Compact"/>
        <w:numPr>
          <w:ilvl w:val="0"/>
          <w:numId w:val="2089"/>
        </w:numPr>
      </w:pPr>
      <w:r>
        <w:t xml:space="preserve">Legal-medical coordination.</w:t>
      </w:r>
    </w:p>
    <w:bookmarkStart w:id="2203" w:name="treatment-methods-73"/>
    <w:p>
      <w:pPr>
        <w:pStyle w:val="Heading4"/>
      </w:pPr>
      <w:r>
        <w:t xml:space="preserve">8.1 Treatment methods</w:t>
      </w:r>
    </w:p>
    <w:p>
      <w:pPr>
        <w:pStyle w:val="Compact"/>
        <w:numPr>
          <w:ilvl w:val="0"/>
          <w:numId w:val="2091"/>
        </w:numPr>
      </w:pPr>
      <w:r>
        <w:t xml:space="preserve">CBT and SSRIs + WFSBP 2020 protocol — same as 6D30/6D31/6D32 tiered.</w:t>
      </w:r>
    </w:p>
    <w:bookmarkEnd w:id="2203"/>
    <w:bookmarkEnd w:id="2204"/>
    <w:bookmarkStart w:id="2205" w:name="X14cca9cea759376889551f3abf3fc0a68c9ecba"/>
    <w:p>
      <w:pPr>
        <w:pStyle w:val="Heading3"/>
      </w:pPr>
      <w:r>
        <w:t xml:space="preserve">9. Prognosis</w:t>
      </w:r>
    </w:p>
    <w:p>
      <w:pPr>
        <w:pStyle w:val="FirstParagraph"/>
      </w:pPr>
      <w:r>
        <w:t xml:space="preserve">Reduction of relapse with WFSBP intervention.</w:t>
      </w:r>
    </w:p>
    <w:bookmarkEnd w:id="2205"/>
    <w:bookmarkStart w:id="2209" w:name="X2c4c48d1d51450955f8c3b02dc78852a75fc798"/>
    <w:p>
      <w:pPr>
        <w:pStyle w:val="Heading3"/>
      </w:pPr>
      <w:r>
        <w:t xml:space="preserve">10. Myths and misconceptions</w:t>
      </w:r>
    </w:p>
    <w:bookmarkStart w:id="2206" w:name="myth-1-frotteurism-is-harmless"/>
    <w:p>
      <w:pPr>
        <w:pStyle w:val="Heading5"/>
      </w:pPr>
      <w:r>
        <w:t xml:space="preserve">Myth 1: “Frotteurism is harmless”</w:t>
      </w:r>
    </w:p>
    <w:p>
      <w:pPr>
        <w:pStyle w:val="FirstParagraph"/>
      </w:pPr>
      <w:r>
        <w:t xml:space="preserve">Evidence: Trauma for victim; sexual crime and legal consequences.</w:t>
      </w:r>
    </w:p>
    <w:bookmarkEnd w:id="2206"/>
    <w:bookmarkStart w:id="2207" w:name="X115d3e3f7078bbd5389add5df750be789d09f15"/>
    <w:p>
      <w:pPr>
        <w:pStyle w:val="Heading5"/>
      </w:pPr>
      <w:r>
        <w:t xml:space="preserve">Myth 2: “Just an impulse — does not require clinical intervention”</w:t>
      </w:r>
    </w:p>
    <w:p>
      <w:pPr>
        <w:pStyle w:val="FirstParagraph"/>
      </w:pPr>
      <w:r>
        <w:t xml:space="preserve">Evidence: repeated pattern requires clinical diagnosis.</w:t>
      </w:r>
    </w:p>
    <w:bookmarkEnd w:id="2207"/>
    <w:bookmarkStart w:id="2208" w:name="myth-3-only-legal-punishment"/>
    <w:p>
      <w:pPr>
        <w:pStyle w:val="Heading5"/>
      </w:pPr>
      <w:r>
        <w:t xml:space="preserve">Myth 3: “Only legal punishment”</w:t>
      </w:r>
    </w:p>
    <w:p>
      <w:pPr>
        <w:pStyle w:val="FirstParagraph"/>
      </w:pPr>
      <w:r>
        <w:t xml:space="preserve">Evidence: Clinical intervention reduces relapse.</w:t>
      </w:r>
    </w:p>
    <w:bookmarkEnd w:id="2208"/>
    <w:bookmarkEnd w:id="2209"/>
    <w:bookmarkStart w:id="2210" w:name="X1727cfaa848c7a3ef0073fc2879535ecca344b3"/>
    <w:p>
      <w:pPr>
        <w:pStyle w:val="Heading3"/>
      </w:pPr>
      <w:r>
        <w:t xml:space="preserve">11. Sources</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Cosyns P., Fedoroff J.P. et al.; WFSBP Task Force on Paraphilias. The World Federation of Societies of Biological Psychiatry (WFSBP) 2020 guidelines for the pharmacological treatment of paraphilic disorders. World J Biol Psychiatry 2020;21(6):412–490.</w:t>
      </w:r>
    </w:p>
    <w:bookmarkEnd w:id="2210"/>
    <w:bookmarkStart w:id="2211" w:name="m956d506d5z-factitious-disorders"/>
    <w:p>
      <w:pPr>
        <w:pageBreakBefore/>
        <w:pStyle w:val="Heading1"/>
      </w:pPr>
      <w:r>
        <w:t xml:space="preserve">6D50–6D5Z FACTITIOUS DISORDERS</w:t>
      </w:r>
    </w:p>
    <w:p>
      <w:pPr>
        <w:pStyle w:val="FirstParagraph"/>
      </w:pPr>
      <w:r>
        <w:t xml:space="preserve">Factitious disorders</w:t>
      </w:r>
    </w:p>
    <w:bookmarkEnd w:id="2211"/>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12" w:name="X421082c4cc57d902638890824447ed84f599afe"/>
            <w:r>
              <w:t xml:space="preserve">6D50 FACTITIOUS DISORDER IMPOSED ON SELF</w:t>
            </w:r>
            <w:bookmarkEnd w:id="2212"/>
          </w:p>
          <w:p>
            <w:pPr>
              <w:pStyle w:val="Compact"/>
              <w:ind w:firstLine="0" w:left="0"/>
            </w:pPr>
            <w:r>
              <w:rPr>
                <w:lang w:val="en"/>
              </w:rPr>
              <w:t xml:space="preserve">Factitious disorder imposed on self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Intentional production or feigning of symptoms or disabilities, either physical or psychological [factitious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Imposed on Self</w:t>
            </w:r>
          </w:p>
        </w:tc>
      </w:tr>
    </w:tbl>
    <w:bookmarkStart w:id="2213" w:name="X8b5797c250b974161dc6a3a4fbb1e8fb4c13adb"/>
    <w:p>
      <w:pPr>
        <w:pStyle w:val="Heading3"/>
      </w:pPr>
      <w:r>
        <w:t xml:space="preserve">1. Definition and nosology</w:t>
      </w:r>
    </w:p>
    <w:p>
      <w:pPr>
        <w:pStyle w:val="FirstParagraph"/>
      </w:pPr>
      <w:r>
        <w:t xml:space="preserve">Factitious disorder imposed on self (ICD-11:</w:t>
      </w:r>
      <w:r>
        <w:t xml:space="preserve"> </w:t>
      </w:r>
      <w:r>
        <w:t xml:space="preserve">6D50</w:t>
      </w:r>
      <w:r>
        <w:t xml:space="preserve">; DSM-5-TR: F68.10) — intentional production of physical or psychological symptoms or injury in oneself, presentation of these symptoms to others; no obvious external incentive (distinguishing it from malingering). The patient's primary motivation is to assume the sick role or be perceived as a patient.</w:t>
      </w:r>
    </w:p>
    <w:bookmarkEnd w:id="2213"/>
    <w:bookmarkStart w:id="2214" w:name="X3d56b2a716e3782f5a37a12a2049994681ee868"/>
    <w:p>
      <w:pPr>
        <w:pStyle w:val="Heading3"/>
      </w:pPr>
      <w:r>
        <w:t xml:space="preserve">2. History</w:t>
      </w:r>
    </w:p>
    <w:p>
      <w:pPr>
        <w:pStyle w:val="Compact"/>
        <w:numPr>
          <w:ilvl w:val="0"/>
          <w:numId w:val="2093"/>
        </w:numPr>
      </w:pPr>
      <w:r>
        <w:t xml:space="preserve">Asher R. (1951) — term “Munchausen syndrome” (from Baron Munchausen's fantastic stories).</w:t>
      </w:r>
    </w:p>
    <w:p>
      <w:pPr>
        <w:pStyle w:val="Compact"/>
        <w:numPr>
          <w:ilvl w:val="0"/>
          <w:numId w:val="2093"/>
        </w:numPr>
      </w:pPr>
      <w:r>
        <w:t xml:space="preserve">DSM-III (1980) — Formalization of Factitious Disorder.</w:t>
      </w:r>
    </w:p>
    <w:p>
      <w:pPr>
        <w:pStyle w:val="Compact"/>
        <w:numPr>
          <w:ilvl w:val="0"/>
          <w:numId w:val="2093"/>
        </w:numPr>
      </w:pPr>
      <w:r>
        <w:t xml:space="preserve">DSM-5 (2013) — “Imposed on Self” and “Imposed on Another” subtypes.</w:t>
      </w:r>
    </w:p>
    <w:p>
      <w:pPr>
        <w:pStyle w:val="Compact"/>
        <w:numPr>
          <w:ilvl w:val="0"/>
          <w:numId w:val="2093"/>
        </w:numPr>
      </w:pPr>
      <w:r>
        <w:t xml:space="preserve">Eisendrath S.J. reviews — diagnosis and clinical approach.</w:t>
      </w:r>
    </w:p>
    <w:bookmarkEnd w:id="2214"/>
    <w:bookmarkStart w:id="2215" w:name="X56ec8a5da7f0f65dd76022828383661fb73a7ed"/>
    <w:p>
      <w:pPr>
        <w:pStyle w:val="Heading3"/>
      </w:pPr>
      <w:r>
        <w:t xml:space="preserve">3. Epidemiology</w:t>
      </w:r>
    </w:p>
    <w:p>
      <w:pPr>
        <w:pStyle w:val="Compact"/>
        <w:numPr>
          <w:ilvl w:val="0"/>
          <w:numId w:val="2094"/>
        </w:numPr>
      </w:pPr>
      <w:r>
        <w:t xml:space="preserve">Rare in clinical populations (1–2% of hospital admissions); under-detection in clinical approach.</w:t>
      </w:r>
    </w:p>
    <w:p>
      <w:pPr>
        <w:pStyle w:val="Compact"/>
        <w:numPr>
          <w:ilvl w:val="0"/>
          <w:numId w:val="2094"/>
        </w:numPr>
      </w:pPr>
      <w:r>
        <w:t xml:space="preserve">Sex: relatively higher in females (in the context of medical profession).</w:t>
      </w:r>
    </w:p>
    <w:p>
      <w:pPr>
        <w:pStyle w:val="Compact"/>
        <w:numPr>
          <w:ilvl w:val="0"/>
          <w:numId w:val="2094"/>
        </w:numPr>
      </w:pPr>
      <w:r>
        <w:t xml:space="preserve">Comorbidity: BPD, depressive disorders, history of trauma.</w:t>
      </w:r>
    </w:p>
    <w:bookmarkEnd w:id="2215"/>
    <w:bookmarkStart w:id="2216" w:name="X879e1aa2ca07b20b141bec1c9c03cdc62937bae"/>
    <w:p>
      <w:pPr>
        <w:pStyle w:val="Heading3"/>
      </w:pPr>
      <w:r>
        <w:t xml:space="preserve">4. Aetiology and pathogenesis</w:t>
      </w:r>
    </w:p>
    <w:p>
      <w:pPr>
        <w:pStyle w:val="Compact"/>
        <w:numPr>
          <w:ilvl w:val="0"/>
          <w:numId w:val="2095"/>
        </w:numPr>
      </w:pPr>
      <w:r>
        <w:t xml:space="preserve">Psychological — deep emotional need in medical role; childhood trauma, neglect.</w:t>
      </w:r>
    </w:p>
    <w:p>
      <w:pPr>
        <w:pStyle w:val="Compact"/>
        <w:numPr>
          <w:ilvl w:val="0"/>
          <w:numId w:val="2095"/>
        </w:numPr>
      </w:pPr>
      <w:r>
        <w:t xml:space="preserve">Medical system proximity (being a healthcare professional).</w:t>
      </w:r>
    </w:p>
    <w:p>
      <w:pPr>
        <w:pStyle w:val="Compact"/>
        <w:numPr>
          <w:ilvl w:val="0"/>
          <w:numId w:val="2095"/>
        </w:numPr>
      </w:pPr>
      <w:r>
        <w:t xml:space="preserve">BPD is frequently comorbid.</w:t>
      </w:r>
    </w:p>
    <w:bookmarkEnd w:id="2216"/>
    <w:bookmarkStart w:id="2217" w:name="X8de2f126d59412caf1f6b5ba27ed64dd31de5e4"/>
    <w:p>
      <w:pPr>
        <w:pStyle w:val="Heading3"/>
      </w:pPr>
      <w:r>
        <w:t xml:space="preserve">5. Clinical features</w:t>
      </w:r>
    </w:p>
    <w:p>
      <w:pPr>
        <w:pStyle w:val="Compact"/>
        <w:numPr>
          <w:ilvl w:val="0"/>
          <w:numId w:val="2096"/>
        </w:numPr>
      </w:pPr>
      <w:r>
        <w:t xml:space="preserve">Multiple medical consultations and examinations; numerous clinic visits (“hospital shopping”).</w:t>
      </w:r>
    </w:p>
    <w:p>
      <w:pPr>
        <w:pStyle w:val="Compact"/>
        <w:numPr>
          <w:ilvl w:val="0"/>
          <w:numId w:val="2096"/>
        </w:numPr>
      </w:pPr>
      <w:r>
        <w:t xml:space="preserve">Multiple surgical procedures.</w:t>
      </w:r>
    </w:p>
    <w:p>
      <w:pPr>
        <w:pStyle w:val="Compact"/>
        <w:numPr>
          <w:ilvl w:val="0"/>
          <w:numId w:val="2096"/>
        </w:numPr>
      </w:pPr>
      <w:r>
        <w:t xml:space="preserve">Intentional creation of symptom or injury (bleeding, creating infection, poisoning with medication, fabricating somatic complaint).</w:t>
      </w:r>
    </w:p>
    <w:p>
      <w:pPr>
        <w:pStyle w:val="Compact"/>
        <w:numPr>
          <w:ilvl w:val="0"/>
          <w:numId w:val="2096"/>
        </w:numPr>
      </w:pPr>
      <w:r>
        <w:t xml:space="preserve">Clinical presentation “impossible” or atypical; laboratory results contradict the patient's account.</w:t>
      </w:r>
    </w:p>
    <w:p>
      <w:pPr>
        <w:pStyle w:val="Compact"/>
        <w:numPr>
          <w:ilvl w:val="0"/>
          <w:numId w:val="2096"/>
        </w:numPr>
      </w:pPr>
      <w:r>
        <w:t xml:space="preserve">The patient may lie during the interview; the medical history is unreliable.</w:t>
      </w:r>
    </w:p>
    <w:p>
      <w:pPr>
        <w:pStyle w:val="Compact"/>
        <w:numPr>
          <w:ilvl w:val="0"/>
          <w:numId w:val="2096"/>
        </w:numPr>
      </w:pPr>
      <w:r>
        <w:t xml:space="preserve">No overt material gain (insurance, legal, work).</w:t>
      </w:r>
    </w:p>
    <w:bookmarkEnd w:id="2217"/>
    <w:bookmarkStart w:id="2222" w:name="X256224ee4d95a6b275eb1f78c9a0ae331ad351b"/>
    <w:p>
      <w:pPr>
        <w:pStyle w:val="Heading3"/>
      </w:pPr>
      <w:r>
        <w:t xml:space="preserve">6. Diagnosis</w:t>
      </w:r>
    </w:p>
    <w:bookmarkStart w:id="2218" w:name="unified-diagnostic-criteria-53"/>
    <w:p>
      <w:pPr>
        <w:pStyle w:val="Heading4"/>
      </w:pPr>
      <w:r>
        <w:t xml:space="preserve">6.1 Unified diagnostic criteria</w:t>
      </w:r>
    </w:p>
    <w:p>
      <w:pPr>
        <w:pStyle w:val="FirstParagraph"/>
      </w:pPr>
      <w:r>
        <w:t xml:space="preserve">A. Deliberate induction or feigning of physical or psychological symptoms or injury.</w:t>
      </w:r>
    </w:p>
    <w:p>
      <w:pPr>
        <w:pStyle w:val="BodyText"/>
      </w:pPr>
      <w:r>
        <w:t xml:space="preserve">B. The patient presents themselves as ill or injured.</w:t>
      </w:r>
    </w:p>
    <w:p>
      <w:pPr>
        <w:pStyle w:val="BodyText"/>
      </w:pPr>
      <w:r>
        <w:t xml:space="preserve">C. Deceptive behavior with no apparent material gain.</w:t>
      </w:r>
    </w:p>
    <w:p>
      <w:pPr>
        <w:pStyle w:val="BodyText"/>
      </w:pPr>
      <w:r>
        <w:t xml:space="preserve">D. The behavior is not better explained by another mental disorder (delusional disorder, other psychotic).</w:t>
      </w:r>
    </w:p>
    <w:bookmarkEnd w:id="2218"/>
    <w:bookmarkStart w:id="2219" w:name="differences-between-sources-134"/>
    <w:p>
      <w:pPr>
        <w:pStyle w:val="Heading4"/>
      </w:pPr>
      <w:r>
        <w:t xml:space="preserve">6.2 Differences between sources</w:t>
      </w:r>
    </w:p>
    <w:p>
      <w:pPr>
        <w:pStyle w:val="Compact"/>
        <w:numPr>
          <w:ilvl w:val="0"/>
          <w:numId w:val="2097"/>
        </w:numPr>
      </w:pPr>
      <w:r>
        <w:t xml:space="preserve">DSM-5-TR / ICD-11 — same.</w:t>
      </w:r>
    </w:p>
    <w:p>
      <w:pPr>
        <w:pStyle w:val="Compact"/>
        <w:numPr>
          <w:ilvl w:val="0"/>
          <w:numId w:val="2097"/>
        </w:numPr>
      </w:pPr>
      <w:r>
        <w:t xml:space="preserve">Diagnosis is difficult — requires evidence (insurance documents, information from other clinics, video).</w:t>
      </w:r>
    </w:p>
    <w:bookmarkEnd w:id="2219"/>
    <w:bookmarkStart w:id="2220" w:name="diagnostic-algorithm-76"/>
    <w:p>
      <w:pPr>
        <w:pStyle w:val="Heading4"/>
      </w:pPr>
      <w:r>
        <w:t xml:space="preserve">6.3 Diagnostic algorithm</w:t>
      </w:r>
    </w:p>
    <w:p>
      <w:pPr>
        <w:pStyle w:val="Compact"/>
        <w:numPr>
          <w:ilvl w:val="0"/>
          <w:numId w:val="2098"/>
        </w:numPr>
      </w:pPr>
      <w:r>
        <w:t xml:space="preserve">Clinical suspicion — atypical clinical presentations, multiple clinics, “impossible” symptom.</w:t>
      </w:r>
    </w:p>
    <w:p>
      <w:pPr>
        <w:pStyle w:val="Compact"/>
        <w:numPr>
          <w:ilvl w:val="0"/>
          <w:numId w:val="2098"/>
        </w:numPr>
      </w:pPr>
      <w:r>
        <w:t xml:space="preserve">Obtain medical history from other clinics (with patient consent).</w:t>
      </w:r>
    </w:p>
    <w:p>
      <w:pPr>
        <w:pStyle w:val="Compact"/>
        <w:numPr>
          <w:ilvl w:val="0"/>
          <w:numId w:val="2098"/>
        </w:numPr>
      </w:pPr>
      <w:r>
        <w:t xml:space="preserve">Insurance and pharmacy records.</w:t>
      </w:r>
    </w:p>
    <w:p>
      <w:pPr>
        <w:pStyle w:val="Compact"/>
        <w:numPr>
          <w:ilvl w:val="0"/>
          <w:numId w:val="2098"/>
        </w:numPr>
      </w:pPr>
      <w:r>
        <w:t xml:space="preserve">Observation — method of creating laboratory samples.</w:t>
      </w:r>
    </w:p>
    <w:p>
      <w:pPr>
        <w:pStyle w:val="Compact"/>
        <w:numPr>
          <w:ilvl w:val="0"/>
          <w:numId w:val="2098"/>
        </w:numPr>
      </w:pPr>
      <w:r>
        <w:t xml:space="preserve">Comorbid BPD, MDD, trauma history.</w:t>
      </w:r>
    </w:p>
    <w:p>
      <w:pPr>
        <w:pStyle w:val="Compact"/>
        <w:numPr>
          <w:ilvl w:val="0"/>
          <w:numId w:val="2098"/>
        </w:numPr>
      </w:pPr>
      <w:r>
        <w:t xml:space="preserve">Legal and ethical coordination.</w:t>
      </w:r>
    </w:p>
    <w:bookmarkEnd w:id="2220"/>
    <w:bookmarkStart w:id="2221" w:name="differential-diagnosis-7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Clinical confirmation; however, factitious disorder may be comorbid (complex cases).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Conscious lie absent; patient feels symptoms as real.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Conversion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conscious; functional disturbance of the nervous system.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Overt material/legal gain (insurance, legal).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Delusional disorder — somatic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Insight absent.</w:t>
            </w:r>
          </w:p>
        </w:tc>
      </w:tr>
    </w:tbl>
    <w:bookmarkEnd w:id="2221"/>
    <w:bookmarkEnd w:id="2222"/>
    <w:bookmarkStart w:id="2223" w:name="Xcf8c598d4b82854b99d2cf2df94d8bfeabc8773"/>
    <w:p>
      <w:pPr>
        <w:pStyle w:val="Heading3"/>
      </w:pPr>
      <w:r>
        <w:t xml:space="preserve">7. Examination and assessment</w:t>
      </w:r>
    </w:p>
    <w:p>
      <w:pPr>
        <w:pStyle w:val="Compact"/>
        <w:numPr>
          <w:ilvl w:val="0"/>
          <w:numId w:val="2099"/>
        </w:numPr>
      </w:pPr>
      <w:r>
        <w:t xml:space="preserve">Medical history (from other clinics).</w:t>
      </w:r>
    </w:p>
    <w:p>
      <w:pPr>
        <w:pStyle w:val="Compact"/>
        <w:numPr>
          <w:ilvl w:val="0"/>
          <w:numId w:val="2099"/>
        </w:numPr>
      </w:pPr>
      <w:r>
        <w:t xml:space="preserve">Insurance records.</w:t>
      </w:r>
    </w:p>
    <w:p>
      <w:pPr>
        <w:pStyle w:val="Compact"/>
        <w:numPr>
          <w:ilvl w:val="0"/>
          <w:numId w:val="2099"/>
        </w:numPr>
      </w:pPr>
      <w:r>
        <w:t xml:space="preserve">Psychiatric interview for comorbid disorders.</w:t>
      </w:r>
    </w:p>
    <w:bookmarkEnd w:id="2223"/>
    <w:bookmarkStart w:id="2226" w:name="X5437cdc684b3b44afbf03c3f37a828413b39e39"/>
    <w:p>
      <w:pPr>
        <w:pStyle w:val="Heading3"/>
      </w:pPr>
      <w:r>
        <w:t xml:space="preserve">8. Treatment</w:t>
      </w:r>
    </w:p>
    <w:p>
      <w:pPr>
        <w:pStyle w:val="Compact"/>
        <w:numPr>
          <w:ilvl w:val="0"/>
          <w:numId w:val="2100"/>
        </w:numPr>
      </w:pPr>
      <w:r>
        <w:t xml:space="preserve">Non-confrontational approach (Eisendrath) — the diagnosis is explained to the patient within a framework of care rather than punishment; “your distress is real, we can help in another way”.</w:t>
      </w:r>
    </w:p>
    <w:p>
      <w:pPr>
        <w:pStyle w:val="Compact"/>
        <w:numPr>
          <w:ilvl w:val="0"/>
          <w:numId w:val="2100"/>
        </w:numPr>
      </w:pPr>
      <w:r>
        <w:t xml:space="preserve">Single physician model — all complaints are managed through that physician.</w:t>
      </w:r>
    </w:p>
    <w:p>
      <w:pPr>
        <w:pStyle w:val="Compact"/>
        <w:numPr>
          <w:ilvl w:val="0"/>
          <w:numId w:val="2100"/>
        </w:numPr>
      </w:pPr>
      <w:r>
        <w:t xml:space="preserve">Limitation of invasive procedures and unnecessary examinations.</w:t>
      </w:r>
    </w:p>
    <w:p>
      <w:pPr>
        <w:pStyle w:val="Compact"/>
        <w:numPr>
          <w:ilvl w:val="0"/>
          <w:numId w:val="2100"/>
        </w:numPr>
      </w:pPr>
      <w:r>
        <w:t xml:space="preserve">Psychotherapy — supportive, CBT; long-term follow-up.</w:t>
      </w:r>
    </w:p>
    <w:p>
      <w:pPr>
        <w:pStyle w:val="Compact"/>
        <w:numPr>
          <w:ilvl w:val="0"/>
          <w:numId w:val="2100"/>
        </w:numPr>
      </w:pPr>
      <w:r>
        <w:t xml:space="preserve">Comorbid BPD, MDD, trauma treatment.</w:t>
      </w:r>
    </w:p>
    <w:p>
      <w:pPr>
        <w:pStyle w:val="Compact"/>
        <w:numPr>
          <w:ilvl w:val="0"/>
          <w:numId w:val="2100"/>
        </w:numPr>
      </w:pPr>
      <w:r>
        <w:t xml:space="preserve">Confrontation abruptly ‘burns’ the patient; better in a gentle and caring context.</w:t>
      </w:r>
    </w:p>
    <w:bookmarkStart w:id="2224" w:name="treatment-methods-74"/>
    <w:p>
      <w:pPr>
        <w:pStyle w:val="Heading4"/>
      </w:pPr>
      <w:r>
        <w:t xml:space="preserve">8.1 Treatment methods</w:t>
      </w:r>
    </w:p>
    <w:p>
      <w:pPr>
        <w:pStyle w:val="Compact"/>
        <w:numPr>
          <w:ilvl w:val="0"/>
          <w:numId w:val="2101"/>
        </w:numPr>
      </w:pPr>
      <w:r>
        <w:t xml:space="preserve">Supportive Psychotherapy — Attention to patient's emotional needs.</w:t>
      </w:r>
    </w:p>
    <w:p>
      <w:pPr>
        <w:pStyle w:val="Compact"/>
        <w:numPr>
          <w:ilvl w:val="0"/>
          <w:numId w:val="2101"/>
        </w:numPr>
      </w:pPr>
      <w:r>
        <w:t xml:space="preserve">Multidisciplinary approach — Medical and psychiatric combined.</w:t>
      </w:r>
    </w:p>
    <w:bookmarkEnd w:id="2224"/>
    <w:bookmarkStart w:id="2225" w:name="differences-between-sources-135"/>
    <w:p>
      <w:pPr>
        <w:pStyle w:val="Heading4"/>
      </w:pPr>
      <w:r>
        <w:t xml:space="preserve">8.2 Differences between sources</w:t>
      </w:r>
    </w:p>
    <w:p>
      <w:pPr>
        <w:pStyle w:val="Compact"/>
        <w:numPr>
          <w:ilvl w:val="0"/>
          <w:numId w:val="2102"/>
        </w:numPr>
      </w:pPr>
      <w:r>
        <w:t xml:space="preserve">Eisendrath S.J. — non-confrontational approach and therapeutic alliance.</w:t>
      </w:r>
    </w:p>
    <w:p>
      <w:pPr>
        <w:pStyle w:val="Compact"/>
        <w:numPr>
          <w:ilvl w:val="0"/>
          <w:numId w:val="2102"/>
        </w:numPr>
      </w:pPr>
      <w:r>
        <w:t xml:space="preserve">APA Textbook of Consultation-Liaison Psychiatry (Levenson).</w:t>
      </w:r>
    </w:p>
    <w:bookmarkEnd w:id="2225"/>
    <w:bookmarkEnd w:id="2226"/>
    <w:bookmarkStart w:id="2227" w:name="X72da8a56cf8873c769f3baa4342629b4912c132"/>
    <w:p>
      <w:pPr>
        <w:pStyle w:val="Heading3"/>
      </w:pPr>
      <w:r>
        <w:t xml:space="preserve">9. Prognosis</w:t>
      </w:r>
    </w:p>
    <w:p>
      <w:pPr>
        <w:pStyle w:val="Compact"/>
        <w:numPr>
          <w:ilvl w:val="0"/>
          <w:numId w:val="2103"/>
        </w:numPr>
      </w:pPr>
      <w:r>
        <w:t xml:space="preserve">Chronic course; “hospital shopping” continues.</w:t>
      </w:r>
    </w:p>
    <w:p>
      <w:pPr>
        <w:pStyle w:val="Compact"/>
        <w:numPr>
          <w:ilvl w:val="0"/>
          <w:numId w:val="2103"/>
        </w:numPr>
      </w:pPr>
      <w:r>
        <w:t xml:space="preserve">Long-term therapeutic alliance and treatment of comorbidities improve prognosis.</w:t>
      </w:r>
    </w:p>
    <w:bookmarkEnd w:id="2227"/>
    <w:bookmarkStart w:id="2233" w:name="X6a25ae61022592403d635f66a4c4dcb343e2562"/>
    <w:p>
      <w:pPr>
        <w:pStyle w:val="Heading3"/>
      </w:pPr>
      <w:r>
        <w:t xml:space="preserve">10. Myths and misconceptions</w:t>
      </w:r>
    </w:p>
    <w:bookmarkStart w:id="2228" w:name="Xdf3131b361607eae8e0a3c7a38af97b4a308786"/>
    <w:p>
      <w:pPr>
        <w:pStyle w:val="Heading5"/>
      </w:pPr>
      <w:r>
        <w:t xml:space="preserve">Myth 1: “The patient is a ‘liar’, legal punishment is required”</w:t>
      </w:r>
    </w:p>
    <w:p>
      <w:pPr>
        <w:pStyle w:val="FirstParagraph"/>
      </w:pPr>
      <w:r>
        <w:t xml:space="preserve">Evidence: Factitious disorder is a psychiatric disorder — response to emotional need; a non-confrontational approach and psychotherapy are recommended.</w:t>
      </w:r>
    </w:p>
    <w:bookmarkEnd w:id="2228"/>
    <w:bookmarkStart w:id="2229" w:name="X6c9801b6ba2ac318fef26073485739636fc93ee"/>
    <w:p>
      <w:pPr>
        <w:pStyle w:val="Heading5"/>
      </w:pPr>
      <w:r>
        <w:t xml:space="preserve">Myth 2: “Directly saying ‘you are lying’ will ‘correct’ the patient”</w:t>
      </w:r>
    </w:p>
    <w:p>
      <w:pPr>
        <w:pStyle w:val="FirstParagraph"/>
      </w:pPr>
      <w:r>
        <w:t xml:space="preserve">Evidence: a harsh confrontation causes the patient to “flee” and transfer to another clinic; a gentle approach builds a therapeutic alliance.</w:t>
      </w:r>
    </w:p>
    <w:bookmarkEnd w:id="2229"/>
    <w:bookmarkStart w:id="2230" w:name="X02af4514d104a0806af3392c2ee9508dfc0b016"/>
    <w:p>
      <w:pPr>
        <w:pStyle w:val="Heading5"/>
      </w:pPr>
      <w:r>
        <w:t xml:space="preserve">Myth 3: “Factitious disorder = somatic symptom disorder”</w:t>
      </w:r>
    </w:p>
    <w:p>
      <w:pPr>
        <w:pStyle w:val="FirstParagraph"/>
      </w:pPr>
      <w:r>
        <w:t xml:space="preserve">Evidence: Factitious deliberate lying; somatic symptom — patient's genuine feeling.</w:t>
      </w:r>
    </w:p>
    <w:bookmarkEnd w:id="2230"/>
    <w:bookmarkStart w:id="2231" w:name="Xb529363e073147bbd4080f96fe451459fce82df"/>
    <w:p>
      <w:pPr>
        <w:pStyle w:val="Heading5"/>
      </w:pPr>
      <w:r>
        <w:t xml:space="preserve">Myth 4: “Invasive procedures that have been started must be carried through”</w:t>
      </w:r>
    </w:p>
    <w:p>
      <w:pPr>
        <w:pStyle w:val="FirstParagraph"/>
      </w:pPr>
      <w:r>
        <w:t xml:space="preserve">Evidence: Unnecessary invasive procedures are harmful and should be limited after a diagnosis is made.</w:t>
      </w:r>
    </w:p>
    <w:bookmarkEnd w:id="2231"/>
    <w:bookmarkStart w:id="2232" w:name="X3b320163ed57529bf5f8d616bd6f78ce53bd420"/>
    <w:p>
      <w:pPr>
        <w:pStyle w:val="Heading5"/>
      </w:pPr>
      <w:r>
        <w:t xml:space="preserve">Myth 5: “Factitious disorder cannot be treated”</w:t>
      </w:r>
    </w:p>
    <w:p>
      <w:pPr>
        <w:pStyle w:val="FirstParagraph"/>
      </w:pPr>
      <w:r>
        <w:t xml:space="preserve">Evidence: Evidence base is limited, but improvement is possible with long-term therapeutic alliance and multidisciplinary care.</w:t>
      </w:r>
    </w:p>
    <w:bookmarkEnd w:id="2232"/>
    <w:bookmarkEnd w:id="2233"/>
    <w:bookmarkStart w:id="2940" w:name="X47128c68f18fe4d109ff4098700cef565dfc86d"/>
    <w:p>
      <w:pPr>
        <w:pStyle w:val="Heading3"/>
      </w:pPr>
      <w:r>
        <w:t xml:space="preserve">11. Sources</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without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34" w:name="Xcc8c6b3f2ec3bc057661ecb2aadcdd8234ec02a"/>
            <w:r>
              <w:t xml:space="preserve">6D51 FACTITIOUS DISORDER IMPOSED ON ANOTHER</w:t>
            </w:r>
            <w:bookmarkEnd w:id="2234"/>
          </w:p>
          <w:p>
            <w:pPr>
              <w:pStyle w:val="Compact"/>
              <w:ind w:firstLine="0" w:left="0"/>
            </w:pPr>
            <w:r>
              <w:rPr>
                <w:lang w:val="en"/>
              </w:rPr>
              <w:t xml:space="preserve">Factitious disorder imposed on another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Intentional production or feigning of symptoms or disabilities, either physical or psychological [factitious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Imposed on Another</w:t>
            </w:r>
          </w:p>
        </w:tc>
      </w:tr>
    </w:tbl>
    <w:bookmarkStart w:id="2235" w:name="X831b1ba3216a170bbbf70540abea5caf173427e"/>
    <w:p>
      <w:pPr>
        <w:pStyle w:val="Heading3"/>
      </w:pPr>
      <w:r>
        <w:t xml:space="preserve">1. Definition and nosology</w:t>
      </w:r>
    </w:p>
    <w:p>
      <w:pPr>
        <w:pStyle w:val="FirstParagraph"/>
      </w:pPr>
      <w:r>
        <w:t xml:space="preserve">Factitious disorder imposed on another (ICD-11:</w:t>
      </w:r>
      <w:r>
        <w:t xml:space="preserve"> </w:t>
      </w:r>
      <w:r>
        <w:t xml:space="preserve">6D51</w:t>
      </w:r>
      <w:r>
        <w:t xml:space="preserve">; DSM-5-TR: F68.10) — the patient creates or feigns physical or psychological symptoms in another person (typically their own child, elderly or disabled dependent); they bring that person to the hospital as a victim. Originally termed ‘Munchausen by proxy’ (Meadow R. 1977).</w:t>
      </w:r>
    </w:p>
    <w:p>
      <w:pPr>
        <w:pStyle w:val="BodyText"/>
      </w:pPr>
      <w:r>
        <w:t xml:space="preserve">The diagnosis is made in the perpetrator, not in the victim. This disorder is at the same time child abuse — child protection and legal intervention are mandatory.</w:t>
      </w:r>
    </w:p>
    <w:bookmarkEnd w:id="2235"/>
    <w:bookmarkStart w:id="2236" w:name="X761eff19dc6e0467707f0086ffe661dfab271f2"/>
    <w:p>
      <w:pPr>
        <w:pStyle w:val="Heading3"/>
      </w:pPr>
      <w:r>
        <w:t xml:space="preserve">2. History</w:t>
      </w:r>
    </w:p>
    <w:p>
      <w:pPr>
        <w:pStyle w:val="Compact"/>
        <w:numPr>
          <w:ilvl w:val="0"/>
          <w:numId w:val="2105"/>
        </w:numPr>
      </w:pPr>
      <w:r>
        <w:t xml:space="preserve">Meadow R. (1977) — ‘Munchausen syndrome by proxy’ Lancet.</w:t>
      </w:r>
    </w:p>
    <w:p>
      <w:pPr>
        <w:pStyle w:val="Compact"/>
        <w:numPr>
          <w:ilvl w:val="0"/>
          <w:numId w:val="2105"/>
        </w:numPr>
      </w:pPr>
      <w:r>
        <w:t xml:space="preserve">DSM-IV (1994) — In the research category.</w:t>
      </w:r>
    </w:p>
    <w:p>
      <w:pPr>
        <w:pStyle w:val="Compact"/>
        <w:numPr>
          <w:ilvl w:val="0"/>
          <w:numId w:val="2105"/>
        </w:numPr>
      </w:pPr>
      <w:r>
        <w:t xml:space="preserve">DSM-5 (2013) — official diagnosis.</w:t>
      </w:r>
    </w:p>
    <w:p>
      <w:pPr>
        <w:pStyle w:val="Compact"/>
        <w:numPr>
          <w:ilvl w:val="0"/>
          <w:numId w:val="2105"/>
        </w:numPr>
      </w:pPr>
      <w:r>
        <w:t xml:space="preserve">APSAC, AAP — child protection protocols.</w:t>
      </w:r>
    </w:p>
    <w:bookmarkEnd w:id="2236"/>
    <w:bookmarkStart w:id="2237" w:name="X6112fafdf77e8bdb2ed4386e640cc05efb27325"/>
    <w:p>
      <w:pPr>
        <w:pStyle w:val="Heading3"/>
      </w:pPr>
      <w:r>
        <w:t xml:space="preserve">3. Epidemiology</w:t>
      </w:r>
    </w:p>
    <w:p>
      <w:pPr>
        <w:pStyle w:val="Compact"/>
        <w:numPr>
          <w:ilvl w:val="0"/>
          <w:numId w:val="2106"/>
        </w:numPr>
      </w:pPr>
      <w:r>
        <w:t xml:space="preserve">Rare — annual incidence ~2/100,000 children (Sheridan M.S. Child Abuse Negl 2003 review); under-detection.</w:t>
      </w:r>
    </w:p>
    <w:p>
      <w:pPr>
        <w:pStyle w:val="Compact"/>
        <w:numPr>
          <w:ilvl w:val="0"/>
          <w:numId w:val="2106"/>
        </w:numPr>
      </w:pPr>
      <w:r>
        <w:t xml:space="preserve">Typical perpetrator — biological mother (&gt;90%); victim — child (typically &lt;5 years).</w:t>
      </w:r>
    </w:p>
    <w:p>
      <w:pPr>
        <w:pStyle w:val="Compact"/>
        <w:numPr>
          <w:ilvl w:val="0"/>
          <w:numId w:val="2106"/>
        </w:numPr>
      </w:pPr>
      <w:r>
        <w:t xml:space="preserve">Victims' mortality 6–9% (Sheridan); morbidity high.</w:t>
      </w:r>
    </w:p>
    <w:bookmarkEnd w:id="2237"/>
    <w:bookmarkStart w:id="2238" w:name="Xba25d76fd677a516d55b3ee043c1738842aabd2"/>
    <w:p>
      <w:pPr>
        <w:pStyle w:val="Heading3"/>
      </w:pPr>
      <w:r>
        <w:t xml:space="preserve">4. Aetiology and pathogenesis</w:t>
      </w:r>
    </w:p>
    <w:p>
      <w:pPr>
        <w:pStyle w:val="Compact"/>
        <w:numPr>
          <w:ilvl w:val="0"/>
          <w:numId w:val="2107"/>
        </w:numPr>
      </w:pPr>
      <w:r>
        <w:t xml:space="preserve">Psychological needs of the patient — attention in the medical role, relationships, ‘hero’ image.</w:t>
      </w:r>
    </w:p>
    <w:p>
      <w:pPr>
        <w:pStyle w:val="Compact"/>
        <w:numPr>
          <w:ilvl w:val="0"/>
          <w:numId w:val="2107"/>
        </w:numPr>
      </w:pPr>
      <w:r>
        <w:t xml:space="preserve">Occupational burnout.</w:t>
      </w:r>
    </w:p>
    <w:p>
      <w:pPr>
        <w:pStyle w:val="Compact"/>
        <w:numPr>
          <w:ilvl w:val="0"/>
          <w:numId w:val="2107"/>
        </w:numPr>
      </w:pPr>
      <w:r>
        <w:t xml:space="preserve">History of trauma or neglect in the patient.</w:t>
      </w:r>
    </w:p>
    <w:bookmarkEnd w:id="2238"/>
    <w:bookmarkStart w:id="2239" w:name="Xcf0fb27f95d0f363e8f2de9929625642aa123f5"/>
    <w:p>
      <w:pPr>
        <w:pStyle w:val="Heading3"/>
      </w:pPr>
      <w:r>
        <w:t xml:space="preserve">5. Clinical features</w:t>
      </w:r>
    </w:p>
    <w:p>
      <w:pPr>
        <w:pStyle w:val="Compact"/>
        <w:numPr>
          <w:ilvl w:val="0"/>
          <w:numId w:val="2108"/>
        </w:numPr>
      </w:pPr>
      <w:r>
        <w:t xml:space="preserve">Child's symptoms occur only with mother; improve when the child is put to bed and the mother is absent.</w:t>
      </w:r>
    </w:p>
    <w:p>
      <w:pPr>
        <w:pStyle w:val="Compact"/>
        <w:numPr>
          <w:ilvl w:val="0"/>
          <w:numId w:val="2108"/>
        </w:numPr>
      </w:pPr>
      <w:r>
        <w:t xml:space="preserve">Multiple clinics, atypical symptoms, “impossible” medical history.</w:t>
      </w:r>
    </w:p>
    <w:p>
      <w:pPr>
        <w:pStyle w:val="Compact"/>
        <w:numPr>
          <w:ilvl w:val="0"/>
          <w:numId w:val="2108"/>
        </w:numPr>
      </w:pPr>
      <w:r>
        <w:t xml:space="preserve">Mother — a medical professional or has extensive medical knowledge.</w:t>
      </w:r>
    </w:p>
    <w:p>
      <w:pPr>
        <w:pStyle w:val="Compact"/>
        <w:numPr>
          <w:ilvl w:val="0"/>
          <w:numId w:val="2108"/>
        </w:numPr>
      </w:pPr>
      <w:r>
        <w:t xml:space="preserve">The mother appears overly polite and an “ideal caregiver.”</w:t>
      </w:r>
    </w:p>
    <w:p>
      <w:pPr>
        <w:pStyle w:val="Compact"/>
        <w:numPr>
          <w:ilvl w:val="0"/>
          <w:numId w:val="2108"/>
        </w:numPr>
      </w:pPr>
      <w:r>
        <w:t xml:space="preserve">Typical induction methods: drug poisoning, mechanical obstruction of food or airway, blood collection, infection creation.</w:t>
      </w:r>
    </w:p>
    <w:p>
      <w:pPr>
        <w:pStyle w:val="Compact"/>
        <w:numPr>
          <w:ilvl w:val="0"/>
          <w:numId w:val="2108"/>
        </w:numPr>
      </w:pPr>
      <w:r>
        <w:t xml:space="preserve">Victim child with unexplained recurrent seizures, apnea, hypoglycemia, infection, skin injury.</w:t>
      </w:r>
    </w:p>
    <w:bookmarkEnd w:id="2239"/>
    <w:bookmarkStart w:id="2244" w:name="X74b14bff86ddd241be71c7155f8075ab0170352"/>
    <w:p>
      <w:pPr>
        <w:pStyle w:val="Heading3"/>
      </w:pPr>
      <w:r>
        <w:t xml:space="preserve">6. Diagnosis</w:t>
      </w:r>
    </w:p>
    <w:bookmarkStart w:id="2240" w:name="unified-diagnostic-criteria-54"/>
    <w:p>
      <w:pPr>
        <w:pStyle w:val="Heading4"/>
      </w:pPr>
      <w:r>
        <w:t xml:space="preserve">6.1 Unified diagnostic criteria</w:t>
      </w:r>
    </w:p>
    <w:p>
      <w:pPr>
        <w:pStyle w:val="FirstParagraph"/>
      </w:pPr>
      <w:r>
        <w:t xml:space="preserve">A. Deliberate induction of physical or psychological symptoms or harm in another person (victim).</w:t>
      </w:r>
    </w:p>
    <w:p>
      <w:pPr>
        <w:pStyle w:val="BodyText"/>
      </w:pPr>
      <w:r>
        <w:t xml:space="preserve">B. The patient presents the victim to others as ill or injured.</w:t>
      </w:r>
    </w:p>
    <w:p>
      <w:pPr>
        <w:pStyle w:val="BodyText"/>
      </w:pPr>
      <w:r>
        <w:t xml:space="preserve">C. Deceptive behavior with no apparent material gain.</w:t>
      </w:r>
    </w:p>
    <w:p>
      <w:pPr>
        <w:pStyle w:val="BodyText"/>
      </w:pPr>
      <w:r>
        <w:t xml:space="preserve">D. The behavior is not better explained by another mental disorder.</w:t>
      </w:r>
    </w:p>
    <w:p>
      <w:pPr>
        <w:pStyle w:val="BodyText"/>
      </w:pPr>
      <w:r>
        <w:t xml:space="preserve">The diagnosis is made in the perpetrator, not in the victim.</w:t>
      </w:r>
    </w:p>
    <w:bookmarkEnd w:id="2240"/>
    <w:bookmarkStart w:id="2241" w:name="differences-between-sources-136"/>
    <w:p>
      <w:pPr>
        <w:pStyle w:val="Heading4"/>
      </w:pPr>
      <w:r>
        <w:t xml:space="preserve">6.2 Differences between sources</w:t>
      </w:r>
    </w:p>
    <w:p>
      <w:pPr>
        <w:pStyle w:val="Compact"/>
        <w:numPr>
          <w:ilvl w:val="0"/>
          <w:numId w:val="2109"/>
        </w:numPr>
      </w:pPr>
      <w:r>
        <w:t xml:space="preserve">DSM-5-TR / ICD-11 — same.</w:t>
      </w:r>
    </w:p>
    <w:p>
      <w:pPr>
        <w:pStyle w:val="Compact"/>
        <w:numPr>
          <w:ilvl w:val="0"/>
          <w:numId w:val="2109"/>
        </w:numPr>
      </w:pPr>
      <w:r>
        <w:t xml:space="preserve">APSAC, AAP — child protection protocols; this clinical condition also category of child abuse.</w:t>
      </w:r>
    </w:p>
    <w:bookmarkEnd w:id="2241"/>
    <w:bookmarkStart w:id="2242" w:name="diagnostic-algorithm-77"/>
    <w:p>
      <w:pPr>
        <w:pStyle w:val="Heading4"/>
      </w:pPr>
      <w:r>
        <w:t xml:space="preserve">6.3 Diagnostic algorithm</w:t>
      </w:r>
    </w:p>
    <w:p>
      <w:pPr>
        <w:pStyle w:val="Compact"/>
        <w:numPr>
          <w:ilvl w:val="0"/>
          <w:numId w:val="2110"/>
        </w:numPr>
      </w:pPr>
      <w:r>
        <w:t xml:space="preserve">Clinical suspicion — atypical symptom pattern, related to mother.</w:t>
      </w:r>
    </w:p>
    <w:p>
      <w:pPr>
        <w:pStyle w:val="Compact"/>
        <w:numPr>
          <w:ilvl w:val="0"/>
          <w:numId w:val="2110"/>
        </w:numPr>
      </w:pPr>
      <w:r>
        <w:t xml:space="preserve">Pediatrician, psychiatrist, social worker multidisciplinary team.</w:t>
      </w:r>
    </w:p>
    <w:p>
      <w:pPr>
        <w:pStyle w:val="Compact"/>
        <w:numPr>
          <w:ilvl w:val="0"/>
          <w:numId w:val="2110"/>
        </w:numPr>
      </w:pPr>
      <w:r>
        <w:t xml:space="preserve">Obtaining medical documentation from other clinics.</w:t>
      </w:r>
    </w:p>
    <w:p>
      <w:pPr>
        <w:pStyle w:val="Compact"/>
        <w:numPr>
          <w:ilvl w:val="0"/>
          <w:numId w:val="2110"/>
        </w:numPr>
      </w:pPr>
      <w:r>
        <w:t xml:space="preserve">Separation test — monitoring symptoms when the patient is separated from the caregiver.</w:t>
      </w:r>
    </w:p>
    <w:p>
      <w:pPr>
        <w:pStyle w:val="Compact"/>
        <w:numPr>
          <w:ilvl w:val="0"/>
          <w:numId w:val="2110"/>
        </w:numPr>
      </w:pPr>
      <w:r>
        <w:t xml:space="preserve">Video monitoring (under child protection and legal intervention)</w:t>
      </w:r>
    </w:p>
    <w:p>
      <w:pPr>
        <w:pStyle w:val="Compact"/>
        <w:numPr>
          <w:ilvl w:val="0"/>
          <w:numId w:val="2110"/>
        </w:numPr>
      </w:pPr>
      <w:r>
        <w:t xml:space="preserve">Toxicological and biochemical tests (evidence of creation).</w:t>
      </w:r>
    </w:p>
    <w:p>
      <w:pPr>
        <w:pStyle w:val="Compact"/>
        <w:numPr>
          <w:ilvl w:val="0"/>
          <w:numId w:val="2110"/>
        </w:numPr>
      </w:pPr>
      <w:r>
        <w:t xml:space="preserve">Referral to child protection and legal coordination is mandatory.</w:t>
      </w:r>
    </w:p>
    <w:bookmarkEnd w:id="2242"/>
    <w:bookmarkStart w:id="2243" w:name="differential-diagnosis-7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proof.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Overanxious parent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The deliberate induction does not exist; it expresses medical suspicions but does not create them.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Real child abuse (other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Physical abuse, sexual abuse, neglect — different motivation.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imposed on self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Victim is self.</w:t>
            </w:r>
          </w:p>
        </w:tc>
      </w:tr>
    </w:tbl>
    <w:bookmarkEnd w:id="2243"/>
    <w:bookmarkEnd w:id="2244"/>
    <w:bookmarkStart w:id="2245" w:name="Xc04565cbab13513c64859d7d8fccc61a41ffaee"/>
    <w:p>
      <w:pPr>
        <w:pStyle w:val="Heading3"/>
      </w:pPr>
      <w:r>
        <w:t xml:space="preserve">7. Examination and assessment</w:t>
      </w:r>
    </w:p>
    <w:p>
      <w:pPr>
        <w:pStyle w:val="Compact"/>
        <w:numPr>
          <w:ilvl w:val="0"/>
          <w:numId w:val="2111"/>
        </w:numPr>
      </w:pPr>
      <w:r>
        <w:t xml:space="preserve">Pediatric clinical assessment.</w:t>
      </w:r>
    </w:p>
    <w:p>
      <w:pPr>
        <w:pStyle w:val="Compact"/>
        <w:numPr>
          <w:ilvl w:val="0"/>
          <w:numId w:val="2111"/>
        </w:numPr>
      </w:pPr>
      <w:r>
        <w:t xml:space="preserve">Medical history gathering.</w:t>
      </w:r>
    </w:p>
    <w:p>
      <w:pPr>
        <w:pStyle w:val="Compact"/>
        <w:numPr>
          <w:ilvl w:val="0"/>
          <w:numId w:val="2111"/>
        </w:numPr>
      </w:pPr>
      <w:r>
        <w:t xml:space="preserve">Social service and child protection referral.</w:t>
      </w:r>
    </w:p>
    <w:p>
      <w:pPr>
        <w:pStyle w:val="Compact"/>
        <w:numPr>
          <w:ilvl w:val="0"/>
          <w:numId w:val="2111"/>
        </w:numPr>
      </w:pPr>
      <w:r>
        <w:t xml:space="preserve">Legal coordination.</w:t>
      </w:r>
    </w:p>
    <w:bookmarkEnd w:id="2245"/>
    <w:bookmarkStart w:id="2248" w:name="X3309e143ad2c319dbb157eb7ad61a6f1dc3693d"/>
    <w:p>
      <w:pPr>
        <w:pStyle w:val="Heading3"/>
      </w:pPr>
      <w:r>
        <w:t xml:space="preserve">8. Treatment</w:t>
      </w:r>
    </w:p>
    <w:p>
      <w:pPr>
        <w:pStyle w:val="Compact"/>
        <w:numPr>
          <w:ilvl w:val="0"/>
          <w:numId w:val="2112"/>
        </w:numPr>
      </w:pPr>
      <w:r>
        <w:t xml:space="preserve">Victim's safety is the first priority — child separation (from mother or caregiver).</w:t>
      </w:r>
    </w:p>
    <w:p>
      <w:pPr>
        <w:pStyle w:val="Compact"/>
        <w:numPr>
          <w:ilvl w:val="0"/>
          <w:numId w:val="2112"/>
        </w:numPr>
      </w:pPr>
      <w:r>
        <w:t xml:space="preserve">Child protection referral — legal protocols.</w:t>
      </w:r>
    </w:p>
    <w:p>
      <w:pPr>
        <w:pStyle w:val="Compact"/>
        <w:numPr>
          <w:ilvl w:val="0"/>
          <w:numId w:val="2112"/>
        </w:numPr>
      </w:pPr>
      <w:r>
        <w:t xml:space="preserve">The patient's (perpetrator's) psychiatric treatment:</w:t>
      </w:r>
    </w:p>
    <w:p>
      <w:pPr>
        <w:pStyle w:val="Compact"/>
        <w:numPr>
          <w:ilvl w:val="1"/>
          <w:numId w:val="2113"/>
        </w:numPr>
      </w:pPr>
      <w:r>
        <w:t xml:space="preserve">Psychotherapy (long-term);</w:t>
      </w:r>
    </w:p>
    <w:p>
      <w:pPr>
        <w:pStyle w:val="Compact"/>
        <w:numPr>
          <w:ilvl w:val="1"/>
          <w:numId w:val="2113"/>
        </w:numPr>
      </w:pPr>
      <w:r>
        <w:t xml:space="preserve">Comorbid disorders (BPD, MDD, trauma);</w:t>
      </w:r>
    </w:p>
    <w:p>
      <w:pPr>
        <w:pStyle w:val="Compact"/>
        <w:numPr>
          <w:ilvl w:val="1"/>
          <w:numId w:val="2113"/>
        </w:numPr>
      </w:pPr>
      <w:r>
        <w:t xml:space="preserve">Medical occupational context — occupational prohibitions may be considered.</w:t>
      </w:r>
    </w:p>
    <w:p>
      <w:pPr>
        <w:pStyle w:val="Compact"/>
        <w:numPr>
          <w:ilvl w:val="0"/>
          <w:numId w:val="2112"/>
        </w:numPr>
      </w:pPr>
      <w:r>
        <w:t xml:space="preserve">Family intervention and sibling protection assessment.</w:t>
      </w:r>
    </w:p>
    <w:p>
      <w:pPr>
        <w:pStyle w:val="Compact"/>
        <w:numPr>
          <w:ilvl w:val="0"/>
          <w:numId w:val="2112"/>
        </w:numPr>
      </w:pPr>
      <w:r>
        <w:t xml:space="preserve">Victim child's psychotherapy – trauma intervention.</w:t>
      </w:r>
    </w:p>
    <w:bookmarkStart w:id="2246" w:name="treatment-methods-75"/>
    <w:p>
      <w:pPr>
        <w:pStyle w:val="Heading4"/>
      </w:pPr>
      <w:r>
        <w:t xml:space="preserve">8.1 Treatment methods</w:t>
      </w:r>
    </w:p>
    <w:p>
      <w:pPr>
        <w:pStyle w:val="Compact"/>
        <w:numPr>
          <w:ilvl w:val="0"/>
          <w:numId w:val="2114"/>
        </w:numPr>
      </w:pPr>
      <w:r>
        <w:t xml:space="preserve">Child Protection Referral — Absolutely when suspicion exists; APSAC, AAP protocols.</w:t>
      </w:r>
    </w:p>
    <w:p>
      <w:pPr>
        <w:pStyle w:val="Compact"/>
        <w:numPr>
          <w:ilvl w:val="0"/>
          <w:numId w:val="2114"/>
        </w:numPr>
      </w:pPr>
      <w:r>
        <w:t xml:space="preserve">Multidisciplinary Group — Pediatrician + psychiatrist + social worker + forensic specialist.</w:t>
      </w:r>
    </w:p>
    <w:p>
      <w:pPr>
        <w:pStyle w:val="Compact"/>
        <w:numPr>
          <w:ilvl w:val="0"/>
          <w:numId w:val="2114"/>
        </w:numPr>
      </w:pPr>
      <w:r>
        <w:t xml:space="preserve">Separation Test — The mother is separated from the victim; symptoms are observed.</w:t>
      </w:r>
    </w:p>
    <w:p>
      <w:pPr>
        <w:pStyle w:val="Compact"/>
        <w:numPr>
          <w:ilvl w:val="0"/>
          <w:numId w:val="2114"/>
        </w:numPr>
      </w:pPr>
      <w:r>
        <w:t xml:space="preserve">Video Monitoring — Under legal and ethical supervision.</w:t>
      </w:r>
    </w:p>
    <w:bookmarkEnd w:id="2246"/>
    <w:bookmarkStart w:id="2247" w:name="differences-between-sources-137"/>
    <w:p>
      <w:pPr>
        <w:pStyle w:val="Heading4"/>
      </w:pPr>
      <w:r>
        <w:t xml:space="preserve">8.2 Differences between sources</w:t>
      </w:r>
    </w:p>
    <w:p>
      <w:pPr>
        <w:pStyle w:val="Compact"/>
        <w:numPr>
          <w:ilvl w:val="0"/>
          <w:numId w:val="2115"/>
        </w:numPr>
      </w:pPr>
      <w:r>
        <w:t xml:space="preserve">APSAC — child protection protocols.</w:t>
      </w:r>
    </w:p>
    <w:p>
      <w:pPr>
        <w:pStyle w:val="Compact"/>
        <w:numPr>
          <w:ilvl w:val="0"/>
          <w:numId w:val="2115"/>
        </w:numPr>
      </w:pPr>
      <w:r>
        <w:t xml:space="preserve">AAP — pediatrician role.</w:t>
      </w:r>
    </w:p>
    <w:p>
      <w:pPr>
        <w:pStyle w:val="Compact"/>
        <w:numPr>
          <w:ilvl w:val="0"/>
          <w:numId w:val="2115"/>
        </w:numPr>
      </w:pPr>
      <w:r>
        <w:t xml:space="preserve">Coordination of the legal system is mandatory.</w:t>
      </w:r>
    </w:p>
    <w:bookmarkEnd w:id="2247"/>
    <w:bookmarkEnd w:id="2248"/>
    <w:bookmarkStart w:id="2249" w:name="X57027e2925b8f010dddda87cc9aebad5af6fe48"/>
    <w:p>
      <w:pPr>
        <w:pStyle w:val="Heading3"/>
      </w:pPr>
      <w:r>
        <w:t xml:space="preserve">9. Prognosis</w:t>
      </w:r>
    </w:p>
    <w:p>
      <w:pPr>
        <w:pStyle w:val="Compact"/>
        <w:numPr>
          <w:ilvl w:val="0"/>
          <w:numId w:val="2116"/>
        </w:numPr>
      </w:pPr>
      <w:r>
        <w:t xml:space="preserve">For the victim – high mortality (6–9%) and morbidity without intervention.</w:t>
      </w:r>
    </w:p>
    <w:p>
      <w:pPr>
        <w:pStyle w:val="Compact"/>
        <w:numPr>
          <w:ilvl w:val="0"/>
          <w:numId w:val="2116"/>
        </w:numPr>
      </w:pPr>
      <w:r>
        <w:t xml:space="preserve">For the patient — improvement with psychotherapy; long-term follow-up.</w:t>
      </w:r>
    </w:p>
    <w:bookmarkEnd w:id="2249"/>
    <w:bookmarkStart w:id="2255" w:name="X03276353a4574a37ab29b41c998364cfeff910c"/>
    <w:p>
      <w:pPr>
        <w:pStyle w:val="Heading3"/>
      </w:pPr>
      <w:r>
        <w:t xml:space="preserve">10. Myths and misconceptions</w:t>
      </w:r>
    </w:p>
    <w:bookmarkStart w:id="2250" w:name="X5796eaabc211f4905f9366ad23a1c6e264d4576"/>
    <w:p>
      <w:pPr>
        <w:pStyle w:val="Heading5"/>
      </w:pPr>
      <w:r>
        <w:t xml:space="preserve">Myth 1: “The mother is truly caring, the diagnosis is wrong”</w:t>
      </w:r>
    </w:p>
    <w:p>
      <w:pPr>
        <w:pStyle w:val="FirstParagraph"/>
      </w:pPr>
      <w:r>
        <w:t xml:space="preserve">Evidence: Clinical features (mother-attributed symptoms, atypical medical history) require substantial proof; clinical suspicion is sufficient for referral to child protection.</w:t>
      </w:r>
    </w:p>
    <w:bookmarkEnd w:id="2250"/>
    <w:bookmarkStart w:id="2251" w:name="Xe4626d96ba4cefaee2e18937d9f39a52006f372"/>
    <w:p>
      <w:pPr>
        <w:pStyle w:val="Heading5"/>
      </w:pPr>
      <w:r>
        <w:t xml:space="preserve">Myth 2: “This condition is not a psychiatric problem; it is just child abuse”</w:t>
      </w:r>
    </w:p>
    <w:p>
      <w:pPr>
        <w:pStyle w:val="FirstParagraph"/>
      </w:pPr>
      <w:r>
        <w:t xml:space="preserve">Evidence: both approaches important — child protection + perpetrator psychiatric treatment.</w:t>
      </w:r>
    </w:p>
    <w:bookmarkEnd w:id="2251"/>
    <w:bookmarkStart w:id="2252" w:name="X737cde397e56a898aabab9b66813f7cdc841c07"/>
    <w:p>
      <w:pPr>
        <w:pStyle w:val="Heading5"/>
      </w:pPr>
      <w:r>
        <w:t xml:space="preserve">Myth 3: “Treatment of the perpetrator delays cessation of care for the victim”</w:t>
      </w:r>
    </w:p>
    <w:p>
      <w:pPr>
        <w:pStyle w:val="FirstParagraph"/>
      </w:pPr>
      <w:r>
        <w:t xml:space="preserve">Evidence: Victim safety first priority; psychiatric treatment separately continued.</w:t>
      </w:r>
    </w:p>
    <w:bookmarkEnd w:id="2252"/>
    <w:bookmarkStart w:id="2253" w:name="myth-4-it-only-occurs-in-the-mother"/>
    <w:p>
      <w:pPr>
        <w:pStyle w:val="Heading5"/>
      </w:pPr>
      <w:r>
        <w:t xml:space="preserve">Myth 4: “It only occurs in the mother”</w:t>
      </w:r>
    </w:p>
    <w:p>
      <w:pPr>
        <w:pStyle w:val="FirstParagraph"/>
      </w:pPr>
      <w:r>
        <w:t xml:space="preserve">Evidence: In most cases mother, but other caregivers — fathers, carers, healthcare professionals — can also be the perpetrator.</w:t>
      </w:r>
    </w:p>
    <w:bookmarkEnd w:id="2253"/>
    <w:bookmarkStart w:id="2254" w:name="myth-5-confrontation-treats-the-patient"/>
    <w:p>
      <w:pPr>
        <w:pStyle w:val="Heading5"/>
      </w:pPr>
      <w:r>
        <w:t xml:space="preserve">Myth 5: “Confrontation ‘treats’ the patient”</w:t>
      </w:r>
    </w:p>
    <w:p>
      <w:pPr>
        <w:pStyle w:val="FirstParagraph"/>
      </w:pPr>
      <w:r>
        <w:t xml:space="preserve">Evidence: Confrontation may necessitate transfer to another clinical unit; the patient is being followed up; child protection and forensic coordination are mandatory.</w:t>
      </w:r>
    </w:p>
    <w:bookmarkEnd w:id="2254"/>
    <w:bookmarkEnd w:id="2255"/>
    <w:bookmarkStart w:id="2256" w:name="X7c42540b1ba0ab8c4f094e36a7ffc0023ce107a"/>
    <w:p>
      <w:pPr>
        <w:pStyle w:val="Heading3"/>
      </w:pPr>
      <w:r>
        <w:t xml:space="preserve">11. Sources</w:t>
      </w:r>
    </w:p>
    <w:p>
      <w:pPr>
        <w:pStyle w:val="Compact"/>
        <w:numPr>
          <w:ilvl w:val="0"/>
          <w:numId w:val="2117"/>
        </w:numPr>
      </w:pPr>
      <w:r>
        <w:t xml:space="preserve">WHO. ICD-11. 6D51 Factitious disorder imposed on another. 2024.</w:t>
      </w:r>
    </w:p>
    <w:p>
      <w:pPr>
        <w:pStyle w:val="Compact"/>
        <w:numPr>
          <w:ilvl w:val="0"/>
          <w:numId w:val="2117"/>
        </w:numPr>
      </w:pPr>
      <w:r>
        <w:t xml:space="preserve">APA. DSM-5-TR. 2022.</w:t>
      </w:r>
    </w:p>
    <w:p>
      <w:pPr>
        <w:pStyle w:val="Compact"/>
        <w:numPr>
          <w:ilvl w:val="0"/>
          <w:numId w:val="2117"/>
        </w:numPr>
      </w:pPr>
      <w:r>
        <w:t xml:space="preserve">Meadow R. Munchausen syndrome by proxy. The hinterland of child abuse. Lancet 1977;2(8033):343–345.</w:t>
      </w:r>
    </w:p>
    <w:p>
      <w:pPr>
        <w:pStyle w:val="Compact"/>
        <w:numPr>
          <w:ilvl w:val="0"/>
          <w:numId w:val="2117"/>
        </w:numPr>
      </w:pPr>
      <w:r>
        <w:t xml:space="preserve">Sheridan M.S. The deceit continues: an updated literature review of Munchausen Syndrome by Proxy. Child Abuse Negl 2003;27(4):431–451.</w:t>
      </w:r>
    </w:p>
    <w:p>
      <w:pPr>
        <w:pStyle w:val="Compact"/>
        <w:numPr>
          <w:ilvl w:val="0"/>
          <w:numId w:val="2117"/>
        </w:numPr>
      </w:pPr>
      <w:r>
        <w:t xml:space="preserve">APSAC Task Force. Munchausen by Proxy: Identification, Intervention, and Case Management. 2018.</w:t>
      </w:r>
    </w:p>
    <w:bookmarkEnd w:id="2256"/>
    <w:bookmarkStart w:id="2257" w:name="m986d706d8z-neurocognitive-dementia"/>
    <w:p>
      <w:pPr>
        <w:pageBreakBefore/>
        <w:pStyle w:val="Heading1"/>
      </w:pPr>
      <w:r>
        <w:t xml:space="preserve">6D70–6D8Z NEUROCOGNITIVE (DEMENTIA)</w:t>
      </w:r>
    </w:p>
    <w:p>
      <w:pPr>
        <w:pStyle w:val="FirstParagraph"/>
      </w:pPr>
      <w:r>
        <w:t xml:space="preserve">Neurocognitive disorders</w:t>
      </w:r>
    </w:p>
    <w:bookmarkEnd w:id="225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58" w:name="m996d70-delirium"/>
            <w:r>
              <w:t xml:space="preserve">6D70 DELIRIUM</w:t>
            </w:r>
            <w:bookmarkEnd w:id="2258"/>
          </w:p>
          <w:p>
            <w:pPr>
              <w:pStyle w:val="Compact"/>
              <w:ind w:firstLine="0" w:left="0"/>
            </w:pPr>
            <w:r>
              <w:rPr>
                <w:lang w:val="en"/>
              </w:rPr>
              <w:t xml:space="preserve">Delirium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not induced by alcohol and other psychoactive substances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w:t>
            </w:r>
          </w:p>
        </w:tc>
      </w:tr>
    </w:tbl>
    <w:bookmarkStart w:id="2259" w:name="X298076596c211185dcf42f2fb7dde255ebcce70"/>
    <w:p>
      <w:pPr>
        <w:pStyle w:val="Heading3"/>
      </w:pPr>
      <w:r>
        <w:t xml:space="preserve">1. Definition and nosology</w:t>
      </w:r>
    </w:p>
    <w:p>
      <w:pPr>
        <w:pStyle w:val="FirstParagraph"/>
      </w:pPr>
      <w:r>
        <w:t xml:space="preserve">Delirium (ICD-11:</w:t>
      </w:r>
      <w:r>
        <w:t xml:space="preserve"> </w:t>
      </w:r>
      <w:r>
        <w:t xml:space="preserve">6D70</w:t>
      </w:r>
      <w:r>
        <w:t xml:space="preserve">; DSM-5-TR: F05) — a neuropsychiatric syndrome characterized by an acute, fluctuating disturbance of attention and consciousness, cognitive deficit (memory, orientation, language, visuospatial) and perceptual disturbances (illusions, hallucinations). Develops in response to a typical medical cause (infection, medication, metabolic, neurological).</w:t>
      </w:r>
    </w:p>
    <w:p>
      <w:pPr>
        <w:pStyle w:val="BodyText"/>
      </w:pPr>
      <w:r>
        <w:t xml:space="preserve">This is a medical emergency — the mortality rate for hospitalized elderly patients is 25–33%.</w:t>
      </w:r>
    </w:p>
    <w:bookmarkEnd w:id="2259"/>
    <w:bookmarkStart w:id="2260" w:name="X4d6826ddc3b4837b80e92b8879b8a765630a4eb"/>
    <w:p>
      <w:pPr>
        <w:pStyle w:val="Heading3"/>
      </w:pPr>
      <w:r>
        <w:t xml:space="preserve">2. History</w:t>
      </w:r>
    </w:p>
    <w:p>
      <w:pPr>
        <w:pStyle w:val="Compact"/>
        <w:numPr>
          <w:ilvl w:val="0"/>
          <w:numId w:val="2118"/>
        </w:numPr>
      </w:pPr>
      <w:r>
        <w:t xml:space="preserve">Hippocrates “phrenitis” — classic description of delirium.</w:t>
      </w:r>
    </w:p>
    <w:p>
      <w:pPr>
        <w:pStyle w:val="Compact"/>
        <w:numPr>
          <w:ilvl w:val="0"/>
          <w:numId w:val="2118"/>
        </w:numPr>
      </w:pPr>
      <w:r>
        <w:t xml:space="preserve">Lipowski Z.J. (1980-90s) — modern conceptualization.</w:t>
      </w:r>
    </w:p>
    <w:p>
      <w:pPr>
        <w:pStyle w:val="Compact"/>
        <w:numPr>
          <w:ilvl w:val="0"/>
          <w:numId w:val="2118"/>
        </w:numPr>
      </w:pPr>
      <w:r>
        <w:t xml:space="preserve">CAM (Confusion Assessment Method, Inouye S.K. 1990) — gold standard screening.</w:t>
      </w:r>
    </w:p>
    <w:bookmarkEnd w:id="2260"/>
    <w:bookmarkStart w:id="2261" w:name="Xe3bb945de245b8475bf10d73fdac3ac777d2f4f"/>
    <w:p>
      <w:pPr>
        <w:pStyle w:val="Heading3"/>
      </w:pPr>
      <w:r>
        <w:t xml:space="preserve">3. Epidemiology</w:t>
      </w:r>
    </w:p>
    <w:p>
      <w:pPr>
        <w:pStyle w:val="Compact"/>
        <w:numPr>
          <w:ilvl w:val="0"/>
          <w:numId w:val="2119"/>
        </w:numPr>
      </w:pPr>
      <w:r>
        <w:t xml:space="preserve">Prevalence in hospitalized elderly 15–30%; in ICU 50–80%; post-surgery 15–50%.</w:t>
      </w:r>
    </w:p>
    <w:p>
      <w:pPr>
        <w:pStyle w:val="Compact"/>
        <w:numPr>
          <w:ilvl w:val="0"/>
          <w:numId w:val="2119"/>
        </w:numPr>
      </w:pPr>
      <w:r>
        <w:t xml:space="preserve">Comorbidity: dementia (delirium superimposed on dementia), infection, polypharmacy.</w:t>
      </w:r>
    </w:p>
    <w:p>
      <w:pPr>
        <w:pStyle w:val="Compact"/>
        <w:numPr>
          <w:ilvl w:val="0"/>
          <w:numId w:val="2119"/>
        </w:numPr>
      </w:pPr>
      <w:r>
        <w:t xml:space="preserve">Mortality and morbidity high; risk of long-term cognitive decline.</w:t>
      </w:r>
    </w:p>
    <w:bookmarkEnd w:id="2261"/>
    <w:bookmarkStart w:id="2262" w:name="Xa6f846e2f041e5d87c6ae22afcf40e22f263f48"/>
    <w:p>
      <w:pPr>
        <w:pStyle w:val="Heading3"/>
      </w:pPr>
      <w:r>
        <w:t xml:space="preserve">4. Aetiology and pathogenesis</w:t>
      </w:r>
    </w:p>
    <w:p>
      <w:pPr>
        <w:pStyle w:val="Compact"/>
        <w:numPr>
          <w:ilvl w:val="0"/>
          <w:numId w:val="2120"/>
        </w:numPr>
      </w:pPr>
      <w:r>
        <w:t xml:space="preserve">Multiple factors:</w:t>
      </w:r>
    </w:p>
    <w:p>
      <w:pPr>
        <w:pStyle w:val="Compact"/>
        <w:numPr>
          <w:ilvl w:val="1"/>
          <w:numId w:val="2121"/>
        </w:numPr>
      </w:pPr>
      <w:r>
        <w:t xml:space="preserve">Infections — sepsis, pneumonia, UTI;</w:t>
      </w:r>
    </w:p>
    <w:p>
      <w:pPr>
        <w:pStyle w:val="Compact"/>
        <w:numPr>
          <w:ilvl w:val="1"/>
          <w:numId w:val="2121"/>
        </w:numPr>
      </w:pPr>
      <w:r>
        <w:t xml:space="preserve">Medication — anticholinergics, opioids, benzodiazepines, steroids;</w:t>
      </w:r>
    </w:p>
    <w:p>
      <w:pPr>
        <w:pStyle w:val="Compact"/>
        <w:numPr>
          <w:ilvl w:val="1"/>
          <w:numId w:val="2121"/>
        </w:numPr>
      </w:pPr>
      <w:r>
        <w:t xml:space="preserve">Substance withdrawal (alcohol, benzodiazepine);</w:t>
      </w:r>
    </w:p>
    <w:p>
      <w:pPr>
        <w:pStyle w:val="Compact"/>
        <w:numPr>
          <w:ilvl w:val="1"/>
          <w:numId w:val="2121"/>
        </w:numPr>
      </w:pPr>
      <w:r>
        <w:t xml:space="preserve">Metabolic — electrolyte, glucose, ammonia, uremia;</w:t>
      </w:r>
    </w:p>
    <w:p>
      <w:pPr>
        <w:pStyle w:val="Compact"/>
        <w:numPr>
          <w:ilvl w:val="1"/>
          <w:numId w:val="2121"/>
        </w:numPr>
      </w:pPr>
      <w:r>
        <w:t xml:space="preserve">Hypoxia, hypoperfusion;</w:t>
      </w:r>
    </w:p>
    <w:p>
      <w:pPr>
        <w:pStyle w:val="Compact"/>
        <w:numPr>
          <w:ilvl w:val="1"/>
          <w:numId w:val="2121"/>
        </w:numPr>
      </w:pPr>
      <w:r>
        <w:t xml:space="preserve">Neurological — seizure, stroke, brain tumor, encephalitis;</w:t>
      </w:r>
    </w:p>
    <w:p>
      <w:pPr>
        <w:pStyle w:val="Compact"/>
        <w:numPr>
          <w:ilvl w:val="1"/>
          <w:numId w:val="2121"/>
        </w:numPr>
      </w:pPr>
      <w:r>
        <w:t xml:space="preserve">Pain, constipation, urinary retention;</w:t>
      </w:r>
    </w:p>
    <w:p>
      <w:pPr>
        <w:pStyle w:val="Compact"/>
        <w:numPr>
          <w:ilvl w:val="1"/>
          <w:numId w:val="2121"/>
        </w:numPr>
      </w:pPr>
      <w:r>
        <w:t xml:space="preserve">Environment — sensory deprivation, sleep disruption (especially in ICU).</w:t>
      </w:r>
    </w:p>
    <w:bookmarkEnd w:id="2262"/>
    <w:bookmarkStart w:id="2265" w:name="Xc8137672495b8ee1f8eb6a1b78ea3436646ec49"/>
    <w:p>
      <w:pPr>
        <w:pStyle w:val="Heading3"/>
      </w:pPr>
      <w:r>
        <w:t xml:space="preserve">5. Clinical features</w:t>
      </w:r>
    </w:p>
    <w:bookmarkStart w:id="2263" w:name="three-motor-subtypes"/>
    <w:p>
      <w:pPr>
        <w:pStyle w:val="Heading4"/>
      </w:pPr>
      <w:r>
        <w:t xml:space="preserve">Three motor subtypes</w:t>
      </w:r>
    </w:p>
    <w:p>
      <w:pPr>
        <w:pStyle w:val="Compact"/>
        <w:numPr>
          <w:ilvl w:val="0"/>
          <w:numId w:val="2122"/>
        </w:numPr>
      </w:pPr>
      <w:r>
        <w:t xml:space="preserve">Hyperactive — agitation, hallucination — diagnosis easy;</w:t>
      </w:r>
    </w:p>
    <w:p>
      <w:pPr>
        <w:pStyle w:val="Compact"/>
        <w:numPr>
          <w:ilvl w:val="0"/>
          <w:numId w:val="2122"/>
        </w:numPr>
      </w:pPr>
      <w:r>
        <w:t xml:space="preserve">Hypoactive — sedation, withdrawal — frequently underdiagnosed, resembles depression.</w:t>
      </w:r>
    </w:p>
    <w:p>
      <w:pPr>
        <w:pStyle w:val="Compact"/>
        <w:numPr>
          <w:ilvl w:val="0"/>
          <w:numId w:val="2122"/>
        </w:numPr>
      </w:pPr>
      <w:r>
        <w:t xml:space="preserve">Mixed — fluctuation.</w:t>
      </w:r>
    </w:p>
    <w:bookmarkEnd w:id="2263"/>
    <w:bookmarkStart w:id="2264" w:name="clinical-signs"/>
    <w:p>
      <w:pPr>
        <w:pStyle w:val="Heading4"/>
      </w:pPr>
      <w:r>
        <w:t xml:space="preserve">Clinical signs</w:t>
      </w:r>
    </w:p>
    <w:p>
      <w:pPr>
        <w:pStyle w:val="Compact"/>
        <w:numPr>
          <w:ilvl w:val="0"/>
          <w:numId w:val="2123"/>
        </w:numPr>
      </w:pPr>
      <w:r>
        <w:t xml:space="preserve">Acute onset (hours-days) and fluctuation.</w:t>
      </w:r>
    </w:p>
    <w:p>
      <w:pPr>
        <w:pStyle w:val="Compact"/>
        <w:numPr>
          <w:ilvl w:val="0"/>
          <w:numId w:val="2123"/>
        </w:numPr>
      </w:pPr>
      <w:r>
        <w:t xml:space="preserve">Attention impairment.</w:t>
      </w:r>
    </w:p>
    <w:p>
      <w:pPr>
        <w:pStyle w:val="Compact"/>
        <w:numPr>
          <w:ilvl w:val="0"/>
          <w:numId w:val="2123"/>
        </w:numPr>
      </w:pPr>
      <w:r>
        <w:t xml:space="preserve">Cognitive deficits — memory, orientation (time, place, person).</w:t>
      </w:r>
    </w:p>
    <w:p>
      <w:pPr>
        <w:pStyle w:val="Compact"/>
        <w:numPr>
          <w:ilvl w:val="0"/>
          <w:numId w:val="2123"/>
        </w:numPr>
      </w:pPr>
      <w:r>
        <w:t xml:space="preserve">Perceptual disturbances – visual hallucinations typical.</w:t>
      </w:r>
    </w:p>
    <w:p>
      <w:pPr>
        <w:pStyle w:val="Compact"/>
        <w:numPr>
          <w:ilvl w:val="0"/>
          <w:numId w:val="2123"/>
        </w:numPr>
      </w:pPr>
      <w:r>
        <w:t xml:space="preserve">Sleep-wake cycle disruption.</w:t>
      </w:r>
    </w:p>
    <w:p>
      <w:pPr>
        <w:pStyle w:val="Compact"/>
        <w:numPr>
          <w:ilvl w:val="0"/>
          <w:numId w:val="2123"/>
        </w:numPr>
      </w:pPr>
      <w:r>
        <w:t xml:space="preserve">Sundowning — worsening in evening hours.</w:t>
      </w:r>
    </w:p>
    <w:bookmarkEnd w:id="2264"/>
    <w:bookmarkEnd w:id="2265"/>
    <w:bookmarkStart w:id="2270" w:name="X48752e58bd1f88d37d10b92ae0c8b2a109ebb36"/>
    <w:p>
      <w:pPr>
        <w:pStyle w:val="Heading3"/>
      </w:pPr>
      <w:r>
        <w:t xml:space="preserve">6. Diagnosis</w:t>
      </w:r>
    </w:p>
    <w:bookmarkStart w:id="2266" w:name="unified-diagnostic-criteria-55"/>
    <w:p>
      <w:pPr>
        <w:pStyle w:val="Heading4"/>
      </w:pPr>
      <w:r>
        <w:t xml:space="preserve">6.1 Unified diagnostic criteria</w:t>
      </w:r>
    </w:p>
    <w:p>
      <w:pPr>
        <w:pStyle w:val="FirstParagraph"/>
      </w:pPr>
      <w:r>
        <w:t xml:space="preserve">A. Attention impairment (orientation, maintenance, shifting) and consciousness impairment.</w:t>
      </w:r>
    </w:p>
    <w:p>
      <w:pPr>
        <w:pStyle w:val="BodyText"/>
      </w:pPr>
      <w:r>
        <w:t xml:space="preserve">B. Disorder develops over short period (hours–days); differs from baseline indicators; fluctuates within day.</w:t>
      </w:r>
    </w:p>
    <w:p>
      <w:pPr>
        <w:pStyle w:val="BodyText"/>
      </w:pPr>
      <w:r>
        <w:t xml:space="preserve">C. Additional cognitive impairment (memory, orientation, language, visuospatial, perception).</w:t>
      </w:r>
    </w:p>
    <w:p>
      <w:pPr>
        <w:pStyle w:val="BodyText"/>
      </w:pPr>
      <w:r>
        <w:t xml:space="preserve">D. Not fully explained by dementia or another neurocognitive disorder</w:t>
      </w:r>
    </w:p>
    <w:p>
      <w:pPr>
        <w:pStyle w:val="BodyText"/>
      </w:pPr>
      <w:r>
        <w:t xml:space="preserve">E. Evidence — history, examination, laboratory indicate that disturbance is directly due to medical condition, substance intoxication/withdrawal, or multiple etiologies.</w:t>
      </w:r>
    </w:p>
    <w:bookmarkEnd w:id="2266"/>
    <w:bookmarkStart w:id="2267" w:name="differences-between-sources-138"/>
    <w:p>
      <w:pPr>
        <w:pStyle w:val="Heading4"/>
      </w:pPr>
      <w:r>
        <w:t xml:space="preserve">6.2 Differences between sources</w:t>
      </w:r>
    </w:p>
    <w:p>
      <w:pPr>
        <w:pStyle w:val="Compact"/>
        <w:numPr>
          <w:ilvl w:val="0"/>
          <w:numId w:val="2124"/>
        </w:numPr>
      </w:pPr>
      <w:r>
        <w:t xml:space="preserve">DSM-5-TR / ICD-11 — same.</w:t>
      </w:r>
    </w:p>
    <w:p>
      <w:pPr>
        <w:pStyle w:val="Compact"/>
        <w:numPr>
          <w:ilvl w:val="0"/>
          <w:numId w:val="2124"/>
        </w:numPr>
      </w:pPr>
      <w:r>
        <w:t xml:space="preserve">NICE CG103 — Delirium: prevention, diagnosis, management (2010, 2019 update).</w:t>
      </w:r>
    </w:p>
    <w:bookmarkEnd w:id="2267"/>
    <w:bookmarkStart w:id="2268" w:name="diagnostic-algorithm-78"/>
    <w:p>
      <w:pPr>
        <w:pStyle w:val="Heading4"/>
      </w:pPr>
      <w:r>
        <w:t xml:space="preserve">6.3 Diagnostic algorithm</w:t>
      </w:r>
    </w:p>
    <w:p>
      <w:pPr>
        <w:pStyle w:val="Compact"/>
        <w:numPr>
          <w:ilvl w:val="0"/>
          <w:numId w:val="2125"/>
        </w:numPr>
      </w:pPr>
      <w:r>
        <w:t xml:space="preserve">CAM (Confusion Assessment Method) — gold standard screening.</w:t>
      </w:r>
    </w:p>
    <w:p>
      <w:pPr>
        <w:pStyle w:val="Compact"/>
        <w:numPr>
          <w:ilvl w:val="0"/>
          <w:numId w:val="2125"/>
        </w:numPr>
      </w:pPr>
      <w:r>
        <w:t xml:space="preserve">CAM-ICU — for the intensive care unit.</w:t>
      </w:r>
    </w:p>
    <w:p>
      <w:pPr>
        <w:pStyle w:val="Compact"/>
        <w:numPr>
          <w:ilvl w:val="0"/>
          <w:numId w:val="2125"/>
        </w:numPr>
      </w:pPr>
      <w:r>
        <w:t xml:space="preserve">Medical cause investigation: complete blood count, electrolytes (Na, K, Ca, Mg, P), glucose, liver, kidney, TSH, B12, troponin, EKG, urine analysis and culture, blood culture, chest X-ray, brain MRI/CT, EEG (seizure suspicion), lumbar puncture (encephalitis/meningitis).</w:t>
      </w:r>
    </w:p>
    <w:p>
      <w:pPr>
        <w:pStyle w:val="Compact"/>
        <w:numPr>
          <w:ilvl w:val="0"/>
          <w:numId w:val="2125"/>
        </w:numPr>
      </w:pPr>
      <w:r>
        <w:t xml:space="preserve">Medication list review — anticholinergics, opioids, benzodiazepines (Beers Criteria).</w:t>
      </w:r>
    </w:p>
    <w:p>
      <w:pPr>
        <w:pStyle w:val="Compact"/>
        <w:numPr>
          <w:ilvl w:val="0"/>
          <w:numId w:val="2125"/>
        </w:numPr>
      </w:pPr>
      <w:r>
        <w:t xml:space="preserve">Toxicology.</w:t>
      </w:r>
    </w:p>
    <w:p>
      <w:pPr>
        <w:pStyle w:val="Compact"/>
        <w:numPr>
          <w:ilvl w:val="0"/>
          <w:numId w:val="2125"/>
        </w:numPr>
      </w:pPr>
      <w:r>
        <w:t xml:space="preserve">Comorbid dementia assessment (initial indicators).</w:t>
      </w:r>
    </w:p>
    <w:bookmarkEnd w:id="2268"/>
    <w:bookmarkStart w:id="2269" w:name="differential-diagnosis-7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Gradual onset; attention relatively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Depression (psychomotor retardation as hypoactivity)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are dominant; attention is relatively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Attention is preserved; onset is different.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Wernicke encephalopathy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Thiamine test; classic triad (ophthalmoplegia, ataxia, confusion).</w:t>
            </w:r>
          </w:p>
        </w:tc>
      </w:tr>
    </w:tbl>
    <w:bookmarkEnd w:id="2269"/>
    <w:bookmarkEnd w:id="2270"/>
    <w:bookmarkStart w:id="2271" w:name="X188ec36c2369de48970b28daf2c399d35b07408"/>
    <w:p>
      <w:pPr>
        <w:pStyle w:val="Heading3"/>
      </w:pPr>
      <w:r>
        <w:t xml:space="preserve">7. Examination and assessment</w:t>
      </w:r>
    </w:p>
    <w:p>
      <w:pPr>
        <w:pStyle w:val="Compact"/>
        <w:numPr>
          <w:ilvl w:val="0"/>
          <w:numId w:val="2126"/>
        </w:numPr>
      </w:pPr>
      <w:r>
        <w:t xml:space="preserve">CAM, CAM-ICU.</w:t>
      </w:r>
    </w:p>
    <w:p>
      <w:pPr>
        <w:pStyle w:val="Compact"/>
        <w:numPr>
          <w:ilvl w:val="0"/>
          <w:numId w:val="2126"/>
        </w:numPr>
      </w:pPr>
      <w:r>
        <w:t xml:space="preserve">MMSE or MoCA (initial indicators of cognitive function).</w:t>
      </w:r>
    </w:p>
    <w:p>
      <w:pPr>
        <w:pStyle w:val="Compact"/>
        <w:numPr>
          <w:ilvl w:val="0"/>
          <w:numId w:val="2126"/>
        </w:numPr>
      </w:pPr>
      <w:r>
        <w:t xml:space="preserve">From the above medical panel.</w:t>
      </w:r>
    </w:p>
    <w:p>
      <w:pPr>
        <w:pStyle w:val="Compact"/>
        <w:numPr>
          <w:ilvl w:val="0"/>
          <w:numId w:val="2126"/>
        </w:numPr>
      </w:pPr>
      <w:r>
        <w:t xml:space="preserve">EEG — rule out non-convulsive status.</w:t>
      </w:r>
    </w:p>
    <w:bookmarkEnd w:id="2271"/>
    <w:bookmarkStart w:id="2275" w:name="Xd1da310bf0b535f1aeaad04cd4493f8110c2057"/>
    <w:p>
      <w:pPr>
        <w:pStyle w:val="Heading3"/>
      </w:pPr>
      <w:r>
        <w:t xml:space="preserve">8. Treatment</w:t>
      </w:r>
    </w:p>
    <w:bookmarkStart w:id="2272" w:name="general-principles-nice-cg103"/>
    <w:p>
      <w:pPr>
        <w:pStyle w:val="Heading4"/>
      </w:pPr>
      <w:r>
        <w:t xml:space="preserve">8.1 General principles (NICE CG103)</w:t>
      </w:r>
    </w:p>
    <w:p>
      <w:pPr>
        <w:pStyle w:val="Compact"/>
        <w:numPr>
          <w:ilvl w:val="0"/>
          <w:numId w:val="2127"/>
        </w:numPr>
      </w:pPr>
      <w:r>
        <w:t xml:space="preserve">Etiological treatment is the first priority — correction of infection, metabolic disturbance, medication, and the hospitalisation context.</w:t>
      </w:r>
    </w:p>
    <w:p>
      <w:pPr>
        <w:pStyle w:val="Compact"/>
        <w:numPr>
          <w:ilvl w:val="0"/>
          <w:numId w:val="2127"/>
        </w:numPr>
      </w:pPr>
      <w:r>
        <w:t xml:space="preserve">Environmental modification — sensory (glasses, hearing aid), daylight, nighttime darkness, quiet environment, presence of loved ones.</w:t>
      </w:r>
    </w:p>
    <w:p>
      <w:pPr>
        <w:pStyle w:val="Compact"/>
        <w:numPr>
          <w:ilvl w:val="0"/>
          <w:numId w:val="2127"/>
        </w:numPr>
      </w:pPr>
      <w:r>
        <w:t xml:space="preserve">Bedside care — hydration, nutrition, urination and defecation, movement.</w:t>
      </w:r>
    </w:p>
    <w:p>
      <w:pPr>
        <w:pStyle w:val="Compact"/>
        <w:numPr>
          <w:ilvl w:val="0"/>
          <w:numId w:val="2127"/>
        </w:numPr>
      </w:pPr>
      <w:r>
        <w:t xml:space="preserve">Antipsychotic (haloperidol 0.25–2 mg, quetiapine, risperidone) — only for severe agitation or when the patient poses a danger to self/others, short-term, low dose. NICE CG103 — antipsychotics not routinely recommended; evidence base is limited (Burry L. Cochrane 2018).</w:t>
      </w:r>
    </w:p>
    <w:p>
      <w:pPr>
        <w:pStyle w:val="Compact"/>
        <w:numPr>
          <w:ilvl w:val="0"/>
          <w:numId w:val="2127"/>
        </w:numPr>
      </w:pPr>
      <w:r>
        <w:t xml:space="preserve">Benzodiazepine — only in alcohol or benzodiazepine withdrawal delirium; otherwise is contraindicated (exacerbates delirium).</w:t>
      </w:r>
    </w:p>
    <w:p>
      <w:pPr>
        <w:pStyle w:val="Compact"/>
        <w:numPr>
          <w:ilvl w:val="0"/>
          <w:numId w:val="2127"/>
        </w:numPr>
      </w:pPr>
      <w:r>
        <w:t xml:space="preserve">Prevention — ABCDEF bundle in ICU (Awakening, Breathing, Coordination, Delirium monitoring, Early mobility, Family).</w:t>
      </w:r>
    </w:p>
    <w:bookmarkEnd w:id="2272"/>
    <w:bookmarkStart w:id="2273" w:name="treatment-methods-76"/>
    <w:p>
      <w:pPr>
        <w:pStyle w:val="Heading4"/>
      </w:pPr>
      <w:r>
        <w:t xml:space="preserve">8.2 Treatment methods</w:t>
      </w:r>
    </w:p>
    <w:p>
      <w:pPr>
        <w:pStyle w:val="Compact"/>
        <w:numPr>
          <w:ilvl w:val="0"/>
          <w:numId w:val="2128"/>
        </w:numPr>
      </w:pPr>
      <w:r>
        <w:t xml:space="preserve">Confusion Assessment Method (CAM — Confusion Assessment Method) — Inouye (Inouye S.K.) — 4 core features: acute onset/fluctuation + inattention + disorganized thinking or altered consciousness.</w:t>
      </w:r>
    </w:p>
    <w:p>
      <w:pPr>
        <w:pStyle w:val="Compact"/>
        <w:numPr>
          <w:ilvl w:val="0"/>
          <w:numId w:val="2128"/>
        </w:numPr>
      </w:pPr>
      <w:r>
        <w:t xml:space="preserve">CAM-ICU — Adapted for intensive care; in patients on ventilator.</w:t>
      </w:r>
    </w:p>
    <w:p>
      <w:pPr>
        <w:pStyle w:val="Compact"/>
        <w:numPr>
          <w:ilvl w:val="0"/>
          <w:numId w:val="2128"/>
        </w:numPr>
      </w:pPr>
      <w:r>
        <w:t xml:space="preserve">Hospital Elder Life Program (HELP — Hospital Elder Life Program) — Inouye (Inouye S.K.) — Multicomponent delirium prevention program; evidence base strong.</w:t>
      </w:r>
    </w:p>
    <w:bookmarkEnd w:id="2273"/>
    <w:bookmarkStart w:id="2274" w:name="differences-between-sources-139"/>
    <w:p>
      <w:pPr>
        <w:pStyle w:val="Heading4"/>
      </w:pPr>
      <w:r>
        <w:t xml:space="preserve">8.3 Differences between sources</w:t>
      </w:r>
    </w:p>
    <w:p>
      <w:pPr>
        <w:pStyle w:val="Compact"/>
        <w:numPr>
          <w:ilvl w:val="0"/>
          <w:numId w:val="2129"/>
        </w:numPr>
      </w:pPr>
      <w:r>
        <w:t xml:space="preserve">NICE CG103 — etiological and environmental approach first-line; antipsychotics limited.</w:t>
      </w:r>
    </w:p>
    <w:p>
      <w:pPr>
        <w:pStyle w:val="Compact"/>
        <w:numPr>
          <w:ilvl w:val="0"/>
          <w:numId w:val="2129"/>
        </w:numPr>
      </w:pPr>
      <w:r>
        <w:t xml:space="preserve">SCCM PADIS Guidelines (for ICU, 2018).</w:t>
      </w:r>
    </w:p>
    <w:p>
      <w:pPr>
        <w:pStyle w:val="Compact"/>
        <w:numPr>
          <w:ilvl w:val="0"/>
          <w:numId w:val="2129"/>
        </w:numPr>
      </w:pPr>
      <w:r>
        <w:t xml:space="preserve">Burry L. Cochrane 2018 — antipsychotics do not reduce delirium duration or mortality.</w:t>
      </w:r>
    </w:p>
    <w:bookmarkEnd w:id="2274"/>
    <w:bookmarkEnd w:id="2275"/>
    <w:bookmarkStart w:id="2276" w:name="Xf94168669b430f844b3a8a340cd246d4032fd2b"/>
    <w:p>
      <w:pPr>
        <w:pStyle w:val="Heading3"/>
      </w:pPr>
      <w:r>
        <w:t xml:space="preserve">9. Prognosis</w:t>
      </w:r>
    </w:p>
    <w:p>
      <w:pPr>
        <w:pStyle w:val="Compact"/>
        <w:numPr>
          <w:ilvl w:val="0"/>
          <w:numId w:val="2130"/>
        </w:numPr>
      </w:pPr>
      <w:r>
        <w:t xml:space="preserve">Hospital mortality 25–33%.</w:t>
      </w:r>
    </w:p>
    <w:p>
      <w:pPr>
        <w:pStyle w:val="Compact"/>
        <w:numPr>
          <w:ilvl w:val="0"/>
          <w:numId w:val="2130"/>
        </w:numPr>
      </w:pPr>
      <w:r>
        <w:t xml:space="preserve">In survivors — functional decline, long-term cognitive impairment, increased dementia risk.</w:t>
      </w:r>
    </w:p>
    <w:p>
      <w:pPr>
        <w:pStyle w:val="Compact"/>
        <w:numPr>
          <w:ilvl w:val="0"/>
          <w:numId w:val="2130"/>
        </w:numPr>
      </w:pPr>
      <w:r>
        <w:t xml:space="preserve">Early etiological intervention improves prognosis.</w:t>
      </w:r>
    </w:p>
    <w:bookmarkEnd w:id="2276"/>
    <w:bookmarkStart w:id="2282" w:name="X87aa1d43a10708c10e247ed5508ffbe222f64b9"/>
    <w:p>
      <w:pPr>
        <w:pStyle w:val="Heading3"/>
      </w:pPr>
      <w:r>
        <w:t xml:space="preserve">10. Myths and misconceptions</w:t>
      </w:r>
    </w:p>
    <w:bookmarkStart w:id="2277" w:name="X46c8c3165d1cf599c08b0b56a7e3db63899c481"/>
    <w:p>
      <w:pPr>
        <w:pStyle w:val="Heading5"/>
      </w:pPr>
      <w:r>
        <w:t xml:space="preserve">Myth 1: “Delirium is ‘normal for an elderly person’”</w:t>
      </w:r>
    </w:p>
    <w:p>
      <w:pPr>
        <w:pStyle w:val="FirstParagraph"/>
      </w:pPr>
      <w:r>
        <w:t xml:space="preserve">Evidence: Delirium is a clinical emergency with high mortality; it requires active intervention.</w:t>
      </w:r>
    </w:p>
    <w:bookmarkEnd w:id="2277"/>
    <w:bookmarkStart w:id="2278" w:name="Xe53bead23a8638d7e9731ff84fd30fe7fe138f9"/>
    <w:p>
      <w:pPr>
        <w:pStyle w:val="Heading5"/>
      </w:pPr>
      <w:r>
        <w:t xml:space="preserve">Myth 2: “Antipsychotics are a treatment for delirium”</w:t>
      </w:r>
    </w:p>
    <w:p>
      <w:pPr>
        <w:pStyle w:val="FirstParagraph"/>
      </w:pPr>
      <w:r>
        <w:t xml:space="preserve">Evidence: NICE CG103, Burry Cochrane 2018 — antipsychotics do not reduce delirium duration or mortality; only for severe agitation.</w:t>
      </w:r>
    </w:p>
    <w:bookmarkEnd w:id="2278"/>
    <w:bookmarkStart w:id="2279" w:name="Xd7b6c3faab179f65f6c6c9fe160538532c712bc"/>
    <w:p>
      <w:pPr>
        <w:pStyle w:val="Heading5"/>
      </w:pPr>
      <w:r>
        <w:t xml:space="preserve">Myth 3: “Benzodiazepine is safe for an elderly agitated patient”</w:t>
      </w:r>
    </w:p>
    <w:p>
      <w:pPr>
        <w:pStyle w:val="FirstParagraph"/>
      </w:pPr>
      <w:r>
        <w:t xml:space="preserve">Evidence: benzodiazepines exacerbate delirium; only in the case of alcohol/BZ withdrawal.</w:t>
      </w:r>
    </w:p>
    <w:bookmarkEnd w:id="2279"/>
    <w:bookmarkStart w:id="2280" w:name="X65f6745009e4d9905c8efe163bd5188714b9fcb"/>
    <w:p>
      <w:pPr>
        <w:pStyle w:val="Heading5"/>
      </w:pPr>
      <w:r>
        <w:t xml:space="preserve">Myth 4: “Hypoactive delirium is ‘good’ and requires no intervention”</w:t>
      </w:r>
    </w:p>
    <w:p>
      <w:pPr>
        <w:pStyle w:val="FirstParagraph"/>
      </w:pPr>
      <w:r>
        <w:t xml:space="preserve">Evidence: hypoactive delirium linked to worse mortality; problem of under-detection.</w:t>
      </w:r>
    </w:p>
    <w:bookmarkEnd w:id="2280"/>
    <w:bookmarkStart w:id="2281" w:name="X7fe4fffe3d8b1607773da78606b188d792d80a4"/>
    <w:p>
      <w:pPr>
        <w:pStyle w:val="Heading5"/>
      </w:pPr>
      <w:r>
        <w:t xml:space="preserve">Myth 5: “Sleeping is best for the patient with delirium”</w:t>
      </w:r>
    </w:p>
    <w:p>
      <w:pPr>
        <w:pStyle w:val="FirstParagraph"/>
      </w:pPr>
      <w:r>
        <w:t xml:space="preserve">Evidence: Daytime activity, presence of close ones, sensory stimulation are recommended; HELP program is evidence-based.</w:t>
      </w:r>
    </w:p>
    <w:bookmarkEnd w:id="2281"/>
    <w:bookmarkEnd w:id="2282"/>
    <w:bookmarkStart w:id="2939" w:name="X19cec85924e79710bd0860b82a94f2991ccb3d8"/>
    <w:p>
      <w:pPr>
        <w:pStyle w:val="Heading3"/>
      </w:pPr>
      <w:r>
        <w:t xml:space="preserve">11. Sources</w:t>
      </w:r>
    </w:p>
    <w:p>
      <w:pPr>
        <w:pStyle w:val="Compact"/>
        <w:numPr>
          <w:ilvl w:val="0"/>
          <w:numId w:val="2131"/>
        </w:numPr>
      </w:pPr>
      <w:r>
        <w:t xml:space="preserve">WHO. ICD-11. 6D70 Delirium. 2024.</w:t>
      </w:r>
    </w:p>
    <w:p>
      <w:pPr>
        <w:pStyle w:val="Compact"/>
        <w:numPr>
          <w:ilvl w:val="0"/>
          <w:numId w:val="2131"/>
        </w:numPr>
      </w:pPr>
      <w:r>
        <w:t xml:space="preserve">APA. DSM-5-TR. 2022.</w:t>
      </w:r>
    </w:p>
    <w:p>
      <w:pPr>
        <w:pStyle w:val="Compact"/>
        <w:numPr>
          <w:ilvl w:val="0"/>
          <w:numId w:val="2131"/>
        </w:numPr>
      </w:pPr>
      <w:r>
        <w:t xml:space="preserve">NICE CG103. Delirium: prevention, diagnosis and management. 2010, 2019 update.</w:t>
      </w:r>
    </w:p>
    <w:p>
      <w:pPr>
        <w:pStyle w:val="Compact"/>
        <w:numPr>
          <w:ilvl w:val="0"/>
          <w:numId w:val="2131"/>
        </w:numPr>
      </w:pPr>
      <w:r>
        <w:t xml:space="preserve">Inouye S.K. et al. Clarifying confusion: the confusion assessment method. Ann Intern Med 1990;113(12):941–948.</w:t>
      </w:r>
    </w:p>
    <w:p>
      <w:pPr>
        <w:pStyle w:val="Compact"/>
        <w:numPr>
          <w:ilvl w:val="0"/>
          <w:numId w:val="2131"/>
        </w:numPr>
      </w:pPr>
      <w:r>
        <w:t xml:space="preserve">Burry L. et al. Antipsychotics for treatment of delirium in hospitalised non-ICU patients. Cochrane Database Syst Rev 2018;(6):CD005594.</w:t>
      </w:r>
    </w:p>
    <w:p>
      <w:pPr>
        <w:pStyle w:val="Compact"/>
        <w:numPr>
          <w:ilvl w:val="0"/>
          <w:numId w:val="2131"/>
        </w:numPr>
      </w:pPr>
      <w:r>
        <w:t xml:space="preserve">Devlin J.W. et al. SCCM PADIS Guidelines. Crit Care Med 2018;46(9):e825–e873.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283" w:name="X24762cc1693fdbfd9b2287c8589798ca4284d26"/>
            <w:r>
              <w:t xml:space="preserve">6D71 MILD NEUROCOGNITIVE DISORDER (MCI)</w:t>
            </w:r>
            <w:bookmarkEnd w:id="2283"/>
          </w:p>
          <w:p>
            <w:pPr>
              <w:pStyle w:val="Compact"/>
              <w:ind w:firstLine="0" w:left="0"/>
            </w:pPr>
            <w:r>
              <w:rPr>
                <w:lang w:val="en"/>
              </w:rPr>
              <w:t xml:space="preserve">Mild neurocognitive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Mild cognitive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Mild Neurocognitive Disorder</w:t>
            </w:r>
          </w:p>
        </w:tc>
      </w:tr>
    </w:tbl>
    <w:bookmarkStart w:id="2284" w:name="Xa48cc1c952140a35aec5f61a8f8a57936df5e6c"/>
    <w:p>
      <w:pPr>
        <w:pStyle w:val="Heading3"/>
      </w:pPr>
      <w:r>
        <w:t xml:space="preserve">1. Definition and nosology</w:t>
      </w:r>
    </w:p>
    <w:p>
      <w:pPr>
        <w:pStyle w:val="FirstParagraph"/>
      </w:pPr>
      <w:r>
        <w:t xml:space="preserve">Mild neurocognitive disorder (ICD-11:</w:t>
      </w:r>
      <w:r>
        <w:t xml:space="preserve"> </w:t>
      </w:r>
      <w:r>
        <w:t xml:space="preserve">6D71</w:t>
      </w:r>
      <w:r>
        <w:t xml:space="preserve">; DSM-5-TR: G31.84) — mild decline in one or more cognitive domains (memory, complex attention, executive function, language, visuospatial, social cognition); Daily activity is maintained (though compensation may be needed). Typical name — “Mild Cognitive Impairment” (MCI).</w:t>
      </w:r>
    </w:p>
    <w:bookmarkEnd w:id="2284"/>
    <w:bookmarkStart w:id="2285" w:name="X3fce45f647221ecda15dc769c93ec076d39e058"/>
    <w:p>
      <w:pPr>
        <w:pStyle w:val="Heading3"/>
      </w:pPr>
      <w:r>
        <w:t xml:space="preserve">2. History</w:t>
      </w:r>
    </w:p>
    <w:p>
      <w:pPr>
        <w:pStyle w:val="Compact"/>
        <w:numPr>
          <w:ilvl w:val="0"/>
          <w:numId w:val="2132"/>
        </w:numPr>
      </w:pPr>
      <w:r>
        <w:t xml:space="preserve">Petersen R.C. (1999) — clinical conceptualization of MCI.</w:t>
      </w:r>
    </w:p>
    <w:p>
      <w:pPr>
        <w:pStyle w:val="Compact"/>
        <w:numPr>
          <w:ilvl w:val="0"/>
          <w:numId w:val="2132"/>
        </w:numPr>
      </w:pPr>
      <w:r>
        <w:t xml:space="preserve">DSM-5 (2013) — Major (dementia) and Mild Neurocognitive Disorders categories.</w:t>
      </w:r>
    </w:p>
    <w:p>
      <w:pPr>
        <w:pStyle w:val="Compact"/>
        <w:numPr>
          <w:ilvl w:val="0"/>
          <w:numId w:val="2132"/>
        </w:numPr>
      </w:pPr>
      <w:r>
        <w:t xml:space="preserve">AAN (2018) — Practice Guideline for MCI (Petersen).</w:t>
      </w:r>
    </w:p>
    <w:bookmarkEnd w:id="2285"/>
    <w:bookmarkStart w:id="2286" w:name="X2bba449131f52201b196526707fb3ed9afffe84"/>
    <w:p>
      <w:pPr>
        <w:pStyle w:val="Heading3"/>
      </w:pPr>
      <w:r>
        <w:t xml:space="preserve">3. Epidemiology</w:t>
      </w:r>
    </w:p>
    <w:p>
      <w:pPr>
        <w:pStyle w:val="Compact"/>
        <w:numPr>
          <w:ilvl w:val="0"/>
          <w:numId w:val="2133"/>
        </w:numPr>
      </w:pPr>
      <w:r>
        <w:t xml:space="preserve">Prevalence 10–20% in those aged 65+.</w:t>
      </w:r>
    </w:p>
    <w:p>
      <w:pPr>
        <w:pStyle w:val="Compact"/>
        <w:numPr>
          <w:ilvl w:val="0"/>
          <w:numId w:val="2133"/>
        </w:numPr>
      </w:pPr>
      <w:r>
        <w:t xml:space="preserve">Annual 10–15% of MCI transition to Alzheimer dementia.</w:t>
      </w:r>
    </w:p>
    <w:p>
      <w:pPr>
        <w:pStyle w:val="Compact"/>
        <w:numPr>
          <w:ilvl w:val="0"/>
          <w:numId w:val="2133"/>
        </w:numPr>
      </w:pPr>
      <w:r>
        <w:t xml:space="preserve">Risk factors: age, ApoE4, cardiovascular.</w:t>
      </w:r>
    </w:p>
    <w:bookmarkEnd w:id="2286"/>
    <w:bookmarkStart w:id="2287" w:name="Xa90eeb6c96f409ca71cd2c31028a1618f68c7be"/>
    <w:p>
      <w:pPr>
        <w:pStyle w:val="Heading3"/>
      </w:pPr>
      <w:r>
        <w:t xml:space="preserve">4. Aetiology and pathogenesis</w:t>
      </w:r>
    </w:p>
    <w:p>
      <w:pPr>
        <w:pStyle w:val="Compact"/>
        <w:numPr>
          <w:ilvl w:val="0"/>
          <w:numId w:val="2134"/>
        </w:numPr>
      </w:pPr>
      <w:r>
        <w:t xml:space="preserve">Alzheimer's prodromal (amnestic MCI);</w:t>
      </w:r>
    </w:p>
    <w:p>
      <w:pPr>
        <w:pStyle w:val="Compact"/>
        <w:numPr>
          <w:ilvl w:val="0"/>
          <w:numId w:val="2134"/>
        </w:numPr>
      </w:pPr>
      <w:r>
        <w:t xml:space="preserve">Vascular</w:t>
      </w:r>
    </w:p>
    <w:p>
      <w:pPr>
        <w:pStyle w:val="Compact"/>
        <w:numPr>
          <w:ilvl w:val="0"/>
          <w:numId w:val="2134"/>
        </w:numPr>
      </w:pPr>
      <w:r>
        <w:t xml:space="preserve">Lewy bodies prodromal;</w:t>
      </w:r>
    </w:p>
    <w:p>
      <w:pPr>
        <w:pStyle w:val="Compact"/>
        <w:numPr>
          <w:ilvl w:val="0"/>
          <w:numId w:val="2134"/>
        </w:numPr>
      </w:pPr>
      <w:r>
        <w:t xml:space="preserve">Frontotemporal;</w:t>
      </w:r>
    </w:p>
    <w:p>
      <w:pPr>
        <w:pStyle w:val="Compact"/>
        <w:numPr>
          <w:ilvl w:val="0"/>
          <w:numId w:val="2134"/>
        </w:numPr>
      </w:pPr>
      <w:r>
        <w:t xml:space="preserve">Medical (depression, thyroid, B12, medication effects).</w:t>
      </w:r>
    </w:p>
    <w:bookmarkEnd w:id="2287"/>
    <w:bookmarkStart w:id="2288" w:name="Xc989a04c6764544b43728f792d576415b414811"/>
    <w:p>
      <w:pPr>
        <w:pStyle w:val="Heading3"/>
      </w:pPr>
      <w:r>
        <w:t xml:space="preserve">5. Clinical features</w:t>
      </w:r>
    </w:p>
    <w:p>
      <w:pPr>
        <w:pStyle w:val="Compact"/>
        <w:numPr>
          <w:ilvl w:val="0"/>
          <w:numId w:val="2135"/>
        </w:numPr>
      </w:pPr>
      <w:r>
        <w:t xml:space="preserve">The patient or a close person complains of cognitive decline.</w:t>
      </w:r>
    </w:p>
    <w:p>
      <w:pPr>
        <w:pStyle w:val="Compact"/>
        <w:numPr>
          <w:ilvl w:val="0"/>
          <w:numId w:val="2135"/>
        </w:numPr>
      </w:pPr>
      <w:r>
        <w:t xml:space="preserve">Mild deficit on standardized tests (typically -1 to -2 SD).</w:t>
      </w:r>
    </w:p>
    <w:p>
      <w:pPr>
        <w:pStyle w:val="Compact"/>
        <w:numPr>
          <w:ilvl w:val="0"/>
          <w:numId w:val="2135"/>
        </w:numPr>
      </w:pPr>
      <w:r>
        <w:t xml:space="preserve">Daily functioning is preserved (minimal compensation in complex activities).</w:t>
      </w:r>
    </w:p>
    <w:p>
      <w:pPr>
        <w:pStyle w:val="Compact"/>
        <w:numPr>
          <w:ilvl w:val="0"/>
          <w:numId w:val="2135"/>
        </w:numPr>
      </w:pPr>
      <w:r>
        <w:t xml:space="preserve">Subtypes: amnestic (memory dominant — high Alzheimer's risk), non-amnestic (executive or other domain).</w:t>
      </w:r>
    </w:p>
    <w:bookmarkEnd w:id="2288"/>
    <w:bookmarkStart w:id="2293" w:name="Xa605ab614df37392d87ae4011b084b38e2d912a"/>
    <w:p>
      <w:pPr>
        <w:pStyle w:val="Heading3"/>
      </w:pPr>
      <w:r>
        <w:t xml:space="preserve">6. Diagnosis</w:t>
      </w:r>
    </w:p>
    <w:bookmarkStart w:id="2289" w:name="unified-diagnostic-criteria-56"/>
    <w:p>
      <w:pPr>
        <w:pStyle w:val="Heading4"/>
      </w:pPr>
      <w:r>
        <w:t xml:space="preserve">6.1 Unified diagnostic criteria</w:t>
      </w:r>
    </w:p>
    <w:p>
      <w:pPr>
        <w:pStyle w:val="FirstParagraph"/>
      </w:pPr>
      <w:r>
        <w:t xml:space="preserve">A. Mild decline in one or more cognitive domains (noted by patient, informant, or clinician, and standardized neuropsychological testing).</w:t>
      </w:r>
    </w:p>
    <w:p>
      <w:pPr>
        <w:pStyle w:val="BodyText"/>
      </w:pPr>
      <w:r>
        <w:t xml:space="preserve">B. Daily functioning is preserved.</w:t>
      </w:r>
    </w:p>
    <w:p>
      <w:pPr>
        <w:pStyle w:val="BodyText"/>
      </w:pPr>
      <w:r>
        <w:t xml:space="preserve">C. Not better explained by delirium</w:t>
      </w:r>
    </w:p>
    <w:p>
      <w:pPr>
        <w:pStyle w:val="BodyText"/>
      </w:pPr>
      <w:r>
        <w:t xml:space="preserve">D. Not better explained by another mental disorder (MDD).</w:t>
      </w:r>
    </w:p>
    <w:bookmarkEnd w:id="2289"/>
    <w:bookmarkStart w:id="2290" w:name="differences-between-sources-140"/>
    <w:p>
      <w:pPr>
        <w:pStyle w:val="Heading4"/>
      </w:pPr>
      <w:r>
        <w:t xml:space="preserve">6.2 Differences between sources</w:t>
      </w:r>
    </w:p>
    <w:p>
      <w:pPr>
        <w:pStyle w:val="Compact"/>
        <w:numPr>
          <w:ilvl w:val="0"/>
          <w:numId w:val="2136"/>
        </w:numPr>
      </w:pPr>
      <w:r>
        <w:t xml:space="preserve">DSM-5-TR — separation of Major and Mild.</w:t>
      </w:r>
    </w:p>
    <w:p>
      <w:pPr>
        <w:pStyle w:val="Compact"/>
        <w:numPr>
          <w:ilvl w:val="0"/>
          <w:numId w:val="2136"/>
        </w:numPr>
      </w:pPr>
      <w:r>
        <w:t xml:space="preserve">AAN 2018 — etiological investigation (Alzheimer, vascular) and biomarkers in developmental stage.</w:t>
      </w:r>
    </w:p>
    <w:bookmarkEnd w:id="2290"/>
    <w:bookmarkStart w:id="2291" w:name="diagnostic-algorithm-79"/>
    <w:p>
      <w:pPr>
        <w:pStyle w:val="Heading4"/>
      </w:pPr>
      <w:r>
        <w:t xml:space="preserve">6.3 Diagnostic algorithm</w:t>
      </w:r>
    </w:p>
    <w:p>
      <w:pPr>
        <w:pStyle w:val="Compact"/>
        <w:numPr>
          <w:ilvl w:val="0"/>
          <w:numId w:val="2137"/>
        </w:numPr>
      </w:pPr>
      <w:r>
        <w:t xml:space="preserve">Clinical interview + informant.</w:t>
      </w:r>
    </w:p>
    <w:p>
      <w:pPr>
        <w:pStyle w:val="Compact"/>
        <w:numPr>
          <w:ilvl w:val="0"/>
          <w:numId w:val="2137"/>
        </w:numPr>
      </w:pPr>
      <w:r>
        <w:t xml:space="preserve">MoCA (Montreal Cognitive Assessment), MMSE.</w:t>
      </w:r>
    </w:p>
    <w:p>
      <w:pPr>
        <w:pStyle w:val="Compact"/>
        <w:numPr>
          <w:ilvl w:val="0"/>
          <w:numId w:val="2137"/>
        </w:numPr>
      </w:pPr>
      <w:r>
        <w:t xml:space="preserve">Neuropsychological testing.</w:t>
      </w:r>
    </w:p>
    <w:p>
      <w:pPr>
        <w:pStyle w:val="Compact"/>
        <w:numPr>
          <w:ilvl w:val="0"/>
          <w:numId w:val="2137"/>
        </w:numPr>
      </w:pPr>
      <w:r>
        <w:t xml:space="preserve">Laboratory — B12, folate, TSH, liver, kidney, glucose, HIV/syphilis.</w:t>
      </w:r>
    </w:p>
    <w:p>
      <w:pPr>
        <w:pStyle w:val="Compact"/>
        <w:numPr>
          <w:ilvl w:val="0"/>
          <w:numId w:val="2137"/>
        </w:numPr>
      </w:pPr>
      <w:r>
        <w:t xml:space="preserve">Brain MRI — vascular, atrophy, other pathology.</w:t>
      </w:r>
    </w:p>
    <w:p>
      <w:pPr>
        <w:pStyle w:val="Compact"/>
        <w:numPr>
          <w:ilvl w:val="0"/>
          <w:numId w:val="2137"/>
        </w:numPr>
      </w:pPr>
      <w:r>
        <w:t xml:space="preserve">Biomarkers (if clinical suspicion) — CSF amyloid-β/tau, PET imaging (Alzheimer's prodrome).</w:t>
      </w:r>
    </w:p>
    <w:p>
      <w:pPr>
        <w:pStyle w:val="Compact"/>
        <w:numPr>
          <w:ilvl w:val="0"/>
          <w:numId w:val="2137"/>
        </w:numPr>
      </w:pPr>
      <w:r>
        <w:t xml:space="preserve">Depression screening (GDS, PHQ-9).</w:t>
      </w:r>
    </w:p>
    <w:bookmarkEnd w:id="2291"/>
    <w:bookmarkStart w:id="2292" w:name="differential-diagnosis-8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Daily functioning is significantly impaired.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age-related cognitive change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Performance normal during testing.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Depression (pseudodementia)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are dominant; improves with antidepressants.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onset, fluctuating attention.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B12 or thyroid deficiency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Laboratory; improvement with correction.</w:t>
            </w:r>
          </w:p>
        </w:tc>
      </w:tr>
    </w:tbl>
    <w:bookmarkEnd w:id="2292"/>
    <w:bookmarkEnd w:id="2293"/>
    <w:bookmarkStart w:id="2294" w:name="X338bb388b28a8a79e064595c0fa0988966f7d9b"/>
    <w:p>
      <w:pPr>
        <w:pStyle w:val="Heading3"/>
      </w:pPr>
      <w:r>
        <w:t xml:space="preserve">7. Examination and assessment</w:t>
      </w:r>
    </w:p>
    <w:p>
      <w:pPr>
        <w:pStyle w:val="Compact"/>
        <w:numPr>
          <w:ilvl w:val="0"/>
          <w:numId w:val="2138"/>
        </w:numPr>
      </w:pPr>
      <w:r>
        <w:t xml:space="preserve">MoCA (≤ 25 pathological) — the validated screen for MCI; MMSE has no established MCI cut-off and is insensitive to mild impairment.</w:t>
      </w:r>
    </w:p>
    <w:p>
      <w:pPr>
        <w:pStyle w:val="Compact"/>
        <w:numPr>
          <w:ilvl w:val="0"/>
          <w:numId w:val="2138"/>
        </w:numPr>
      </w:pPr>
      <w:r>
        <w:t xml:space="preserve">Neuropsychological battery (memory, executive, language, visuospatial).</w:t>
      </w:r>
    </w:p>
    <w:p>
      <w:pPr>
        <w:pStyle w:val="Compact"/>
        <w:numPr>
          <w:ilvl w:val="0"/>
          <w:numId w:val="2138"/>
        </w:numPr>
      </w:pPr>
      <w:r>
        <w:t xml:space="preserve">Laboratory panel.</w:t>
      </w:r>
    </w:p>
    <w:p>
      <w:pPr>
        <w:pStyle w:val="Compact"/>
        <w:numPr>
          <w:ilvl w:val="0"/>
          <w:numId w:val="2138"/>
        </w:numPr>
      </w:pPr>
      <w:r>
        <w:t xml:space="preserve">MRI (routine), biomarkers (selective).</w:t>
      </w:r>
    </w:p>
    <w:bookmarkEnd w:id="2294"/>
    <w:bookmarkStart w:id="2297" w:name="Xeb128b82432c2a7647469a420ea0698cfde3803"/>
    <w:p>
      <w:pPr>
        <w:pStyle w:val="Heading3"/>
      </w:pPr>
      <w:r>
        <w:t xml:space="preserve">8. Treatment</w:t>
      </w:r>
    </w:p>
    <w:p>
      <w:pPr>
        <w:pStyle w:val="Compact"/>
        <w:numPr>
          <w:ilvl w:val="0"/>
          <w:numId w:val="2139"/>
        </w:numPr>
      </w:pPr>
      <w:r>
        <w:t xml:space="preserve">Etiological treatment — modifiable factors (cardiovascular risk, B12, thyroid, depression, medication).</w:t>
      </w:r>
    </w:p>
    <w:p>
      <w:pPr>
        <w:pStyle w:val="Compact"/>
        <w:numPr>
          <w:ilvl w:val="0"/>
          <w:numId w:val="2139"/>
        </w:numPr>
      </w:pPr>
      <w:r>
        <w:t xml:space="preserve">Lifestyle — physical activity (aerobic), Mediterranean diet, cognitive stimulation, social connections (FINGER trial Lancet 2015 – multimodal approach effective).</w:t>
      </w:r>
    </w:p>
    <w:p>
      <w:pPr>
        <w:pStyle w:val="Compact"/>
        <w:numPr>
          <w:ilvl w:val="0"/>
          <w:numId w:val="2139"/>
        </w:numPr>
      </w:pPr>
      <w:r>
        <w:t xml:space="preserve">Pharmacotherapy — no specific approval for MCI. Donepezil and other AChEIs — limited evidence base; not routinely recommended.</w:t>
      </w:r>
    </w:p>
    <w:p>
      <w:pPr>
        <w:pStyle w:val="Compact"/>
        <w:numPr>
          <w:ilvl w:val="0"/>
          <w:numId w:val="2139"/>
        </w:numPr>
      </w:pPr>
      <w:r>
        <w:t xml:space="preserve">Lecanemab, Donanemab — new anti-amyloid antibodies; FDA approval (lecanemab 2023, donanemab 2024) for Alzheimer prodrome and mild dementia; clinical effect modest, infusion reactions and ARIA (Amyloid-Related Imaging Abnormalities) risk.</w:t>
      </w:r>
    </w:p>
    <w:p>
      <w:pPr>
        <w:pStyle w:val="Compact"/>
        <w:numPr>
          <w:ilvl w:val="0"/>
          <w:numId w:val="2139"/>
        </w:numPr>
      </w:pPr>
      <w:r>
        <w:t xml:space="preserve">Comorbid depression, anxiety treatment (SSRIs).</w:t>
      </w:r>
    </w:p>
    <w:p>
      <w:pPr>
        <w:pStyle w:val="Compact"/>
        <w:numPr>
          <w:ilvl w:val="0"/>
          <w:numId w:val="2139"/>
        </w:numPr>
      </w:pPr>
      <w:r>
        <w:t xml:space="preserve">Monitoring risk of transition to dementia.</w:t>
      </w:r>
    </w:p>
    <w:bookmarkStart w:id="2295" w:name="treatment-methods-77"/>
    <w:p>
      <w:pPr>
        <w:pStyle w:val="Heading4"/>
      </w:pPr>
      <w:r>
        <w:t xml:space="preserve">8.1 Treatment methods</w:t>
      </w:r>
    </w:p>
    <w:p>
      <w:pPr>
        <w:pStyle w:val="Compact"/>
        <w:numPr>
          <w:ilvl w:val="0"/>
          <w:numId w:val="2140"/>
        </w:numPr>
      </w:pPr>
      <w:r>
        <w:t xml:space="preserve">Montreal Cognitive Assessment (MoCA) — Nasreddine Z.S — 30 items; MCI screening (cut-off 26).</w:t>
      </w:r>
    </w:p>
    <w:p>
      <w:pPr>
        <w:pStyle w:val="Compact"/>
        <w:numPr>
          <w:ilvl w:val="0"/>
          <w:numId w:val="2140"/>
        </w:numPr>
      </w:pPr>
      <w:r>
        <w:t xml:space="preserve">FINGER Multimodal Intervention (FINGER — Finnish Geriatric Intervention Study) — Diet + exercise + cognitive training + vascular risk management.</w:t>
      </w:r>
    </w:p>
    <w:p>
      <w:pPr>
        <w:pStyle w:val="Compact"/>
        <w:numPr>
          <w:ilvl w:val="0"/>
          <w:numId w:val="2140"/>
        </w:numPr>
      </w:pPr>
      <w:r>
        <w:t xml:space="preserve">Lecanemab, Donanemab — Anti-amyloid antibodies; FDA approval; ARIA monitoring (MRI).</w:t>
      </w:r>
    </w:p>
    <w:bookmarkEnd w:id="2295"/>
    <w:bookmarkStart w:id="2296" w:name="differences-between-sources-141"/>
    <w:p>
      <w:pPr>
        <w:pStyle w:val="Heading4"/>
      </w:pPr>
      <w:r>
        <w:t xml:space="preserve">8.2 Differences between sources</w:t>
      </w:r>
    </w:p>
    <w:p>
      <w:pPr>
        <w:pStyle w:val="Compact"/>
        <w:numPr>
          <w:ilvl w:val="0"/>
          <w:numId w:val="2141"/>
        </w:numPr>
      </w:pPr>
      <w:r>
        <w:t xml:space="preserve">AAN 2018 — modifiable factors and lifestyle.</w:t>
      </w:r>
    </w:p>
    <w:p>
      <w:pPr>
        <w:pStyle w:val="Compact"/>
        <w:numPr>
          <w:ilvl w:val="0"/>
          <w:numId w:val="2141"/>
        </w:numPr>
      </w:pPr>
      <w:r>
        <w:t xml:space="preserve">FINGER trial (Ngandu Lancet 2015) — multimodal intervention.</w:t>
      </w:r>
    </w:p>
    <w:p>
      <w:pPr>
        <w:pStyle w:val="Compact"/>
        <w:numPr>
          <w:ilvl w:val="0"/>
          <w:numId w:val="2141"/>
        </w:numPr>
      </w:pPr>
      <w:r>
        <w:t xml:space="preserve">Lecanemab — CLARITY-AD (van Dyck NEJM 2023); donanemab — TRAILBLAZER-ALZ 2 (Sims JAMA 2023).</w:t>
      </w:r>
    </w:p>
    <w:bookmarkEnd w:id="2296"/>
    <w:bookmarkEnd w:id="2297"/>
    <w:bookmarkStart w:id="2298" w:name="X4db0a71242fdf84757ac7aabc79c11737295d8c"/>
    <w:p>
      <w:pPr>
        <w:pStyle w:val="Heading3"/>
      </w:pPr>
      <w:r>
        <w:t xml:space="preserve">9. Prognosis</w:t>
      </w:r>
    </w:p>
    <w:p>
      <w:pPr>
        <w:pStyle w:val="Compact"/>
        <w:numPr>
          <w:ilvl w:val="0"/>
          <w:numId w:val="2142"/>
        </w:numPr>
      </w:pPr>
      <w:r>
        <w:t xml:space="preserve">Stable 30%, transition to dementia 10–15%/year, reversion to normal cognition 15–20%.</w:t>
      </w:r>
    </w:p>
    <w:p>
      <w:pPr>
        <w:pStyle w:val="Compact"/>
        <w:numPr>
          <w:ilvl w:val="0"/>
          <w:numId w:val="2142"/>
        </w:numPr>
      </w:pPr>
      <w:r>
        <w:t xml:space="preserve">Amnestic MCI as Alzheimer's prodrome — high conversion rate.</w:t>
      </w:r>
    </w:p>
    <w:bookmarkEnd w:id="2298"/>
    <w:bookmarkStart w:id="2304" w:name="X6bf0e31dccbc61fc7f98a589706760a90490d08"/>
    <w:p>
      <w:pPr>
        <w:pStyle w:val="Heading3"/>
      </w:pPr>
      <w:r>
        <w:t xml:space="preserve">10. Myths and misconceptions</w:t>
      </w:r>
    </w:p>
    <w:bookmarkStart w:id="2299" w:name="Xe2ed58a91961689f63cb55e90382801ed35ef02"/>
    <w:p>
      <w:pPr>
        <w:pStyle w:val="Heading5"/>
      </w:pPr>
      <w:r>
        <w:t xml:space="preserve">Myth 1: “MCI inevitably turns into dementia”</w:t>
      </w:r>
    </w:p>
    <w:p>
      <w:pPr>
        <w:pStyle w:val="FirstParagraph"/>
      </w:pPr>
      <w:r>
        <w:t xml:space="preserve">Evidence: annual rate 10–15%; some remain stable or improve.</w:t>
      </w:r>
    </w:p>
    <w:bookmarkEnd w:id="2299"/>
    <w:bookmarkStart w:id="2300" w:name="myth-2-vitamin-b-and-ginkgo-cure-mci"/>
    <w:p>
      <w:pPr>
        <w:pStyle w:val="Heading5"/>
      </w:pPr>
      <w:r>
        <w:t xml:space="preserve">Myth 2: “Vitamin B and ginkgo cure MCI”</w:t>
      </w:r>
    </w:p>
    <w:p>
      <w:pPr>
        <w:pStyle w:val="FirstParagraph"/>
      </w:pPr>
      <w:r>
        <w:t xml:space="preserve">Evidence: B vitamins only in deficiency; ginkgo Cochrane (Birks 2009) — weak evidence of effect.</w:t>
      </w:r>
    </w:p>
    <w:bookmarkEnd w:id="2300"/>
    <w:bookmarkStart w:id="2301" w:name="Xb3728f428bbed71f0dfad7c3f24f65b3a4d076d"/>
    <w:p>
      <w:pPr>
        <w:pStyle w:val="Heading5"/>
      </w:pPr>
      <w:r>
        <w:t xml:space="preserve">Myth 3: “AChEI is the standard treatment for MCI”</w:t>
      </w:r>
    </w:p>
    <w:p>
      <w:pPr>
        <w:pStyle w:val="FirstParagraph"/>
      </w:pPr>
      <w:r>
        <w:t xml:space="preserve">Evidence: AAN 2018 — evidence base insufficient; not routinely recommended.</w:t>
      </w:r>
    </w:p>
    <w:bookmarkEnd w:id="2301"/>
    <w:bookmarkStart w:id="2302" w:name="myth-4-lecanemab-cures-mcialzheimers"/>
    <w:p>
      <w:pPr>
        <w:pStyle w:val="Heading5"/>
      </w:pPr>
      <w:r>
        <w:t xml:space="preserve">Myth 4: “Lecanemab cures MCI/Alzheimer's”</w:t>
      </w:r>
    </w:p>
    <w:p>
      <w:pPr>
        <w:pStyle w:val="FirstParagraph"/>
      </w:pPr>
      <w:r>
        <w:t xml:space="preserve">Evidence: Reduces clinical decline rate by ~25%; ARIA and infusion reactions; not “cure.”</w:t>
      </w:r>
    </w:p>
    <w:bookmarkEnd w:id="2302"/>
    <w:bookmarkStart w:id="2303" w:name="Xca288d0ce3036f84c4ad393c2f245e222ab7d8f"/>
    <w:p>
      <w:pPr>
        <w:pStyle w:val="Heading5"/>
      </w:pPr>
      <w:r>
        <w:t xml:space="preserve">Myth 5: “Cognitive decline is inevitable with age”</w:t>
      </w:r>
    </w:p>
    <w:p>
      <w:pPr>
        <w:pStyle w:val="FirstParagraph"/>
      </w:pPr>
      <w:r>
        <w:t xml:space="preserve">Evidence: Cardiovascular risk, physical activity, social connections are modifiable factors.</w:t>
      </w:r>
    </w:p>
    <w:bookmarkEnd w:id="2303"/>
    <w:bookmarkEnd w:id="2304"/>
    <w:bookmarkStart w:id="2938" w:name="X0ca0959851d8c89e8097f0282630ed4b5b1994d"/>
    <w:p>
      <w:pPr>
        <w:pStyle w:val="Heading3"/>
      </w:pPr>
      <w:r>
        <w:t xml:space="preserve">11. Sources</w:t>
      </w:r>
    </w:p>
    <w:p>
      <w:pPr>
        <w:pStyle w:val="Compact"/>
        <w:numPr>
          <w:ilvl w:val="0"/>
          <w:numId w:val="2143"/>
        </w:numPr>
      </w:pPr>
      <w:r>
        <w:t xml:space="preserve">WHO. ICD-11. 6D71 Mild neurocognitive disorder. 2024.</w:t>
      </w:r>
    </w:p>
    <w:p>
      <w:pPr>
        <w:pStyle w:val="Compact"/>
        <w:numPr>
          <w:ilvl w:val="0"/>
          <w:numId w:val="2143"/>
        </w:numPr>
      </w:pPr>
      <w:r>
        <w:t xml:space="preserve">APA. DSM-5-TR. 2022.</w:t>
      </w:r>
    </w:p>
    <w:p>
      <w:pPr>
        <w:pStyle w:val="Compact"/>
        <w:numPr>
          <w:ilvl w:val="0"/>
          <w:numId w:val="2143"/>
        </w:numPr>
      </w:pPr>
      <w:r>
        <w:t xml:space="preserve">Petersen R.C. et al. Practice guideline update summary: Mild cognitive impairment. Neurology 2018;90(3):126–135.</w:t>
      </w:r>
    </w:p>
    <w:p>
      <w:pPr>
        <w:pStyle w:val="Compact"/>
        <w:numPr>
          <w:ilvl w:val="0"/>
          <w:numId w:val="2143"/>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3"/>
        </w:numPr>
      </w:pPr>
      <w:r>
        <w:t xml:space="preserve">van Dyck C.H. et al. Lecanemab in Early Alzheimer's Disease. NEJM 2023;388(1):9–21.</w:t>
      </w:r>
    </w:p>
    <w:p>
      <w:pPr>
        <w:pStyle w:val="Compact"/>
        <w:numPr>
          <w:ilvl w:val="0"/>
          <w:numId w:val="2143"/>
        </w:numPr>
      </w:pPr>
      <w:r>
        <w:t xml:space="preserve">Nasreddine Z.S., Phillips N.A., Bédirian V. et al. The Montreal Cognitive Assessment, MoCA: a brief screening tool for mild cognitive impairment. J Am Geriatr Soc 2005;53(4):695–699.</w:t>
      </w:r>
    </w:p>
    <w:p>
      <w:pPr>
        <w:pStyle w:val="Compact"/>
        <w:numPr>
          <w:ilvl w:val="0"/>
          <w:numId w:val="2143"/>
        </w:numPr>
      </w:pPr>
      <w:r>
        <w:t xml:space="preserve">Birks J., Grimley Evans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05" w:name="m1016d72-amnestic-disorder"/>
            <w:r>
              <w:t xml:space="preserve">6D72 AMNESTIC DISORDER</w:t>
            </w:r>
            <w:bookmarkEnd w:id="2305"/>
          </w:p>
          <w:p>
            <w:pPr>
              <w:pStyle w:val="Compact"/>
              <w:ind w:firstLine="0" w:left="0"/>
            </w:pPr>
            <w:r>
              <w:rPr>
                <w:lang w:val="en"/>
              </w:rPr>
              <w:t xml:space="preserve">Amnestic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Organic amnesic syndrome, not induced by alcohol and other psychoactive substances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Neurocognitive Disorder Due to Another Medical Condition (amnestic presentation)</w:t>
            </w:r>
          </w:p>
        </w:tc>
      </w:tr>
    </w:tbl>
    <w:bookmarkStart w:id="2306" w:name="X5e8d3e455054a49638146f7877ee16874465f37"/>
    <w:p>
      <w:pPr>
        <w:pStyle w:val="Heading3"/>
      </w:pPr>
      <w:r>
        <w:t xml:space="preserve">1. Definition and nosology</w:t>
      </w:r>
    </w:p>
    <w:p>
      <w:pPr>
        <w:pStyle w:val="FirstParagraph"/>
      </w:pPr>
      <w:r>
        <w:t xml:space="preserve">Amnestic Disorder (ICD-11:</w:t>
      </w:r>
      <w:r>
        <w:t xml:space="preserve"> </w:t>
      </w:r>
      <w:r>
        <w:t xml:space="preserve">6D72</w:t>
      </w:r>
      <w:r>
        <w:t xml:space="preserve">; DSM-5-TR: F02.8x and similar) — significant impairment in learning and recalling new information; other cognitive domains relatively preserved. Due to a medical condition (Wernicke-Korsakoff, brain injury, encephalitis, anoxia), substance effect, or other causes.</w:t>
      </w:r>
    </w:p>
    <w:bookmarkEnd w:id="2306"/>
    <w:bookmarkStart w:id="2307" w:name="Xc44339d5b34f9224ab8e9b5b3109aa9cb32a93d"/>
    <w:p>
      <w:pPr>
        <w:pStyle w:val="Heading3"/>
      </w:pPr>
      <w:r>
        <w:t xml:space="preserve">2. History</w:t>
      </w:r>
    </w:p>
    <w:p>
      <w:pPr>
        <w:pStyle w:val="Compact"/>
        <w:numPr>
          <w:ilvl w:val="0"/>
          <w:numId w:val="2144"/>
        </w:numPr>
      </w:pPr>
      <w:r>
        <w:t xml:space="preserve">Korsakoff S. (1887) — description of alcohol-related amnesia.</w:t>
      </w:r>
    </w:p>
    <w:p>
      <w:pPr>
        <w:pStyle w:val="Compact"/>
        <w:numPr>
          <w:ilvl w:val="0"/>
          <w:numId w:val="2144"/>
        </w:numPr>
      </w:pPr>
      <w:r>
        <w:t xml:space="preserve">Scoville W.B., Milner B. (1957) — H.M. case (amnesia after bilateral medial temporal resection).</w:t>
      </w:r>
    </w:p>
    <w:bookmarkEnd w:id="2307"/>
    <w:bookmarkStart w:id="2308" w:name="Xb1475ce8d5472ad4ba11effc17b6c88ebbb91af"/>
    <w:p>
      <w:pPr>
        <w:pStyle w:val="Heading3"/>
      </w:pPr>
      <w:r>
        <w:t xml:space="preserve">3. Epidemiology</w:t>
      </w:r>
    </w:p>
    <w:p>
      <w:pPr>
        <w:pStyle w:val="Compact"/>
        <w:numPr>
          <w:ilvl w:val="0"/>
          <w:numId w:val="2145"/>
        </w:numPr>
      </w:pPr>
      <w:r>
        <w:t xml:space="preserve">Korsakoff syndrome — in 12–25% of chronic heavy alcohol users.</w:t>
      </w:r>
    </w:p>
    <w:p>
      <w:pPr>
        <w:pStyle w:val="Compact"/>
        <w:numPr>
          <w:ilvl w:val="0"/>
          <w:numId w:val="2145"/>
        </w:numPr>
      </w:pPr>
      <w:r>
        <w:t xml:space="preserve">Amnesia after traumatic brain injury — in 30–50% of TBI patients.</w:t>
      </w:r>
    </w:p>
    <w:p>
      <w:pPr>
        <w:pStyle w:val="Compact"/>
        <w:numPr>
          <w:ilvl w:val="0"/>
          <w:numId w:val="2145"/>
        </w:numPr>
      </w:pPr>
      <w:r>
        <w:t xml:space="preserve">Transient global amnesia (TGA) — prevalence in age 65+ 5–25/100,000/year.</w:t>
      </w:r>
    </w:p>
    <w:bookmarkEnd w:id="2308"/>
    <w:bookmarkStart w:id="2309" w:name="X99ed3fbaacd193a6d35fb78f88b02b35969d8d8"/>
    <w:p>
      <w:pPr>
        <w:pStyle w:val="Heading3"/>
      </w:pPr>
      <w:r>
        <w:t xml:space="preserve">4. Aetiology and pathogenesis</w:t>
      </w:r>
    </w:p>
    <w:p>
      <w:pPr>
        <w:pStyle w:val="Compact"/>
        <w:numPr>
          <w:ilvl w:val="0"/>
          <w:numId w:val="2146"/>
        </w:numPr>
      </w:pPr>
      <w:r>
        <w:t xml:space="preserve">Wernicke-Korsakoff — thiamine (B1) deficiency (alcohol, malnutrition).</w:t>
      </w:r>
    </w:p>
    <w:p>
      <w:pPr>
        <w:pStyle w:val="Compact"/>
        <w:numPr>
          <w:ilvl w:val="0"/>
          <w:numId w:val="2146"/>
        </w:numPr>
      </w:pPr>
      <w:r>
        <w:t xml:space="preserve">Traumatic brain injury (TBI).</w:t>
      </w:r>
    </w:p>
    <w:p>
      <w:pPr>
        <w:pStyle w:val="Compact"/>
        <w:numPr>
          <w:ilvl w:val="0"/>
          <w:numId w:val="2146"/>
        </w:numPr>
      </w:pPr>
      <w:r>
        <w:t xml:space="preserve">Hypoxia/anoxia — cardiac arrest, carbon monoxide.</w:t>
      </w:r>
    </w:p>
    <w:p>
      <w:pPr>
        <w:pStyle w:val="Compact"/>
        <w:numPr>
          <w:ilvl w:val="0"/>
          <w:numId w:val="2146"/>
        </w:numPr>
      </w:pPr>
      <w:r>
        <w:t xml:space="preserve">Herpes simplex encephalitis.</w:t>
      </w:r>
    </w:p>
    <w:p>
      <w:pPr>
        <w:pStyle w:val="Compact"/>
        <w:numPr>
          <w:ilvl w:val="0"/>
          <w:numId w:val="2146"/>
        </w:numPr>
      </w:pPr>
      <w:r>
        <w:t xml:space="preserve">Autoimmune encephalitis (anti-NMDA, anti-LGI1).</w:t>
      </w:r>
    </w:p>
    <w:p>
      <w:pPr>
        <w:pStyle w:val="Compact"/>
        <w:numPr>
          <w:ilvl w:val="0"/>
          <w:numId w:val="2146"/>
        </w:numPr>
      </w:pPr>
      <w:r>
        <w:t xml:space="preserve">Transient global amnesia (TGA) — suspected vascular etiology.</w:t>
      </w:r>
    </w:p>
    <w:p>
      <w:pPr>
        <w:pStyle w:val="Compact"/>
        <w:numPr>
          <w:ilvl w:val="0"/>
          <w:numId w:val="2146"/>
        </w:numPr>
      </w:pPr>
      <w:r>
        <w:t xml:space="preserve">Substance (alcohol blackout, benzodiazepine).</w:t>
      </w:r>
    </w:p>
    <w:p>
      <w:pPr>
        <w:pStyle w:val="Compact"/>
        <w:numPr>
          <w:ilvl w:val="0"/>
          <w:numId w:val="2146"/>
        </w:numPr>
      </w:pPr>
      <w:r>
        <w:t xml:space="preserve">Stroke (especially bilateral thalamic or hippocampal).</w:t>
      </w:r>
    </w:p>
    <w:bookmarkEnd w:id="2309"/>
    <w:bookmarkStart w:id="2310" w:name="X559a6d74689914da115a004be81131b437d2c0c"/>
    <w:p>
      <w:pPr>
        <w:pStyle w:val="Heading3"/>
      </w:pPr>
      <w:r>
        <w:t xml:space="preserve">5. Clinical features</w:t>
      </w:r>
    </w:p>
    <w:p>
      <w:pPr>
        <w:pStyle w:val="Compact"/>
        <w:numPr>
          <w:ilvl w:val="0"/>
          <w:numId w:val="2147"/>
        </w:numPr>
      </w:pPr>
      <w:r>
        <w:t xml:space="preserve">Anterograde amnesia — impairment in learning new information (core feature).</w:t>
      </w:r>
    </w:p>
    <w:p>
      <w:pPr>
        <w:pStyle w:val="Compact"/>
        <w:numPr>
          <w:ilvl w:val="0"/>
          <w:numId w:val="2147"/>
        </w:numPr>
      </w:pPr>
      <w:r>
        <w:t xml:space="preserve">Retrograde amnesia — memory for the period before the injury (“Ribot's law” — recent memories are lost earlier than remote ones).</w:t>
      </w:r>
    </w:p>
    <w:p>
      <w:pPr>
        <w:pStyle w:val="Compact"/>
        <w:numPr>
          <w:ilvl w:val="0"/>
          <w:numId w:val="2147"/>
        </w:numPr>
      </w:pPr>
      <w:r>
        <w:t xml:space="preserve">Confabulation — in Korsakoff syndrome — patient fills memory gaps with fabrications.</w:t>
      </w:r>
    </w:p>
    <w:p>
      <w:pPr>
        <w:pStyle w:val="Compact"/>
        <w:numPr>
          <w:ilvl w:val="0"/>
          <w:numId w:val="2147"/>
        </w:numPr>
      </w:pPr>
      <w:r>
        <w:t xml:space="preserve">Other cognitive domains are relatively preserved (intellect, language, visuospatial).</w:t>
      </w:r>
    </w:p>
    <w:bookmarkEnd w:id="2310"/>
    <w:bookmarkStart w:id="2315" w:name="X98644835c22d83a38d79aeebc89705b54e817f8"/>
    <w:p>
      <w:pPr>
        <w:pStyle w:val="Heading3"/>
      </w:pPr>
      <w:r>
        <w:t xml:space="preserve">6. Diagnosis</w:t>
      </w:r>
    </w:p>
    <w:bookmarkStart w:id="2311" w:name="unified-diagnostic-criteria-57"/>
    <w:p>
      <w:pPr>
        <w:pStyle w:val="Heading4"/>
      </w:pPr>
      <w:r>
        <w:t xml:space="preserve">6.1 Unified diagnostic criteria</w:t>
      </w:r>
    </w:p>
    <w:p>
      <w:pPr>
        <w:pStyle w:val="FirstParagraph"/>
      </w:pPr>
      <w:r>
        <w:t xml:space="preserve">A. Impairment in learning new information or impairment in recall of previously learned information.</w:t>
      </w:r>
    </w:p>
    <w:p>
      <w:pPr>
        <w:pStyle w:val="BodyText"/>
      </w:pPr>
      <w:r>
        <w:t xml:space="preserve">B. Memory impairment causes significant functional impairment.</w:t>
      </w:r>
    </w:p>
    <w:p>
      <w:pPr>
        <w:pStyle w:val="BodyText"/>
      </w:pPr>
      <w:r>
        <w:t xml:space="preserve">C. Does not occur exclusively in the context of delirium or another NCD.</w:t>
      </w:r>
    </w:p>
    <w:p>
      <w:pPr>
        <w:pStyle w:val="BodyText"/>
      </w:pPr>
      <w:r>
        <w:t xml:space="preserve">D. Evidence — history, examination, laboratory indicate that memory impairment is due to specific cause (medical condition, substance).</w:t>
      </w:r>
    </w:p>
    <w:bookmarkEnd w:id="2311"/>
    <w:bookmarkStart w:id="2312" w:name="differences-between-sources-142"/>
    <w:p>
      <w:pPr>
        <w:pStyle w:val="Heading4"/>
      </w:pPr>
      <w:r>
        <w:t xml:space="preserve">6.2 Differences between sources</w:t>
      </w:r>
    </w:p>
    <w:p>
      <w:pPr>
        <w:pStyle w:val="Compact"/>
        <w:numPr>
          <w:ilvl w:val="0"/>
          <w:numId w:val="2148"/>
        </w:numPr>
      </w:pPr>
      <w:r>
        <w:t xml:space="preserve">DSM-5-TR — integrated into Major and Mild NCD structure; amnestic subtype.</w:t>
      </w:r>
    </w:p>
    <w:p>
      <w:pPr>
        <w:pStyle w:val="Compact"/>
        <w:numPr>
          <w:ilvl w:val="0"/>
          <w:numId w:val="2148"/>
        </w:numPr>
      </w:pPr>
      <w:r>
        <w:t xml:space="preserve">ICD-11 — separate category.</w:t>
      </w:r>
    </w:p>
    <w:bookmarkEnd w:id="2312"/>
    <w:bookmarkStart w:id="2313" w:name="diagnostic-algorithm-80"/>
    <w:p>
      <w:pPr>
        <w:pStyle w:val="Heading4"/>
      </w:pPr>
      <w:r>
        <w:t xml:space="preserve">6.3 Diagnostic algorithm</w:t>
      </w:r>
    </w:p>
    <w:p>
      <w:pPr>
        <w:pStyle w:val="Compact"/>
        <w:numPr>
          <w:ilvl w:val="0"/>
          <w:numId w:val="2149"/>
        </w:numPr>
      </w:pPr>
      <w:r>
        <w:t xml:space="preserve">Clinical interview + informant.</w:t>
      </w:r>
    </w:p>
    <w:p>
      <w:pPr>
        <w:pStyle w:val="Compact"/>
        <w:numPr>
          <w:ilvl w:val="0"/>
          <w:numId w:val="2149"/>
        </w:numPr>
      </w:pPr>
      <w:r>
        <w:t xml:space="preserve">Neuropsychological test — memory (WMS-IV, RAVLT, Wechsler Logical Memory).</w:t>
      </w:r>
    </w:p>
    <w:p>
      <w:pPr>
        <w:pStyle w:val="Compact"/>
        <w:numPr>
          <w:ilvl w:val="0"/>
          <w:numId w:val="2149"/>
        </w:numPr>
      </w:pPr>
      <w:r>
        <w:t xml:space="preserve">Brain MRI — bilateral hippocampal, medial temporal, thalamic pathology.</w:t>
      </w:r>
    </w:p>
    <w:p>
      <w:pPr>
        <w:pStyle w:val="Compact"/>
        <w:numPr>
          <w:ilvl w:val="0"/>
          <w:numId w:val="2149"/>
        </w:numPr>
      </w:pPr>
      <w:r>
        <w:t xml:space="preserve">Vitamin B1 level or empirical thiamine (suspected Korsakoff syndrome).</w:t>
      </w:r>
    </w:p>
    <w:p>
      <w:pPr>
        <w:pStyle w:val="Compact"/>
        <w:numPr>
          <w:ilvl w:val="0"/>
          <w:numId w:val="2149"/>
        </w:numPr>
      </w:pPr>
      <w:r>
        <w:t xml:space="preserve">Toxicology.</w:t>
      </w:r>
    </w:p>
    <w:p>
      <w:pPr>
        <w:pStyle w:val="Compact"/>
        <w:numPr>
          <w:ilvl w:val="0"/>
          <w:numId w:val="2149"/>
        </w:numPr>
      </w:pPr>
      <w:r>
        <w:t xml:space="preserve">Autoimmune encephalitis panel (in atypical cases).</w:t>
      </w:r>
    </w:p>
    <w:p>
      <w:pPr>
        <w:pStyle w:val="Compact"/>
        <w:numPr>
          <w:ilvl w:val="0"/>
          <w:numId w:val="2149"/>
        </w:numPr>
      </w:pPr>
      <w:r>
        <w:t xml:space="preserve">EEG.</w:t>
      </w:r>
    </w:p>
    <w:bookmarkEnd w:id="2313"/>
    <w:bookmarkStart w:id="2314" w:name="differential-diagnosis-8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Alzheimer's 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Multiple cognitive domains, gradual onset.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Fluctuation of attention.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Dissociative amnesia (6B61)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trauma context; selective past memory; no medical cause.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disorder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Atypical pattern, secondary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less than 24 hours; complete recovery.</w:t>
            </w:r>
          </w:p>
        </w:tc>
      </w:tr>
    </w:tbl>
    <w:bookmarkEnd w:id="2314"/>
    <w:bookmarkEnd w:id="2315"/>
    <w:bookmarkStart w:id="2316" w:name="Xc683c19556280ba9504b7fa5f8abb09bb4df8a7"/>
    <w:p>
      <w:pPr>
        <w:pStyle w:val="Heading3"/>
      </w:pPr>
      <w:r>
        <w:t xml:space="preserve">7. Examination and assessment</w:t>
      </w:r>
    </w:p>
    <w:p>
      <w:pPr>
        <w:pStyle w:val="Compact"/>
        <w:numPr>
          <w:ilvl w:val="0"/>
          <w:numId w:val="2150"/>
        </w:numPr>
      </w:pPr>
      <w:r>
        <w:t xml:space="preserve">WMS-IV (Wechsler Memory Scale), RAVLT.</w:t>
      </w:r>
    </w:p>
    <w:p>
      <w:pPr>
        <w:pStyle w:val="Compact"/>
        <w:numPr>
          <w:ilvl w:val="0"/>
          <w:numId w:val="2150"/>
        </w:numPr>
      </w:pPr>
      <w:r>
        <w:t xml:space="preserve">Brain MRI.</w:t>
      </w:r>
    </w:p>
    <w:p>
      <w:pPr>
        <w:pStyle w:val="Compact"/>
        <w:numPr>
          <w:ilvl w:val="0"/>
          <w:numId w:val="2150"/>
        </w:numPr>
      </w:pPr>
      <w:r>
        <w:t xml:space="preserve">Thiamine, B12.</w:t>
      </w:r>
    </w:p>
    <w:p>
      <w:pPr>
        <w:pStyle w:val="Compact"/>
        <w:numPr>
          <w:ilvl w:val="0"/>
          <w:numId w:val="2150"/>
        </w:numPr>
      </w:pPr>
      <w:r>
        <w:t xml:space="preserve">Toxicology.</w:t>
      </w:r>
    </w:p>
    <w:bookmarkEnd w:id="2316"/>
    <w:bookmarkStart w:id="2319" w:name="Xc27fb3ad4714d29e3ccd9c513fce73022c9be05"/>
    <w:p>
      <w:pPr>
        <w:pStyle w:val="Heading3"/>
      </w:pPr>
      <w:r>
        <w:t xml:space="preserve">8. Treatment</w:t>
      </w:r>
    </w:p>
    <w:p>
      <w:pPr>
        <w:pStyle w:val="Compact"/>
        <w:numPr>
          <w:ilvl w:val="0"/>
          <w:numId w:val="2151"/>
        </w:numPr>
      </w:pPr>
      <w:r>
        <w:t xml:space="preserve">Etiological — thiamine (Wernicke-Korsakoff — 500 mg IV × 3 times/day × 3 days, then 250 mg IM/day × 3–5 days; long-term oral thiamine in alcohol withdrawal).</w:t>
      </w:r>
    </w:p>
    <w:p>
      <w:pPr>
        <w:pStyle w:val="Compact"/>
        <w:numPr>
          <w:ilvl w:val="0"/>
          <w:numId w:val="2151"/>
        </w:numPr>
      </w:pPr>
      <w:r>
        <w:t xml:space="preserve">Autoimmune encephalitis — immunotherapy (steroids, IVIG, plasmapheresis, rituximab).</w:t>
      </w:r>
    </w:p>
    <w:p>
      <w:pPr>
        <w:pStyle w:val="Compact"/>
        <w:numPr>
          <w:ilvl w:val="0"/>
          <w:numId w:val="2151"/>
        </w:numPr>
      </w:pPr>
      <w:r>
        <w:t xml:space="preserve">Herpes encephalitis — acyclovir.</w:t>
      </w:r>
    </w:p>
    <w:p>
      <w:pPr>
        <w:pStyle w:val="Compact"/>
        <w:numPr>
          <w:ilvl w:val="0"/>
          <w:numId w:val="2151"/>
        </w:numPr>
      </w:pPr>
      <w:r>
        <w:t xml:space="preserve">Compensatory strategies (external memory aids, daily structuring).</w:t>
      </w:r>
    </w:p>
    <w:p>
      <w:pPr>
        <w:pStyle w:val="Compact"/>
        <w:numPr>
          <w:ilvl w:val="0"/>
          <w:numId w:val="2151"/>
        </w:numPr>
      </w:pPr>
      <w:r>
        <w:t xml:space="preserve">Treatment of substance use (alcohol).</w:t>
      </w:r>
    </w:p>
    <w:p>
      <w:pPr>
        <w:pStyle w:val="Compact"/>
        <w:numPr>
          <w:ilvl w:val="0"/>
          <w:numId w:val="2151"/>
        </w:numPr>
      </w:pPr>
      <w:r>
        <w:t xml:space="preserve">Rehabilitation — cognitive rehabilitation (Wilson B.A.).</w:t>
      </w:r>
    </w:p>
    <w:bookmarkStart w:id="2317" w:name="treatment-methods-78"/>
    <w:p>
      <w:pPr>
        <w:pStyle w:val="Heading4"/>
      </w:pPr>
      <w:r>
        <w:t xml:space="preserve">8.1 Treatment methods</w:t>
      </w:r>
    </w:p>
    <w:p>
      <w:pPr>
        <w:pStyle w:val="Compact"/>
        <w:numPr>
          <w:ilvl w:val="0"/>
          <w:numId w:val="2152"/>
        </w:numPr>
      </w:pPr>
      <w:r>
        <w:t xml:space="preserve">Wernicke-Korsakoff Prophylaxis and Treatment — High-dose IV/IM thiamine; administration BEFORE glucose is critical (glucose exacerbates Wernicke's in thiamine deficiency).</w:t>
      </w:r>
    </w:p>
    <w:p>
      <w:pPr>
        <w:pStyle w:val="Compact"/>
        <w:numPr>
          <w:ilvl w:val="0"/>
          <w:numId w:val="2152"/>
        </w:numPr>
      </w:pPr>
      <w:r>
        <w:t xml:space="preserve">Cognitive Rehabilitation — Wilson (Wilson B.A.) — External memory aids (journal, phone reminders), strategy teaching.</w:t>
      </w:r>
    </w:p>
    <w:p>
      <w:pPr>
        <w:pStyle w:val="Compact"/>
        <w:numPr>
          <w:ilvl w:val="0"/>
          <w:numId w:val="2152"/>
        </w:numPr>
      </w:pPr>
      <w:r>
        <w:t xml:space="preserve">Immunotherapy (Autoimmune Encephalitis) — Graus 2016 protocol.</w:t>
      </w:r>
    </w:p>
    <w:bookmarkEnd w:id="2317"/>
    <w:bookmarkStart w:id="2318" w:name="differences-between-sources-143"/>
    <w:p>
      <w:pPr>
        <w:pStyle w:val="Heading4"/>
      </w:pPr>
      <w:r>
        <w:t xml:space="preserve">8.2 Differences between sources</w:t>
      </w:r>
    </w:p>
    <w:p>
      <w:pPr>
        <w:pStyle w:val="Compact"/>
        <w:numPr>
          <w:ilvl w:val="0"/>
          <w:numId w:val="2153"/>
        </w:numPr>
      </w:pPr>
      <w:r>
        <w:t xml:space="preserve">Wernicke-Korsakoff — Royal College of Physicians thiamine protocol.</w:t>
      </w:r>
    </w:p>
    <w:p>
      <w:pPr>
        <w:pStyle w:val="Compact"/>
        <w:numPr>
          <w:ilvl w:val="0"/>
          <w:numId w:val="2153"/>
        </w:numPr>
      </w:pPr>
      <w:r>
        <w:t xml:space="preserve">Graus F. et al. Lancet Neurol 2016 — autoimmune encephalitis.</w:t>
      </w:r>
    </w:p>
    <w:bookmarkEnd w:id="2318"/>
    <w:bookmarkEnd w:id="2319"/>
    <w:bookmarkStart w:id="2320" w:name="X8ff8267cf5873eed367e01d2939832f436be3f7"/>
    <w:p>
      <w:pPr>
        <w:pStyle w:val="Heading3"/>
      </w:pPr>
      <w:r>
        <w:t xml:space="preserve">9. Prognosis</w:t>
      </w:r>
    </w:p>
    <w:p>
      <w:pPr>
        <w:pStyle w:val="Compact"/>
        <w:numPr>
          <w:ilvl w:val="0"/>
          <w:numId w:val="2154"/>
        </w:numPr>
      </w:pPr>
      <w:r>
        <w:t xml:space="preserve">TGA — full recovery.</w:t>
      </w:r>
    </w:p>
    <w:p>
      <w:pPr>
        <w:pStyle w:val="Compact"/>
        <w:numPr>
          <w:ilvl w:val="0"/>
          <w:numId w:val="2154"/>
        </w:numPr>
      </w:pPr>
      <w:r>
        <w:t xml:space="preserve">Korsakoff — residual deficit typical; acute intervention with thiamine for Wernicke critical.</w:t>
      </w:r>
    </w:p>
    <w:p>
      <w:pPr>
        <w:pStyle w:val="Compact"/>
        <w:numPr>
          <w:ilvl w:val="0"/>
          <w:numId w:val="2154"/>
        </w:numPr>
      </w:pPr>
      <w:r>
        <w:t xml:space="preserve">TBI — partial recovery with rehabilitation.</w:t>
      </w:r>
    </w:p>
    <w:bookmarkEnd w:id="2320"/>
    <w:bookmarkStart w:id="2326" w:name="Xdc005d066064f071465fe9fe50180b6c3c533ae"/>
    <w:p>
      <w:pPr>
        <w:pStyle w:val="Heading3"/>
      </w:pPr>
      <w:r>
        <w:t xml:space="preserve">10. Myths and misconceptions</w:t>
      </w:r>
    </w:p>
    <w:bookmarkStart w:id="2321" w:name="Xcebcc6050e2ff7db9814c7a3ef501cdb101d30c"/>
    <w:p>
      <w:pPr>
        <w:pStyle w:val="Heading5"/>
      </w:pPr>
      <w:r>
        <w:t xml:space="preserve">Myth 1: “Amnesia can be ‘recovered’ with hypnosis”</w:t>
      </w:r>
    </w:p>
    <w:p>
      <w:pPr>
        <w:pStyle w:val="FirstParagraph"/>
      </w:pPr>
      <w:r>
        <w:t xml:space="preserve">Evidence: hypnosis generates false memory; ineffective in organic amnesia.</w:t>
      </w:r>
    </w:p>
    <w:bookmarkEnd w:id="2321"/>
    <w:bookmarkStart w:id="2322" w:name="X5e728cbb217f9105a5f623473feb4b91f3e531a"/>
    <w:p>
      <w:pPr>
        <w:pStyle w:val="Heading5"/>
      </w:pPr>
      <w:r>
        <w:t xml:space="preserve">Myth 2: “Oral thiamine is sufficient in Wernicke's”</w:t>
      </w:r>
    </w:p>
    <w:p>
      <w:pPr>
        <w:pStyle w:val="FirstParagraph"/>
      </w:pPr>
      <w:r>
        <w:t xml:space="preserve">Evidence: Oral absorption insufficient; IV/IM high dose required.</w:t>
      </w:r>
    </w:p>
    <w:bookmarkEnd w:id="2322"/>
    <w:bookmarkStart w:id="2323" w:name="myth-3-glucose-cures-wernickes"/>
    <w:p>
      <w:pPr>
        <w:pStyle w:val="Heading5"/>
      </w:pPr>
      <w:r>
        <w:t xml:space="preserve">Myth 3: “Glucose ‘cures’ Wernicke's”</w:t>
      </w:r>
    </w:p>
    <w:p>
      <w:pPr>
        <w:pStyle w:val="FirstParagraph"/>
      </w:pPr>
      <w:r>
        <w:t xml:space="preserve">Evidence: Glucose given in thiamine deficiency precipitates or worsens Wernicke's encephalopathy; administer thiamine first.</w:t>
      </w:r>
    </w:p>
    <w:bookmarkEnd w:id="2323"/>
    <w:bookmarkStart w:id="2324" w:name="myth-4-all-amnesia-is-temporary"/>
    <w:p>
      <w:pPr>
        <w:pStyle w:val="Heading5"/>
      </w:pPr>
      <w:r>
        <w:t xml:space="preserve">Myth 4: “All amnesia is temporary”</w:t>
      </w:r>
    </w:p>
    <w:p>
      <w:pPr>
        <w:pStyle w:val="FirstParagraph"/>
      </w:pPr>
      <w:r>
        <w:t xml:space="preserve">Evidence: Korsakoff, TBI-based amnesia typically chronic; rehabilitation yields improvement, but full recovery rare.</w:t>
      </w:r>
    </w:p>
    <w:bookmarkEnd w:id="2324"/>
    <w:bookmarkStart w:id="2325" w:name="myth-5-confabulation-is-lying"/>
    <w:p>
      <w:pPr>
        <w:pStyle w:val="Heading5"/>
      </w:pPr>
      <w:r>
        <w:t xml:space="preserve">Myth 5: “Confabulation is lying”</w:t>
      </w:r>
    </w:p>
    <w:p>
      <w:pPr>
        <w:pStyle w:val="FirstParagraph"/>
      </w:pPr>
      <w:r>
        <w:t xml:space="preserve">Evidence: Confabulation in Korsakoff syndrome is a neurobiological phenomenon, not a conscious lie.</w:t>
      </w:r>
    </w:p>
    <w:bookmarkEnd w:id="2325"/>
    <w:bookmarkEnd w:id="2326"/>
    <w:bookmarkStart w:id="2937" w:name="Xb944e50711246db7979a19ffa3241fbf27beb1f"/>
    <w:p>
      <w:pPr>
        <w:pStyle w:val="Heading3"/>
      </w:pPr>
      <w:r>
        <w:t xml:space="preserve">11. Sources</w:t>
      </w:r>
    </w:p>
    <w:p>
      <w:pPr>
        <w:pStyle w:val="Compact"/>
        <w:numPr>
          <w:ilvl w:val="0"/>
          <w:numId w:val="2155"/>
        </w:numPr>
      </w:pPr>
      <w:r>
        <w:t xml:space="preserve">WHO. ICD-11. 6D72 Amnestic disorder. 2024.</w:t>
      </w:r>
    </w:p>
    <w:p>
      <w:pPr>
        <w:pStyle w:val="Compact"/>
        <w:numPr>
          <w:ilvl w:val="0"/>
          <w:numId w:val="2155"/>
        </w:numPr>
      </w:pPr>
      <w:r>
        <w:t xml:space="preserve">APA. DSM-5-TR. 2022.</w:t>
      </w:r>
    </w:p>
    <w:p>
      <w:pPr>
        <w:pStyle w:val="Compact"/>
        <w:numPr>
          <w:ilvl w:val="0"/>
          <w:numId w:val="2155"/>
        </w:numPr>
      </w:pPr>
      <w:r>
        <w:t xml:space="preserve">Royal College of Physicians. Wernicke's encephalopathy and Korsakoff's syndrome. 2014.</w:t>
      </w:r>
    </w:p>
    <w:p>
      <w:pPr>
        <w:pStyle w:val="Compact"/>
        <w:numPr>
          <w:ilvl w:val="0"/>
          <w:numId w:val="2155"/>
        </w:numPr>
      </w:pPr>
      <w:r>
        <w:t xml:space="preserve">Graus F. et al. A clinical approach to diagnosis of autoimmune encephalitis. Lancet Neurol 2016;15(4):391–404.</w:t>
      </w:r>
    </w:p>
    <w:p>
      <w:pPr>
        <w:pStyle w:val="Compact"/>
        <w:numPr>
          <w:ilvl w:val="0"/>
          <w:numId w:val="2155"/>
        </w:numPr>
      </w:pPr>
      <w:r>
        <w:t xml:space="preserve">Wilson B.A. Neuropsychological Rehabilitation. Wiley; 2009.</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27" w:name="X53d74b62540a6376bb85e5204420bc80789be97"/>
            <w:r>
              <w:t xml:space="preserve">6D80 DEMENTIA DUE TO ALZHEIMER DISEASE</w:t>
            </w:r>
            <w:bookmarkEnd w:id="2327"/>
          </w:p>
          <w:p>
            <w:pPr>
              <w:pStyle w:val="Compact"/>
              <w:ind w:firstLine="0" w:left="0"/>
            </w:pPr>
            <w:r>
              <w:rPr>
                <w:lang w:val="en"/>
              </w:rPr>
              <w:t xml:space="preserve">Dementia due to Alzheimer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in Alzheimer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Neurocognitive Disorder Due to Alzheimer's Disease</w:t>
            </w:r>
          </w:p>
        </w:tc>
      </w:tr>
    </w:tbl>
    <w:bookmarkStart w:id="2328" w:name="X23b97d8b32a1669dd6d8c99674eca79ea5fe238"/>
    <w:p>
      <w:pPr>
        <w:pStyle w:val="Heading3"/>
      </w:pPr>
      <w:r>
        <w:t xml:space="preserve">1. Definition and nosology</w:t>
      </w:r>
    </w:p>
    <w:p>
      <w:pPr>
        <w:pStyle w:val="FirstParagraph"/>
      </w:pPr>
      <w:r>
        <w:t xml:space="preserve">Dementia due to Alzheimer's disease (ICD-11:</w:t>
      </w:r>
      <w:r>
        <w:t xml:space="preserve"> </w:t>
      </w:r>
      <w:r>
        <w:t xml:space="preserve">6D80</w:t>
      </w:r>
      <w:r>
        <w:t xml:space="preserve">; DSM-5-TR: G30.9 + F02.8x Major Neurocognitive Disorder due to Alzheimer's Disease) — gradual and persistent cognitive decline, initially episodic memory, then multiple cognitive domains and significant impairment of daily functioning. Most common cause of dementia (60–70%).</w:t>
      </w:r>
    </w:p>
    <w:bookmarkEnd w:id="2328"/>
    <w:bookmarkStart w:id="2329" w:name="X7839373ec76cce44569ae6fdcde9f3dd767d967"/>
    <w:p>
      <w:pPr>
        <w:pStyle w:val="Heading3"/>
      </w:pPr>
      <w:r>
        <w:t xml:space="preserve">2. History</w:t>
      </w:r>
    </w:p>
    <w:p>
      <w:pPr>
        <w:pStyle w:val="Compact"/>
        <w:numPr>
          <w:ilvl w:val="0"/>
          <w:numId w:val="2156"/>
        </w:numPr>
      </w:pPr>
      <w:r>
        <w:t xml:space="preserve">Alzheimer A. (1906) — first clinical and pathohistological description.</w:t>
      </w:r>
    </w:p>
    <w:p>
      <w:pPr>
        <w:pStyle w:val="Compact"/>
        <w:numPr>
          <w:ilvl w:val="0"/>
          <w:numId w:val="2156"/>
        </w:numPr>
      </w:pPr>
      <w:r>
        <w:t xml:space="preserve">Amyloid hypothesis (Hardy J., Higgins G.A. Science 1992).</w:t>
      </w:r>
    </w:p>
    <w:p>
      <w:pPr>
        <w:pStyle w:val="Compact"/>
        <w:numPr>
          <w:ilvl w:val="0"/>
          <w:numId w:val="2156"/>
        </w:numPr>
      </w:pPr>
      <w:r>
        <w:t xml:space="preserve">NICE NG97 (2018) — dementia clinical guideline.</w:t>
      </w:r>
    </w:p>
    <w:p>
      <w:pPr>
        <w:pStyle w:val="Compact"/>
        <w:numPr>
          <w:ilvl w:val="0"/>
          <w:numId w:val="2156"/>
        </w:numPr>
      </w:pPr>
      <w:r>
        <w:t xml:space="preserve">FDA — aducanumab (2021, controversial), lecanemab (2023), donanemab (2024) — anti-amyloid antibodies.</w:t>
      </w:r>
    </w:p>
    <w:bookmarkEnd w:id="2329"/>
    <w:bookmarkStart w:id="2330" w:name="X73fef98abb08943600bee3d31a34200cd9edc30"/>
    <w:p>
      <w:pPr>
        <w:pStyle w:val="Heading3"/>
      </w:pPr>
      <w:r>
        <w:t xml:space="preserve">3. Epidemiology</w:t>
      </w:r>
    </w:p>
    <w:p>
      <w:pPr>
        <w:pStyle w:val="Compact"/>
        <w:numPr>
          <w:ilvl w:val="0"/>
          <w:numId w:val="2157"/>
        </w:numPr>
      </w:pPr>
      <w:r>
        <w:t xml:space="preserve">Global 55 mln+ dementia patients (WHO 2023); 60–70% Alzheimer's.</w:t>
      </w:r>
    </w:p>
    <w:p>
      <w:pPr>
        <w:pStyle w:val="Compact"/>
        <w:numPr>
          <w:ilvl w:val="0"/>
          <w:numId w:val="2157"/>
        </w:numPr>
      </w:pPr>
      <w:r>
        <w:t xml:space="preserve">Prevalence by age: 65 years 5%, 80+ years 25%+.</w:t>
      </w:r>
    </w:p>
    <w:p>
      <w:pPr>
        <w:pStyle w:val="Compact"/>
        <w:numPr>
          <w:ilvl w:val="0"/>
          <w:numId w:val="2157"/>
        </w:numPr>
      </w:pPr>
      <w:r>
        <w:t xml:space="preserve">Sex: higher in females (related to life expectancy).</w:t>
      </w:r>
    </w:p>
    <w:p>
      <w:pPr>
        <w:pStyle w:val="Compact"/>
        <w:numPr>
          <w:ilvl w:val="0"/>
          <w:numId w:val="2157"/>
        </w:numPr>
      </w:pPr>
      <w:r>
        <w:t xml:space="preserve">Comorbidity: cardiovascular, depression, anxiety, BPSD (behavioral and psychological symptoms of dementia).</w:t>
      </w:r>
    </w:p>
    <w:bookmarkEnd w:id="2330"/>
    <w:bookmarkStart w:id="2331" w:name="Xb6e77c13cf8e0e6b2c1959beafe96cc42400691"/>
    <w:p>
      <w:pPr>
        <w:pStyle w:val="Heading3"/>
      </w:pPr>
      <w:r>
        <w:t xml:space="preserve">4. Aetiology and pathogenesis</w:t>
      </w:r>
    </w:p>
    <w:p>
      <w:pPr>
        <w:pStyle w:val="Compact"/>
        <w:numPr>
          <w:ilvl w:val="0"/>
          <w:numId w:val="2158"/>
        </w:numPr>
      </w:pPr>
      <w:r>
        <w:t xml:space="preserve">Familial Alzheimer's (1%): APP, PSEN1, PSEN2 mutations (early onset, dominant).</w:t>
      </w:r>
    </w:p>
    <w:p>
      <w:pPr>
        <w:pStyle w:val="Compact"/>
        <w:numPr>
          <w:ilvl w:val="0"/>
          <w:numId w:val="2158"/>
        </w:numPr>
      </w:pPr>
      <w:r>
        <w:t xml:space="preserve">Sporadic (99%) – multiple genes (ApoE4 strongest risk; LOAD GWAS loci).</w:t>
      </w:r>
    </w:p>
    <w:p>
      <w:pPr>
        <w:pStyle w:val="Compact"/>
        <w:numPr>
          <w:ilvl w:val="0"/>
          <w:numId w:val="2158"/>
        </w:numPr>
      </w:pPr>
      <w:r>
        <w:t xml:space="preserve">Modifiable factors (Lancet Commission 2024) — alongside age, ApoE4: low education, hearing loss, hypertension, obesity, smoking, depression, physical inactivity, social isolation, diabetes, air pollution, alcohol, TBI, vision loss, high LDL.</w:t>
      </w:r>
    </w:p>
    <w:p>
      <w:pPr>
        <w:pStyle w:val="Compact"/>
        <w:numPr>
          <w:ilvl w:val="0"/>
          <w:numId w:val="2158"/>
        </w:numPr>
      </w:pPr>
      <w:r>
        <w:t xml:space="preserve">Pathogenesis — amyloid-β plaques + tau neurofibrillary tangles + neuroinflammation.</w:t>
      </w:r>
    </w:p>
    <w:bookmarkEnd w:id="2331"/>
    <w:bookmarkStart w:id="2332" w:name="X6ed3412663ef8324cd9e2d1ba324d14ed683783"/>
    <w:p>
      <w:pPr>
        <w:pStyle w:val="Heading3"/>
      </w:pPr>
      <w:r>
        <w:t xml:space="preserve">5. Clinical features</w:t>
      </w:r>
    </w:p>
    <w:p>
      <w:pPr>
        <w:pStyle w:val="Compact"/>
        <w:numPr>
          <w:ilvl w:val="0"/>
          <w:numId w:val="2159"/>
        </w:numPr>
      </w:pPr>
      <w:r>
        <w:t xml:space="preserve">Typical onset — episodic memory decline (difficulty retaining new information).</w:t>
      </w:r>
    </w:p>
    <w:p>
      <w:pPr>
        <w:pStyle w:val="Compact"/>
        <w:numPr>
          <w:ilvl w:val="0"/>
          <w:numId w:val="2159"/>
        </w:numPr>
      </w:pPr>
      <w:r>
        <w:t xml:space="preserve">Stages:</w:t>
      </w:r>
    </w:p>
    <w:p>
      <w:pPr>
        <w:pStyle w:val="Compact"/>
        <w:numPr>
          <w:ilvl w:val="1"/>
          <w:numId w:val="2160"/>
        </w:numPr>
      </w:pPr>
      <w:r>
        <w:t xml:space="preserve">Early — memory, anomia, orientation difficulty;</w:t>
      </w:r>
    </w:p>
    <w:p>
      <w:pPr>
        <w:pStyle w:val="Compact"/>
        <w:numPr>
          <w:ilvl w:val="1"/>
          <w:numId w:val="2160"/>
        </w:numPr>
      </w:pPr>
      <w:r>
        <w:t xml:space="preserve">Moderate — visual-spatial, executive function, daily activities require support;</w:t>
      </w:r>
    </w:p>
    <w:p>
      <w:pPr>
        <w:pStyle w:val="Compact"/>
        <w:numPr>
          <w:ilvl w:val="1"/>
          <w:numId w:val="2160"/>
        </w:numPr>
      </w:pPr>
      <w:r>
        <w:t xml:space="preserve">Late — speech severely limited, loss of recognition of relatives, restricted mobility, feeding and swallowing difficulties.</w:t>
      </w:r>
    </w:p>
    <w:p>
      <w:pPr>
        <w:pStyle w:val="Compact"/>
        <w:numPr>
          <w:ilvl w:val="0"/>
          <w:numId w:val="2159"/>
        </w:numPr>
      </w:pPr>
      <w:r>
        <w:t xml:space="preserve">BPSD — agitation, aggression, delusions (particularly theft), hallucinations, depression, anxiety, sleep disturbances, sundowning.</w:t>
      </w:r>
    </w:p>
    <w:p>
      <w:pPr>
        <w:pStyle w:val="Compact"/>
        <w:numPr>
          <w:ilvl w:val="0"/>
          <w:numId w:val="2159"/>
        </w:numPr>
      </w:pPr>
      <w:r>
        <w:t xml:space="preserve">Atypical forms: posterior cortical atrophy (visuospatial dominant), logopenic primary progressive aphasia (language dominant).</w:t>
      </w:r>
    </w:p>
    <w:bookmarkEnd w:id="2332"/>
    <w:bookmarkStart w:id="2337" w:name="X5abd917a47a0ea422967df33d514449e8816942"/>
    <w:p>
      <w:pPr>
        <w:pStyle w:val="Heading3"/>
      </w:pPr>
      <w:r>
        <w:t xml:space="preserve">6. Diagnosis</w:t>
      </w:r>
    </w:p>
    <w:bookmarkStart w:id="2333" w:name="unified-diagnostic-criteria-58"/>
    <w:p>
      <w:pPr>
        <w:pStyle w:val="Heading4"/>
      </w:pPr>
      <w:r>
        <w:t xml:space="preserve">6.1 Unified diagnostic criteria</w:t>
      </w:r>
    </w:p>
    <w:p>
      <w:pPr>
        <w:pStyle w:val="FirstParagraph"/>
      </w:pPr>
      <w:r>
        <w:t xml:space="preserve">A. Major NCD criteria (≥ 1 cognitive domain significant decline + impairment in daily activities).</w:t>
      </w:r>
    </w:p>
    <w:p>
      <w:pPr>
        <w:pStyle w:val="BodyText"/>
      </w:pPr>
      <w:r>
        <w:t xml:space="preserve">B. Clinical characteristics consistent with Alzheimer's (gradual, continuous decline, memory predominant).</w:t>
      </w:r>
    </w:p>
    <w:p>
      <w:pPr>
        <w:pStyle w:val="BodyText"/>
      </w:pPr>
      <w:r>
        <w:t xml:space="preserve">C. Probable AD — genetic mutation and/or 3 elements (memory + 1+ cognitive domain, sustained decline, no other cause).</w:t>
      </w:r>
    </w:p>
    <w:p>
      <w:pPr>
        <w:pStyle w:val="BodyText"/>
      </w:pPr>
      <w:r>
        <w:t xml:space="preserve">D. Possible AD — criteria not fully met, but atypical clinical presentation or comorbidity.</w:t>
      </w:r>
    </w:p>
    <w:bookmarkEnd w:id="2333"/>
    <w:bookmarkStart w:id="2334" w:name="differences-between-sources-144"/>
    <w:p>
      <w:pPr>
        <w:pStyle w:val="Heading4"/>
      </w:pPr>
      <w:r>
        <w:t xml:space="preserve">6.2 Differences between sources</w:t>
      </w:r>
    </w:p>
    <w:p>
      <w:pPr>
        <w:pStyle w:val="Compact"/>
        <w:numPr>
          <w:ilvl w:val="0"/>
          <w:numId w:val="2161"/>
        </w:numPr>
      </w:pPr>
      <w:r>
        <w:t xml:space="preserve">NIA-AA Research Framework (Jack C.R. 2018) — biomarker-based diagnosis (ATN — amyloid, tau, neurodegeneration).</w:t>
      </w:r>
    </w:p>
    <w:p>
      <w:pPr>
        <w:pStyle w:val="Compact"/>
        <w:numPr>
          <w:ilvl w:val="0"/>
          <w:numId w:val="2161"/>
        </w:numPr>
      </w:pPr>
      <w:r>
        <w:t xml:space="preserve">NICE NG97 — based on clinical diagnosis; biomarkers selective.</w:t>
      </w:r>
    </w:p>
    <w:p>
      <w:pPr>
        <w:pStyle w:val="Compact"/>
        <w:numPr>
          <w:ilvl w:val="0"/>
          <w:numId w:val="2161"/>
        </w:numPr>
      </w:pPr>
      <w:r>
        <w:t xml:space="preserve">AAN — diagnostic tools.</w:t>
      </w:r>
    </w:p>
    <w:bookmarkEnd w:id="2334"/>
    <w:bookmarkStart w:id="2335" w:name="diagnostic-algorithm-81"/>
    <w:p>
      <w:pPr>
        <w:pStyle w:val="Heading4"/>
      </w:pPr>
      <w:r>
        <w:t xml:space="preserve">6.3 Diagnostic algorithm</w:t>
      </w:r>
    </w:p>
    <w:p>
      <w:pPr>
        <w:pStyle w:val="Compact"/>
        <w:numPr>
          <w:ilvl w:val="0"/>
          <w:numId w:val="2162"/>
        </w:numPr>
      </w:pPr>
      <w:r>
        <w:t xml:space="preserve">Clinical interview + informant.</w:t>
      </w:r>
    </w:p>
    <w:p>
      <w:pPr>
        <w:pStyle w:val="Compact"/>
        <w:numPr>
          <w:ilvl w:val="0"/>
          <w:numId w:val="2162"/>
        </w:numPr>
      </w:pPr>
      <w:r>
        <w:t xml:space="preserve">MoCA, MMSE, ACE-III.</w:t>
      </w:r>
    </w:p>
    <w:p>
      <w:pPr>
        <w:pStyle w:val="Compact"/>
        <w:numPr>
          <w:ilvl w:val="0"/>
          <w:numId w:val="2162"/>
        </w:numPr>
      </w:pPr>
      <w:r>
        <w:t xml:space="preserve">Neuropsychological battery.</w:t>
      </w:r>
    </w:p>
    <w:p>
      <w:pPr>
        <w:pStyle w:val="Compact"/>
        <w:numPr>
          <w:ilvl w:val="0"/>
          <w:numId w:val="2162"/>
        </w:numPr>
      </w:pPr>
      <w:r>
        <w:t xml:space="preserve">Laboratory — B12, folate, TSH, liver, kidney, glucose, HIV/syphilis (medical cause exclusion).</w:t>
      </w:r>
    </w:p>
    <w:p>
      <w:pPr>
        <w:pStyle w:val="Compact"/>
        <w:numPr>
          <w:ilvl w:val="0"/>
          <w:numId w:val="2162"/>
        </w:numPr>
      </w:pPr>
      <w:r>
        <w:t xml:space="preserve">Brain MRI (atrophy, vascular changes, other pathology).</w:t>
      </w:r>
    </w:p>
    <w:p>
      <w:pPr>
        <w:pStyle w:val="Compact"/>
        <w:numPr>
          <w:ilvl w:val="0"/>
          <w:numId w:val="2162"/>
        </w:numPr>
      </w:pPr>
      <w:r>
        <w:t xml:space="preserve">Biomarkers (selective, if clinical suspicion):</w:t>
      </w:r>
    </w:p>
    <w:p>
      <w:pPr>
        <w:pStyle w:val="Compact"/>
        <w:numPr>
          <w:ilvl w:val="1"/>
          <w:numId w:val="2163"/>
        </w:numPr>
      </w:pPr>
      <w:r>
        <w:t xml:space="preserve">CSF amyloid-β42 (low), tau (high);</w:t>
      </w:r>
    </w:p>
    <w:p>
      <w:pPr>
        <w:pStyle w:val="Compact"/>
        <w:numPr>
          <w:ilvl w:val="1"/>
          <w:numId w:val="2163"/>
        </w:numPr>
      </w:pPr>
      <w:r>
        <w:t xml:space="preserve">Amyloid PET, tau PET;</w:t>
      </w:r>
    </w:p>
    <w:p>
      <w:pPr>
        <w:pStyle w:val="Compact"/>
        <w:numPr>
          <w:ilvl w:val="1"/>
          <w:numId w:val="2163"/>
        </w:numPr>
      </w:pPr>
      <w:r>
        <w:t xml:space="preserve">Blood biomarkers (p-tau217, GFAP) — are under development.</w:t>
      </w:r>
    </w:p>
    <w:p>
      <w:pPr>
        <w:pStyle w:val="Compact"/>
        <w:numPr>
          <w:ilvl w:val="0"/>
          <w:numId w:val="2162"/>
        </w:numPr>
      </w:pPr>
      <w:r>
        <w:t xml:space="preserve">Comorbid depression screening (GDS).</w:t>
      </w:r>
    </w:p>
    <w:bookmarkEnd w:id="2335"/>
    <w:bookmarkStart w:id="2336" w:name="differential-diagnosis-8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Vascular dementia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Stepwise descent, focal neurological signs, vascular 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bodies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Visual hallucinations, parkinsonism, REM sleep behavior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Personality/conduct or language dominant; earlier onset.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fluctuating attention.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pseudodementia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improvement with antidepressants.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pressure hydrocephalus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Classic triad (gait disturbance, urinary incontinence, cognitive decline).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(B12, thyroid, neurosyphilis,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Laboratory.</w:t>
            </w:r>
          </w:p>
        </w:tc>
      </w:tr>
    </w:tbl>
    <w:bookmarkEnd w:id="2336"/>
    <w:bookmarkEnd w:id="2337"/>
    <w:bookmarkStart w:id="2338" w:name="Xd7337d3e7edaca1cd3d0fb5066e4f8febc1bc2b"/>
    <w:p>
      <w:pPr>
        <w:pStyle w:val="Heading3"/>
      </w:pPr>
      <w:r>
        <w:t xml:space="preserve">7. Examination and assessment</w:t>
      </w:r>
    </w:p>
    <w:p>
      <w:pPr>
        <w:pStyle w:val="Compact"/>
        <w:numPr>
          <w:ilvl w:val="0"/>
          <w:numId w:val="2164"/>
        </w:numPr>
      </w:pPr>
      <w:r>
        <w:t xml:space="preserve">MoCA, MMSE, ACE-III, neuropsychological.</w:t>
      </w:r>
    </w:p>
    <w:p>
      <w:pPr>
        <w:pStyle w:val="Compact"/>
        <w:numPr>
          <w:ilvl w:val="0"/>
          <w:numId w:val="2164"/>
        </w:numPr>
      </w:pPr>
      <w:r>
        <w:t xml:space="preserve">Laboratory panel.</w:t>
      </w:r>
    </w:p>
    <w:p>
      <w:pPr>
        <w:pStyle w:val="Compact"/>
        <w:numPr>
          <w:ilvl w:val="0"/>
          <w:numId w:val="2164"/>
        </w:numPr>
      </w:pPr>
      <w:r>
        <w:t xml:space="preserve">MRI, biomarkers.</w:t>
      </w:r>
    </w:p>
    <w:p>
      <w:pPr>
        <w:pStyle w:val="Compact"/>
        <w:numPr>
          <w:ilvl w:val="0"/>
          <w:numId w:val="2164"/>
        </w:numPr>
      </w:pPr>
      <w:r>
        <w:t xml:space="preserve">BPSD scales (NPI — Neuropsychiatric Inventory).</w:t>
      </w:r>
    </w:p>
    <w:bookmarkEnd w:id="2338"/>
    <w:bookmarkStart w:id="2342" w:name="X4385558d93a7a863069439749f0efcb87b8ea89"/>
    <w:p>
      <w:pPr>
        <w:pStyle w:val="Heading3"/>
      </w:pPr>
      <w:r>
        <w:t xml:space="preserve">8. Treatment</w:t>
      </w:r>
    </w:p>
    <w:bookmarkStart w:id="2339" w:name="general-principles-nice-ng97-aan-apa"/>
    <w:p>
      <w:pPr>
        <w:pStyle w:val="Heading4"/>
      </w:pPr>
      <w:r>
        <w:t xml:space="preserve">8.1 General Principles (NICE NG97 · AAN · APA)</w:t>
      </w:r>
    </w:p>
    <w:p>
      <w:pPr>
        <w:pStyle w:val="Compact"/>
        <w:numPr>
          <w:ilvl w:val="0"/>
          <w:numId w:val="2165"/>
        </w:numPr>
      </w:pPr>
      <w:r>
        <w:t xml:space="preserve">AChEI (donepezil, galantamine, rivastigmine) — for mild-to-moderate Alzheimer; modestly slows cognitive decline. Donepezil 5–10 mg (later 23 mg), rivastigmine patch.</w:t>
      </w:r>
    </w:p>
    <w:p>
      <w:pPr>
        <w:pStyle w:val="Compact"/>
        <w:numPr>
          <w:ilvl w:val="0"/>
          <w:numId w:val="2165"/>
        </w:numPr>
      </w:pPr>
      <w:r>
        <w:t xml:space="preserve">Memantine (NMDA antagonist) — for moderate-to-severe Alzheimer's; combination with AChEI.</w:t>
      </w:r>
    </w:p>
    <w:p>
      <w:pPr>
        <w:pStyle w:val="Compact"/>
        <w:numPr>
          <w:ilvl w:val="0"/>
          <w:numId w:val="2165"/>
        </w:numPr>
      </w:pPr>
      <w:r>
        <w:t xml:space="preserve">Anti-amyloid antibodies (lecanemab, donanemab) — fDA approval for early symptomatic AD (lecanemab 2023, donanemab 2024); reduces clinical decline rate by ~25%; ARIA (Amyloid-Related Imaging Abnormalities – oedema, cerebral microhaemorrhage) risk high (especially in ApoE4 homozygotes); MRI monitoring crucial; infusion. Clinical benefit is debated.</w:t>
      </w:r>
    </w:p>
    <w:p>
      <w:pPr>
        <w:pStyle w:val="Compact"/>
        <w:numPr>
          <w:ilvl w:val="0"/>
          <w:numId w:val="2165"/>
        </w:numPr>
      </w:pPr>
      <w:r>
        <w:t xml:space="preserve">Management of BPSD:</w:t>
      </w:r>
    </w:p>
    <w:p>
      <w:pPr>
        <w:pStyle w:val="Compact"/>
        <w:numPr>
          <w:ilvl w:val="1"/>
          <w:numId w:val="2166"/>
        </w:numPr>
      </w:pPr>
      <w:r>
        <w:t xml:space="preserve">First-line — non-pharmacological (environment, social support, physical activity, music therapy);</w:t>
      </w:r>
    </w:p>
    <w:p>
      <w:pPr>
        <w:pStyle w:val="Compact"/>
        <w:numPr>
          <w:ilvl w:val="1"/>
          <w:numId w:val="2166"/>
        </w:numPr>
      </w:pPr>
      <w:r>
        <w:t xml:space="preserve">In refractory cases — atypical antipsychotic (risperidone, quetiapine) at low dose, short-term; FDA black box — antipsychotics increase mortality in elderly dementia patients (stroke, cardiovascular).</w:t>
      </w:r>
    </w:p>
    <w:p>
      <w:pPr>
        <w:pStyle w:val="Compact"/>
        <w:numPr>
          <w:ilvl w:val="1"/>
          <w:numId w:val="2166"/>
        </w:numPr>
      </w:pPr>
      <w:r>
        <w:t xml:space="preserve">SSRI — comorbid depression/anxiety;</w:t>
      </w:r>
    </w:p>
    <w:p>
      <w:pPr>
        <w:pStyle w:val="Compact"/>
        <w:numPr>
          <w:ilvl w:val="1"/>
          <w:numId w:val="2166"/>
        </w:numPr>
      </w:pPr>
      <w:r>
        <w:t xml:space="preserve">Trazodone — for sleep disturbance;</w:t>
      </w:r>
    </w:p>
    <w:p>
      <w:pPr>
        <w:pStyle w:val="Compact"/>
        <w:numPr>
          <w:ilvl w:val="1"/>
          <w:numId w:val="2166"/>
        </w:numPr>
      </w:pPr>
      <w:r>
        <w:t xml:space="preserve">Benzodiazepine — is contraindicated (falls, cognitive decline).</w:t>
      </w:r>
    </w:p>
    <w:p>
      <w:pPr>
        <w:pStyle w:val="Compact"/>
        <w:numPr>
          <w:ilvl w:val="0"/>
          <w:numId w:val="2165"/>
        </w:numPr>
      </w:pPr>
      <w:r>
        <w:t xml:space="preserve">Carer support and psychoeducation – a critical component.</w:t>
      </w:r>
    </w:p>
    <w:p>
      <w:pPr>
        <w:pStyle w:val="Compact"/>
        <w:numPr>
          <w:ilvl w:val="0"/>
          <w:numId w:val="2165"/>
        </w:numPr>
      </w:pPr>
      <w:r>
        <w:t xml:space="preserve">Lifestyle — physical activity, cognitive stimulation, social connections.</w:t>
      </w:r>
    </w:p>
    <w:p>
      <w:pPr>
        <w:pStyle w:val="Compact"/>
        <w:numPr>
          <w:ilvl w:val="0"/>
          <w:numId w:val="2165"/>
        </w:numPr>
      </w:pPr>
      <w:r>
        <w:t xml:space="preserve">Advance directives — care and decision-making planning.</w:t>
      </w:r>
    </w:p>
    <w:bookmarkEnd w:id="2339"/>
    <w:bookmarkStart w:id="2340" w:name="treatment-methods-79"/>
    <w:p>
      <w:pPr>
        <w:pStyle w:val="Heading4"/>
      </w:pPr>
      <w:r>
        <w:t xml:space="preserve">8.2 Treatment methods</w:t>
      </w:r>
    </w:p>
    <w:p>
      <w:pPr>
        <w:pStyle w:val="Compact"/>
        <w:numPr>
          <w:ilvl w:val="0"/>
          <w:numId w:val="2167"/>
        </w:numPr>
      </w:pPr>
      <w:r>
        <w:t xml:space="preserve">Acetylcholinesterase Inhibitors (AChEI) — Donepezil, Galantamine, Rivastigmine — Acetylcholinesterase inhibitor; synaptic acetylcholine increase. NICE NG97.</w:t>
      </w:r>
    </w:p>
    <w:p>
      <w:pPr>
        <w:pStyle w:val="Compact"/>
        <w:numPr>
          <w:ilvl w:val="0"/>
          <w:numId w:val="2167"/>
        </w:numPr>
      </w:pPr>
      <w:r>
        <w:t xml:space="preserve">Memantine — NMDA antagonist; reduces excitotoxicity.</w:t>
      </w:r>
    </w:p>
    <w:p>
      <w:pPr>
        <w:pStyle w:val="Compact"/>
        <w:numPr>
          <w:ilvl w:val="0"/>
          <w:numId w:val="2167"/>
        </w:numPr>
      </w:pPr>
      <w:r>
        <w:t xml:space="preserve">Lecanemab, Donanemab — Anti-amyloid monoclonal antibodies; for early AD; ARIA monitoring.</w:t>
      </w:r>
    </w:p>
    <w:p>
      <w:pPr>
        <w:pStyle w:val="Compact"/>
        <w:numPr>
          <w:ilvl w:val="0"/>
          <w:numId w:val="2167"/>
        </w:numPr>
      </w:pPr>
      <w:r>
        <w:t xml:space="preserve">Non-Pharmacological Interventions for BPSD — Validation therapy, music therapy, reminiscence therapy, ABC analysis.</w:t>
      </w:r>
    </w:p>
    <w:p>
      <w:pPr>
        <w:pStyle w:val="Compact"/>
        <w:numPr>
          <w:ilvl w:val="0"/>
          <w:numId w:val="2167"/>
        </w:numPr>
      </w:pPr>
      <w:r>
        <w:t xml:space="preserve">FINGER Multimodal Intervention (FINGER — Finnish Geriatric Intervention Study) — For prophylaxis.</w:t>
      </w:r>
    </w:p>
    <w:p>
      <w:pPr>
        <w:pStyle w:val="Compact"/>
        <w:numPr>
          <w:ilvl w:val="0"/>
          <w:numId w:val="2167"/>
        </w:numPr>
      </w:pPr>
      <w:r>
        <w:t xml:space="preserve">Carer Support — Psychoeducation, respite, legal-financial planning.</w:t>
      </w:r>
    </w:p>
    <w:bookmarkEnd w:id="2340"/>
    <w:bookmarkStart w:id="2341" w:name="differences-between-sources-145"/>
    <w:p>
      <w:pPr>
        <w:pStyle w:val="Heading4"/>
      </w:pPr>
      <w:r>
        <w:t xml:space="preserve">8.3 Differences between sources</w:t>
      </w:r>
    </w:p>
    <w:p>
      <w:pPr>
        <w:pStyle w:val="Compact"/>
        <w:numPr>
          <w:ilvl w:val="0"/>
          <w:numId w:val="2168"/>
        </w:numPr>
      </w:pPr>
      <w:r>
        <w:t xml:space="preserve">NICE NG97 (2018) — AChEI for mild-moderate; memantine for moderate-severe; combination selective.</w:t>
      </w:r>
    </w:p>
    <w:p>
      <w:pPr>
        <w:pStyle w:val="Compact"/>
        <w:numPr>
          <w:ilvl w:val="0"/>
          <w:numId w:val="2168"/>
        </w:numPr>
      </w:pPr>
      <w:r>
        <w:t xml:space="preserve">Livingston G. et al. Lancet Commission 2024 — 14 modifiable risk factors.</w:t>
      </w:r>
    </w:p>
    <w:p>
      <w:pPr>
        <w:pStyle w:val="Compact"/>
        <w:numPr>
          <w:ilvl w:val="0"/>
          <w:numId w:val="2168"/>
        </w:numPr>
      </w:pPr>
      <w:r>
        <w:t xml:space="preserve">FDA Lecanemab 2023, Donanemab 2024 — for early AD; ARIA monitoring.</w:t>
      </w:r>
    </w:p>
    <w:p>
      <w:pPr>
        <w:pStyle w:val="Compact"/>
        <w:numPr>
          <w:ilvl w:val="0"/>
          <w:numId w:val="2168"/>
        </w:numPr>
      </w:pPr>
      <w:r>
        <w:t xml:space="preserve">APA — guidelines for antipsychotic use in the elderly.</w:t>
      </w:r>
    </w:p>
    <w:bookmarkEnd w:id="2341"/>
    <w:bookmarkEnd w:id="2342"/>
    <w:bookmarkStart w:id="2343" w:name="X555c4e80a9fc8cb070087baa2e0bcdb10644f38"/>
    <w:p>
      <w:pPr>
        <w:pStyle w:val="Heading3"/>
      </w:pPr>
      <w:r>
        <w:t xml:space="preserve">9. Prognosis</w:t>
      </w:r>
    </w:p>
    <w:p>
      <w:pPr>
        <w:pStyle w:val="Compact"/>
        <w:numPr>
          <w:ilvl w:val="0"/>
          <w:numId w:val="2169"/>
        </w:numPr>
      </w:pPr>
      <w:r>
        <w:t xml:space="preserve">After diagnosis, median life expectancy is 8–10 years.</w:t>
      </w:r>
    </w:p>
    <w:p>
      <w:pPr>
        <w:pStyle w:val="Compact"/>
        <w:numPr>
          <w:ilvl w:val="0"/>
          <w:numId w:val="2169"/>
        </w:numPr>
      </w:pPr>
      <w:r>
        <w:t xml:space="preserve">Rapid course, family history, altered by ApoE4.</w:t>
      </w:r>
    </w:p>
    <w:p>
      <w:pPr>
        <w:pStyle w:val="Compact"/>
        <w:numPr>
          <w:ilvl w:val="0"/>
          <w:numId w:val="2169"/>
        </w:numPr>
      </w:pPr>
      <w:r>
        <w:t xml:space="preserve">Comorbid cardiovascular mortality.</w:t>
      </w:r>
    </w:p>
    <w:bookmarkEnd w:id="2343"/>
    <w:bookmarkStart w:id="2351" w:name="X876c4ed26f129433d8ed46447ec5c3f5fb4d299"/>
    <w:p>
      <w:pPr>
        <w:pStyle w:val="Heading3"/>
      </w:pPr>
      <w:r>
        <w:t xml:space="preserve">10. Myths and misconceptions</w:t>
      </w:r>
    </w:p>
    <w:bookmarkStart w:id="2344" w:name="myth-1-alzheimers-is-normal-aging"/>
    <w:p>
      <w:pPr>
        <w:pStyle w:val="Heading5"/>
      </w:pPr>
      <w:r>
        <w:t xml:space="preserve">Myth 1: “Alzheimer's is normal aging”</w:t>
      </w:r>
    </w:p>
    <w:p>
      <w:pPr>
        <w:pStyle w:val="FirstParagraph"/>
      </w:pPr>
      <w:r>
        <w:t xml:space="preserve">Evidence: Alzheimer's is a disease; normal aging can occur without cognitive decline; up to 45% of dementia cases are attributable to modifiable factors (Lancet Commission 2024).</w:t>
      </w:r>
    </w:p>
    <w:bookmarkEnd w:id="2344"/>
    <w:bookmarkStart w:id="2345" w:name="X766ae8a4bcfa0714737852b611238a9b7c9497f"/>
    <w:p>
      <w:pPr>
        <w:pStyle w:val="Heading5"/>
      </w:pPr>
      <w:r>
        <w:t xml:space="preserve">Myth 2: “Dementia is inevitable, prevention is impossible”</w:t>
      </w:r>
    </w:p>
    <w:p>
      <w:pPr>
        <w:pStyle w:val="FirstParagraph"/>
      </w:pPr>
      <w:r>
        <w:t xml:space="preserve">Evidence: Lancet Commission 2024 — management of modifiable factors can delay up to 45% of potential dementia cases.</w:t>
      </w:r>
    </w:p>
    <w:bookmarkEnd w:id="2345"/>
    <w:bookmarkStart w:id="2346" w:name="myth-3-lecanemab-cures-alzheimers"/>
    <w:p>
      <w:pPr>
        <w:pStyle w:val="Heading5"/>
      </w:pPr>
      <w:r>
        <w:t xml:space="preserve">Myth 3: “Lecanemab cures Alzheimer's”</w:t>
      </w:r>
    </w:p>
    <w:p>
      <w:pPr>
        <w:pStyle w:val="FirstParagraph"/>
      </w:pPr>
      <w:r>
        <w:t xml:space="preserve">Evidence: Reduces clinical decline rate by ~25% (moderate effect); ARIA and infusion risks significant; not “cure.”</w:t>
      </w:r>
    </w:p>
    <w:bookmarkEnd w:id="2346"/>
    <w:bookmarkStart w:id="2347" w:name="X713306a52eb10714c4102b0cb74af8069fdc6dc"/>
    <w:p>
      <w:pPr>
        <w:pStyle w:val="Heading5"/>
      </w:pPr>
      <w:r>
        <w:t xml:space="preserve">Myth 4: “Antipsychotics are safe for elderly dementia patients”</w:t>
      </w:r>
    </w:p>
    <w:p>
      <w:pPr>
        <w:pStyle w:val="FirstParagraph"/>
      </w:pPr>
      <w:r>
        <w:t xml:space="preserve">Evidence: FDA black box — antipsychotics increase mortality in elderly dementia patients (stroke, cardiovascular); only for severe agitation/psychosis, short-term.</w:t>
      </w:r>
    </w:p>
    <w:bookmarkEnd w:id="2347"/>
    <w:bookmarkStart w:id="2348" w:name="X69e527c3421fb17b706e9873a3213d7ed4e1e35"/>
    <w:p>
      <w:pPr>
        <w:pStyle w:val="Heading5"/>
      </w:pPr>
      <w:r>
        <w:t xml:space="preserve">Myth 5: “Ginkgo biloba is a prophylaxis for dementia”</w:t>
      </w:r>
    </w:p>
    <w:p>
      <w:pPr>
        <w:pStyle w:val="FirstParagraph"/>
      </w:pPr>
      <w:r>
        <w:t xml:space="preserve">Evidence: Cochrane (Birks J. 2009) — ginkgo shows no evidence of efficacy for dementia.</w:t>
      </w:r>
    </w:p>
    <w:bookmarkEnd w:id="2348"/>
    <w:bookmarkStart w:id="2349" w:name="myth-6-coconut-oil-cures-alzheimers"/>
    <w:p>
      <w:pPr>
        <w:pStyle w:val="Heading5"/>
      </w:pPr>
      <w:r>
        <w:t xml:space="preserve">Myth 6: “Coconut oil cures Alzheimer's”</w:t>
      </w:r>
    </w:p>
    <w:p>
      <w:pPr>
        <w:pStyle w:val="FirstParagraph"/>
      </w:pPr>
      <w:r>
        <w:t xml:space="preserve">Evidence: No clinical evidence; promotion in popular media, not a clinical recommendation.</w:t>
      </w:r>
    </w:p>
    <w:bookmarkEnd w:id="2349"/>
    <w:bookmarkStart w:id="2350" w:name="Xdc287e466f469214ec2940fb2cbbb67075abb51"/>
    <w:p>
      <w:pPr>
        <w:pStyle w:val="Heading5"/>
      </w:pPr>
      <w:r>
        <w:t xml:space="preserve">Myth 7: “The patient should not be told the diagnosis of dementia”</w:t>
      </w:r>
    </w:p>
    <w:p>
      <w:pPr>
        <w:pStyle w:val="FirstParagraph"/>
      </w:pPr>
      <w:r>
        <w:t xml:space="preserve">Evidence: NICE — patient has the right to diagnosis; early decision-making, advance documents important.</w:t>
      </w:r>
    </w:p>
    <w:bookmarkEnd w:id="2350"/>
    <w:bookmarkEnd w:id="2351"/>
    <w:bookmarkStart w:id="2936" w:name="X7f8150bd7f3b31f1ab01d9614fb80b066337c7b"/>
    <w:p>
      <w:pPr>
        <w:pStyle w:val="Heading3"/>
      </w:pPr>
      <w:r>
        <w:t xml:space="preserve">11. Sources</w:t>
      </w:r>
    </w:p>
    <w:p>
      <w:pPr>
        <w:pStyle w:val="Compact"/>
        <w:numPr>
          <w:ilvl w:val="0"/>
          <w:numId w:val="2170"/>
        </w:numPr>
      </w:pPr>
      <w:r>
        <w:t xml:space="preserve">WHO. ICD-11. 6D80 Dementia due to Alzheimer disease. 2024.</w:t>
      </w:r>
    </w:p>
    <w:p>
      <w:pPr>
        <w:pStyle w:val="Compact"/>
        <w:numPr>
          <w:ilvl w:val="0"/>
          <w:numId w:val="2170"/>
        </w:numPr>
      </w:pPr>
      <w:r>
        <w:t xml:space="preserve">APA. DSM-5-TR. 2022.</w:t>
      </w:r>
    </w:p>
    <w:p>
      <w:pPr>
        <w:pStyle w:val="Compact"/>
        <w:numPr>
          <w:ilvl w:val="0"/>
          <w:numId w:val="2170"/>
        </w:numPr>
      </w:pPr>
      <w:r>
        <w:t xml:space="preserve">NICE NG97. Dementia: assessment, management and support. 2018.</w:t>
      </w:r>
    </w:p>
    <w:p>
      <w:pPr>
        <w:pStyle w:val="Compact"/>
        <w:numPr>
          <w:ilvl w:val="0"/>
          <w:numId w:val="2170"/>
        </w:numPr>
      </w:pPr>
      <w:r>
        <w:t xml:space="preserve">Livingston G. et al. Dementia prevention, intervention, and care: 2024 report of the Lancet standing Commission. Lancet 2024;404(10452):572–628.</w:t>
      </w:r>
    </w:p>
    <w:p>
      <w:pPr>
        <w:pStyle w:val="Compact"/>
        <w:numPr>
          <w:ilvl w:val="0"/>
          <w:numId w:val="2170"/>
        </w:numPr>
      </w:pPr>
      <w:r>
        <w:t xml:space="preserve">Jack C.R. et al. NIA-AA Research Framework: Toward a biological definition of Alzheimer's disease. Alzheimer's Dement 2018;14(4):535–562.</w:t>
      </w:r>
    </w:p>
    <w:p>
      <w:pPr>
        <w:pStyle w:val="Compact"/>
        <w:numPr>
          <w:ilvl w:val="0"/>
          <w:numId w:val="2170"/>
        </w:numPr>
      </w:pPr>
      <w:r>
        <w:t xml:space="preserve">van Dyck C.H. et al. Lecanemab in Early Alzheimer's Disease. NEJM 2023;388(1):9–21.</w:t>
      </w:r>
    </w:p>
    <w:p>
      <w:pPr>
        <w:pStyle w:val="Compact"/>
        <w:numPr>
          <w:ilvl w:val="0"/>
          <w:numId w:val="2170"/>
        </w:numPr>
      </w:pPr>
      <w:r>
        <w:t xml:space="preserve">Sims J.R. et al. Donanemab in Early Symptomatic Alzheimer Disease (TRAILBLAZER-ALZ 2). JAMA 2023;330(6):512–527.</w:t>
      </w:r>
    </w:p>
    <w:p>
      <w:pPr>
        <w:pStyle w:val="Compact"/>
        <w:numPr>
          <w:ilvl w:val="0"/>
          <w:numId w:val="2170"/>
        </w:numPr>
      </w:pPr>
      <w:r>
        <w:t xml:space="preserve">FDA Black Box Warning — antipsychotics in elderly with dementia. 2005.</w:t>
      </w:r>
    </w:p>
    <w:p>
      <w:pPr>
        <w:pStyle w:val="Compact"/>
        <w:numPr>
          <w:ilvl w:val="0"/>
          <w:numId w:val="2170"/>
        </w:numPr>
      </w:pPr>
      <w:r>
        <w:t xml:space="preserve">Birks J. Ginkgo biloba for cognitive impairment and dementia. Cochrane Database Syst Rev 2009;(1):CD003120.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52" w:name="Xd8c310e57782d27085656b6689f13563f5d9331"/>
            <w:r>
              <w:t xml:space="preserve">6D81 DEMENTIA DUE TO CEREBROVASCULAR DISEASE</w:t>
            </w:r>
            <w:bookmarkEnd w:id="2352"/>
          </w:p>
          <w:p>
            <w:pPr>
              <w:pStyle w:val="Compact"/>
              <w:ind w:firstLine="0" w:left="0"/>
            </w:pPr>
            <w:r>
              <w:rPr>
                <w:lang w:val="en"/>
              </w:rPr>
              <w:t xml:space="preserve">Dementia due to cerebrovascular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Vascular dementia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Vascular Neurocognitive Disorder</w:t>
            </w:r>
          </w:p>
        </w:tc>
      </w:tr>
    </w:tbl>
    <w:bookmarkStart w:id="2353" w:name="Xcd768705b369b91aa94a0384a5dc159f53d2ea4"/>
    <w:p>
      <w:pPr>
        <w:pStyle w:val="Heading3"/>
      </w:pPr>
      <w:r>
        <w:t xml:space="preserve">1. Definition and nosology</w:t>
      </w:r>
    </w:p>
    <w:p>
      <w:pPr>
        <w:pStyle w:val="FirstParagraph"/>
      </w:pPr>
      <w:r>
        <w:t xml:space="preserve">Dementia due to cerebrovascular disease (Vascular Dementia; ICD-11:</w:t>
      </w:r>
      <w:r>
        <w:t xml:space="preserve"> </w:t>
      </w:r>
      <w:r>
        <w:t xml:space="preserve">6D81</w:t>
      </w:r>
      <w:r>
        <w:t xml:space="preserve">; DSM-5-TR: F01.5x and similar) — cognitive decline and impairment of daily functioning developing as a result of cerebrovascular disease (stroke, small vessel disease, hypoperfusion). Second most common cause of dementia (~15–20%).</w:t>
      </w:r>
    </w:p>
    <w:bookmarkEnd w:id="2353"/>
    <w:bookmarkStart w:id="2354" w:name="X349e3df35c7ef14523379f53d3865f3407f2faf"/>
    <w:p>
      <w:pPr>
        <w:pStyle w:val="Heading3"/>
      </w:pPr>
      <w:r>
        <w:t xml:space="preserve">2. History</w:t>
      </w:r>
    </w:p>
    <w:p>
      <w:pPr>
        <w:pStyle w:val="Compact"/>
        <w:numPr>
          <w:ilvl w:val="0"/>
          <w:numId w:val="2171"/>
        </w:numPr>
      </w:pPr>
      <w:r>
        <w:t xml:space="preserve">Binswanger O. (1894) — classic description of subcortical vascular dementia.</w:t>
      </w:r>
    </w:p>
    <w:p>
      <w:pPr>
        <w:pStyle w:val="Compact"/>
        <w:numPr>
          <w:ilvl w:val="0"/>
          <w:numId w:val="2171"/>
        </w:numPr>
      </w:pPr>
      <w:r>
        <w:t xml:space="preserve">NINDS-AIREN (1993) — international diagnostic criteria.</w:t>
      </w:r>
    </w:p>
    <w:p>
      <w:pPr>
        <w:pStyle w:val="Compact"/>
        <w:numPr>
          <w:ilvl w:val="0"/>
          <w:numId w:val="2171"/>
        </w:numPr>
      </w:pPr>
      <w:r>
        <w:t xml:space="preserve">VASCOG (2014) — Updated consensus (Vascular Cognitive Disorders).</w:t>
      </w:r>
    </w:p>
    <w:bookmarkEnd w:id="2354"/>
    <w:bookmarkStart w:id="2355" w:name="X79bf52fca6da575e1d6b674544160e8c956c59c"/>
    <w:p>
      <w:pPr>
        <w:pStyle w:val="Heading3"/>
      </w:pPr>
      <w:r>
        <w:t xml:space="preserve">3. Epidemiology</w:t>
      </w:r>
    </w:p>
    <w:p>
      <w:pPr>
        <w:pStyle w:val="Compact"/>
        <w:numPr>
          <w:ilvl w:val="0"/>
          <w:numId w:val="2172"/>
        </w:numPr>
      </w:pPr>
      <w:r>
        <w:t xml:space="preserve">15–20% of dementia cases; often mixed with Alzheimer's.</w:t>
      </w:r>
    </w:p>
    <w:p>
      <w:pPr>
        <w:pStyle w:val="Compact"/>
        <w:numPr>
          <w:ilvl w:val="0"/>
          <w:numId w:val="2172"/>
        </w:numPr>
      </w:pPr>
      <w:r>
        <w:t xml:space="preserve">Prevalence increases with age.</w:t>
      </w:r>
    </w:p>
    <w:p>
      <w:pPr>
        <w:pStyle w:val="Compact"/>
        <w:numPr>
          <w:ilvl w:val="0"/>
          <w:numId w:val="2172"/>
        </w:numPr>
      </w:pPr>
      <w:r>
        <w:t xml:space="preserve">Risk factors: hypertension, diabetes, hyperlipidemia, atrial fibrillation, smoking, history of stroke.</w:t>
      </w:r>
    </w:p>
    <w:bookmarkEnd w:id="2355"/>
    <w:bookmarkStart w:id="2356" w:name="X707928a038369843ce030b51c6fd604da43643a"/>
    <w:p>
      <w:pPr>
        <w:pStyle w:val="Heading3"/>
      </w:pPr>
      <w:r>
        <w:t xml:space="preserve">4. Aetiology and pathogenesis</w:t>
      </w:r>
    </w:p>
    <w:p>
      <w:pPr>
        <w:pStyle w:val="Compact"/>
        <w:numPr>
          <w:ilvl w:val="0"/>
          <w:numId w:val="2173"/>
        </w:numPr>
      </w:pPr>
      <w:r>
        <w:t xml:space="preserve">Multi-infarct dementia.</w:t>
      </w:r>
    </w:p>
    <w:p>
      <w:pPr>
        <w:pStyle w:val="Compact"/>
        <w:numPr>
          <w:ilvl w:val="0"/>
          <w:numId w:val="2173"/>
        </w:numPr>
      </w:pPr>
      <w:r>
        <w:t xml:space="preserve">Small vessel disease (subcortical leukoaraiosis, lacunar infarcts — Binswanger).</w:t>
      </w:r>
    </w:p>
    <w:p>
      <w:pPr>
        <w:pStyle w:val="Compact"/>
        <w:numPr>
          <w:ilvl w:val="0"/>
          <w:numId w:val="2173"/>
        </w:numPr>
      </w:pPr>
      <w:r>
        <w:t xml:space="preserve">Strategic infarct (thalamic, hippocampal).</w:t>
      </w:r>
    </w:p>
    <w:p>
      <w:pPr>
        <w:pStyle w:val="Compact"/>
        <w:numPr>
          <w:ilvl w:val="0"/>
          <w:numId w:val="2173"/>
        </w:numPr>
      </w:pPr>
      <w:r>
        <w:t xml:space="preserve">Hypoperfusion (systemic hypotension, cardiac arrest).</w:t>
      </w:r>
    </w:p>
    <w:p>
      <w:pPr>
        <w:pStyle w:val="Compact"/>
        <w:numPr>
          <w:ilvl w:val="0"/>
          <w:numId w:val="2173"/>
        </w:numPr>
      </w:pPr>
      <w:r>
        <w:t xml:space="preserve">CADASIL (autosomal dominant subcortical dementia, NOTCH3).</w:t>
      </w:r>
    </w:p>
    <w:bookmarkEnd w:id="2356"/>
    <w:bookmarkStart w:id="2357" w:name="X9b8ce10f8d54f48952f2f57c125116e94ea8ba8"/>
    <w:p>
      <w:pPr>
        <w:pStyle w:val="Heading3"/>
      </w:pPr>
      <w:r>
        <w:t xml:space="preserve">5. Clinical features</w:t>
      </w:r>
    </w:p>
    <w:p>
      <w:pPr>
        <w:pStyle w:val="Compact"/>
        <w:numPr>
          <w:ilvl w:val="0"/>
          <w:numId w:val="2174"/>
        </w:numPr>
      </w:pPr>
      <w:r>
        <w:t xml:space="preserve">“Stepwise” decline (as opposed to the gradual decline of Alzheimer's).</w:t>
      </w:r>
    </w:p>
    <w:p>
      <w:pPr>
        <w:pStyle w:val="Compact"/>
        <w:numPr>
          <w:ilvl w:val="0"/>
          <w:numId w:val="2174"/>
        </w:numPr>
      </w:pPr>
      <w:r>
        <w:t xml:space="preserve">Executive function, processing speed and attention are predominantly affected — memory is relatively less impaired (difference from Alzheimer).</w:t>
      </w:r>
    </w:p>
    <w:p>
      <w:pPr>
        <w:pStyle w:val="Compact"/>
        <w:numPr>
          <w:ilvl w:val="0"/>
          <w:numId w:val="2174"/>
        </w:numPr>
      </w:pPr>
      <w:r>
        <w:t xml:space="preserve">Focal neurological signs — hemiparesis, dysarthria, extrapyramidal, visual field defect.</w:t>
      </w:r>
    </w:p>
    <w:p>
      <w:pPr>
        <w:pStyle w:val="Compact"/>
        <w:numPr>
          <w:ilvl w:val="0"/>
          <w:numId w:val="2174"/>
        </w:numPr>
      </w:pPr>
      <w:r>
        <w:t xml:space="preserve">Mood disorders (vascular depression), apathy, abulia frequent.</w:t>
      </w:r>
    </w:p>
    <w:p>
      <w:pPr>
        <w:pStyle w:val="Compact"/>
        <w:numPr>
          <w:ilvl w:val="0"/>
          <w:numId w:val="2174"/>
        </w:numPr>
      </w:pPr>
      <w:r>
        <w:t xml:space="preserve">Postural disturbances (gait, balance).</w:t>
      </w:r>
    </w:p>
    <w:bookmarkEnd w:id="2357"/>
    <w:bookmarkStart w:id="2362" w:name="X7fdf66299fa50a75042d33b64588c72cd22c9eb"/>
    <w:p>
      <w:pPr>
        <w:pStyle w:val="Heading3"/>
      </w:pPr>
      <w:r>
        <w:t xml:space="preserve">6. Diagnosis</w:t>
      </w:r>
    </w:p>
    <w:bookmarkStart w:id="2358" w:name="X5b03a32066ea352b11fb7032312e68db4b13ab2"/>
    <w:p>
      <w:pPr>
        <w:pStyle w:val="Heading4"/>
      </w:pPr>
      <w:r>
        <w:t xml:space="preserve">6.1 Unified diagnostic criteria (NINDS-AIREN, VASCOG)</w:t>
      </w:r>
    </w:p>
    <w:p>
      <w:pPr>
        <w:pStyle w:val="FirstParagraph"/>
      </w:pPr>
      <w:r>
        <w:t xml:space="preserve">A. Meeting major NCD criteria.</w:t>
      </w:r>
    </w:p>
    <w:p>
      <w:pPr>
        <w:pStyle w:val="BodyText"/>
      </w:pPr>
      <w:r>
        <w:t xml:space="preserve">B. Clinical features consistent with vascular etiology: either (1) stepwise decline + history of stroke or (2) executive function and processing speed predominant.</w:t>
      </w:r>
    </w:p>
    <w:p>
      <w:pPr>
        <w:pStyle w:val="BodyText"/>
      </w:pPr>
      <w:r>
        <w:t xml:space="preserve">C. Brain imaging evidence of vascular pathology — infarcts, leukoaraiosis, microhemorrhages.</w:t>
      </w:r>
    </w:p>
    <w:p>
      <w:pPr>
        <w:pStyle w:val="BodyText"/>
      </w:pPr>
      <w:r>
        <w:t xml:space="preserve">D. Temporal relationship between cognitive decline and vascular event (Probable VaD).</w:t>
      </w:r>
    </w:p>
    <w:bookmarkEnd w:id="2358"/>
    <w:bookmarkStart w:id="2359" w:name="differences-between-sources-146"/>
    <w:p>
      <w:pPr>
        <w:pStyle w:val="Heading4"/>
      </w:pPr>
      <w:r>
        <w:t xml:space="preserve">6.2 Differences between sources</w:t>
      </w:r>
    </w:p>
    <w:p>
      <w:pPr>
        <w:pStyle w:val="Compact"/>
        <w:numPr>
          <w:ilvl w:val="0"/>
          <w:numId w:val="2175"/>
        </w:numPr>
      </w:pPr>
      <w:r>
        <w:t xml:space="preserve">VASCOG 2014 (Sachdev P. et al. Alzheimer Dis Assoc Disord) — introduced the Vascular Cognitive Impairment umbrella term.</w:t>
      </w:r>
    </w:p>
    <w:p>
      <w:pPr>
        <w:pStyle w:val="Compact"/>
        <w:numPr>
          <w:ilvl w:val="0"/>
          <w:numId w:val="2175"/>
        </w:numPr>
      </w:pPr>
      <w:r>
        <w:t xml:space="preserve">NICE NG97 — management of vascular risk factors.</w:t>
      </w:r>
    </w:p>
    <w:bookmarkEnd w:id="2359"/>
    <w:bookmarkStart w:id="2360" w:name="diagnostic-algorithm-82"/>
    <w:p>
      <w:pPr>
        <w:pStyle w:val="Heading4"/>
      </w:pPr>
      <w:r>
        <w:t xml:space="preserve">6.3 Diagnostic algorithm</w:t>
      </w:r>
    </w:p>
    <w:p>
      <w:pPr>
        <w:pStyle w:val="Compact"/>
        <w:numPr>
          <w:ilvl w:val="0"/>
          <w:numId w:val="2176"/>
        </w:numPr>
      </w:pPr>
      <w:r>
        <w:t xml:space="preserve">Clinical interview + informant.</w:t>
      </w:r>
    </w:p>
    <w:p>
      <w:pPr>
        <w:pStyle w:val="Compact"/>
        <w:numPr>
          <w:ilvl w:val="0"/>
          <w:numId w:val="2176"/>
        </w:numPr>
      </w:pPr>
      <w:r>
        <w:t xml:space="preserve">MoCA (attention to executive function subscales).</w:t>
      </w:r>
    </w:p>
    <w:p>
      <w:pPr>
        <w:pStyle w:val="Compact"/>
        <w:numPr>
          <w:ilvl w:val="0"/>
          <w:numId w:val="2176"/>
        </w:numPr>
      </w:pPr>
      <w:r>
        <w:t xml:space="preserve">Neurological examination — focal signs.</w:t>
      </w:r>
    </w:p>
    <w:p>
      <w:pPr>
        <w:pStyle w:val="Compact"/>
        <w:numPr>
          <w:ilvl w:val="0"/>
          <w:numId w:val="2176"/>
        </w:numPr>
      </w:pPr>
      <w:r>
        <w:t xml:space="preserve">Brain MRI (FLAIR — leukoaraiosis, DWI — acute infarcts, T2/SWI — microhemorrhages).</w:t>
      </w:r>
    </w:p>
    <w:p>
      <w:pPr>
        <w:pStyle w:val="Compact"/>
        <w:numPr>
          <w:ilvl w:val="0"/>
          <w:numId w:val="2176"/>
        </w:numPr>
      </w:pPr>
      <w:r>
        <w:t xml:space="preserve">Cardiovascular evaluation — blood pressure, EKG (atrial fibrillation), Holter, carotid USG, echo.</w:t>
      </w:r>
    </w:p>
    <w:p>
      <w:pPr>
        <w:pStyle w:val="Compact"/>
        <w:numPr>
          <w:ilvl w:val="0"/>
          <w:numId w:val="2176"/>
        </w:numPr>
      </w:pPr>
      <w:r>
        <w:t xml:space="preserve">Laboratory — HbA1c, lipid, coagulation, hyperhomocysteinemia.</w:t>
      </w:r>
    </w:p>
    <w:bookmarkEnd w:id="2360"/>
    <w:bookmarkStart w:id="2361" w:name="differential-diagnosis-8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Gradual, memory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Mixed Dementia (Alzheimer's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 many cases; clinically co-occurrent.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Lewy bodies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Visual hallucinations, parkinsonism.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Personality/behavior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Normal pressure hydrocephalus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Triad (gait, urinary incontinence, cognitive impairment).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pseudodementia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improvement with antidepressants.</w:t>
            </w:r>
          </w:p>
        </w:tc>
      </w:tr>
    </w:tbl>
    <w:bookmarkEnd w:id="2361"/>
    <w:bookmarkEnd w:id="2362"/>
    <w:bookmarkStart w:id="2363" w:name="X4164755392c272c3169c8bcb98f5cdf022cdc69"/>
    <w:p>
      <w:pPr>
        <w:pStyle w:val="Heading3"/>
      </w:pPr>
      <w:r>
        <w:t xml:space="preserve">7. Examination and assessment</w:t>
      </w:r>
    </w:p>
    <w:p>
      <w:pPr>
        <w:pStyle w:val="Compact"/>
        <w:numPr>
          <w:ilvl w:val="0"/>
          <w:numId w:val="2177"/>
        </w:numPr>
      </w:pPr>
      <w:r>
        <w:t xml:space="preserve">MoCA, neuropsychological testing.</w:t>
      </w:r>
    </w:p>
    <w:p>
      <w:pPr>
        <w:pStyle w:val="Compact"/>
        <w:numPr>
          <w:ilvl w:val="0"/>
          <w:numId w:val="2177"/>
        </w:numPr>
      </w:pPr>
      <w:r>
        <w:t xml:space="preserve">MRI, cardiovascular.</w:t>
      </w:r>
    </w:p>
    <w:p>
      <w:pPr>
        <w:pStyle w:val="Compact"/>
        <w:numPr>
          <w:ilvl w:val="0"/>
          <w:numId w:val="2177"/>
        </w:numPr>
      </w:pPr>
      <w:r>
        <w:t xml:space="preserve">Laboratory panel.</w:t>
      </w:r>
    </w:p>
    <w:bookmarkEnd w:id="2363"/>
    <w:bookmarkStart w:id="2366" w:name="X6c3fe3c1623dade5efad63c9e09550b68cfd3c0"/>
    <w:p>
      <w:pPr>
        <w:pStyle w:val="Heading3"/>
      </w:pPr>
      <w:r>
        <w:t xml:space="preserve">8. Treatment</w:t>
      </w:r>
    </w:p>
    <w:p>
      <w:pPr>
        <w:pStyle w:val="Compact"/>
        <w:numPr>
          <w:ilvl w:val="0"/>
          <w:numId w:val="2178"/>
        </w:numPr>
      </w:pPr>
      <w:r>
        <w:t xml:space="preserve">Vascular risk factor management — first-line</w:t>
      </w:r>
    </w:p>
    <w:p>
      <w:pPr>
        <w:pStyle w:val="Compact"/>
        <w:numPr>
          <w:ilvl w:val="1"/>
          <w:numId w:val="2179"/>
        </w:numPr>
      </w:pPr>
      <w:r>
        <w:t xml:space="preserve">Hypertension (target SBP &lt;140, sometimes &lt;130);</w:t>
      </w:r>
    </w:p>
    <w:p>
      <w:pPr>
        <w:pStyle w:val="Compact"/>
        <w:numPr>
          <w:ilvl w:val="1"/>
          <w:numId w:val="2179"/>
        </w:numPr>
      </w:pPr>
      <w:r>
        <w:t xml:space="preserve">Diabetes HbA1c management;</w:t>
      </w:r>
    </w:p>
    <w:p>
      <w:pPr>
        <w:pStyle w:val="Compact"/>
        <w:numPr>
          <w:ilvl w:val="1"/>
          <w:numId w:val="2179"/>
        </w:numPr>
      </w:pPr>
      <w:r>
        <w:t xml:space="preserve">Statin (lipid);</w:t>
      </w:r>
    </w:p>
    <w:p>
      <w:pPr>
        <w:pStyle w:val="Compact"/>
        <w:numPr>
          <w:ilvl w:val="1"/>
          <w:numId w:val="2179"/>
        </w:numPr>
      </w:pPr>
      <w:r>
        <w:t xml:space="preserve">Antiplatelet (aspirin) or anticoagulant (atrial fibrillation — DOAC);</w:t>
      </w:r>
    </w:p>
    <w:p>
      <w:pPr>
        <w:pStyle w:val="Compact"/>
        <w:numPr>
          <w:ilvl w:val="1"/>
          <w:numId w:val="2179"/>
        </w:numPr>
      </w:pPr>
      <w:r>
        <w:t xml:space="preserve">Smoking cessation;</w:t>
      </w:r>
    </w:p>
    <w:p>
      <w:pPr>
        <w:pStyle w:val="Compact"/>
        <w:numPr>
          <w:ilvl w:val="1"/>
          <w:numId w:val="2179"/>
        </w:numPr>
      </w:pPr>
      <w:r>
        <w:t xml:space="preserve">Physical activity, diet.</w:t>
      </w:r>
    </w:p>
    <w:p>
      <w:pPr>
        <w:pStyle w:val="Compact"/>
        <w:numPr>
          <w:ilvl w:val="0"/>
          <w:numId w:val="2178"/>
        </w:numPr>
      </w:pPr>
      <w:r>
        <w:t xml:space="preserve">AChEI and memantine — evidence base limited for VaD, but may be effective in mixed dementia; NICE NG97 — considered in mixed cases.</w:t>
      </w:r>
    </w:p>
    <w:p>
      <w:pPr>
        <w:pStyle w:val="Compact"/>
        <w:numPr>
          <w:ilvl w:val="0"/>
          <w:numId w:val="2178"/>
        </w:numPr>
      </w:pPr>
      <w:r>
        <w:t xml:space="preserve">BPSD management — non-pharmacological first; antipsychotics limited (same FDA black box for Alzheimer's).</w:t>
      </w:r>
    </w:p>
    <w:p>
      <w:pPr>
        <w:pStyle w:val="Compact"/>
        <w:numPr>
          <w:ilvl w:val="0"/>
          <w:numId w:val="2178"/>
        </w:numPr>
      </w:pPr>
      <w:r>
        <w:t xml:space="preserve">Depression (vascular depression) — SSRIs.</w:t>
      </w:r>
    </w:p>
    <w:p>
      <w:pPr>
        <w:pStyle w:val="Compact"/>
        <w:numPr>
          <w:ilvl w:val="0"/>
          <w:numId w:val="2178"/>
        </w:numPr>
      </w:pPr>
      <w:r>
        <w:t xml:space="preserve">Rehabilitation after stroke — physical, occupational, speech therapy.</w:t>
      </w:r>
    </w:p>
    <w:bookmarkStart w:id="2364" w:name="treatment-methods-80"/>
    <w:p>
      <w:pPr>
        <w:pStyle w:val="Heading4"/>
      </w:pPr>
      <w:r>
        <w:t xml:space="preserve">8.1 Treatment methods</w:t>
      </w:r>
    </w:p>
    <w:p>
      <w:pPr>
        <w:pStyle w:val="Compact"/>
        <w:numPr>
          <w:ilvl w:val="0"/>
          <w:numId w:val="2180"/>
        </w:numPr>
      </w:pPr>
      <w:r>
        <w:t xml:space="preserve">Vascular Risk Management — Hypertension, diabetes, lipids, atrial fibrillation, smoking.</w:t>
      </w:r>
    </w:p>
    <w:p>
      <w:pPr>
        <w:pStyle w:val="Compact"/>
        <w:numPr>
          <w:ilvl w:val="0"/>
          <w:numId w:val="2180"/>
        </w:numPr>
      </w:pPr>
      <w:r>
        <w:t xml:space="preserve">AChEI/Memantine in Mixed Dementia — Donepezil, rivastigmine off-label in pure VaD; may be considered in mixed cases.</w:t>
      </w:r>
    </w:p>
    <w:p>
      <w:pPr>
        <w:pStyle w:val="Compact"/>
        <w:numPr>
          <w:ilvl w:val="0"/>
          <w:numId w:val="2180"/>
        </w:numPr>
      </w:pPr>
      <w:r>
        <w:t xml:space="preserve">Stroke Rehabilitation — Multidisciplinary.</w:t>
      </w:r>
    </w:p>
    <w:bookmarkEnd w:id="2364"/>
    <w:bookmarkStart w:id="2365" w:name="differences-between-sources-147"/>
    <w:p>
      <w:pPr>
        <w:pStyle w:val="Heading4"/>
      </w:pPr>
      <w:r>
        <w:t xml:space="preserve">8.2 Differences between sources</w:t>
      </w:r>
    </w:p>
    <w:p>
      <w:pPr>
        <w:pStyle w:val="Compact"/>
        <w:numPr>
          <w:ilvl w:val="0"/>
          <w:numId w:val="2181"/>
        </w:numPr>
      </w:pPr>
      <w:r>
        <w:t xml:space="preserve">NICE NG97 — vascular risk management.</w:t>
      </w:r>
    </w:p>
    <w:p>
      <w:pPr>
        <w:pStyle w:val="Compact"/>
        <w:numPr>
          <w:ilvl w:val="0"/>
          <w:numId w:val="2181"/>
        </w:numPr>
      </w:pPr>
      <w:r>
        <w:t xml:space="preserve">AHA/ASA stroke prophylaxis.</w:t>
      </w:r>
    </w:p>
    <w:bookmarkEnd w:id="2365"/>
    <w:bookmarkEnd w:id="2366"/>
    <w:bookmarkStart w:id="2367" w:name="Xd1d4e9ae2cae776ce7228c2c134d5b6b3990754"/>
    <w:p>
      <w:pPr>
        <w:pStyle w:val="Heading3"/>
      </w:pPr>
      <w:r>
        <w:t xml:space="preserve">9. Prognosis</w:t>
      </w:r>
    </w:p>
    <w:p>
      <w:pPr>
        <w:pStyle w:val="Compact"/>
        <w:numPr>
          <w:ilvl w:val="0"/>
          <w:numId w:val="2182"/>
        </w:numPr>
      </w:pPr>
      <w:r>
        <w:t xml:space="preserve">Risk factor management reduces the rate of decline.</w:t>
      </w:r>
    </w:p>
    <w:p>
      <w:pPr>
        <w:pStyle w:val="Compact"/>
        <w:numPr>
          <w:ilvl w:val="0"/>
          <w:numId w:val="2182"/>
        </w:numPr>
      </w:pPr>
      <w:r>
        <w:t xml:space="preserve">Stroke history and comorbidity determine the prognosis.</w:t>
      </w:r>
    </w:p>
    <w:bookmarkEnd w:id="2367"/>
    <w:bookmarkStart w:id="2373" w:name="X922f77ac5a6b8cc7718de9d5b05c9ac68a95961"/>
    <w:p>
      <w:pPr>
        <w:pStyle w:val="Heading3"/>
      </w:pPr>
      <w:r>
        <w:t xml:space="preserve">10. Myths and misconceptions</w:t>
      </w:r>
    </w:p>
    <w:bookmarkStart w:id="2368" w:name="X8fd164d02206dcf36f92e478b1155e6ad4ff441"/>
    <w:p>
      <w:pPr>
        <w:pStyle w:val="Heading5"/>
      </w:pPr>
      <w:r>
        <w:t xml:space="preserve">Myth 1: “VaD is completely different from Alzheimer's”</w:t>
      </w:r>
    </w:p>
    <w:p>
      <w:pPr>
        <w:pStyle w:val="FirstParagraph"/>
      </w:pPr>
      <w:r>
        <w:t xml:space="preserve">Evidence: In most dementia cases mixed pathology (Alzheimer + VaD); clinical differentiation sometimes difficult.</w:t>
      </w:r>
    </w:p>
    <w:bookmarkEnd w:id="2368"/>
    <w:bookmarkStart w:id="2369" w:name="X839e21427f5b697bba0a4459cc829950b3d4874"/>
    <w:p>
      <w:pPr>
        <w:pStyle w:val="Heading5"/>
      </w:pPr>
      <w:r>
        <w:t xml:space="preserve">Myth 2: “There is no specific treatment for VaD”</w:t>
      </w:r>
    </w:p>
    <w:p>
      <w:pPr>
        <w:pStyle w:val="FirstParagraph"/>
      </w:pPr>
      <w:r>
        <w:t xml:space="preserve">Evidence: vascular risk factor management — first-line and potent intervention; prevention particularly strong.</w:t>
      </w:r>
    </w:p>
    <w:bookmarkEnd w:id="2369"/>
    <w:bookmarkStart w:id="2370" w:name="myth-3-aspirin-for-dementia-prophylaxis"/>
    <w:p>
      <w:pPr>
        <w:pStyle w:val="Heading5"/>
      </w:pPr>
      <w:r>
        <w:t xml:space="preserve">Myth 3: “Aspirin for dementia prophylaxis”</w:t>
      </w:r>
    </w:p>
    <w:p>
      <w:pPr>
        <w:pStyle w:val="FirstParagraph"/>
      </w:pPr>
      <w:r>
        <w:t xml:space="preserve">Evidence: ASPREE trial (McNeil J.J. NEJM 2018) — aspirin in primary prevention showed no evidence of preventing dementia; only in specific stroke prophylaxis indications.</w:t>
      </w:r>
    </w:p>
    <w:bookmarkEnd w:id="2370"/>
    <w:bookmarkStart w:id="2371" w:name="X355db8ebf77d583e305b6cc35d83b49a021e61c"/>
    <w:p>
      <w:pPr>
        <w:pStyle w:val="Heading5"/>
      </w:pPr>
      <w:r>
        <w:t xml:space="preserve">Myth 4: “Vitamins and homocysteine are prophylaxis for vascular dementia”</w:t>
      </w:r>
    </w:p>
    <w:p>
      <w:pPr>
        <w:pStyle w:val="FirstParagraph"/>
      </w:pPr>
      <w:r>
        <w:t xml:space="preserve">Evidence: cognitive prophylaxis with homocysteine-lowering vitamins evidence weak.</w:t>
      </w:r>
    </w:p>
    <w:bookmarkEnd w:id="2371"/>
    <w:bookmarkStart w:id="2372" w:name="Xf0affcc4bb3a58f79921c48fe3bb93b47a542b5"/>
    <w:p>
      <w:pPr>
        <w:pStyle w:val="Heading5"/>
      </w:pPr>
      <w:r>
        <w:t xml:space="preserve">Myth 5: “Stepwise decline is mandatory for diagnosing VaD”</w:t>
      </w:r>
    </w:p>
    <w:p>
      <w:pPr>
        <w:pStyle w:val="FirstParagraph"/>
      </w:pPr>
      <w:r>
        <w:t xml:space="preserve">Evidence: Gradual decline typical in small vessel VaD; stepwise only in multi-infarct form.</w:t>
      </w:r>
    </w:p>
    <w:bookmarkEnd w:id="2372"/>
    <w:bookmarkEnd w:id="2373"/>
    <w:bookmarkStart w:id="2935" w:name="Xfc08a5198f38117826e6c649742d1177dea7a1e"/>
    <w:p>
      <w:pPr>
        <w:pStyle w:val="Heading3"/>
      </w:pPr>
      <w:r>
        <w:t xml:space="preserve">11. Sources</w:t>
      </w:r>
    </w:p>
    <w:p>
      <w:pPr>
        <w:pStyle w:val="Compact"/>
        <w:numPr>
          <w:ilvl w:val="0"/>
          <w:numId w:val="2183"/>
        </w:numPr>
      </w:pPr>
      <w:r>
        <w:t xml:space="preserve">WHO. ICD-11. 6D81 Vascular dementia. 2024.</w:t>
      </w:r>
    </w:p>
    <w:p>
      <w:pPr>
        <w:pStyle w:val="Compact"/>
        <w:numPr>
          <w:ilvl w:val="0"/>
          <w:numId w:val="2183"/>
        </w:numPr>
      </w:pPr>
      <w:r>
        <w:t xml:space="preserve">APA. DSM-5-TR. 2022.</w:t>
      </w:r>
    </w:p>
    <w:p>
      <w:pPr>
        <w:pStyle w:val="Compact"/>
        <w:numPr>
          <w:ilvl w:val="0"/>
          <w:numId w:val="2183"/>
        </w:numPr>
      </w:pPr>
      <w:r>
        <w:t xml:space="preserve">NICE NG97. 2018.</w:t>
      </w:r>
    </w:p>
    <w:p>
      <w:pPr>
        <w:pStyle w:val="Compact"/>
        <w:numPr>
          <w:ilvl w:val="0"/>
          <w:numId w:val="2183"/>
        </w:numPr>
      </w:pPr>
      <w:r>
        <w:t xml:space="preserve">Sachdev P. et al. Diagnostic criteria for vascular cognitive disorders: a VASCOG statement. Alzheimer Dis Assoc Disord 2014;28(3):206–218.</w:t>
      </w:r>
    </w:p>
    <w:p>
      <w:pPr>
        <w:pStyle w:val="Compact"/>
        <w:numPr>
          <w:ilvl w:val="0"/>
          <w:numId w:val="2183"/>
        </w:numPr>
      </w:pPr>
      <w:r>
        <w:t xml:space="preserve">McNeil J.J. et al. Effect of Aspirin on Disability-free Survival in the Healthy Elderly (ASPREE). NEJM 2018;379(16):1499–1508.</w:t>
      </w:r>
    </w:p>
    <w:p>
      <w:pPr>
        <w:pStyle w:val="Compact"/>
        <w:numPr>
          <w:ilvl w:val="0"/>
          <w:numId w:val="2183"/>
        </w:numPr>
      </w:pPr>
      <w:r>
        <w:t xml:space="preserve">Livingston G. et al. Lancet Commission 2024.</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74" w:name="Xf7b898703dec43b3017d411d6af734f9cbac72d"/>
            <w:r>
              <w:t xml:space="preserve">6D82 DEMENTIA DUE TO LEWY BODY DISEASE (DLB)</w:t>
            </w:r>
            <w:bookmarkEnd w:id="2374"/>
          </w:p>
          <w:p>
            <w:pPr>
              <w:pStyle w:val="Compact"/>
              <w:ind w:firstLine="0" w:left="0"/>
            </w:pPr>
            <w:r>
              <w:rPr>
                <w:lang w:val="en"/>
              </w:rPr>
              <w:t xml:space="preserve">Dementia due to Lewy body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in other specified diseases classified elsewhere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or Mild Neurocognitive Disorder With Lewy Bodies</w:t>
            </w:r>
          </w:p>
        </w:tc>
      </w:tr>
    </w:tbl>
    <w:bookmarkStart w:id="2375" w:name="Xda3b1e72ab1da59fac7152f99d784a3fcf96511"/>
    <w:p>
      <w:pPr>
        <w:pStyle w:val="Heading3"/>
      </w:pPr>
      <w:r>
        <w:t xml:space="preserve">1. Definition and nosology</w:t>
      </w:r>
    </w:p>
    <w:p>
      <w:pPr>
        <w:pStyle w:val="FirstParagraph"/>
      </w:pPr>
      <w:r>
        <w:t xml:space="preserve">Dementia due to Lewy body disease (DLB; ICD-11:</w:t>
      </w:r>
      <w:r>
        <w:t xml:space="preserve"> </w:t>
      </w:r>
      <w:r>
        <w:t xml:space="preserve">6D82</w:t>
      </w:r>
      <w:r>
        <w:t xml:space="preserve">; DSM-5-TR: G31.83 + F02.8x) — dementia developing from α-synuclein pathology; classic triad — cognitive fluctuations, visual hallucinations, parkinsonism. 5–15% of dementias.</w:t>
      </w:r>
    </w:p>
    <w:p>
      <w:pPr>
        <w:pStyle w:val="BodyText"/>
      </w:pPr>
      <w:r>
        <w:t xml:space="preserve">Parkinson's disease dementia (PDD) — same pathology, but dementia develops at least 1 year after parkinsonism; DLB and PDD clinical spectrum.</w:t>
      </w:r>
    </w:p>
    <w:bookmarkEnd w:id="2375"/>
    <w:bookmarkStart w:id="2376" w:name="X2ca90f2995871dc28bde82a19fa6c26f59ff6c5"/>
    <w:p>
      <w:pPr>
        <w:pStyle w:val="Heading3"/>
      </w:pPr>
      <w:r>
        <w:t xml:space="preserve">2. History</w:t>
      </w:r>
    </w:p>
    <w:p>
      <w:pPr>
        <w:pStyle w:val="Compact"/>
        <w:numPr>
          <w:ilvl w:val="0"/>
          <w:numId w:val="2184"/>
        </w:numPr>
      </w:pPr>
      <w:r>
        <w:t xml:space="preserve">Lewy F. (1912) — Description of Lewy bodies in Parkinson's disease.</w:t>
      </w:r>
    </w:p>
    <w:p>
      <w:pPr>
        <w:pStyle w:val="Compact"/>
        <w:numPr>
          <w:ilvl w:val="0"/>
          <w:numId w:val="2184"/>
        </w:numPr>
      </w:pPr>
      <w:r>
        <w:t xml:space="preserve">McKeith I. (1996, 2017 update) — DLB consensus criteria.</w:t>
      </w:r>
    </w:p>
    <w:bookmarkEnd w:id="2376"/>
    <w:bookmarkStart w:id="2377" w:name="Xbdc00a3cae9ae7d0b8af0cf544a7dd5425e5b74"/>
    <w:p>
      <w:pPr>
        <w:pStyle w:val="Heading3"/>
      </w:pPr>
      <w:r>
        <w:t xml:space="preserve">3. Epidemiology</w:t>
      </w:r>
    </w:p>
    <w:p>
      <w:pPr>
        <w:pStyle w:val="Compact"/>
        <w:numPr>
          <w:ilvl w:val="0"/>
          <w:numId w:val="2185"/>
        </w:numPr>
      </w:pPr>
      <w:r>
        <w:t xml:space="preserve">5–15% of dementia cases; relatively higher in males.</w:t>
      </w:r>
    </w:p>
    <w:p>
      <w:pPr>
        <w:pStyle w:val="Compact"/>
        <w:numPr>
          <w:ilvl w:val="0"/>
          <w:numId w:val="2185"/>
        </w:numPr>
      </w:pPr>
      <w:r>
        <w:t xml:space="preserve">Prevalence increases with age ≥65.</w:t>
      </w:r>
    </w:p>
    <w:p>
      <w:pPr>
        <w:pStyle w:val="Compact"/>
        <w:numPr>
          <w:ilvl w:val="0"/>
          <w:numId w:val="2185"/>
        </w:numPr>
      </w:pPr>
      <w:r>
        <w:t xml:space="preserve">Comorbidity: depression, delusions, REM sleep behavior disorder.</w:t>
      </w:r>
    </w:p>
    <w:bookmarkEnd w:id="2377"/>
    <w:bookmarkStart w:id="2378" w:name="X7f4368abe48bf9c9d8a11e48a56e46cbfdcb0c6"/>
    <w:p>
      <w:pPr>
        <w:pStyle w:val="Heading3"/>
      </w:pPr>
      <w:r>
        <w:t xml:space="preserve">4. Aetiology and pathogenesis</w:t>
      </w:r>
    </w:p>
    <w:p>
      <w:pPr>
        <w:pStyle w:val="Compact"/>
        <w:numPr>
          <w:ilvl w:val="0"/>
          <w:numId w:val="2186"/>
        </w:numPr>
      </w:pPr>
      <w:r>
        <w:t xml:space="preserve">α-Synuclein aggregation — Lewy bodies in cortical and substantia nigra regions.</w:t>
      </w:r>
    </w:p>
    <w:p>
      <w:pPr>
        <w:pStyle w:val="Compact"/>
        <w:numPr>
          <w:ilvl w:val="0"/>
          <w:numId w:val="2186"/>
        </w:numPr>
      </w:pPr>
      <w:r>
        <w:t xml:space="preserve">SNCA, LRRK2, and GBA genes confer risk.</w:t>
      </w:r>
    </w:p>
    <w:bookmarkEnd w:id="2378"/>
    <w:bookmarkStart w:id="2382" w:name="X87c9b54770f6835d189790502434bde344b7bab"/>
    <w:p>
      <w:pPr>
        <w:pStyle w:val="Heading3"/>
      </w:pPr>
      <w:r>
        <w:t xml:space="preserve">5. Clinical features</w:t>
      </w:r>
    </w:p>
    <w:bookmarkStart w:id="2379" w:name="four-core-clinical-features-mckeith-2017"/>
    <w:p>
      <w:pPr>
        <w:pStyle w:val="Heading4"/>
      </w:pPr>
      <w:r>
        <w:t xml:space="preserve">Four core clinical features (McKeith 2017)</w:t>
      </w:r>
    </w:p>
    <w:p>
      <w:pPr>
        <w:pStyle w:val="Compact"/>
        <w:numPr>
          <w:ilvl w:val="0"/>
          <w:numId w:val="2187"/>
        </w:numPr>
      </w:pPr>
      <w:r>
        <w:t xml:space="preserve">Fluctuating cognition — pronounced variation in attention and alertness (hours-days).</w:t>
      </w:r>
    </w:p>
    <w:p>
      <w:pPr>
        <w:pStyle w:val="Compact"/>
        <w:numPr>
          <w:ilvl w:val="0"/>
          <w:numId w:val="2187"/>
        </w:numPr>
      </w:pPr>
      <w:r>
        <w:t xml:space="preserve">Recurrent visual hallucinations — typically well formed and detailed (human, animal figures); the patient may be relatively tolerant of them.</w:t>
      </w:r>
    </w:p>
    <w:p>
      <w:pPr>
        <w:pStyle w:val="Compact"/>
        <w:numPr>
          <w:ilvl w:val="0"/>
          <w:numId w:val="2187"/>
        </w:numPr>
      </w:pPr>
      <w:r>
        <w:t xml:space="preserve">REM sleep behaviour disorder (RBD) — may precede cognitive decline by years.</w:t>
      </w:r>
    </w:p>
    <w:p>
      <w:pPr>
        <w:pStyle w:val="Compact"/>
        <w:numPr>
          <w:ilvl w:val="0"/>
          <w:numId w:val="2187"/>
        </w:numPr>
      </w:pPr>
      <w:r>
        <w:t xml:space="preserve">Parkinsonism — one or more spontaneous cardinal features: bradykinesia, rest tremor or rigidity (tremor typically milder than in Parkinson's disease).</w:t>
      </w:r>
    </w:p>
    <w:bookmarkEnd w:id="2379"/>
    <w:bookmarkStart w:id="2380" w:name="indicative-biomarkers"/>
    <w:p>
      <w:pPr>
        <w:pStyle w:val="Heading4"/>
      </w:pPr>
      <w:r>
        <w:t xml:space="preserve">Indicative biomarkers</w:t>
      </w:r>
    </w:p>
    <w:p>
      <w:pPr>
        <w:pStyle w:val="Compact"/>
        <w:numPr>
          <w:ilvl w:val="0"/>
          <w:numId w:val="2188"/>
        </w:numPr>
      </w:pPr>
      <w:r>
        <w:t xml:space="preserve">Reduced dopamine transporter uptake in the basal ganglia on SPECT/PET (123I-FP-CIT).</w:t>
      </w:r>
    </w:p>
    <w:p>
      <w:pPr>
        <w:pStyle w:val="Compact"/>
        <w:numPr>
          <w:ilvl w:val="0"/>
          <w:numId w:val="2188"/>
        </w:numPr>
      </w:pPr>
      <w:r>
        <w:t xml:space="preserve">Abnormal (low uptake) 123I-MIBG myocardial scintigraphy.</w:t>
      </w:r>
    </w:p>
    <w:p>
      <w:pPr>
        <w:pStyle w:val="Compact"/>
        <w:numPr>
          <w:ilvl w:val="0"/>
          <w:numId w:val="2188"/>
        </w:numPr>
      </w:pPr>
      <w:r>
        <w:t xml:space="preserve">Polysomnographic confirmation of REM sleep without atonia.</w:t>
      </w:r>
    </w:p>
    <w:bookmarkEnd w:id="2380"/>
    <w:bookmarkStart w:id="2381" w:name="supportive-clinical-features"/>
    <w:p>
      <w:pPr>
        <w:pStyle w:val="Heading4"/>
      </w:pPr>
      <w:r>
        <w:t xml:space="preserve">Supportive clinical features</w:t>
      </w:r>
    </w:p>
    <w:p>
      <w:pPr>
        <w:pStyle w:val="Compact"/>
        <w:numPr>
          <w:ilvl w:val="0"/>
          <w:numId w:val="2189"/>
        </w:numPr>
      </w:pPr>
      <w:r>
        <w:t xml:space="preserve">Severe antipsychotic sensitivity — neuroleptic malignant syndrome-like reaction (not part of the diagnostic algorithm).</w:t>
      </w:r>
    </w:p>
    <w:p>
      <w:pPr>
        <w:pStyle w:val="Compact"/>
        <w:numPr>
          <w:ilvl w:val="0"/>
          <w:numId w:val="2189"/>
        </w:numPr>
      </w:pPr>
      <w:r>
        <w:t xml:space="preserve">Postural instability, repeated falls, syncope, severe autonomic dysfunction, hypersomnia, hyposmia, systematised delusions, apathy, anxiety, depression.</w:t>
      </w:r>
    </w:p>
    <w:bookmarkEnd w:id="2381"/>
    <w:bookmarkEnd w:id="2382"/>
    <w:bookmarkStart w:id="2387" w:name="X6ed15ef7e833538ee06f0ef6aba1861815c0700"/>
    <w:p>
      <w:pPr>
        <w:pStyle w:val="Heading3"/>
      </w:pPr>
      <w:r>
        <w:t xml:space="preserve">6. Diagnosis</w:t>
      </w:r>
    </w:p>
    <w:bookmarkStart w:id="2383" w:name="unified-diagnostic-criteria-mckeith-2017"/>
    <w:p>
      <w:pPr>
        <w:pStyle w:val="Heading4"/>
      </w:pPr>
      <w:r>
        <w:t xml:space="preserve">6.1 Unified diagnostic criteria (McKeith 2017)</w:t>
      </w:r>
    </w:p>
    <w:p>
      <w:pPr>
        <w:pStyle w:val="FirstParagraph"/>
      </w:pPr>
      <w:r>
        <w:t xml:space="preserve">Probable DLB: 2+ core clinical features (with or without indicative biomarkers), or 1 core feature + 1 or more indicative biomarkers. It must not be diagnosed on biomarkers alone.</w:t>
      </w:r>
    </w:p>
    <w:p>
      <w:pPr>
        <w:pStyle w:val="BodyText"/>
      </w:pPr>
      <w:r>
        <w:t xml:space="preserve">Possible DLB: only 1 core clinical feature with no indicative biomarker; or 1 or more indicative biomarkers with no core clinical feature.</w:t>
      </w:r>
    </w:p>
    <w:bookmarkEnd w:id="2383"/>
    <w:bookmarkStart w:id="2384" w:name="differences-between-sources-148"/>
    <w:p>
      <w:pPr>
        <w:pStyle w:val="Heading4"/>
      </w:pPr>
      <w:r>
        <w:t xml:space="preserve">6.2 Differences between sources</w:t>
      </w:r>
    </w:p>
    <w:p>
      <w:pPr>
        <w:pStyle w:val="Compact"/>
        <w:numPr>
          <w:ilvl w:val="0"/>
          <w:numId w:val="2190"/>
        </w:numPr>
      </w:pPr>
      <w:r>
        <w:t xml:space="preserve">McKeith I. et al. Neurology 2017 — diagnostic consensus.</w:t>
      </w:r>
    </w:p>
    <w:p>
      <w:pPr>
        <w:pStyle w:val="Compact"/>
        <w:numPr>
          <w:ilvl w:val="0"/>
          <w:numId w:val="2190"/>
        </w:numPr>
      </w:pPr>
      <w:r>
        <w:t xml:space="preserve">DAT-SPECT or 123I-MIBG cardiac scintigraphy — indicative biomarkers (not supportive).</w:t>
      </w:r>
    </w:p>
    <w:bookmarkEnd w:id="2384"/>
    <w:bookmarkStart w:id="2385" w:name="diagnostic-algorithm-83"/>
    <w:p>
      <w:pPr>
        <w:pStyle w:val="Heading4"/>
      </w:pPr>
      <w:r>
        <w:t xml:space="preserve">6.3 Diagnostic algorithm</w:t>
      </w:r>
    </w:p>
    <w:p>
      <w:pPr>
        <w:pStyle w:val="Compact"/>
        <w:numPr>
          <w:ilvl w:val="0"/>
          <w:numId w:val="2191"/>
        </w:numPr>
      </w:pPr>
      <w:r>
        <w:t xml:space="preserve">Clinical interview + informant (especially RBD).</w:t>
      </w:r>
    </w:p>
    <w:p>
      <w:pPr>
        <w:pStyle w:val="Compact"/>
        <w:numPr>
          <w:ilvl w:val="0"/>
          <w:numId w:val="2191"/>
        </w:numPr>
      </w:pPr>
      <w:r>
        <w:t xml:space="preserve">MoCA, MMSE, neuropsychological (visuospatial and executive function dominant).</w:t>
      </w:r>
    </w:p>
    <w:p>
      <w:pPr>
        <w:pStyle w:val="Compact"/>
        <w:numPr>
          <w:ilvl w:val="0"/>
          <w:numId w:val="2191"/>
        </w:numPr>
      </w:pPr>
      <w:r>
        <w:t xml:space="preserve">Neurological examination.</w:t>
      </w:r>
    </w:p>
    <w:p>
      <w:pPr>
        <w:pStyle w:val="Compact"/>
        <w:numPr>
          <w:ilvl w:val="0"/>
          <w:numId w:val="2191"/>
        </w:numPr>
      </w:pPr>
      <w:r>
        <w:t xml:space="preserve">Brain MRI (hippocampal atrophy less than in Alzheimer's).</w:t>
      </w:r>
    </w:p>
    <w:p>
      <w:pPr>
        <w:pStyle w:val="Compact"/>
        <w:numPr>
          <w:ilvl w:val="0"/>
          <w:numId w:val="2191"/>
        </w:numPr>
      </w:pPr>
      <w:r>
        <w:t xml:space="preserve">DAT-SPECT (when indicated).</w:t>
      </w:r>
    </w:p>
    <w:p>
      <w:pPr>
        <w:pStyle w:val="Compact"/>
        <w:numPr>
          <w:ilvl w:val="0"/>
          <w:numId w:val="2191"/>
        </w:numPr>
      </w:pPr>
      <w:r>
        <w:t xml:space="preserve">Polysomnography — RBD confirmation.</w:t>
      </w:r>
    </w:p>
    <w:bookmarkEnd w:id="2385"/>
    <w:bookmarkStart w:id="2386" w:name="differential-diagnosis-84"/>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Memory dominant, visual hallucination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Parkinson's disease dementia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occurring ≥ 1 year after parkinsonism (1-year rule)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Vascular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Stroke history, 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onset; fluctuation is similar.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late onset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absent.</w:t>
            </w:r>
          </w:p>
        </w:tc>
      </w:tr>
    </w:tbl>
    <w:bookmarkEnd w:id="2386"/>
    <w:bookmarkEnd w:id="2387"/>
    <w:bookmarkStart w:id="2388" w:name="X7d5999c8eae2db953c6da01c1a15353572f8741"/>
    <w:p>
      <w:pPr>
        <w:pStyle w:val="Heading3"/>
      </w:pPr>
      <w:r>
        <w:t xml:space="preserve">7. Examination and assessment</w:t>
      </w:r>
    </w:p>
    <w:p>
      <w:pPr>
        <w:pStyle w:val="Compact"/>
        <w:numPr>
          <w:ilvl w:val="0"/>
          <w:numId w:val="2192"/>
        </w:numPr>
      </w:pPr>
      <w:r>
        <w:t xml:space="preserve">MoCA, neuropsychological testing.</w:t>
      </w:r>
    </w:p>
    <w:p>
      <w:pPr>
        <w:pStyle w:val="Compact"/>
        <w:numPr>
          <w:ilvl w:val="0"/>
          <w:numId w:val="2192"/>
        </w:numPr>
      </w:pPr>
      <w:r>
        <w:t xml:space="preserve">Polysomnography (RBD).</w:t>
      </w:r>
    </w:p>
    <w:p>
      <w:pPr>
        <w:pStyle w:val="Compact"/>
        <w:numPr>
          <w:ilvl w:val="0"/>
          <w:numId w:val="2192"/>
        </w:numPr>
      </w:pPr>
      <w:r>
        <w:t xml:space="preserve">DAT-SPECT.</w:t>
      </w:r>
    </w:p>
    <w:p>
      <w:pPr>
        <w:pStyle w:val="Compact"/>
        <w:numPr>
          <w:ilvl w:val="0"/>
          <w:numId w:val="2192"/>
        </w:numPr>
      </w:pPr>
      <w:r>
        <w:t xml:space="preserve">Brain MRI.</w:t>
      </w:r>
    </w:p>
    <w:bookmarkEnd w:id="2388"/>
    <w:bookmarkStart w:id="2391" w:name="Xad6faf230103a4422546fa86950e260b8007c30"/>
    <w:p>
      <w:pPr>
        <w:pStyle w:val="Heading3"/>
      </w:pPr>
      <w:r>
        <w:t xml:space="preserve">8. Treatment</w:t>
      </w:r>
    </w:p>
    <w:p>
      <w:pPr>
        <w:pStyle w:val="Compact"/>
        <w:numPr>
          <w:ilvl w:val="0"/>
          <w:numId w:val="2193"/>
        </w:numPr>
      </w:pPr>
      <w:r>
        <w:t xml:space="preserve">AChEI (rivastigmine, donepezil) — In DLB particularly effective (cortical acetylcholine reduction stronger than in Alzheimer); rivastigmine McKeith I. Lancet 2000 RCT.</w:t>
      </w:r>
    </w:p>
    <w:p>
      <w:pPr>
        <w:pStyle w:val="Compact"/>
        <w:numPr>
          <w:ilvl w:val="0"/>
          <w:numId w:val="2193"/>
        </w:numPr>
      </w:pPr>
      <w:r>
        <w:t xml:space="preserve">Memantine — for moderate-severe cases.</w:t>
      </w:r>
    </w:p>
    <w:p>
      <w:pPr>
        <w:pStyle w:val="Compact"/>
        <w:numPr>
          <w:ilvl w:val="0"/>
          <w:numId w:val="2193"/>
        </w:numPr>
      </w:pPr>
      <w:r>
        <w:t xml:space="preserve">Parkinsonism — use levodopa with caution; it can intensify psychotic symptoms.</w:t>
      </w:r>
    </w:p>
    <w:p>
      <w:pPr>
        <w:pStyle w:val="Compact"/>
        <w:numPr>
          <w:ilvl w:val="0"/>
          <w:numId w:val="2193"/>
        </w:numPr>
      </w:pPr>
      <w:r>
        <w:t xml:space="preserve">For visual hallucinations: non-pharmacological measures first. In refractory cases quetiapine or clozapine at low dose; typical antipsychotics (haloperidol) and risperidone are contraindicated — severe neuroleptic sensitivity reaction.</w:t>
      </w:r>
    </w:p>
    <w:p>
      <w:pPr>
        <w:pStyle w:val="Compact"/>
        <w:numPr>
          <w:ilvl w:val="0"/>
          <w:numId w:val="2193"/>
        </w:numPr>
      </w:pPr>
      <w:r>
        <w:t xml:space="preserve">RBD — melatonin (3–12 mg at night) or clonazepam (low dose).</w:t>
      </w:r>
    </w:p>
    <w:p>
      <w:pPr>
        <w:pStyle w:val="Compact"/>
        <w:numPr>
          <w:ilvl w:val="0"/>
          <w:numId w:val="2193"/>
        </w:numPr>
      </w:pPr>
      <w:r>
        <w:t xml:space="preserve">For BPSD, non-pharmacological measures come first.</w:t>
      </w:r>
    </w:p>
    <w:p>
      <w:pPr>
        <w:pStyle w:val="Compact"/>
        <w:numPr>
          <w:ilvl w:val="0"/>
          <w:numId w:val="2193"/>
        </w:numPr>
      </w:pPr>
      <w:r>
        <w:t xml:space="preserve">FDA antipsychotic black box in elderly dementia patients.</w:t>
      </w:r>
    </w:p>
    <w:bookmarkStart w:id="2389" w:name="treatment-methods-81"/>
    <w:p>
      <w:pPr>
        <w:pStyle w:val="Heading4"/>
      </w:pPr>
      <w:r>
        <w:t xml:space="preserve">8.1 Treatment methods</w:t>
      </w:r>
    </w:p>
    <w:p>
      <w:pPr>
        <w:pStyle w:val="Compact"/>
        <w:numPr>
          <w:ilvl w:val="0"/>
          <w:numId w:val="2194"/>
        </w:numPr>
      </w:pPr>
      <w:r>
        <w:t xml:space="preserve">Rivastigmine AChEI — In DLB, specifically effective; patch and oral.</w:t>
      </w:r>
    </w:p>
    <w:p>
      <w:pPr>
        <w:pStyle w:val="Compact"/>
        <w:numPr>
          <w:ilvl w:val="0"/>
          <w:numId w:val="2194"/>
        </w:numPr>
      </w:pPr>
      <w:r>
        <w:t xml:space="preserve">Quetiapine/Clozapine (refractory psychosis) — Low dose; clozapine is the safest but requires monitoring.</w:t>
      </w:r>
    </w:p>
    <w:p>
      <w:pPr>
        <w:pStyle w:val="Compact"/>
        <w:numPr>
          <w:ilvl w:val="0"/>
          <w:numId w:val="2194"/>
        </w:numPr>
      </w:pPr>
      <w:r>
        <w:t xml:space="preserve">Melatonin for RBD — 3–12 mg at night.</w:t>
      </w:r>
    </w:p>
    <w:p>
      <w:pPr>
        <w:pStyle w:val="Compact"/>
        <w:numPr>
          <w:ilvl w:val="0"/>
          <w:numId w:val="2194"/>
        </w:numPr>
      </w:pPr>
      <w:r>
        <w:t xml:space="preserve">DAT-SPECT — Indicative diagnostic biomarker.</w:t>
      </w:r>
    </w:p>
    <w:bookmarkEnd w:id="2389"/>
    <w:bookmarkStart w:id="2390" w:name="differences-between-sources-149"/>
    <w:p>
      <w:pPr>
        <w:pStyle w:val="Heading4"/>
      </w:pPr>
      <w:r>
        <w:t xml:space="preserve">8.2 Differences between sources</w:t>
      </w:r>
    </w:p>
    <w:p>
      <w:pPr>
        <w:pStyle w:val="Compact"/>
        <w:numPr>
          <w:ilvl w:val="0"/>
          <w:numId w:val="2195"/>
        </w:numPr>
      </w:pPr>
      <w:r>
        <w:t xml:space="preserve">McKeith I. Lancet 2000 — rivastigmine in DLB.</w:t>
      </w:r>
    </w:p>
    <w:p>
      <w:pPr>
        <w:pStyle w:val="Compact"/>
        <w:numPr>
          <w:ilvl w:val="0"/>
          <w:numId w:val="2195"/>
        </w:numPr>
      </w:pPr>
      <w:r>
        <w:t xml:space="preserve">NICE NG97 — rivastigmine or donepezil for DLB.</w:t>
      </w:r>
    </w:p>
    <w:p>
      <w:pPr>
        <w:pStyle w:val="Compact"/>
        <w:numPr>
          <w:ilvl w:val="0"/>
          <w:numId w:val="2195"/>
        </w:numPr>
      </w:pPr>
      <w:r>
        <w:t xml:space="preserve">Antipsychotic sensitivity — McKeith I. reviews.</w:t>
      </w:r>
    </w:p>
    <w:bookmarkEnd w:id="2390"/>
    <w:bookmarkEnd w:id="2391"/>
    <w:bookmarkStart w:id="2392" w:name="X99b38781067b9dee17442e1505b7d46695ccb93"/>
    <w:p>
      <w:pPr>
        <w:pStyle w:val="Heading3"/>
      </w:pPr>
      <w:r>
        <w:t xml:space="preserve">9. Prognosis</w:t>
      </w:r>
    </w:p>
    <w:p>
      <w:pPr>
        <w:pStyle w:val="Compact"/>
        <w:numPr>
          <w:ilvl w:val="0"/>
          <w:numId w:val="2196"/>
        </w:numPr>
      </w:pPr>
      <w:r>
        <w:t xml:space="preserve">Mean life expectancy from diagnosis 5–8 years; sometimes shorter than Alzheimer's.</w:t>
      </w:r>
    </w:p>
    <w:p>
      <w:pPr>
        <w:pStyle w:val="Compact"/>
        <w:numPr>
          <w:ilvl w:val="0"/>
          <w:numId w:val="2196"/>
        </w:numPr>
      </w:pPr>
      <w:r>
        <w:t xml:space="preserve">Antipsychotic reaction is a critical complication.</w:t>
      </w:r>
    </w:p>
    <w:bookmarkEnd w:id="2392"/>
    <w:bookmarkStart w:id="2398" w:name="X7ed3918f53aea248292bd1357d033c7ab2d2d20"/>
    <w:p>
      <w:pPr>
        <w:pStyle w:val="Heading3"/>
      </w:pPr>
      <w:r>
        <w:t xml:space="preserve">10. Myths and misconceptions</w:t>
      </w:r>
    </w:p>
    <w:bookmarkStart w:id="2393" w:name="X9f87ea86bc934741523d8eca7e640c1aca144b5"/>
    <w:p>
      <w:pPr>
        <w:pStyle w:val="Heading5"/>
      </w:pPr>
      <w:r>
        <w:t xml:space="preserve">Myth 1: “DLB is only a subtype of Alzheimer's”</w:t>
      </w:r>
    </w:p>
    <w:p>
      <w:pPr>
        <w:pStyle w:val="FirstParagraph"/>
      </w:pPr>
      <w:r>
        <w:t xml:space="preserve">Evidence: distinct pathological and clinical unit; α-synuclein vs amyloid-β/tau; antipsychotic sensitivity is critical difference.</w:t>
      </w:r>
    </w:p>
    <w:bookmarkEnd w:id="2393"/>
    <w:bookmarkStart w:id="2394" w:name="myth-2-haloperidol-is-safe-in-dlb"/>
    <w:p>
      <w:pPr>
        <w:pStyle w:val="Heading5"/>
      </w:pPr>
      <w:r>
        <w:t xml:space="preserve">Myth 2: “Haloperidol is safe in DLB”</w:t>
      </w:r>
    </w:p>
    <w:p>
      <w:pPr>
        <w:pStyle w:val="FirstParagraph"/>
      </w:pPr>
      <w:r>
        <w:t xml:space="preserve">Evidence: Haloperidol and risperidone are contraindicated — neuroleptic malignant syndrome-like reaction, mortality risk high.</w:t>
      </w:r>
    </w:p>
    <w:bookmarkEnd w:id="2394"/>
    <w:bookmarkStart w:id="2395" w:name="X3876d0956808332972ed7fff56ff6b2cc80e2c1"/>
    <w:p>
      <w:pPr>
        <w:pStyle w:val="Heading5"/>
      </w:pPr>
      <w:r>
        <w:t xml:space="preserve">Myth 3: “Visual hallucinations always require treatment”</w:t>
      </w:r>
    </w:p>
    <w:p>
      <w:pPr>
        <w:pStyle w:val="FirstParagraph"/>
      </w:pPr>
      <w:r>
        <w:t xml:space="preserve">Evidence: Some patients are tolerant to hallucinations; different approach if no distress.</w:t>
      </w:r>
    </w:p>
    <w:bookmarkEnd w:id="2395"/>
    <w:bookmarkStart w:id="2396" w:name="X9d26eb340475a5d716ae3813cf7c1f1119e4aa3"/>
    <w:p>
      <w:pPr>
        <w:pStyle w:val="Heading5"/>
      </w:pPr>
      <w:r>
        <w:t xml:space="preserve">Myth 4: “Levodopa fully cures parkinsonism in DLB”</w:t>
      </w:r>
    </w:p>
    <w:p>
      <w:pPr>
        <w:pStyle w:val="FirstParagraph"/>
      </w:pPr>
      <w:r>
        <w:t xml:space="preserve">Evidence: The levodopa response is smaller than in Parkinson's disease; it can exacerbate psychotic symptoms; balance is required.</w:t>
      </w:r>
    </w:p>
    <w:bookmarkEnd w:id="2396"/>
    <w:bookmarkStart w:id="2397" w:name="myth-5-rbd-is-an-insignificant-symptom"/>
    <w:p>
      <w:pPr>
        <w:pStyle w:val="Heading5"/>
      </w:pPr>
      <w:r>
        <w:t xml:space="preserve">Myth 5: “RBD is an insignificant symptom”</w:t>
      </w:r>
    </w:p>
    <w:p>
      <w:pPr>
        <w:pStyle w:val="FirstParagraph"/>
      </w:pPr>
      <w:r>
        <w:t xml:space="preserve">Evidence: RBD is a prodrome of α-synucleinopathy (DLB, Parkinson's, MSA) — 80%+ of patients go on to develop one of these conditions within 10–15 years.</w:t>
      </w:r>
    </w:p>
    <w:bookmarkEnd w:id="2397"/>
    <w:bookmarkEnd w:id="2398"/>
    <w:bookmarkStart w:id="2934" w:name="X38eb8681d2127538e5d80230cd2b522399824e1"/>
    <w:p>
      <w:pPr>
        <w:pStyle w:val="Heading3"/>
      </w:pPr>
      <w:r>
        <w:t xml:space="preserve">11. Sources</w:t>
      </w:r>
    </w:p>
    <w:p>
      <w:pPr>
        <w:pStyle w:val="Compact"/>
        <w:numPr>
          <w:ilvl w:val="0"/>
          <w:numId w:val="2197"/>
        </w:numPr>
      </w:pPr>
      <w:r>
        <w:t xml:space="preserve">WHO. ICD-11. 6D82 Dementia due to Lewy body disease. 2024.</w:t>
      </w:r>
    </w:p>
    <w:p>
      <w:pPr>
        <w:pStyle w:val="Compact"/>
        <w:numPr>
          <w:ilvl w:val="0"/>
          <w:numId w:val="2197"/>
        </w:numPr>
      </w:pPr>
      <w:r>
        <w:t xml:space="preserve">APA. DSM-5-TR. 2022.</w:t>
      </w:r>
    </w:p>
    <w:p>
      <w:pPr>
        <w:pStyle w:val="Compact"/>
        <w:numPr>
          <w:ilvl w:val="0"/>
          <w:numId w:val="2197"/>
        </w:numPr>
      </w:pPr>
      <w:r>
        <w:t xml:space="preserve">McKeith I.G. et al. Diagnosis and management of dementia with Lewy bodies: Fourth consensus report. Neurology 2017;89(1):88–100.</w:t>
      </w:r>
    </w:p>
    <w:p>
      <w:pPr>
        <w:pStyle w:val="Compact"/>
        <w:numPr>
          <w:ilvl w:val="0"/>
          <w:numId w:val="2197"/>
        </w:numPr>
      </w:pPr>
      <w:r>
        <w:t xml:space="preserve">McKeith I. et al. Efficacy of rivastigmine in dementia with Lewy bodies: a randomised, double-blind, placebo-controlled international study. Lancet 2000;356(9247):2031–2036.</w:t>
      </w:r>
    </w:p>
    <w:p>
      <w:pPr>
        <w:pStyle w:val="Compact"/>
        <w:numPr>
          <w:ilvl w:val="0"/>
          <w:numId w:val="2197"/>
        </w:numPr>
      </w:pPr>
      <w:r>
        <w:t xml:space="preserve">NICE NG97.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399" w:name="m1056d83-frontotemporal-dementia-ftd"/>
            <w:r>
              <w:t xml:space="preserve">6D83 FRONTOTEMPORAL DEMENTIA (FTD)</w:t>
            </w:r>
            <w:bookmarkEnd w:id="2399"/>
          </w:p>
          <w:p>
            <w:pPr>
              <w:pStyle w:val="Compact"/>
              <w:ind w:firstLine="0" w:left="0"/>
            </w:pPr>
            <w:r>
              <w:rPr>
                <w:lang w:val="en"/>
              </w:rPr>
              <w:t xml:space="preserve">Frontotemporal dementia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in Pick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Major or Mild Neurocognitive Disorder Due to Frontotemporal Lobar Degeneration</w:t>
            </w:r>
          </w:p>
        </w:tc>
      </w:tr>
    </w:tbl>
    <w:bookmarkStart w:id="2400" w:name="Xc8af647a25c5faba01a251c0484ed6599cd7376"/>
    <w:p>
      <w:pPr>
        <w:pStyle w:val="Heading3"/>
      </w:pPr>
      <w:r>
        <w:t xml:space="preserve">1. Definition and nosology</w:t>
      </w:r>
    </w:p>
    <w:p>
      <w:pPr>
        <w:pStyle w:val="FirstParagraph"/>
      </w:pPr>
      <w:r>
        <w:t xml:space="preserve">Frontotemporal Dementia (FTD; ICD-11:</w:t>
      </w:r>
      <w:r>
        <w:t xml:space="preserve"> </w:t>
      </w:r>
      <w:r>
        <w:t xml:space="preserve">6D83</w:t>
      </w:r>
      <w:r>
        <w:t xml:space="preserve">; DSM-5-TR: G31.09 + F02.8x) — dementia developing from atrophy of the frontal and/or temporal lobes; typical onset between ages 45–65 (most common among early-onset dementias). Three clinical variants: bvFTD (behavioral variant) and two forms of PPA (Primary Progressive Aphasia — semantic and non-fluent).</w:t>
      </w:r>
    </w:p>
    <w:bookmarkEnd w:id="2400"/>
    <w:bookmarkStart w:id="2401" w:name="X0e1cf573cb3fb578d91b487360b80a0c0a325fe"/>
    <w:p>
      <w:pPr>
        <w:pStyle w:val="Heading3"/>
      </w:pPr>
      <w:r>
        <w:t xml:space="preserve">2. History</w:t>
      </w:r>
    </w:p>
    <w:p>
      <w:pPr>
        <w:pStyle w:val="Compact"/>
        <w:numPr>
          <w:ilvl w:val="0"/>
          <w:numId w:val="2198"/>
        </w:numPr>
      </w:pPr>
      <w:r>
        <w:t xml:space="preserve">Pick A. (1892) — “Pick's disease” — description of frontotemporal atrophy.</w:t>
      </w:r>
    </w:p>
    <w:p>
      <w:pPr>
        <w:pStyle w:val="Compact"/>
        <w:numPr>
          <w:ilvl w:val="0"/>
          <w:numId w:val="2198"/>
        </w:numPr>
      </w:pPr>
      <w:r>
        <w:t xml:space="preserve">Neary D. et al. (1998) — FTD clinical consensus criteria.</w:t>
      </w:r>
    </w:p>
    <w:p>
      <w:pPr>
        <w:pStyle w:val="Compact"/>
        <w:numPr>
          <w:ilvl w:val="0"/>
          <w:numId w:val="2198"/>
        </w:numPr>
      </w:pPr>
      <w:r>
        <w:t xml:space="preserve">Rascovsky K. et al. (2011) — updated criteria for bvFTD.</w:t>
      </w:r>
    </w:p>
    <w:bookmarkEnd w:id="2401"/>
    <w:bookmarkStart w:id="2402" w:name="X7b0c0da76141b042d800252653124bfc15309cd"/>
    <w:p>
      <w:pPr>
        <w:pStyle w:val="Heading3"/>
      </w:pPr>
      <w:r>
        <w:t xml:space="preserve">3. Epidemiology</w:t>
      </w:r>
    </w:p>
    <w:p>
      <w:pPr>
        <w:pStyle w:val="Compact"/>
        <w:numPr>
          <w:ilvl w:val="0"/>
          <w:numId w:val="2199"/>
        </w:numPr>
      </w:pPr>
      <w:r>
        <w:t xml:space="preserve">5–10% of dementia cases before age 65; Alzheimer's dominates after age 65.</w:t>
      </w:r>
    </w:p>
    <w:p>
      <w:pPr>
        <w:pStyle w:val="Compact"/>
        <w:numPr>
          <w:ilvl w:val="0"/>
          <w:numId w:val="2199"/>
        </w:numPr>
      </w:pPr>
      <w:r>
        <w:t xml:space="preserve">Sex: equal.</w:t>
      </w:r>
    </w:p>
    <w:p>
      <w:pPr>
        <w:pStyle w:val="Compact"/>
        <w:numPr>
          <w:ilvl w:val="0"/>
          <w:numId w:val="2199"/>
        </w:numPr>
      </w:pPr>
      <w:r>
        <w:t xml:space="preserve">Family history &gt;40%.</w:t>
      </w:r>
    </w:p>
    <w:p>
      <w:pPr>
        <w:pStyle w:val="Compact"/>
        <w:numPr>
          <w:ilvl w:val="0"/>
          <w:numId w:val="2199"/>
        </w:numPr>
      </w:pPr>
      <w:r>
        <w:t xml:space="preserve">Comorbidity: ALS (Amyotrophic Lateral Sclerosis) — FTD-ALS spectrum (C9orf72 mutation).</w:t>
      </w:r>
    </w:p>
    <w:bookmarkEnd w:id="2402"/>
    <w:bookmarkStart w:id="2403" w:name="X105592b2541a30ac1a1a877b2bab539a7f74874"/>
    <w:p>
      <w:pPr>
        <w:pStyle w:val="Heading3"/>
      </w:pPr>
      <w:r>
        <w:t xml:space="preserve">4. Aetiology and pathogenesis</w:t>
      </w:r>
    </w:p>
    <w:p>
      <w:pPr>
        <w:pStyle w:val="Compact"/>
        <w:numPr>
          <w:ilvl w:val="0"/>
          <w:numId w:val="2200"/>
        </w:numPr>
      </w:pPr>
      <w:r>
        <w:t xml:space="preserve">Genetic (40%) — C9orf72 (most common), MAPT, GRN mutations.</w:t>
      </w:r>
    </w:p>
    <w:p>
      <w:pPr>
        <w:pStyle w:val="Compact"/>
        <w:numPr>
          <w:ilvl w:val="0"/>
          <w:numId w:val="2200"/>
        </w:numPr>
      </w:pPr>
      <w:r>
        <w:t xml:space="preserve">Pathology — tau (Pick body, MAPT), TDP-43 (TDP-43A, B, C, D, GRN, C9orf72), FUS proteins.</w:t>
      </w:r>
    </w:p>
    <w:bookmarkEnd w:id="2403"/>
    <w:bookmarkStart w:id="2406" w:name="X834bcf933482bdd04188f4dafaf951dcb8e024c"/>
    <w:p>
      <w:pPr>
        <w:pStyle w:val="Heading3"/>
      </w:pPr>
      <w:r>
        <w:t xml:space="preserve">5. Clinical features</w:t>
      </w:r>
    </w:p>
    <w:bookmarkStart w:id="2404" w:name="bvftd-behavioral-variant-60-of-ftd"/>
    <w:p>
      <w:pPr>
        <w:pStyle w:val="Heading4"/>
      </w:pPr>
      <w:r>
        <w:t xml:space="preserve">bvFTD (Behavioral Variant, ~60% of FTD)</w:t>
      </w:r>
    </w:p>
    <w:p>
      <w:pPr>
        <w:pStyle w:val="Compact"/>
        <w:numPr>
          <w:ilvl w:val="0"/>
          <w:numId w:val="2201"/>
        </w:numPr>
      </w:pPr>
      <w:r>
        <w:t xml:space="preserve">Early personality change — apathy, disinhibition, socially inappropriate behavior, loss of empathy.</w:t>
      </w:r>
    </w:p>
    <w:p>
      <w:pPr>
        <w:pStyle w:val="Compact"/>
        <w:numPr>
          <w:ilvl w:val="0"/>
          <w:numId w:val="2201"/>
        </w:numPr>
      </w:pPr>
      <w:r>
        <w:t xml:space="preserve">Stereotypical behavior (ritualistic).</w:t>
      </w:r>
    </w:p>
    <w:p>
      <w:pPr>
        <w:pStyle w:val="Compact"/>
        <w:numPr>
          <w:ilvl w:val="0"/>
          <w:numId w:val="2201"/>
        </w:numPr>
      </w:pPr>
      <w:r>
        <w:t xml:space="preserve">Hyperoral behavior (food changes, “sweet tooth”).</w:t>
      </w:r>
    </w:p>
    <w:p>
      <w:pPr>
        <w:pStyle w:val="Compact"/>
        <w:numPr>
          <w:ilvl w:val="0"/>
          <w:numId w:val="2201"/>
        </w:numPr>
      </w:pPr>
      <w:r>
        <w:t xml:space="preserve">Executive function significantly impaired; memory and visuo-spatial relatively preserved at onset.</w:t>
      </w:r>
    </w:p>
    <w:bookmarkEnd w:id="2404"/>
    <w:bookmarkStart w:id="2405" w:name="ppa-primary-progressive-aphasia"/>
    <w:p>
      <w:pPr>
        <w:pStyle w:val="Heading4"/>
      </w:pPr>
      <w:r>
        <w:t xml:space="preserve">PPA — Primary Progressive Aphasia</w:t>
      </w:r>
    </w:p>
    <w:p>
      <w:pPr>
        <w:pStyle w:val="Compact"/>
        <w:numPr>
          <w:ilvl w:val="0"/>
          <w:numId w:val="2202"/>
        </w:numPr>
      </w:pPr>
      <w:r>
        <w:t xml:space="preserve">Non-fluent variant (nfvPPA) — grammatical difficulty, slow speech, apraxia of speech.</w:t>
      </w:r>
    </w:p>
    <w:p>
      <w:pPr>
        <w:pStyle w:val="Compact"/>
        <w:numPr>
          <w:ilvl w:val="0"/>
          <w:numId w:val="2202"/>
        </w:numPr>
      </w:pPr>
      <w:r>
        <w:t xml:space="preserve">Semantic variant (svPPA) — loss of word meaning, agnosia; fluent, but empty speech.</w:t>
      </w:r>
    </w:p>
    <w:p>
      <w:pPr>
        <w:pStyle w:val="Compact"/>
        <w:numPr>
          <w:ilvl w:val="0"/>
          <w:numId w:val="2202"/>
        </w:numPr>
      </w:pPr>
      <w:r>
        <w:t xml:space="preserve">Logopenic — associated with Alzheimer's, distinct.</w:t>
      </w:r>
    </w:p>
    <w:bookmarkEnd w:id="2405"/>
    <w:bookmarkEnd w:id="2406"/>
    <w:bookmarkStart w:id="2411" w:name="X0d26dc1ef409d3a75824b5f69b105861f93bbf6"/>
    <w:p>
      <w:pPr>
        <w:pStyle w:val="Heading3"/>
      </w:pPr>
      <w:r>
        <w:t xml:space="preserve">6. Diagnosis</w:t>
      </w:r>
    </w:p>
    <w:bookmarkStart w:id="2407" w:name="X403403595178b02cf0336a7e3500ba074795404"/>
    <w:p>
      <w:pPr>
        <w:pStyle w:val="Heading4"/>
      </w:pPr>
      <w:r>
        <w:t xml:space="preserve">6.1 Unified diagnostic criteria (Rascovsky 2011 bvFTD; Gorno-Tempini 2011 PPA)</w:t>
      </w:r>
    </w:p>
    <w:p>
      <w:pPr>
        <w:pStyle w:val="FirstParagraph"/>
      </w:pPr>
      <w:r>
        <w:t xml:space="preserve">bvFTD (Probable): ≥ 3 of 6 behavioral symptoms (disinhibition, apathy, loss of empathy, stereotypy, hyperorality, executive dysfunction) + functional impairment + neuroimaging support.</w:t>
      </w:r>
    </w:p>
    <w:p>
      <w:pPr>
        <w:pStyle w:val="BodyText"/>
      </w:pPr>
      <w:r>
        <w:t xml:space="preserve">PPA: language is primary deficit; subvariant based on clinical and neuroimaging.</w:t>
      </w:r>
    </w:p>
    <w:bookmarkEnd w:id="2407"/>
    <w:bookmarkStart w:id="2408" w:name="differences-between-sources-150"/>
    <w:p>
      <w:pPr>
        <w:pStyle w:val="Heading4"/>
      </w:pPr>
      <w:r>
        <w:t xml:space="preserve">6.2 Differences between sources</w:t>
      </w:r>
    </w:p>
    <w:p>
      <w:pPr>
        <w:pStyle w:val="Compact"/>
        <w:numPr>
          <w:ilvl w:val="0"/>
          <w:numId w:val="2203"/>
        </w:numPr>
      </w:pPr>
      <w:r>
        <w:t xml:space="preserve">Rascovsky K. et al. Brain 2011 — Behavioral Variant Frontotemporal Dementia.</w:t>
      </w:r>
    </w:p>
    <w:p>
      <w:pPr>
        <w:pStyle w:val="Compact"/>
        <w:numPr>
          <w:ilvl w:val="0"/>
          <w:numId w:val="2203"/>
        </w:numPr>
      </w:pPr>
      <w:r>
        <w:t xml:space="preserve">Gorno-Tempini M.L. et al. Neurology 2011 — PPA.</w:t>
      </w:r>
    </w:p>
    <w:bookmarkEnd w:id="2408"/>
    <w:bookmarkStart w:id="2409" w:name="diagnostic-algorithm-84"/>
    <w:p>
      <w:pPr>
        <w:pStyle w:val="Heading4"/>
      </w:pPr>
      <w:r>
        <w:t xml:space="preserve">6.3 Diagnostic algorithm</w:t>
      </w:r>
    </w:p>
    <w:p>
      <w:pPr>
        <w:pStyle w:val="Compact"/>
        <w:numPr>
          <w:ilvl w:val="0"/>
          <w:numId w:val="2204"/>
        </w:numPr>
      </w:pPr>
      <w:r>
        <w:t xml:space="preserve">Clinical interview + informant (behavioral change).</w:t>
      </w:r>
    </w:p>
    <w:p>
      <w:pPr>
        <w:pStyle w:val="Compact"/>
        <w:numPr>
          <w:ilvl w:val="0"/>
          <w:numId w:val="2204"/>
        </w:numPr>
      </w:pPr>
      <w:r>
        <w:t xml:space="preserve">Neuropsychological battery (executive function, language).</w:t>
      </w:r>
    </w:p>
    <w:p>
      <w:pPr>
        <w:pStyle w:val="Compact"/>
        <w:numPr>
          <w:ilvl w:val="0"/>
          <w:numId w:val="2204"/>
        </w:numPr>
      </w:pPr>
      <w:r>
        <w:t xml:space="preserve">Brain MRI — frontal and/or temporal atrophy.</w:t>
      </w:r>
    </w:p>
    <w:p>
      <w:pPr>
        <w:pStyle w:val="Compact"/>
        <w:numPr>
          <w:ilvl w:val="0"/>
          <w:numId w:val="2204"/>
        </w:numPr>
      </w:pPr>
      <w:r>
        <w:t xml:space="preserve">FDG-PET — hypometabolism.</w:t>
      </w:r>
    </w:p>
    <w:p>
      <w:pPr>
        <w:pStyle w:val="Compact"/>
        <w:numPr>
          <w:ilvl w:val="0"/>
          <w:numId w:val="2204"/>
        </w:numPr>
      </w:pPr>
      <w:r>
        <w:t xml:space="preserve">Genetic testing (family history).</w:t>
      </w:r>
    </w:p>
    <w:p>
      <w:pPr>
        <w:pStyle w:val="Compact"/>
        <w:numPr>
          <w:ilvl w:val="0"/>
          <w:numId w:val="2204"/>
        </w:numPr>
      </w:pPr>
      <w:r>
        <w:t xml:space="preserve">ALS screening (clinical or electromyography).</w:t>
      </w:r>
    </w:p>
    <w:bookmarkEnd w:id="2409"/>
    <w:bookmarkStart w:id="2410" w:name="differential-diagnosis-8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Memory dominant, late onset.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Late-onset schizophrenia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 atrophy.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Mania, depression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episodes.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cyclic.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Personality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Persistent, long-standing; change in FTD is new.</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Brain tumour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MRI.</w:t>
            </w:r>
          </w:p>
        </w:tc>
      </w:tr>
    </w:tbl>
    <w:bookmarkEnd w:id="2410"/>
    <w:bookmarkEnd w:id="2411"/>
    <w:bookmarkStart w:id="2412" w:name="Xad32109a080d3ab6d80e92c84f752a69c174f3f"/>
    <w:p>
      <w:pPr>
        <w:pStyle w:val="Heading3"/>
      </w:pPr>
      <w:r>
        <w:t xml:space="preserve">7. Examination and assessment</w:t>
      </w:r>
    </w:p>
    <w:p>
      <w:pPr>
        <w:pStyle w:val="Compact"/>
        <w:numPr>
          <w:ilvl w:val="0"/>
          <w:numId w:val="2205"/>
        </w:numPr>
      </w:pPr>
      <w:r>
        <w:t xml:space="preserve">FAB (Frontal Assessment Battery), neuropsychological.</w:t>
      </w:r>
    </w:p>
    <w:p>
      <w:pPr>
        <w:pStyle w:val="Compact"/>
        <w:numPr>
          <w:ilvl w:val="0"/>
          <w:numId w:val="2205"/>
        </w:numPr>
      </w:pPr>
      <w:r>
        <w:t xml:space="preserve">MRI, FDG-PET.</w:t>
      </w:r>
    </w:p>
    <w:p>
      <w:pPr>
        <w:pStyle w:val="Compact"/>
        <w:numPr>
          <w:ilvl w:val="0"/>
          <w:numId w:val="2205"/>
        </w:numPr>
      </w:pPr>
      <w:r>
        <w:t xml:space="preserve">Genetic test.</w:t>
      </w:r>
    </w:p>
    <w:p>
      <w:pPr>
        <w:pStyle w:val="Compact"/>
        <w:numPr>
          <w:ilvl w:val="0"/>
          <w:numId w:val="2205"/>
        </w:numPr>
      </w:pPr>
      <w:r>
        <w:t xml:space="preserve">ALS screening.</w:t>
      </w:r>
    </w:p>
    <w:bookmarkEnd w:id="2412"/>
    <w:bookmarkStart w:id="2415" w:name="X4437f49392dfc85cd1029ac1c6f2d5347e83cbc"/>
    <w:p>
      <w:pPr>
        <w:pStyle w:val="Heading3"/>
      </w:pPr>
      <w:r>
        <w:t xml:space="preserve">8. Treatment</w:t>
      </w:r>
    </w:p>
    <w:p>
      <w:pPr>
        <w:pStyle w:val="Compact"/>
        <w:numPr>
          <w:ilvl w:val="0"/>
          <w:numId w:val="2206"/>
        </w:numPr>
      </w:pPr>
      <w:r>
        <w:t xml:space="preserve">There is no disease-modifying medication — treatment targeting the pathological process is not yet approved (clinical trials ongoing).</w:t>
      </w:r>
    </w:p>
    <w:p>
      <w:pPr>
        <w:pStyle w:val="Compact"/>
        <w:numPr>
          <w:ilvl w:val="0"/>
          <w:numId w:val="2206"/>
        </w:numPr>
      </w:pPr>
      <w:r>
        <w:t xml:space="preserve">AChEI — ineffective or harmful in FTD (may worsen behaviour); unlike in Alzheimer's disease.</w:t>
      </w:r>
    </w:p>
    <w:p>
      <w:pPr>
        <w:pStyle w:val="Compact"/>
        <w:numPr>
          <w:ilvl w:val="0"/>
          <w:numId w:val="2206"/>
        </w:numPr>
      </w:pPr>
      <w:r>
        <w:t xml:space="preserve">SSRI — for behavioral symptoms (disinhibition, compulsivity, depression) in bvFTD; some evidence.</w:t>
      </w:r>
    </w:p>
    <w:p>
      <w:pPr>
        <w:pStyle w:val="Compact"/>
        <w:numPr>
          <w:ilvl w:val="0"/>
          <w:numId w:val="2206"/>
        </w:numPr>
      </w:pPr>
      <w:r>
        <w:t xml:space="preserve">Trazodone — for agitation; studies by Lebert F. et al.</w:t>
      </w:r>
    </w:p>
    <w:p>
      <w:pPr>
        <w:pStyle w:val="Compact"/>
        <w:numPr>
          <w:ilvl w:val="0"/>
          <w:numId w:val="2206"/>
        </w:numPr>
      </w:pPr>
      <w:r>
        <w:t xml:space="preserve">Atypical antipsychotic — only in severe behavioral disturbance, short-term, FDA black box rule.</w:t>
      </w:r>
    </w:p>
    <w:p>
      <w:pPr>
        <w:pStyle w:val="Compact"/>
        <w:numPr>
          <w:ilvl w:val="0"/>
          <w:numId w:val="2206"/>
        </w:numPr>
      </w:pPr>
      <w:r>
        <w:t xml:space="preserve">Carer support and psychoeducation critical (behavioral symptoms are difficult for the family).</w:t>
      </w:r>
    </w:p>
    <w:p>
      <w:pPr>
        <w:pStyle w:val="Compact"/>
        <w:numPr>
          <w:ilvl w:val="0"/>
          <w:numId w:val="2206"/>
        </w:numPr>
      </w:pPr>
      <w:r>
        <w:t xml:space="preserve">Nutritional support (control of hyperoral behaviour).</w:t>
      </w:r>
    </w:p>
    <w:p>
      <w:pPr>
        <w:pStyle w:val="Compact"/>
        <w:numPr>
          <w:ilvl w:val="0"/>
          <w:numId w:val="2206"/>
        </w:numPr>
      </w:pPr>
      <w:r>
        <w:t xml:space="preserve">Legal-financial planning.</w:t>
      </w:r>
    </w:p>
    <w:bookmarkStart w:id="2413" w:name="treatment-methods-82"/>
    <w:p>
      <w:pPr>
        <w:pStyle w:val="Heading4"/>
      </w:pPr>
      <w:r>
        <w:t xml:space="preserve">8.1 Treatment methods</w:t>
      </w:r>
    </w:p>
    <w:p>
      <w:pPr>
        <w:pStyle w:val="Compact"/>
        <w:numPr>
          <w:ilvl w:val="0"/>
          <w:numId w:val="2207"/>
        </w:numPr>
      </w:pPr>
      <w:r>
        <w:t xml:space="preserve">SSRI for bvFTD — Citalopram, sertraline — behavioral symptoms.</w:t>
      </w:r>
    </w:p>
    <w:p>
      <w:pPr>
        <w:pStyle w:val="Compact"/>
        <w:numPr>
          <w:ilvl w:val="0"/>
          <w:numId w:val="2207"/>
        </w:numPr>
      </w:pPr>
      <w:r>
        <w:t xml:space="preserve">Trazodone — Agitation, sleep.</w:t>
      </w:r>
    </w:p>
    <w:p>
      <w:pPr>
        <w:pStyle w:val="Compact"/>
        <w:numPr>
          <w:ilvl w:val="0"/>
          <w:numId w:val="2207"/>
        </w:numPr>
      </w:pPr>
      <w:r>
        <w:t xml:space="preserve">Non-Pharmacological — Environmental modification, structure, caregiver training.</w:t>
      </w:r>
    </w:p>
    <w:p>
      <w:pPr>
        <w:pStyle w:val="Compact"/>
        <w:numPr>
          <w:ilvl w:val="0"/>
          <w:numId w:val="2207"/>
        </w:numPr>
      </w:pPr>
      <w:r>
        <w:t xml:space="preserve">Speech-Language Therapy (SLT) — For PPA; compensatory strategies.</w:t>
      </w:r>
    </w:p>
    <w:p>
      <w:pPr>
        <w:pStyle w:val="Compact"/>
        <w:numPr>
          <w:ilvl w:val="0"/>
          <w:numId w:val="2207"/>
        </w:numPr>
      </w:pPr>
      <w:r>
        <w:t xml:space="preserve">Genetic Consultation — For family members.</w:t>
      </w:r>
    </w:p>
    <w:bookmarkEnd w:id="2413"/>
    <w:bookmarkStart w:id="2414" w:name="differences-between-sources-151"/>
    <w:p>
      <w:pPr>
        <w:pStyle w:val="Heading4"/>
      </w:pPr>
      <w:r>
        <w:t xml:space="preserve">8.2 Differences between sources</w:t>
      </w:r>
    </w:p>
    <w:p>
      <w:pPr>
        <w:pStyle w:val="Compact"/>
        <w:numPr>
          <w:ilvl w:val="0"/>
          <w:numId w:val="2208"/>
        </w:numPr>
      </w:pPr>
      <w:r>
        <w:t xml:space="preserve">NICE NG97 — does not recommend AChEI for FTD.</w:t>
      </w:r>
    </w:p>
    <w:p>
      <w:pPr>
        <w:pStyle w:val="Compact"/>
        <w:numPr>
          <w:ilvl w:val="0"/>
          <w:numId w:val="2208"/>
        </w:numPr>
      </w:pPr>
      <w:r>
        <w:t xml:space="preserve">Lebert F. et al. Dement Geriatr Cogn Disord 2004 — trazodone.</w:t>
      </w:r>
    </w:p>
    <w:bookmarkEnd w:id="2414"/>
    <w:bookmarkEnd w:id="2415"/>
    <w:bookmarkStart w:id="2416" w:name="Xbf87c2babc3d3466780d5c77366e62595b5e360"/>
    <w:p>
      <w:pPr>
        <w:pStyle w:val="Heading3"/>
      </w:pPr>
      <w:r>
        <w:t xml:space="preserve">9. Prognosis</w:t>
      </w:r>
    </w:p>
    <w:p>
      <w:pPr>
        <w:pStyle w:val="Compact"/>
        <w:numPr>
          <w:ilvl w:val="0"/>
          <w:numId w:val="2209"/>
        </w:numPr>
      </w:pPr>
      <w:r>
        <w:t xml:space="preserve">After diagnosis, median life expectancy is 6–11 years; FTD-ALS is shorter (3 years).</w:t>
      </w:r>
    </w:p>
    <w:p>
      <w:pPr>
        <w:pStyle w:val="Compact"/>
        <w:numPr>
          <w:ilvl w:val="0"/>
          <w:numId w:val="2209"/>
        </w:numPr>
      </w:pPr>
      <w:r>
        <w:t xml:space="preserve">Rapid decline with some mutations.</w:t>
      </w:r>
    </w:p>
    <w:bookmarkEnd w:id="2416"/>
    <w:bookmarkStart w:id="2422" w:name="Xdf0ea7924b11cb52479b0363c760f181a3d0797"/>
    <w:p>
      <w:pPr>
        <w:pStyle w:val="Heading3"/>
      </w:pPr>
      <w:r>
        <w:t xml:space="preserve">10. Myths and misconceptions</w:t>
      </w:r>
    </w:p>
    <w:bookmarkStart w:id="2417" w:name="myth-1-ftd-is-a-subtype-of-alzheimers"/>
    <w:p>
      <w:pPr>
        <w:pStyle w:val="Heading5"/>
      </w:pPr>
      <w:r>
        <w:t xml:space="preserve">Myth 1: “FTD is a subtype of Alzheimer's”</w:t>
      </w:r>
    </w:p>
    <w:p>
      <w:pPr>
        <w:pStyle w:val="FirstParagraph"/>
      </w:pPr>
      <w:r>
        <w:t xml:space="preserve">Evidence: distinct pathological and clinical unit; tau, TDP-43, FUS pathologies; AChEI ineffective.</w:t>
      </w:r>
    </w:p>
    <w:bookmarkEnd w:id="2417"/>
    <w:bookmarkStart w:id="2418" w:name="Xb7028ccea8d338a5064374fa0afa590cab1684a"/>
    <w:p>
      <w:pPr>
        <w:pStyle w:val="Heading5"/>
      </w:pPr>
      <w:r>
        <w:t xml:space="preserve">Myth 2: “AChEIs can be used in all dementias”</w:t>
      </w:r>
    </w:p>
    <w:p>
      <w:pPr>
        <w:pStyle w:val="FirstParagraph"/>
      </w:pPr>
      <w:r>
        <w:t xml:space="preserve">Evidence: AChEIs ineffective or harmful in FTD; NICE NG97 does not recommend.</w:t>
      </w:r>
    </w:p>
    <w:bookmarkEnd w:id="2418"/>
    <w:bookmarkStart w:id="2419" w:name="X9773cde1064f19e35179b62b0e6d2f7b3152e7c"/>
    <w:p>
      <w:pPr>
        <w:pStyle w:val="Heading5"/>
      </w:pPr>
      <w:r>
        <w:t xml:space="preserve">Myth 3: “Behavioral change is only a psychiatric problem”</w:t>
      </w:r>
    </w:p>
    <w:p>
      <w:pPr>
        <w:pStyle w:val="FirstParagraph"/>
      </w:pPr>
      <w:r>
        <w:t xml:space="preserve">Evidence: Early onset behavioral change (45–65 years) should raise suspicion for FTD; neuroimaging is important.</w:t>
      </w:r>
    </w:p>
    <w:bookmarkEnd w:id="2419"/>
    <w:bookmarkStart w:id="2420" w:name="X9c8865dfee0771dea321e70d01420e34e1449bf"/>
    <w:p>
      <w:pPr>
        <w:pStyle w:val="Heading5"/>
      </w:pPr>
      <w:r>
        <w:t xml:space="preserve">Myth 4: “FTD is not genetic without a family history”</w:t>
      </w:r>
    </w:p>
    <w:p>
      <w:pPr>
        <w:pStyle w:val="FirstParagraph"/>
      </w:pPr>
      <w:r>
        <w:t xml:space="preserve">Evidence: 40% of cases have a family history; sporadic cases are also possible; C9orf72 expansion may be occult.</w:t>
      </w:r>
    </w:p>
    <w:bookmarkEnd w:id="2420"/>
    <w:bookmarkStart w:id="2421" w:name="X6673aaeca76da5c2d0ee9a31eb1918ed9257731"/>
    <w:p>
      <w:pPr>
        <w:pStyle w:val="Heading5"/>
      </w:pPr>
      <w:r>
        <w:t xml:space="preserve">Myth 5: “The behavior of a patient with FTD is voluntary”</w:t>
      </w:r>
    </w:p>
    <w:p>
      <w:pPr>
        <w:pStyle w:val="FirstParagraph"/>
      </w:pPr>
      <w:r>
        <w:t xml:space="preserve">Evidence: behavioral alterations neurobiological — frontal lobe dysfunction; volitional control impaired.</w:t>
      </w:r>
    </w:p>
    <w:bookmarkEnd w:id="2421"/>
    <w:bookmarkEnd w:id="2422"/>
    <w:bookmarkStart w:id="2423" w:name="X446c4cbd59bcaec86cce1f5411cd2e0b24d26b4"/>
    <w:p>
      <w:pPr>
        <w:pStyle w:val="Heading3"/>
      </w:pPr>
      <w:r>
        <w:t xml:space="preserve">11. Sources</w:t>
      </w:r>
    </w:p>
    <w:p>
      <w:pPr>
        <w:pStyle w:val="Compact"/>
        <w:numPr>
          <w:ilvl w:val="0"/>
          <w:numId w:val="2210"/>
        </w:numPr>
      </w:pPr>
      <w:r>
        <w:t xml:space="preserve">WHO. ICD-11. 6D83 Dementia due to frontotemporal lobar degeneration. 2024.</w:t>
      </w:r>
    </w:p>
    <w:p>
      <w:pPr>
        <w:pStyle w:val="Compact"/>
        <w:numPr>
          <w:ilvl w:val="0"/>
          <w:numId w:val="2210"/>
        </w:numPr>
      </w:pPr>
      <w:r>
        <w:t xml:space="preserve">APA. DSM-5-TR. 2022.</w:t>
      </w:r>
    </w:p>
    <w:p>
      <w:pPr>
        <w:pStyle w:val="Compact"/>
        <w:numPr>
          <w:ilvl w:val="0"/>
          <w:numId w:val="2210"/>
        </w:numPr>
      </w:pPr>
      <w:r>
        <w:t xml:space="preserve">Rascovsky K. et al. Sensitivity of revised diagnostic criteria for the behavioural variant of frontotemporal dementia. Brain 2011;134(Pt 9):2456–2477.</w:t>
      </w:r>
    </w:p>
    <w:p>
      <w:pPr>
        <w:pStyle w:val="Compact"/>
        <w:numPr>
          <w:ilvl w:val="0"/>
          <w:numId w:val="2210"/>
        </w:numPr>
      </w:pPr>
      <w:r>
        <w:t xml:space="preserve">Gorno-Tempini M.L. et al. Classification of primary progressive aphasia and its variants. Neurology 2011;76(11):1006–1014.</w:t>
      </w:r>
    </w:p>
    <w:p>
      <w:pPr>
        <w:pStyle w:val="Compact"/>
        <w:numPr>
          <w:ilvl w:val="0"/>
          <w:numId w:val="2210"/>
        </w:numPr>
      </w:pPr>
      <w:r>
        <w:t xml:space="preserve">NICE NG97. 2018.</w:t>
      </w:r>
    </w:p>
    <w:p>
      <w:pPr>
        <w:pStyle w:val="Compact"/>
        <w:numPr>
          <w:ilvl w:val="0"/>
          <w:numId w:val="2210"/>
        </w:numPr>
      </w:pPr>
      <w:r>
        <w:t xml:space="preserve">Lebert F. et al. Frontotemporal dementia: a randomised, controlled trial with trazodone. Dement Geriatr Cogn Disord 2004;17(4):355–359.</w:t>
      </w:r>
    </w:p>
    <w:bookmarkEnd w:id="2423"/>
    <w:bookmarkStart w:id="2424" w:name="m1066e206e2z-perinatal-disorders"/>
    <w:p>
      <w:pPr>
        <w:pageBreakBefore/>
        <w:pStyle w:val="Heading1"/>
      </w:pPr>
      <w:r>
        <w:t xml:space="preserve">6E20–6E2Z PERINATAL DISORDERS</w:t>
      </w:r>
    </w:p>
    <w:p>
      <w:pPr>
        <w:pStyle w:val="FirstParagraph"/>
      </w:pPr>
      <w:r>
        <w:t xml:space="preserve">Mental or behavioural disorders associated with pregnancy, childbirth or the puerperium</w:t>
      </w:r>
    </w:p>
    <w:bookmarkEnd w:id="2424"/>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25" w:name="X4680dea29dafb4cdeb0e76136cdf4c0a242ee73"/>
            <w:r>
              <w:t xml:space="preserve">6E20 MENTAL OR BEHAVIOURAL DISORDERS ASSOCIATED WITH PREGNANCY, CHILDBIRTH OR THE PUERPERIUM, WITHOUT PSYCHOTIC SYMPTOMS</w:t>
            </w:r>
            <w:bookmarkEnd w:id="2425"/>
          </w:p>
          <w:p>
            <w:pPr>
              <w:pStyle w:val="Compact"/>
              <w:ind w:firstLine="0" w:left="0"/>
            </w:pPr>
            <w:r>
              <w:rPr>
                <w:lang w:val="en"/>
              </w:rPr>
              <w:t xml:space="preserve">Mental or behavioural disorders associated with pregnancy, childbirth or the puerperium, without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Mild mental and behavioural disorders associated with the puerperium, not elsewhere classified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Peripartum onset specifier (no separate DSM-5-TR category)</w:t>
            </w:r>
          </w:p>
        </w:tc>
      </w:tr>
    </w:tbl>
    <w:bookmarkStart w:id="2426" w:name="Xff8d404b3ba8951431c48e4c76f9721d1385929"/>
    <w:p>
      <w:pPr>
        <w:pStyle w:val="Heading3"/>
      </w:pPr>
      <w:r>
        <w:t xml:space="preserve">1. Definition and nosology</w:t>
      </w:r>
    </w:p>
    <w:p>
      <w:pPr>
        <w:pStyle w:val="FirstParagraph"/>
      </w:pPr>
      <w:r>
        <w:t xml:space="preserve">Postnatal Depression (ICD-11:</w:t>
      </w:r>
      <w:r>
        <w:t xml:space="preserve"> </w:t>
      </w:r>
      <w:r>
        <w:t xml:space="preserve">6E20</w:t>
      </w:r>
      <w:r>
        <w:t xml:space="preserve">; DSM-5-TR: F32.x / F33.x Major Depressive Disorder with peripartum onset specifier) — a major depressive episode developing after childbirth (typically first 6 months; some guidelines up to 1 year). Affects 10–15% of women.</w:t>
      </w:r>
    </w:p>
    <w:bookmarkEnd w:id="2426"/>
    <w:bookmarkStart w:id="2427" w:name="X7d838fd747bff04431a8a1d333c673c39654d04"/>
    <w:p>
      <w:pPr>
        <w:pStyle w:val="Heading3"/>
      </w:pPr>
      <w:r>
        <w:t xml:space="preserve">2. History</w:t>
      </w:r>
    </w:p>
    <w:p>
      <w:pPr>
        <w:pStyle w:val="Compact"/>
        <w:numPr>
          <w:ilvl w:val="0"/>
          <w:numId w:val="2211"/>
        </w:numPr>
      </w:pPr>
      <w:r>
        <w:t xml:space="preserve">Marcé L.V. (1858) — first clinical description of postpartum psychosis and depression.</w:t>
      </w:r>
    </w:p>
    <w:p>
      <w:pPr>
        <w:pStyle w:val="Compact"/>
        <w:numPr>
          <w:ilvl w:val="0"/>
          <w:numId w:val="2211"/>
        </w:numPr>
      </w:pPr>
      <w:r>
        <w:t xml:space="preserve">EPDS — Cox J.L. et al. (1987) — Edinburgh Postnatal Depression Scale.</w:t>
      </w:r>
    </w:p>
    <w:p>
      <w:pPr>
        <w:pStyle w:val="Compact"/>
        <w:numPr>
          <w:ilvl w:val="0"/>
          <w:numId w:val="2211"/>
        </w:numPr>
      </w:pPr>
      <w:r>
        <w:t xml:space="preserve">NICE CG192 (2014, 2018) — antenatal and postnatal mental health.</w:t>
      </w:r>
    </w:p>
    <w:p>
      <w:pPr>
        <w:pStyle w:val="Compact"/>
        <w:numPr>
          <w:ilvl w:val="0"/>
          <w:numId w:val="2211"/>
        </w:numPr>
      </w:pPr>
      <w:r>
        <w:t xml:space="preserve">FDA — brexanolone (2019), zuranolone (2023) — first specifically approved drugs for postpartum depression.</w:t>
      </w:r>
    </w:p>
    <w:bookmarkEnd w:id="2427"/>
    <w:bookmarkStart w:id="2428" w:name="X2b87eacf52c1709f156ce3d76099066a4d9f67c"/>
    <w:p>
      <w:pPr>
        <w:pStyle w:val="Heading3"/>
      </w:pPr>
      <w:r>
        <w:t xml:space="preserve">3. Epidemiology</w:t>
      </w:r>
    </w:p>
    <w:p>
      <w:pPr>
        <w:pStyle w:val="Compact"/>
        <w:numPr>
          <w:ilvl w:val="0"/>
          <w:numId w:val="2212"/>
        </w:numPr>
      </w:pPr>
      <w:r>
        <w:t xml:space="preserve">Prevalence: 10–15% (high-income countries), 20–30% (low- and middle-income countries).</w:t>
      </w:r>
    </w:p>
    <w:p>
      <w:pPr>
        <w:pStyle w:val="Compact"/>
        <w:numPr>
          <w:ilvl w:val="0"/>
          <w:numId w:val="2212"/>
        </w:numPr>
      </w:pPr>
      <w:r>
        <w:t xml:space="preserve">“Baby blues” — milder, short-term (1–2 weeks) — occurs in 50–80% of women; does not require clinical intervention.</w:t>
      </w:r>
    </w:p>
    <w:p>
      <w:pPr>
        <w:pStyle w:val="Compact"/>
        <w:numPr>
          <w:ilvl w:val="0"/>
          <w:numId w:val="2212"/>
        </w:numPr>
      </w:pPr>
      <w:r>
        <w:t xml:space="preserve">Comorbidity: anxiety, OCD, panic.</w:t>
      </w:r>
    </w:p>
    <w:p>
      <w:pPr>
        <w:pStyle w:val="Compact"/>
        <w:numPr>
          <w:ilvl w:val="0"/>
          <w:numId w:val="2212"/>
        </w:numPr>
      </w:pPr>
      <w:r>
        <w:t xml:space="preserve">Risk factors: previous depression, family history, depression during pregnancy, lack of partner support, socio-economic stress.</w:t>
      </w:r>
    </w:p>
    <w:bookmarkEnd w:id="2428"/>
    <w:bookmarkStart w:id="2429" w:name="X50b1302e5ce6a5447c6ae51e84c16fef7d77992"/>
    <w:p>
      <w:pPr>
        <w:pStyle w:val="Heading3"/>
      </w:pPr>
      <w:r>
        <w:t xml:space="preserve">4. Aetiology and pathogenesis</w:t>
      </w:r>
    </w:p>
    <w:p>
      <w:pPr>
        <w:pStyle w:val="Compact"/>
        <w:numPr>
          <w:ilvl w:val="0"/>
          <w:numId w:val="2213"/>
        </w:numPr>
      </w:pPr>
      <w:r>
        <w:t xml:space="preserve">Hormonal — sharp drop in estrogen and progesterone after childbirth; allopregnanolone dysregulation.</w:t>
      </w:r>
    </w:p>
    <w:p>
      <w:pPr>
        <w:pStyle w:val="Compact"/>
        <w:numPr>
          <w:ilvl w:val="0"/>
          <w:numId w:val="2213"/>
        </w:numPr>
      </w:pPr>
      <w:r>
        <w:t xml:space="preserve">Sleep disturbance with newborn care.</w:t>
      </w:r>
    </w:p>
    <w:p>
      <w:pPr>
        <w:pStyle w:val="Compact"/>
        <w:numPr>
          <w:ilvl w:val="0"/>
          <w:numId w:val="2213"/>
        </w:numPr>
      </w:pPr>
      <w:r>
        <w:t xml:space="preserve">Psychosocial stress, relationships, social support.</w:t>
      </w:r>
    </w:p>
    <w:p>
      <w:pPr>
        <w:pStyle w:val="Compact"/>
        <w:numPr>
          <w:ilvl w:val="0"/>
          <w:numId w:val="2213"/>
        </w:numPr>
      </w:pPr>
      <w:r>
        <w:t xml:space="preserve">Genetic and prior history of affective disorder.</w:t>
      </w:r>
    </w:p>
    <w:bookmarkEnd w:id="2429"/>
    <w:bookmarkStart w:id="2430" w:name="X9b3f44ec11f4b2f6ffb013519b5e28d643f47b9"/>
    <w:p>
      <w:pPr>
        <w:pStyle w:val="Heading3"/>
      </w:pPr>
      <w:r>
        <w:t xml:space="preserve">5. Clinical features</w:t>
      </w:r>
    </w:p>
    <w:p>
      <w:pPr>
        <w:pStyle w:val="Compact"/>
        <w:numPr>
          <w:ilvl w:val="0"/>
          <w:numId w:val="2214"/>
        </w:numPr>
      </w:pPr>
      <w:r>
        <w:t xml:space="preserve">Major depressive episode symptoms (sleep disturbance, appetite loss, anhedonia, worthlessness, suicidal thoughts).</w:t>
      </w:r>
    </w:p>
    <w:p>
      <w:pPr>
        <w:pStyle w:val="Compact"/>
        <w:numPr>
          <w:ilvl w:val="0"/>
          <w:numId w:val="2214"/>
        </w:numPr>
      </w:pPr>
      <w:r>
        <w:t xml:space="preserve">Specific characteristics: affective distancing towards the infant, difficulties in infant bonding, belief in inability to fulfill the maternal role, intrusive thoughts regarding harming the infant (ego-dystonic — similar to OCD; distinct from postpartum psychosis).</w:t>
      </w:r>
    </w:p>
    <w:p>
      <w:pPr>
        <w:pStyle w:val="Compact"/>
        <w:numPr>
          <w:ilvl w:val="0"/>
          <w:numId w:val="2214"/>
        </w:numPr>
      </w:pPr>
      <w:r>
        <w:t xml:space="preserve">Suicide risk and, in rare cases, infanticide (higher in postnatal psychosis).</w:t>
      </w:r>
    </w:p>
    <w:bookmarkEnd w:id="2430"/>
    <w:bookmarkStart w:id="2435" w:name="Xe733910d032b9c37f1d2155efb3631a0480e735"/>
    <w:p>
      <w:pPr>
        <w:pStyle w:val="Heading3"/>
      </w:pPr>
      <w:r>
        <w:t xml:space="preserve">6. Diagnosis</w:t>
      </w:r>
    </w:p>
    <w:bookmarkStart w:id="2431" w:name="unified-diagnostic-criteria-59"/>
    <w:p>
      <w:pPr>
        <w:pStyle w:val="Heading4"/>
      </w:pPr>
      <w:r>
        <w:t xml:space="preserve">6.1 Unified diagnostic criteria</w:t>
      </w:r>
    </w:p>
    <w:p>
      <w:pPr>
        <w:pStyle w:val="FirstParagraph"/>
      </w:pPr>
      <w:r>
        <w:t xml:space="preserve">Major depressive episode criteria (DSM-5-TR 5+ symptoms for 2 weeks; ICD-11) + peripartum onset specifier (DSM-5-TR — during pregnancy or within 4 weeks postpartum; ICD-11 — broader, up to 6 months-1 year).</w:t>
      </w:r>
    </w:p>
    <w:bookmarkEnd w:id="2431"/>
    <w:bookmarkStart w:id="2432" w:name="differences-between-sources-152"/>
    <w:p>
      <w:pPr>
        <w:pStyle w:val="Heading4"/>
      </w:pPr>
      <w:r>
        <w:t xml:space="preserve">6.2 Differences between sources</w:t>
      </w:r>
    </w:p>
    <w:p>
      <w:pPr>
        <w:pStyle w:val="Compact"/>
        <w:numPr>
          <w:ilvl w:val="0"/>
          <w:numId w:val="2215"/>
        </w:numPr>
      </w:pPr>
      <w:r>
        <w:t xml:space="preserve">NICE CG192 (2014, 2018) — diagnosis and treatment.</w:t>
      </w:r>
    </w:p>
    <w:p>
      <w:pPr>
        <w:pStyle w:val="Compact"/>
        <w:numPr>
          <w:ilvl w:val="0"/>
          <w:numId w:val="2215"/>
        </w:numPr>
      </w:pPr>
      <w:r>
        <w:t xml:space="preserve">ACOG Committee Opinion 757 (2018) — perinatal depression screening.</w:t>
      </w:r>
    </w:p>
    <w:p>
      <w:pPr>
        <w:pStyle w:val="Compact"/>
        <w:numPr>
          <w:ilvl w:val="0"/>
          <w:numId w:val="2215"/>
        </w:numPr>
      </w:pPr>
      <w:r>
        <w:t xml:space="preserve">USPSTF — screening in pregnant and postpartum women.</w:t>
      </w:r>
    </w:p>
    <w:bookmarkEnd w:id="2432"/>
    <w:bookmarkStart w:id="2433" w:name="diagnostic-algorithm-85"/>
    <w:p>
      <w:pPr>
        <w:pStyle w:val="Heading4"/>
      </w:pPr>
      <w:r>
        <w:t xml:space="preserve">6.3 Diagnostic algorithm</w:t>
      </w:r>
    </w:p>
    <w:p>
      <w:pPr>
        <w:pStyle w:val="Compact"/>
        <w:numPr>
          <w:ilvl w:val="0"/>
          <w:numId w:val="2216"/>
        </w:numPr>
      </w:pPr>
      <w:r>
        <w:t xml:space="preserve">EPDS (Edinburgh Postnatal Depression Scale, 10 items) — gold standard screening; cut-off ≥ 10 — possible depression (sensitive screening threshold), ≥ 13 — probable major depression.</w:t>
      </w:r>
    </w:p>
    <w:p>
      <w:pPr>
        <w:pStyle w:val="Compact"/>
        <w:numPr>
          <w:ilvl w:val="0"/>
          <w:numId w:val="2216"/>
        </w:numPr>
      </w:pPr>
      <w:r>
        <w:t xml:space="preserve">Clinical interview (assessment of the need for hospitalisation and of suicide risk).</w:t>
      </w:r>
    </w:p>
    <w:p>
      <w:pPr>
        <w:pStyle w:val="Compact"/>
        <w:numPr>
          <w:ilvl w:val="0"/>
          <w:numId w:val="2216"/>
        </w:numPr>
      </w:pPr>
      <w:r>
        <w:t xml:space="preserve">Postnatal psychosis differential — urgent hospitalization if psychotic symptoms present.</w:t>
      </w:r>
    </w:p>
    <w:p>
      <w:pPr>
        <w:pStyle w:val="Compact"/>
        <w:numPr>
          <w:ilvl w:val="0"/>
          <w:numId w:val="2216"/>
        </w:numPr>
      </w:pPr>
      <w:r>
        <w:t xml:space="preserve">Medical evaluation — thyroid (postpartum thyroiditis), anemia.</w:t>
      </w:r>
    </w:p>
    <w:p>
      <w:pPr>
        <w:pStyle w:val="Compact"/>
        <w:numPr>
          <w:ilvl w:val="0"/>
          <w:numId w:val="2216"/>
        </w:numPr>
      </w:pPr>
      <w:r>
        <w:t xml:space="preserve">Comorbid anxiety, OCD screening.</w:t>
      </w:r>
    </w:p>
    <w:bookmarkEnd w:id="2433"/>
    <w:bookmarkStart w:id="2434" w:name="differential-diagnosis-8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2 weeks, mild, does not require clinical intervention.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psychosis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symptoms; urgent hospitalization.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depressive episode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manic/hypomanic episode.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Postpartum thyroiditis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Anemia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Hemoglobin.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OCD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intrusions of harm to infant; comorbid postnatal depression.</w:t>
            </w:r>
          </w:p>
        </w:tc>
      </w:tr>
    </w:tbl>
    <w:bookmarkEnd w:id="2434"/>
    <w:bookmarkEnd w:id="2435"/>
    <w:bookmarkStart w:id="2436" w:name="Xc5cc9151b1d9b5d65a94f8681d6c1012b41e9d1"/>
    <w:p>
      <w:pPr>
        <w:pStyle w:val="Heading3"/>
      </w:pPr>
      <w:r>
        <w:t xml:space="preserve">7. Examination and assessment</w:t>
      </w:r>
    </w:p>
    <w:p>
      <w:pPr>
        <w:pStyle w:val="Compact"/>
        <w:numPr>
          <w:ilvl w:val="0"/>
          <w:numId w:val="2217"/>
        </w:numPr>
      </w:pPr>
      <w:r>
        <w:t xml:space="preserve">EPDS, PHQ-9.</w:t>
      </w:r>
    </w:p>
    <w:p>
      <w:pPr>
        <w:pStyle w:val="Compact"/>
        <w:numPr>
          <w:ilvl w:val="0"/>
          <w:numId w:val="2217"/>
        </w:numPr>
      </w:pPr>
      <w:r>
        <w:t xml:space="preserve">C-SSRS — suicide and risk of harm to infant.</w:t>
      </w:r>
    </w:p>
    <w:p>
      <w:pPr>
        <w:pStyle w:val="Compact"/>
        <w:numPr>
          <w:ilvl w:val="0"/>
          <w:numId w:val="2217"/>
        </w:numPr>
      </w:pPr>
      <w:r>
        <w:t xml:space="preserve">TSH, hemoglobin.</w:t>
      </w:r>
    </w:p>
    <w:bookmarkEnd w:id="2436"/>
    <w:bookmarkStart w:id="2440" w:name="X49f7877ed0f126824cfaec63dd470c1a7eccdd3"/>
    <w:p>
      <w:pPr>
        <w:pStyle w:val="Heading3"/>
      </w:pPr>
      <w:r>
        <w:t xml:space="preserve">8. Treatment</w:t>
      </w:r>
    </w:p>
    <w:bookmarkStart w:id="2437" w:name="general-principles-nice-cg192-acog-apa"/>
    <w:p>
      <w:pPr>
        <w:pStyle w:val="Heading4"/>
      </w:pPr>
      <w:r>
        <w:t xml:space="preserve">8.1 General principles (NICE CG192 · ACOG · APA)</w:t>
      </w:r>
    </w:p>
    <w:p>
      <w:pPr>
        <w:pStyle w:val="Compact"/>
        <w:numPr>
          <w:ilvl w:val="0"/>
          <w:numId w:val="2218"/>
        </w:numPr>
      </w:pPr>
      <w:r>
        <w:t xml:space="preserve">Mild-moderate: Psychotherapy is first-line — CBT, IPT (particularly adapted to the perinatal context).</w:t>
      </w:r>
    </w:p>
    <w:p>
      <w:pPr>
        <w:pStyle w:val="Compact"/>
        <w:numPr>
          <w:ilvl w:val="0"/>
          <w:numId w:val="2218"/>
        </w:numPr>
      </w:pPr>
      <w:r>
        <w:t xml:space="preserve">Moderate-severe: psychotherapy + SSRI. In breastfeeding context:</w:t>
      </w:r>
    </w:p>
    <w:p>
      <w:pPr>
        <w:pStyle w:val="Compact"/>
        <w:numPr>
          <w:ilvl w:val="1"/>
          <w:numId w:val="2219"/>
        </w:numPr>
      </w:pPr>
      <w:r>
        <w:t xml:space="preserve">Sertraline (least excreted into milk) and paroxetine — first-line;</w:t>
      </w:r>
    </w:p>
    <w:p>
      <w:pPr>
        <w:pStyle w:val="Compact"/>
        <w:numPr>
          <w:ilvl w:val="1"/>
          <w:numId w:val="2219"/>
        </w:numPr>
      </w:pPr>
      <w:r>
        <w:t xml:space="preserve">Fluoxetine — long half-life, use with caution;</w:t>
      </w:r>
    </w:p>
    <w:p>
      <w:pPr>
        <w:pStyle w:val="Compact"/>
        <w:numPr>
          <w:ilvl w:val="1"/>
          <w:numId w:val="2219"/>
        </w:numPr>
      </w:pPr>
      <w:r>
        <w:t xml:space="preserve">Citalopram, escitalopram — appropriate.</w:t>
      </w:r>
    </w:p>
    <w:p>
      <w:pPr>
        <w:pStyle w:val="Compact"/>
        <w:numPr>
          <w:ilvl w:val="0"/>
          <w:numId w:val="2218"/>
        </w:numPr>
      </w:pPr>
      <w:r>
        <w:t xml:space="preserve">Refractory severe PPD:</w:t>
      </w:r>
    </w:p>
    <w:p>
      <w:pPr>
        <w:pStyle w:val="Compact"/>
        <w:numPr>
          <w:ilvl w:val="1"/>
          <w:numId w:val="2220"/>
        </w:numPr>
      </w:pPr>
      <w:r>
        <w:t xml:space="preserve">Brexanolone (Zulresso) — IV 60-hour infusion; FDA 2019 approval; monitored in clinic under REMS program; rapid effect.</w:t>
      </w:r>
    </w:p>
    <w:p>
      <w:pPr>
        <w:pStyle w:val="Compact"/>
        <w:numPr>
          <w:ilvl w:val="1"/>
          <w:numId w:val="2220"/>
        </w:numPr>
      </w:pPr>
      <w:r>
        <w:t xml:space="preserve">Zuranolone (Zurzuvae) — oral 14 days; FDA 2023 approval; more convenient.</w:t>
      </w:r>
    </w:p>
    <w:p>
      <w:pPr>
        <w:pStyle w:val="Compact"/>
        <w:numPr>
          <w:ilvl w:val="0"/>
          <w:numId w:val="2218"/>
        </w:numPr>
      </w:pPr>
      <w:r>
        <w:t xml:space="preserve">ECT — psychotic depression, severe suicide risk, impaired food intake, also safe during pregnancy.</w:t>
      </w:r>
    </w:p>
    <w:p>
      <w:pPr>
        <w:pStyle w:val="Compact"/>
        <w:numPr>
          <w:ilvl w:val="0"/>
          <w:numId w:val="2218"/>
        </w:numPr>
      </w:pPr>
      <w:r>
        <w:t xml:space="preserve">Family support, peer support (e.g., PND helpline).</w:t>
      </w:r>
    </w:p>
    <w:p>
      <w:pPr>
        <w:pStyle w:val="Compact"/>
        <w:numPr>
          <w:ilvl w:val="0"/>
          <w:numId w:val="2218"/>
        </w:numPr>
      </w:pPr>
      <w:r>
        <w:t xml:space="preserve">Social service and mother-infant bonding support.</w:t>
      </w:r>
    </w:p>
    <w:p>
      <w:pPr>
        <w:pStyle w:val="Compact"/>
        <w:numPr>
          <w:ilvl w:val="0"/>
          <w:numId w:val="2218"/>
        </w:numPr>
      </w:pPr>
      <w:r>
        <w:t xml:space="preserve">Sleep hygiene and involvement of family members in night care.</w:t>
      </w:r>
    </w:p>
    <w:bookmarkEnd w:id="2437"/>
    <w:bookmarkStart w:id="2438" w:name="treatment-methods-83"/>
    <w:p>
      <w:pPr>
        <w:pStyle w:val="Heading4"/>
      </w:pPr>
      <w:r>
        <w:t xml:space="preserve">8.2 Treatment methods</w:t>
      </w:r>
    </w:p>
    <w:p>
      <w:pPr>
        <w:pStyle w:val="Compact"/>
        <w:numPr>
          <w:ilvl w:val="0"/>
          <w:numId w:val="2221"/>
        </w:numPr>
      </w:pPr>
      <w:r>
        <w:t xml:space="preserve">Perinatal Interpersonal Therapy (IPT) — Stuart (Stuart S.), Robertson (Robertson M.) — Major role transitions, partner relationships, social support system.</w:t>
      </w:r>
    </w:p>
    <w:p>
      <w:pPr>
        <w:pStyle w:val="Compact"/>
        <w:numPr>
          <w:ilvl w:val="0"/>
          <w:numId w:val="2221"/>
        </w:numPr>
      </w:pPr>
      <w:r>
        <w:t xml:space="preserve">CBT Perinatal Adapted — Cognitive disturbances, behavioral activation.</w:t>
      </w:r>
    </w:p>
    <w:p>
      <w:pPr>
        <w:pStyle w:val="Compact"/>
        <w:numPr>
          <w:ilvl w:val="0"/>
          <w:numId w:val="2221"/>
        </w:numPr>
      </w:pPr>
      <w:r>
        <w:t xml:space="preserve">Brexanolone (Zulresso) — IV 60-hour; REMS program; clinic monitoring.</w:t>
      </w:r>
    </w:p>
    <w:p>
      <w:pPr>
        <w:pStyle w:val="Compact"/>
        <w:numPr>
          <w:ilvl w:val="0"/>
          <w:numId w:val="2221"/>
        </w:numPr>
      </w:pPr>
      <w:r>
        <w:t xml:space="preserve">Edinburgh Postnatal Depression Scale (EPDS) — 10-item self-assessment.</w:t>
      </w:r>
    </w:p>
    <w:p>
      <w:pPr>
        <w:pStyle w:val="Compact"/>
        <w:numPr>
          <w:ilvl w:val="0"/>
          <w:numId w:val="2221"/>
        </w:numPr>
      </w:pPr>
      <w:r>
        <w:t xml:space="preserve">ECT — Safe in pregnancy and lactation; in severe refractory cases.</w:t>
      </w:r>
    </w:p>
    <w:bookmarkEnd w:id="2438"/>
    <w:bookmarkStart w:id="2439" w:name="differences-between-sources-153"/>
    <w:p>
      <w:pPr>
        <w:pStyle w:val="Heading4"/>
      </w:pPr>
      <w:r>
        <w:t xml:space="preserve">8.3 Differences between sources</w:t>
      </w:r>
    </w:p>
    <w:p>
      <w:pPr>
        <w:pStyle w:val="Compact"/>
        <w:numPr>
          <w:ilvl w:val="0"/>
          <w:numId w:val="2222"/>
        </w:numPr>
      </w:pPr>
      <w:r>
        <w:t xml:space="preserve">NICE CG192 — sertraline and paroxetine first-line in breastfeeding.</w:t>
      </w:r>
    </w:p>
    <w:p>
      <w:pPr>
        <w:pStyle w:val="Compact"/>
        <w:numPr>
          <w:ilvl w:val="0"/>
          <w:numId w:val="2222"/>
        </w:numPr>
      </w:pPr>
      <w:r>
        <w:t xml:space="preserve">Louik C. et al. NEJM 2007 · Huybrechts K.F. et al. NEJM 2014 — SSRI in pregnancy cardiac malformations (paroxetine cautiously).</w:t>
      </w:r>
    </w:p>
    <w:p>
      <w:pPr>
        <w:pStyle w:val="Compact"/>
        <w:numPr>
          <w:ilvl w:val="0"/>
          <w:numId w:val="2222"/>
        </w:numPr>
      </w:pPr>
      <w:r>
        <w:t xml:space="preserve">Meltzer-Brody S. et al. Lancet 2018 — brexanolone RCT.</w:t>
      </w:r>
    </w:p>
    <w:bookmarkEnd w:id="2439"/>
    <w:bookmarkEnd w:id="2440"/>
    <w:bookmarkStart w:id="2441" w:name="X6864437c267883890ac114d3653624161172bbf"/>
    <w:p>
      <w:pPr>
        <w:pStyle w:val="Heading3"/>
      </w:pPr>
      <w:r>
        <w:t xml:space="preserve">9. Prognosis</w:t>
      </w:r>
    </w:p>
    <w:p>
      <w:pPr>
        <w:pStyle w:val="Compact"/>
        <w:numPr>
          <w:ilvl w:val="0"/>
          <w:numId w:val="2223"/>
        </w:numPr>
      </w:pPr>
      <w:r>
        <w:t xml:space="preserve">70-80% remission with adequate treatment.</w:t>
      </w:r>
    </w:p>
    <w:p>
      <w:pPr>
        <w:pStyle w:val="Compact"/>
        <w:numPr>
          <w:ilvl w:val="0"/>
          <w:numId w:val="2223"/>
        </w:numPr>
      </w:pPr>
      <w:r>
        <w:t xml:space="preserve">Risk of recurrence in subsequent pregnancies (~25%).</w:t>
      </w:r>
    </w:p>
    <w:p>
      <w:pPr>
        <w:pStyle w:val="Compact"/>
        <w:numPr>
          <w:ilvl w:val="0"/>
          <w:numId w:val="2223"/>
        </w:numPr>
      </w:pPr>
      <w:r>
        <w:t xml:space="preserve">Without treatment, chronicity and comorbidity.</w:t>
      </w:r>
    </w:p>
    <w:bookmarkEnd w:id="2441"/>
    <w:bookmarkStart w:id="2448" w:name="X20e8d3e47baec665138d178dc3328a309755ae2"/>
    <w:p>
      <w:pPr>
        <w:pStyle w:val="Heading3"/>
      </w:pPr>
      <w:r>
        <w:t xml:space="preserve">10. Myths and misconceptions</w:t>
      </w:r>
    </w:p>
    <w:bookmarkStart w:id="2442" w:name="X20dd565b4b5e32a2c84baad6054f0bc99a3fde3"/>
    <w:p>
      <w:pPr>
        <w:pStyle w:val="Heading5"/>
      </w:pPr>
      <w:r>
        <w:t xml:space="preserve">Myth 1: “PPD is just ordinary ‘baby blues’, transient”</w:t>
      </w:r>
    </w:p>
    <w:p>
      <w:pPr>
        <w:pStyle w:val="FirstParagraph"/>
      </w:pPr>
      <w:r>
        <w:t xml:space="preserve">Evidence: baby blues ≤ 2 weeks, mild; PPD clinical depressive episode, requires intervention; can be prolonged.</w:t>
      </w:r>
    </w:p>
    <w:bookmarkEnd w:id="2442"/>
    <w:bookmarkStart w:id="2443" w:name="X6dfb69a335520dae845f5f97e6b5a7638b1ea54"/>
    <w:p>
      <w:pPr>
        <w:pStyle w:val="Heading5"/>
      </w:pPr>
      <w:r>
        <w:t xml:space="preserve">Myth 2: “Antidepressants are dangerous during breastfeeding”</w:t>
      </w:r>
    </w:p>
    <w:p>
      <w:pPr>
        <w:pStyle w:val="FirstParagraph"/>
      </w:pPr>
      <w:r>
        <w:t xml:space="preserve">Evidence: sertraline and paroxetine are acceptable during breastfeeding; milk transfer minimal; clinical counseling.</w:t>
      </w:r>
    </w:p>
    <w:bookmarkEnd w:id="2443"/>
    <w:bookmarkStart w:id="2444" w:name="Xb3eeca9256d80eea534e654b011e8e9ac2f5510"/>
    <w:p>
      <w:pPr>
        <w:pStyle w:val="Heading5"/>
      </w:pPr>
      <w:r>
        <w:t xml:space="preserve">Myth 3: “Mother is weak, she should ‘fix herself’”</w:t>
      </w:r>
    </w:p>
    <w:p>
      <w:pPr>
        <w:pStyle w:val="FirstParagraph"/>
      </w:pPr>
      <w:r>
        <w:t xml:space="preserve">Evidence: PPD is a clinical condition; risk of suicide and infanticide exists; intervention is required.</w:t>
      </w:r>
    </w:p>
    <w:bookmarkEnd w:id="2444"/>
    <w:bookmarkStart w:id="2445" w:name="myth-4-brexanolone-cures-ppd"/>
    <w:p>
      <w:pPr>
        <w:pStyle w:val="Heading5"/>
      </w:pPr>
      <w:r>
        <w:t xml:space="preserve">Myth 4: “Brexanolone cures PPD”</w:t>
      </w:r>
    </w:p>
    <w:p>
      <w:pPr>
        <w:pStyle w:val="FirstParagraph"/>
      </w:pPr>
      <w:r>
        <w:t xml:space="preserve">Evidence: Rapid effect, but cost and need for clinic monitoring significant; standard approach SSRI + psychotherapy.</w:t>
      </w:r>
    </w:p>
    <w:bookmarkEnd w:id="2445"/>
    <w:bookmarkStart w:id="2446" w:name="myth-5-ppd-does-not-affect-the-infant"/>
    <w:p>
      <w:pPr>
        <w:pStyle w:val="Heading5"/>
      </w:pPr>
      <w:r>
        <w:t xml:space="preserve">Myth 5: “PPD does not affect the infant”</w:t>
      </w:r>
    </w:p>
    <w:p>
      <w:pPr>
        <w:pStyle w:val="FirstParagraph"/>
      </w:pPr>
      <w:r>
        <w:t xml:space="preserve">Evidence: PPD affects mother-infant bonding and impacts the child's cognitive and emotional development; early intervention is crucial.</w:t>
      </w:r>
    </w:p>
    <w:bookmarkEnd w:id="2446"/>
    <w:bookmarkStart w:id="2447" w:name="Xf29ca336ef62dc0a52691e6a31d28fcea33feb0"/>
    <w:p>
      <w:pPr>
        <w:pStyle w:val="Heading5"/>
      </w:pPr>
      <w:r>
        <w:t xml:space="preserve">Myth 6: “Intrusive thoughts (harming a baby) are always a sign of psychosis”</w:t>
      </w:r>
    </w:p>
    <w:p>
      <w:pPr>
        <w:pStyle w:val="FirstParagraph"/>
      </w:pPr>
      <w:r>
        <w:t xml:space="preserve">Evidence: In postpartum OCD, intrusive thoughts are ego-dystonic — the patient suffers from them and avoids them; in postpartum psychosis they are ego-syntonic and can lead to behavior — different intervention.</w:t>
      </w:r>
    </w:p>
    <w:bookmarkEnd w:id="2447"/>
    <w:bookmarkEnd w:id="2448"/>
    <w:bookmarkStart w:id="2933" w:name="X387179e8d75bc76da6a38256436f58b7261fe38"/>
    <w:p>
      <w:pPr>
        <w:pStyle w:val="Heading3"/>
      </w:pPr>
      <w:r>
        <w:t xml:space="preserve">11. Sources</w:t>
      </w:r>
    </w:p>
    <w:p>
      <w:pPr>
        <w:pStyle w:val="Compact"/>
        <w:numPr>
          <w:ilvl w:val="0"/>
          <w:numId w:val="2224"/>
        </w:numPr>
      </w:pPr>
      <w:r>
        <w:t xml:space="preserve">WHO. ICD-11. 6E20 Mental and behavioural disorders associated with pregnancy, childbirth and the puerperium. 2024.</w:t>
      </w:r>
    </w:p>
    <w:p>
      <w:pPr>
        <w:pStyle w:val="Compact"/>
        <w:numPr>
          <w:ilvl w:val="0"/>
          <w:numId w:val="2224"/>
        </w:numPr>
      </w:pPr>
      <w:r>
        <w:t xml:space="preserve">APA. DSM-5-TR. 2022.</w:t>
      </w:r>
    </w:p>
    <w:p>
      <w:pPr>
        <w:pStyle w:val="Compact"/>
        <w:numPr>
          <w:ilvl w:val="0"/>
          <w:numId w:val="2224"/>
        </w:numPr>
      </w:pPr>
      <w:r>
        <w:t xml:space="preserve">NICE CG192. Antenatal and postnatal mental health. 2014, 2018 update.</w:t>
      </w:r>
    </w:p>
    <w:p>
      <w:pPr>
        <w:pStyle w:val="Compact"/>
        <w:numPr>
          <w:ilvl w:val="0"/>
          <w:numId w:val="2224"/>
        </w:numPr>
      </w:pPr>
      <w:r>
        <w:t xml:space="preserve">ACOG Committee Opinion No. 757: Screening for Perinatal Depression. 2018.</w:t>
      </w:r>
    </w:p>
    <w:p>
      <w:pPr>
        <w:pStyle w:val="Compact"/>
        <w:numPr>
          <w:ilvl w:val="0"/>
          <w:numId w:val="2224"/>
        </w:numPr>
      </w:pPr>
      <w:r>
        <w:t xml:space="preserve">Cox J.L., Holden J.M., Sagovsky R. Detection of postnatal depression. Development of the 10-item Edinburgh Postnatal Depression Scale. Br J Psychiatry 1987;150:782–786.</w:t>
      </w:r>
    </w:p>
    <w:p>
      <w:pPr>
        <w:pStyle w:val="Compact"/>
        <w:numPr>
          <w:ilvl w:val="0"/>
          <w:numId w:val="2224"/>
        </w:numPr>
      </w:pPr>
      <w:r>
        <w:t xml:space="preserve">Meltzer-Brody S. et al. Brexanolone injection in post-partum depression. Lancet 2018;392(10152):1058–1070.</w:t>
      </w:r>
    </w:p>
    <w:p>
      <w:pPr>
        <w:pStyle w:val="Compact"/>
        <w:numPr>
          <w:ilvl w:val="0"/>
          <w:numId w:val="2224"/>
        </w:numPr>
      </w:pPr>
      <w:r>
        <w:t xml:space="preserve">Deligiannidis K.M. et al. Effect of zuranolone vs placebo in postpartum depression. JAMA Psychiatry 2021;78(9):951–959.</w:t>
      </w:r>
    </w:p>
    <w:p>
      <w:pPr>
        <w:pStyle w:val="Compact"/>
        <w:numPr>
          <w:ilvl w:val="0"/>
          <w:numId w:val="2224"/>
        </w:numPr>
      </w:pPr>
      <w:r>
        <w:t xml:space="preserve">Louik C., Lin A.E., Werler M.M., Hernández-Díaz S., Mitchell A.A. First-trimester use of selective serotonin-reuptake inhibitors and the risk of birth defects. N Engl J Med 2007;356(26):2675–2683.</w:t>
      </w:r>
    </w:p>
    <w:p>
      <w:pPr>
        <w:pStyle w:val="Compact"/>
        <w:numPr>
          <w:ilvl w:val="0"/>
          <w:numId w:val="2224"/>
        </w:numPr>
      </w:pPr>
      <w:r>
        <w:t xml:space="preserve">Huybrechts K.F., Palmsten K., Avorn J. et al. Antidepressant use in pregnancy and the risk of cardiac defects. N Engl J Med 2014;370(25):2397–2407.</w:t>
      </w:r>
    </w:p>
    <w:p>
      <w:pPr>
        <w:pStyle w:val="Compact"/>
        <w:numPr>
          <w:ilvl w:val="0"/>
          <w:numId w:val="2224"/>
        </w:numPr>
      </w:pPr>
      <w:r>
        <w:t xml:space="preserve">Stuart S., Robertson M. Interpersonal Psychotherapy: A Clinician’s Guide. 2nd ed. London: Hodder Arnold, 2012.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49" w:name="X13db33f1944e339581dc636443bb1bea0ccf638"/>
            <w:r>
              <w:t xml:space="preserve">6E21 MENTAL OR BEHAVIOURAL DISORDERS ASSOCIATED WITH PREGNANCY, CHILDBIRTH OR THE PUERPERIUM, WITH PSYCHOTIC SYMPTOMS</w:t>
            </w:r>
            <w:bookmarkEnd w:id="2449"/>
          </w:p>
          <w:p>
            <w:pPr>
              <w:pStyle w:val="Compact"/>
              <w:ind w:firstLine="0" w:left="0"/>
            </w:pPr>
            <w:r>
              <w:rPr>
                <w:lang w:val="en"/>
              </w:rPr>
              <w:t xml:space="preserve">Mental or behavioural disorders associated with pregnancy, childbirth or the puerperium, with psychotic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Severe mental and behavioural disorders associated with the puerperium, not elsewhere classified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Brief Psychotic Disorder, With Peripartum Onset</w:t>
            </w:r>
          </w:p>
        </w:tc>
      </w:tr>
    </w:tbl>
    <w:bookmarkStart w:id="2450" w:name="X6b81454ca64c409ae82a315dbdbcf6389b8c4de"/>
    <w:p>
      <w:pPr>
        <w:pStyle w:val="Heading3"/>
      </w:pPr>
      <w:r>
        <w:t xml:space="preserve">1. Definition and nosology</w:t>
      </w:r>
    </w:p>
    <w:p>
      <w:pPr>
        <w:pStyle w:val="FirstParagraph"/>
      </w:pPr>
      <w:r>
        <w:t xml:space="preserve">Mental or behavioural disorders associated with pregnancy, childbirth or the puerperium, with psychotic symptoms (commonly termed Postpartum Psychosis, PPP; ICD-11:</w:t>
      </w:r>
      <w:r>
        <w:t xml:space="preserve"> </w:t>
      </w:r>
      <w:r>
        <w:t xml:space="preserve">6E21</w:t>
      </w:r>
      <w:r>
        <w:t xml:space="preserve">; DSM-5-TR: Brief Psychotic Disorder or Bipolar I with peripartum onset specifier) — an acute-onset psychotic episode after childbirth (typically within the first 2 weeks); hallucinations, delusions, cognitive disorganization, mood lability. This is a medical emergency — infanticide (~4%) and maternal suicide risk high.</w:t>
      </w:r>
    </w:p>
    <w:bookmarkEnd w:id="2450"/>
    <w:bookmarkStart w:id="2451" w:name="Xaaff19eb7d70039fcb7e16a5c8a79a132a63d7d"/>
    <w:p>
      <w:pPr>
        <w:pStyle w:val="Heading3"/>
      </w:pPr>
      <w:r>
        <w:t xml:space="preserve">2. History</w:t>
      </w:r>
    </w:p>
    <w:p>
      <w:pPr>
        <w:pStyle w:val="Compact"/>
        <w:numPr>
          <w:ilvl w:val="0"/>
          <w:numId w:val="2225"/>
        </w:numPr>
      </w:pPr>
      <w:r>
        <w:t xml:space="preserve">Marcé L.V. (1858) — classic description of postpartum psychosis.</w:t>
      </w:r>
    </w:p>
    <w:p>
      <w:pPr>
        <w:pStyle w:val="Compact"/>
        <w:numPr>
          <w:ilvl w:val="0"/>
          <w:numId w:val="2225"/>
        </w:numPr>
      </w:pPr>
      <w:r>
        <w:t xml:space="preserve">Bergink V. et al. (2015) — 4-step treatment algorithm.</w:t>
      </w:r>
    </w:p>
    <w:p>
      <w:pPr>
        <w:pStyle w:val="Compact"/>
        <w:numPr>
          <w:ilvl w:val="0"/>
          <w:numId w:val="2225"/>
        </w:numPr>
      </w:pPr>
      <w:r>
        <w:t xml:space="preserve">NICE CG192 — peripartum psychiatric conditions.</w:t>
      </w:r>
    </w:p>
    <w:bookmarkEnd w:id="2451"/>
    <w:bookmarkStart w:id="2452" w:name="Xa728d41ba3d423ba54e4fc0b93601f7c91981d7"/>
    <w:p>
      <w:pPr>
        <w:pStyle w:val="Heading3"/>
      </w:pPr>
      <w:r>
        <w:t xml:space="preserve">3. Epidemiology</w:t>
      </w:r>
    </w:p>
    <w:p>
      <w:pPr>
        <w:pStyle w:val="Compact"/>
        <w:numPr>
          <w:ilvl w:val="0"/>
          <w:numId w:val="2226"/>
        </w:numPr>
      </w:pPr>
      <w:r>
        <w:t xml:space="preserve">Incidence: 1–2/1000 births.</w:t>
      </w:r>
    </w:p>
    <w:p>
      <w:pPr>
        <w:pStyle w:val="Compact"/>
        <w:numPr>
          <w:ilvl w:val="0"/>
          <w:numId w:val="2226"/>
        </w:numPr>
      </w:pPr>
      <w:r>
        <w:t xml:space="preserve">25–50% in women with a history of bipolar disorder; 30% with a history of previous PPP.</w:t>
      </w:r>
    </w:p>
    <w:p>
      <w:pPr>
        <w:pStyle w:val="Compact"/>
        <w:numPr>
          <w:ilvl w:val="0"/>
          <w:numId w:val="2226"/>
        </w:numPr>
      </w:pPr>
      <w:r>
        <w:t xml:space="preserve">Comorbidity: mostly bipolar in nature.</w:t>
      </w:r>
    </w:p>
    <w:p>
      <w:pPr>
        <w:pStyle w:val="Compact"/>
        <w:numPr>
          <w:ilvl w:val="0"/>
          <w:numId w:val="2226"/>
        </w:numPr>
      </w:pPr>
      <w:r>
        <w:t xml:space="preserve">Mortality: infanticide 4%, suicide up to 5% (untreated).</w:t>
      </w:r>
    </w:p>
    <w:bookmarkEnd w:id="2452"/>
    <w:bookmarkStart w:id="2453" w:name="X21c5a8e6a5d0512822c85d53eed6a0724089e05"/>
    <w:p>
      <w:pPr>
        <w:pStyle w:val="Heading3"/>
      </w:pPr>
      <w:r>
        <w:t xml:space="preserve">4. Aetiology and pathogenesis</w:t>
      </w:r>
    </w:p>
    <w:p>
      <w:pPr>
        <w:pStyle w:val="Compact"/>
        <w:numPr>
          <w:ilvl w:val="0"/>
          <w:numId w:val="2227"/>
        </w:numPr>
      </w:pPr>
      <w:r>
        <w:t xml:space="preserve">Hormonal — sharp postpartum drop in estrogen and progesterone.</w:t>
      </w:r>
    </w:p>
    <w:p>
      <w:pPr>
        <w:pStyle w:val="Compact"/>
        <w:numPr>
          <w:ilvl w:val="0"/>
          <w:numId w:val="2227"/>
        </w:numPr>
      </w:pPr>
      <w:r>
        <w:t xml:space="preserve">Sleep deprivation.</w:t>
      </w:r>
    </w:p>
    <w:p>
      <w:pPr>
        <w:pStyle w:val="Compact"/>
        <w:numPr>
          <w:ilvl w:val="0"/>
          <w:numId w:val="2227"/>
        </w:numPr>
      </w:pPr>
      <w:r>
        <w:t xml:space="preserve">Bipolar disorder predisposition (most PPP — manifestation of a bipolar episode).</w:t>
      </w:r>
    </w:p>
    <w:p>
      <w:pPr>
        <w:pStyle w:val="Compact"/>
        <w:numPr>
          <w:ilvl w:val="0"/>
          <w:numId w:val="2227"/>
        </w:numPr>
      </w:pPr>
      <w:r>
        <w:t xml:space="preserve">Family history.</w:t>
      </w:r>
    </w:p>
    <w:bookmarkEnd w:id="2453"/>
    <w:bookmarkStart w:id="2454" w:name="X117d98321ccbd5c2c48cdbf865632ba2cd1a3a3"/>
    <w:p>
      <w:pPr>
        <w:pStyle w:val="Heading3"/>
      </w:pPr>
      <w:r>
        <w:t xml:space="preserve">5. Clinical features</w:t>
      </w:r>
    </w:p>
    <w:p>
      <w:pPr>
        <w:pStyle w:val="Compact"/>
        <w:numPr>
          <w:ilvl w:val="0"/>
          <w:numId w:val="2228"/>
        </w:numPr>
      </w:pPr>
      <w:r>
        <w:t xml:space="preserve">Rapid onset (24–72 hours, typically within first 2 weeks).</w:t>
      </w:r>
    </w:p>
    <w:p>
      <w:pPr>
        <w:pStyle w:val="Compact"/>
        <w:numPr>
          <w:ilvl w:val="0"/>
          <w:numId w:val="2228"/>
        </w:numPr>
      </w:pPr>
      <w:r>
        <w:t xml:space="preserve">Polymorphic psychotic symptoms — delusions (particularly regarding baby — baby being “evil” or “demanded”; mother “must escape”), hallucinations.</w:t>
      </w:r>
    </w:p>
    <w:p>
      <w:pPr>
        <w:pStyle w:val="Compact"/>
        <w:numPr>
          <w:ilvl w:val="0"/>
          <w:numId w:val="2228"/>
        </w:numPr>
      </w:pPr>
      <w:r>
        <w:t xml:space="preserve">Mood lability — manic or depressive components.</w:t>
      </w:r>
    </w:p>
    <w:p>
      <w:pPr>
        <w:pStyle w:val="Compact"/>
        <w:numPr>
          <w:ilvl w:val="0"/>
          <w:numId w:val="2228"/>
        </w:numPr>
      </w:pPr>
      <w:r>
        <w:t xml:space="preserve">Cognitive disorganization, confusion.</w:t>
      </w:r>
    </w:p>
    <w:p>
      <w:pPr>
        <w:pStyle w:val="Compact"/>
        <w:numPr>
          <w:ilvl w:val="0"/>
          <w:numId w:val="2228"/>
        </w:numPr>
      </w:pPr>
      <w:r>
        <w:t xml:space="preserve">Sleep disturbance severe.</w:t>
      </w:r>
    </w:p>
    <w:p>
      <w:pPr>
        <w:pStyle w:val="Compact"/>
        <w:numPr>
          <w:ilvl w:val="0"/>
          <w:numId w:val="2228"/>
        </w:numPr>
      </w:pPr>
      <w:r>
        <w:t xml:space="preserve">Behavior — bizarre, extreme, impaired infant care.</w:t>
      </w:r>
    </w:p>
    <w:p>
      <w:pPr>
        <w:pStyle w:val="Compact"/>
        <w:numPr>
          <w:ilvl w:val="0"/>
          <w:numId w:val="2228"/>
        </w:numPr>
      </w:pPr>
      <w:r>
        <w:t xml:space="preserve">High risk: Suicidal mother, harm to infant (infanticide).</w:t>
      </w:r>
    </w:p>
    <w:bookmarkEnd w:id="2454"/>
    <w:bookmarkStart w:id="2459" w:name="X7d0cda572432ffe3ec1a2fd893a6d40a8d82ee9"/>
    <w:p>
      <w:pPr>
        <w:pStyle w:val="Heading3"/>
      </w:pPr>
      <w:r>
        <w:t xml:space="preserve">6. Diagnosis</w:t>
      </w:r>
    </w:p>
    <w:bookmarkStart w:id="2455" w:name="unified-diagnostic-criteria-60"/>
    <w:p>
      <w:pPr>
        <w:pStyle w:val="Heading4"/>
      </w:pPr>
      <w:r>
        <w:t xml:space="preserve">6.1 Unified diagnostic criteria</w:t>
      </w:r>
    </w:p>
    <w:p>
      <w:pPr>
        <w:pStyle w:val="FirstParagraph"/>
      </w:pPr>
      <w:r>
        <w:t xml:space="preserve">Clinical diagnosis: acute-onset psychotic episode postpartum; coded under bipolar manic or acute psychotic category + peripartum onset specifier.</w:t>
      </w:r>
    </w:p>
    <w:bookmarkEnd w:id="2455"/>
    <w:bookmarkStart w:id="2456" w:name="differences-between-sources-154"/>
    <w:p>
      <w:pPr>
        <w:pStyle w:val="Heading4"/>
      </w:pPr>
      <w:r>
        <w:t xml:space="preserve">6.2 Differences between sources</w:t>
      </w:r>
    </w:p>
    <w:p>
      <w:pPr>
        <w:pStyle w:val="Compact"/>
        <w:numPr>
          <w:ilvl w:val="0"/>
          <w:numId w:val="2229"/>
        </w:numPr>
      </w:pPr>
      <w:r>
        <w:t xml:space="preserve">NICE CG192 — emergency medical condition.</w:t>
      </w:r>
    </w:p>
    <w:p>
      <w:pPr>
        <w:pStyle w:val="Compact"/>
        <w:numPr>
          <w:ilvl w:val="0"/>
          <w:numId w:val="2229"/>
        </w:numPr>
      </w:pPr>
      <w:r>
        <w:t xml:space="preserve">Royal College of Psychiatrists perinatal psychiatric service standards.</w:t>
      </w:r>
    </w:p>
    <w:bookmarkEnd w:id="2456"/>
    <w:bookmarkStart w:id="2457" w:name="diagnostic-algorithm-86"/>
    <w:p>
      <w:pPr>
        <w:pStyle w:val="Heading4"/>
      </w:pPr>
      <w:r>
        <w:t xml:space="preserve">6.3 Diagnostic algorithm</w:t>
      </w:r>
    </w:p>
    <w:p>
      <w:pPr>
        <w:pStyle w:val="Compact"/>
        <w:numPr>
          <w:ilvl w:val="0"/>
          <w:numId w:val="2230"/>
        </w:numPr>
      </w:pPr>
      <w:r>
        <w:t xml:space="preserve">Clinical interview — rapid onset, nature of symptoms.</w:t>
      </w:r>
    </w:p>
    <w:p>
      <w:pPr>
        <w:pStyle w:val="Compact"/>
        <w:numPr>
          <w:ilvl w:val="0"/>
          <w:numId w:val="2230"/>
        </w:numPr>
      </w:pPr>
      <w:r>
        <w:t xml:space="preserve">Medical assessment — postpartum medical conditions (thyroiditis, infection, encephalopathy, eclampsia, B12 deficiency) to be ruled out.</w:t>
      </w:r>
    </w:p>
    <w:p>
      <w:pPr>
        <w:pStyle w:val="Compact"/>
        <w:numPr>
          <w:ilvl w:val="0"/>
          <w:numId w:val="2230"/>
        </w:numPr>
      </w:pPr>
      <w:r>
        <w:t xml:space="preserve">Laboratory — TSH, complete blood count, electrolytes, liver, kidney, ammonia, glucose, infection markers.</w:t>
      </w:r>
    </w:p>
    <w:p>
      <w:pPr>
        <w:pStyle w:val="Compact"/>
        <w:numPr>
          <w:ilvl w:val="0"/>
          <w:numId w:val="2230"/>
        </w:numPr>
      </w:pPr>
      <w:r>
        <w:t xml:space="preserve">Brain MRI and EEG — if atypical presentation or neurological signs (autoimmune encephalitis — anti-NMDA-R especially!).</w:t>
      </w:r>
    </w:p>
    <w:p>
      <w:pPr>
        <w:pStyle w:val="Compact"/>
        <w:numPr>
          <w:ilvl w:val="0"/>
          <w:numId w:val="2230"/>
        </w:numPr>
      </w:pPr>
      <w:r>
        <w:t xml:space="preserve">Toxicology.</w:t>
      </w:r>
    </w:p>
    <w:p>
      <w:pPr>
        <w:pStyle w:val="Compact"/>
        <w:numPr>
          <w:ilvl w:val="0"/>
          <w:numId w:val="2230"/>
        </w:numPr>
      </w:pPr>
      <w:r>
        <w:t xml:space="preserve">Assessment of suicide and infanticide risk (C-SSRS, infant safety).</w:t>
      </w:r>
    </w:p>
    <w:bookmarkEnd w:id="2457"/>
    <w:bookmarkStart w:id="2458" w:name="differential-diagnosis-8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depression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symptom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Postnatal OCD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Ego-dystonic intrusions; insight preserved.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Fluctuation of attention; medical cause (infection).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Anti-NMDA-R encephalitis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Atypical psychosis + motor symptoms + seizures; CSF antibodies; classic presentation in young woman!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Eclampsia/HELLP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Hypertension, proteinuria, thrombocytopenia.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Sheehan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Hypopituitarism (post-hemorrhage).</w:t>
            </w:r>
          </w:p>
        </w:tc>
      </w:tr>
    </w:tbl>
    <w:bookmarkEnd w:id="2458"/>
    <w:bookmarkEnd w:id="2459"/>
    <w:bookmarkStart w:id="2460" w:name="X6cd6d13a39962e70d4d75b3b248d3da4ca6338b"/>
    <w:p>
      <w:pPr>
        <w:pStyle w:val="Heading3"/>
      </w:pPr>
      <w:r>
        <w:t xml:space="preserve">7. Examination and assessment</w:t>
      </w:r>
    </w:p>
    <w:p>
      <w:pPr>
        <w:pStyle w:val="Compact"/>
        <w:numPr>
          <w:ilvl w:val="0"/>
          <w:numId w:val="2231"/>
        </w:numPr>
      </w:pPr>
      <w:r>
        <w:t xml:space="preserve">Clinical psychiatric and neurological.</w:t>
      </w:r>
    </w:p>
    <w:p>
      <w:pPr>
        <w:pStyle w:val="Compact"/>
        <w:numPr>
          <w:ilvl w:val="0"/>
          <w:numId w:val="2231"/>
        </w:numPr>
      </w:pPr>
      <w:r>
        <w:t xml:space="preserve">The above medical panel.</w:t>
      </w:r>
    </w:p>
    <w:p>
      <w:pPr>
        <w:pStyle w:val="Compact"/>
        <w:numPr>
          <w:ilvl w:val="0"/>
          <w:numId w:val="2231"/>
        </w:numPr>
      </w:pPr>
      <w:r>
        <w:t xml:space="preserve">Anti-NMDA-R antibodies (CSF) — in atypical cases.</w:t>
      </w:r>
    </w:p>
    <w:p>
      <w:pPr>
        <w:pStyle w:val="Compact"/>
        <w:numPr>
          <w:ilvl w:val="0"/>
          <w:numId w:val="2231"/>
        </w:numPr>
      </w:pPr>
      <w:r>
        <w:t xml:space="preserve">C-SSRS, infant safety.</w:t>
      </w:r>
    </w:p>
    <w:bookmarkEnd w:id="2460"/>
    <w:bookmarkStart w:id="2464" w:name="X05bc17a4588cf21c6fa7ac56ab5a5ca878b49c0"/>
    <w:p>
      <w:pPr>
        <w:pStyle w:val="Heading3"/>
      </w:pPr>
      <w:r>
        <w:t xml:space="preserve">8. Treatment</w:t>
      </w:r>
    </w:p>
    <w:bookmarkStart w:id="2461" w:name="X9b07f0cf8a664441afd6ac957cedc696f4d1ebe"/>
    <w:p>
      <w:pPr>
        <w:pStyle w:val="Heading4"/>
      </w:pPr>
      <w:r>
        <w:t xml:space="preserve">8.1 General principles (NICE CG192 · Bergink 2015)</w:t>
      </w:r>
    </w:p>
    <w:p>
      <w:pPr>
        <w:pStyle w:val="Compact"/>
        <w:numPr>
          <w:ilvl w:val="0"/>
          <w:numId w:val="2232"/>
        </w:numPr>
      </w:pPr>
      <w:r>
        <w:t xml:space="preserve">Urgent hospitalisation is mandatory — for mother and baby; if possible, Mother-Baby Unit (joint inpatient service for mother and baby).</w:t>
      </w:r>
    </w:p>
    <w:p>
      <w:pPr>
        <w:pStyle w:val="Compact"/>
        <w:numPr>
          <w:ilvl w:val="0"/>
          <w:numId w:val="2232"/>
        </w:numPr>
      </w:pPr>
      <w:r>
        <w:t xml:space="preserve">Bergink 4-step algorithm (Am J Psychiatry 2015):</w:t>
      </w:r>
    </w:p>
    <w:p>
      <w:pPr>
        <w:pStyle w:val="Compact"/>
        <w:numPr>
          <w:ilvl w:val="1"/>
          <w:numId w:val="2233"/>
        </w:numPr>
      </w:pPr>
      <w:r>
        <w:t xml:space="preserve">Step 1: Benzodiazepine (lorazepam) acute stabilization;</w:t>
      </w:r>
    </w:p>
    <w:p>
      <w:pPr>
        <w:pStyle w:val="Compact"/>
        <w:numPr>
          <w:ilvl w:val="1"/>
          <w:numId w:val="2233"/>
        </w:numPr>
      </w:pPr>
      <w:r>
        <w:t xml:space="preserve">Step 2: atypical antipsychotic (olanzapine, quetiapine, risperidone);</w:t>
      </w:r>
    </w:p>
    <w:p>
      <w:pPr>
        <w:pStyle w:val="Compact"/>
        <w:numPr>
          <w:ilvl w:val="1"/>
          <w:numId w:val="2233"/>
        </w:numPr>
      </w:pPr>
      <w:r>
        <w:t xml:space="preserve">Step 3: Addition of lithium;</w:t>
      </w:r>
    </w:p>
    <w:p>
      <w:pPr>
        <w:pStyle w:val="Compact"/>
        <w:numPr>
          <w:ilvl w:val="1"/>
          <w:numId w:val="2233"/>
        </w:numPr>
      </w:pPr>
      <w:r>
        <w:t xml:space="preserve">Step 4: ECT in refractory or catatonic features.</w:t>
      </w:r>
    </w:p>
    <w:p>
      <w:pPr>
        <w:pStyle w:val="Compact"/>
        <w:numPr>
          <w:ilvl w:val="0"/>
          <w:numId w:val="2232"/>
        </w:numPr>
      </w:pPr>
      <w:r>
        <w:t xml:space="preserve">Bipolar primarily — lithium first line. Valproate is contraindicated in women of childbearing potential and permissible only where the conditions of the Pregnancy Prevention Programme are met (EMA/MHRA 2018); in bipolar disorder it is absolutely contraindicated during pregnancy.</w:t>
      </w:r>
    </w:p>
    <w:p>
      <w:pPr>
        <w:pStyle w:val="Compact"/>
        <w:numPr>
          <w:ilvl w:val="0"/>
          <w:numId w:val="2232"/>
        </w:numPr>
      </w:pPr>
      <w:r>
        <w:t xml:space="preserve">Breastfeeding decision — lithium is a relative contraindication in breastfeeding (passes into breast milk); olanzapine and quetiapine relatively safe; discuss this with the patient and the family.</w:t>
      </w:r>
    </w:p>
    <w:p>
      <w:pPr>
        <w:pStyle w:val="Compact"/>
        <w:numPr>
          <w:ilvl w:val="0"/>
          <w:numId w:val="2232"/>
        </w:numPr>
      </w:pPr>
      <w:r>
        <w:t xml:space="preserve">Risk of recurrence in subsequent pregnancies is high (~30–40%) — prophylactic lithium is considered in the peri-postpartum period.</w:t>
      </w:r>
    </w:p>
    <w:p>
      <w:pPr>
        <w:pStyle w:val="Compact"/>
        <w:numPr>
          <w:ilvl w:val="0"/>
          <w:numId w:val="2232"/>
        </w:numPr>
      </w:pPr>
      <w:r>
        <w:t xml:space="preserve">ECT — safe in pregnancy and postpartum period; rapid effect.</w:t>
      </w:r>
    </w:p>
    <w:p>
      <w:pPr>
        <w:pStyle w:val="Compact"/>
        <w:numPr>
          <w:ilvl w:val="0"/>
          <w:numId w:val="2232"/>
        </w:numPr>
      </w:pPr>
      <w:r>
        <w:t xml:space="preserve">Multidisciplinary coordination — psychiatrist, obstetrician-gynecologist, pediatrician, social worker.</w:t>
      </w:r>
    </w:p>
    <w:bookmarkEnd w:id="2461"/>
    <w:bookmarkStart w:id="2462" w:name="treatment-methods-84"/>
    <w:p>
      <w:pPr>
        <w:pStyle w:val="Heading4"/>
      </w:pPr>
      <w:r>
        <w:t xml:space="preserve">8.2 Treatment methods</w:t>
      </w:r>
    </w:p>
    <w:p>
      <w:pPr>
        <w:pStyle w:val="Compact"/>
        <w:numPr>
          <w:ilvl w:val="0"/>
          <w:numId w:val="2234"/>
        </w:numPr>
      </w:pPr>
      <w:r>
        <w:t xml:space="preserve">Bergink 4-Step Algorithm (Bergink) — Benzodiazepine → antipsychotic → lithium → ECT.</w:t>
      </w:r>
    </w:p>
    <w:p>
      <w:pPr>
        <w:pStyle w:val="Compact"/>
        <w:numPr>
          <w:ilvl w:val="0"/>
          <w:numId w:val="2234"/>
        </w:numPr>
      </w:pPr>
      <w:r>
        <w:t xml:space="preserve">Mother-Baby Unit (MBU) — Shared hospitalization of mother and infant; preserving bonding and safety.</w:t>
      </w:r>
    </w:p>
    <w:p>
      <w:pPr>
        <w:pStyle w:val="Compact"/>
        <w:numPr>
          <w:ilvl w:val="0"/>
          <w:numId w:val="2234"/>
        </w:numPr>
      </w:pPr>
      <w:r>
        <w:t xml:space="preserve">ECT Postpartum — Safe in pregnancy and lactation; rapid effect; first-line for catatonic features.</w:t>
      </w:r>
    </w:p>
    <w:p>
      <w:pPr>
        <w:pStyle w:val="Compact"/>
        <w:numPr>
          <w:ilvl w:val="0"/>
          <w:numId w:val="2234"/>
        </w:numPr>
      </w:pPr>
      <w:r>
        <w:t xml:space="preserve">Prophylactic Lithium in Subsequent Pregnancies — Bergink V. et al. Am J Psychiatry 2012 — relapse prophylaxis during the peripartum period.</w:t>
      </w:r>
    </w:p>
    <w:bookmarkEnd w:id="2462"/>
    <w:bookmarkStart w:id="2463" w:name="differences-between-sources-155"/>
    <w:p>
      <w:pPr>
        <w:pStyle w:val="Heading4"/>
      </w:pPr>
      <w:r>
        <w:t xml:space="preserve">8.3 Differences between sources</w:t>
      </w:r>
    </w:p>
    <w:p>
      <w:pPr>
        <w:pStyle w:val="Compact"/>
        <w:numPr>
          <w:ilvl w:val="0"/>
          <w:numId w:val="2235"/>
        </w:numPr>
      </w:pPr>
      <w:r>
        <w:t xml:space="preserve">NICE CG192 — Mother-Baby Unit recommendation.</w:t>
      </w:r>
    </w:p>
    <w:p>
      <w:pPr>
        <w:pStyle w:val="Compact"/>
        <w:numPr>
          <w:ilvl w:val="0"/>
          <w:numId w:val="2235"/>
        </w:numPr>
      </w:pPr>
      <w:r>
        <w:t xml:space="preserve">Bergink V. et al. Am J Psychiatry 2015 — evidence base for the 4-step algorithm.</w:t>
      </w:r>
    </w:p>
    <w:bookmarkEnd w:id="2463"/>
    <w:bookmarkEnd w:id="2464"/>
    <w:bookmarkStart w:id="2465" w:name="X0967ff2ea02ebd7cb903a0509697e21a8e95368"/>
    <w:p>
      <w:pPr>
        <w:pStyle w:val="Heading3"/>
      </w:pPr>
      <w:r>
        <w:t xml:space="preserve">9. Prognosis</w:t>
      </w:r>
    </w:p>
    <w:p>
      <w:pPr>
        <w:pStyle w:val="Compact"/>
        <w:numPr>
          <w:ilvl w:val="0"/>
          <w:numId w:val="2236"/>
        </w:numPr>
      </w:pPr>
      <w:r>
        <w:t xml:space="preserve">Full recovery in most patients with adequate treatment.</w:t>
      </w:r>
    </w:p>
    <w:p>
      <w:pPr>
        <w:pStyle w:val="Compact"/>
        <w:numPr>
          <w:ilvl w:val="0"/>
          <w:numId w:val="2236"/>
        </w:numPr>
      </w:pPr>
      <w:r>
        <w:t xml:space="preserve">Risk of recurrence in subsequent pregnancies is high (~30–40%).</w:t>
      </w:r>
    </w:p>
    <w:p>
      <w:pPr>
        <w:pStyle w:val="Compact"/>
        <w:numPr>
          <w:ilvl w:val="0"/>
          <w:numId w:val="2236"/>
        </w:numPr>
      </w:pPr>
      <w:r>
        <w:t xml:space="preserve">Long-term management of bipolar disorder is crucial.</w:t>
      </w:r>
    </w:p>
    <w:bookmarkEnd w:id="2465"/>
    <w:bookmarkStart w:id="2471" w:name="Xfd13e254417219945b3c94990f88fed99f94ea7"/>
    <w:p>
      <w:pPr>
        <w:pStyle w:val="Heading3"/>
      </w:pPr>
      <w:r>
        <w:t xml:space="preserve">10. Myths and misconceptions</w:t>
      </w:r>
    </w:p>
    <w:bookmarkStart w:id="2466" w:name="Xe6376d73346b1045aabd8a6c4122fd1d8a9058f"/>
    <w:p>
      <w:pPr>
        <w:pStyle w:val="Heading5"/>
      </w:pPr>
      <w:r>
        <w:t xml:space="preserve">Myth 1: “PPP is a strong expression of ‘maternal feelings’”</w:t>
      </w:r>
    </w:p>
    <w:p>
      <w:pPr>
        <w:pStyle w:val="FirstParagraph"/>
      </w:pPr>
      <w:r>
        <w:t xml:space="preserve">Evidence: Clinical psychotic state; risk of infanticide and suicide high; emergency intervention.</w:t>
      </w:r>
    </w:p>
    <w:bookmarkEnd w:id="2466"/>
    <w:bookmarkStart w:id="2467" w:name="myth-2-monitoring-at-home-is-sufficient"/>
    <w:p>
      <w:pPr>
        <w:pStyle w:val="Heading5"/>
      </w:pPr>
      <w:r>
        <w:t xml:space="preserve">Myth 2: “Monitoring at home is sufficient”</w:t>
      </w:r>
    </w:p>
    <w:p>
      <w:pPr>
        <w:pStyle w:val="FirstParagraph"/>
      </w:pPr>
      <w:r>
        <w:t xml:space="preserve">Evidence: NICE CG192 — hospital admission mandatory; MBU preferred.</w:t>
      </w:r>
    </w:p>
    <w:bookmarkEnd w:id="2467"/>
    <w:bookmarkStart w:id="2468" w:name="Xa901124b5b67b1739f4511ab49510c6fed14f99"/>
    <w:p>
      <w:pPr>
        <w:pStyle w:val="Heading5"/>
      </w:pPr>
      <w:r>
        <w:t xml:space="preserve">Myth 3: “Antipsychotics and lithium are contraindicated during breastfeeding”</w:t>
      </w:r>
    </w:p>
    <w:p>
      <w:pPr>
        <w:pStyle w:val="FirstParagraph"/>
      </w:pPr>
      <w:r>
        <w:t xml:space="preserve">Evidence: Olanzapine and quetiapine relatively safe in breastfeeding; lithium passes into milk, but may be recommended with infant monitoring; individual balance.</w:t>
      </w:r>
    </w:p>
    <w:bookmarkEnd w:id="2468"/>
    <w:bookmarkStart w:id="2469" w:name="Xb8481be52c2274a81025506e891108634f68647"/>
    <w:p>
      <w:pPr>
        <w:pStyle w:val="Heading5"/>
      </w:pPr>
      <w:r>
        <w:t xml:space="preserve">Myth 4: “It will not recur in a subsequent pregnancy”</w:t>
      </w:r>
    </w:p>
    <w:p>
      <w:pPr>
        <w:pStyle w:val="FirstParagraph"/>
      </w:pPr>
      <w:r>
        <w:t xml:space="preserve">Evidence: Previous PPP history shows relapse of ~30–40% (up to 44% without prophylaxis); a prophylactic plan is crucial.</w:t>
      </w:r>
    </w:p>
    <w:bookmarkEnd w:id="2469"/>
    <w:bookmarkStart w:id="2470" w:name="Xabf8b71b2303b1c5be72000b0ab6ef39ea018ea"/>
    <w:p>
      <w:pPr>
        <w:pStyle w:val="Heading5"/>
      </w:pPr>
      <w:r>
        <w:t xml:space="preserve">Myth 5: “Anti-NMDA-R encephalitis is rare, no need to search for it”</w:t>
      </w:r>
    </w:p>
    <w:p>
      <w:pPr>
        <w:pStyle w:val="FirstParagraph"/>
      </w:pPr>
      <w:r>
        <w:t xml:space="preserve">Evidence: In a young woman atypical psychosis + movement symptoms + seizures is the classic presentation of Anti-NMDA-R encephalitis; antibody test saves lives.</w:t>
      </w:r>
    </w:p>
    <w:bookmarkEnd w:id="2470"/>
    <w:bookmarkEnd w:id="2471"/>
    <w:bookmarkStart w:id="2472" w:name="X35588726c5df12e1423df663625a6088a7ff9c2"/>
    <w:p>
      <w:pPr>
        <w:pStyle w:val="Heading3"/>
      </w:pPr>
      <w:r>
        <w:t xml:space="preserve">11. Sources</w:t>
      </w:r>
    </w:p>
    <w:p>
      <w:pPr>
        <w:pStyle w:val="Compact"/>
        <w:numPr>
          <w:ilvl w:val="0"/>
          <w:numId w:val="2237"/>
        </w:numPr>
      </w:pPr>
      <w:r>
        <w:t xml:space="preserve">WHO. ICD-11. 6E21 Puerperal psychosis. 2024.</w:t>
      </w:r>
    </w:p>
    <w:p>
      <w:pPr>
        <w:pStyle w:val="Compact"/>
        <w:numPr>
          <w:ilvl w:val="0"/>
          <w:numId w:val="2237"/>
        </w:numPr>
      </w:pPr>
      <w:r>
        <w:t xml:space="preserve">APA. DSM-5-TR. 2022.</w:t>
      </w:r>
    </w:p>
    <w:p>
      <w:pPr>
        <w:pStyle w:val="Compact"/>
        <w:numPr>
          <w:ilvl w:val="0"/>
          <w:numId w:val="2237"/>
        </w:numPr>
      </w:pPr>
      <w:r>
        <w:t xml:space="preserve">NICE CG192. 2014/2018.</w:t>
      </w:r>
    </w:p>
    <w:p>
      <w:pPr>
        <w:pStyle w:val="Compact"/>
        <w:numPr>
          <w:ilvl w:val="0"/>
          <w:numId w:val="2237"/>
        </w:numPr>
      </w:pPr>
      <w:r>
        <w:t xml:space="preserve">Bergink V. et al. Treatment of psychosis and mania in the postpartum period. Am J Psychiatry 2015;172(2):115–123.</w:t>
      </w:r>
    </w:p>
    <w:p>
      <w:pPr>
        <w:pStyle w:val="Compact"/>
        <w:numPr>
          <w:ilvl w:val="0"/>
          <w:numId w:val="2237"/>
        </w:numPr>
      </w:pPr>
      <w:r>
        <w:t xml:space="preserve">Bergink V. et al. Prevention of postpartum psychosis and mania in women at high risk. Am J Psychiatry 2012;169(6):609–615.</w:t>
      </w:r>
    </w:p>
    <w:p>
      <w:pPr>
        <w:pStyle w:val="Compact"/>
        <w:numPr>
          <w:ilvl w:val="0"/>
          <w:numId w:val="2237"/>
        </w:numPr>
      </w:pPr>
      <w:r>
        <w:t xml:space="preserve">Graus F. et al. Lancet Neurol 2016 (autoimmune encephalitis).</w:t>
      </w:r>
    </w:p>
    <w:bookmarkEnd w:id="2472"/>
    <w:bookmarkStart w:id="2473" w:name="m1096e40-psychosomatic-factors"/>
    <w:p>
      <w:pPr>
        <w:pageBreakBefore/>
        <w:pStyle w:val="Heading1"/>
      </w:pPr>
      <w:r>
        <w:t xml:space="preserve">6E40 PSYCHOSOMATIC FACTORS</w:t>
      </w:r>
    </w:p>
    <w:p>
      <w:pPr>
        <w:pStyle w:val="FirstParagraph"/>
      </w:pPr>
      <w:r>
        <w:t xml:space="preserve">Psychological or behavioural factors affecting disorders classified elsewhere</w:t>
      </w:r>
    </w:p>
    <w:bookmarkEnd w:id="2473"/>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74" w:name="Xf34ecbea218c4f544522daadc74ebad4f28d9aa"/>
            <w:r>
              <w:t xml:space="preserve">6E40 PSYCHOLOGICAL OR BEHAVIOURAL FACTORS AFFECTING DISORDERS OR DISEASES CLASSIFIED ELSEWHERE</w:t>
            </w:r>
            <w:bookmarkEnd w:id="2474"/>
          </w:p>
          <w:p>
            <w:pPr>
              <w:pStyle w:val="Compact"/>
              <w:ind w:firstLine="0" w:left="0"/>
            </w:pPr>
            <w:r>
              <w:rPr>
                <w:lang w:val="en"/>
              </w:rPr>
              <w:t xml:space="preserve">Psychological or behavioural factors affecting disorders or diseases classified elsewhere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Psychological and behavioural factors associated with disorders or diseases classified elsewhere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Psychological Factors Affecting Other Medical Conditions</w:t>
            </w:r>
          </w:p>
        </w:tc>
      </w:tr>
    </w:tbl>
    <w:bookmarkStart w:id="2475" w:name="X7c681367257b1515226730d8859b1454f400474"/>
    <w:p>
      <w:pPr>
        <w:pStyle w:val="Heading3"/>
      </w:pPr>
      <w:r>
        <w:t xml:space="preserve">1. Definition and nosology</w:t>
      </w:r>
    </w:p>
    <w:p>
      <w:pPr>
        <w:pStyle w:val="FirstParagraph"/>
      </w:pPr>
      <w:r>
        <w:t xml:space="preserve">ICD-11:</w:t>
      </w:r>
      <w:r>
        <w:t xml:space="preserve"> </w:t>
      </w:r>
      <w:r>
        <w:t xml:space="preserve">6E40</w:t>
      </w:r>
      <w:r>
        <w:t xml:space="preserve"> </w:t>
      </w:r>
      <w:r>
        <w:t xml:space="preserve">Psychological or behavioural factors affecting disorders or diseases classified elsewhere; DSM-5-TR: F54 Psychological Factors Affecting Other Medical Conditions — psychological factors interfering with somatic disease course (depression, anxiety, medication adherence, stress, beliefs about illness).</w:t>
      </w:r>
    </w:p>
    <w:p>
      <w:pPr>
        <w:pStyle w:val="BodyText"/>
      </w:pPr>
      <w:r>
        <w:t xml:space="preserve">Distinct from factitious disorder (6D50) and somatic symptom disorder (6C20) — here there is a confirmed medical illness, but psychological factors influence the course.</w:t>
      </w:r>
    </w:p>
    <w:bookmarkEnd w:id="2475"/>
    <w:bookmarkStart w:id="2476" w:name="X11dad442789e04b33e5a659e170957ff661a045"/>
    <w:p>
      <w:pPr>
        <w:pStyle w:val="Heading3"/>
      </w:pPr>
      <w:r>
        <w:t xml:space="preserve">2. History</w:t>
      </w:r>
    </w:p>
    <w:p>
      <w:pPr>
        <w:pStyle w:val="Compact"/>
        <w:numPr>
          <w:ilvl w:val="0"/>
          <w:numId w:val="2238"/>
        </w:numPr>
      </w:pPr>
      <w:r>
        <w:t xml:space="preserve">Alexander F. (1950) — conceptualization of ‘psychosomatic medicine’.</w:t>
      </w:r>
    </w:p>
    <w:p>
      <w:pPr>
        <w:pStyle w:val="Compact"/>
        <w:numPr>
          <w:ilvl w:val="0"/>
          <w:numId w:val="2238"/>
        </w:numPr>
      </w:pPr>
      <w:r>
        <w:t xml:space="preserve">Engel G.L. (1977) — ‘biopsychosocial model’.</w:t>
      </w:r>
    </w:p>
    <w:p>
      <w:pPr>
        <w:pStyle w:val="Compact"/>
        <w:numPr>
          <w:ilvl w:val="0"/>
          <w:numId w:val="2238"/>
        </w:numPr>
      </w:pPr>
      <w:r>
        <w:t xml:space="preserve">Levenson J.L. (2018) — APA Textbook of Psychosomatic Medicine.</w:t>
      </w:r>
    </w:p>
    <w:bookmarkEnd w:id="2476"/>
    <w:bookmarkStart w:id="2477" w:name="X3453e3f1aa77f89d9ab18beee49014eca67e912"/>
    <w:p>
      <w:pPr>
        <w:pStyle w:val="Heading3"/>
      </w:pPr>
      <w:r>
        <w:t xml:space="preserve">3. Epidemiology</w:t>
      </w:r>
    </w:p>
    <w:p>
      <w:pPr>
        <w:pStyle w:val="Compact"/>
        <w:numPr>
          <w:ilvl w:val="0"/>
          <w:numId w:val="2239"/>
        </w:numPr>
      </w:pPr>
      <w:r>
        <w:t xml:space="preserve">Universal — psychological factors influence all chronic somatic diseases.</w:t>
      </w:r>
    </w:p>
    <w:p>
      <w:pPr>
        <w:pStyle w:val="Compact"/>
        <w:numPr>
          <w:ilvl w:val="0"/>
          <w:numId w:val="2239"/>
        </w:numPr>
      </w:pPr>
      <w:r>
        <w:t xml:space="preserve">Depression in cardiovascular disease — 20–40%; diabetes — 25%; cancer — 15–25%.</w:t>
      </w:r>
    </w:p>
    <w:p>
      <w:pPr>
        <w:pStyle w:val="Compact"/>
        <w:numPr>
          <w:ilvl w:val="0"/>
          <w:numId w:val="2239"/>
        </w:numPr>
      </w:pPr>
      <w:r>
        <w:t xml:space="preserve">Wide use of consultation-liaison psychiatry service.</w:t>
      </w:r>
    </w:p>
    <w:bookmarkEnd w:id="2477"/>
    <w:bookmarkStart w:id="2478" w:name="X01d089c9a26308b4acc9b0f1ee573270aa58fb3"/>
    <w:p>
      <w:pPr>
        <w:pStyle w:val="Heading3"/>
      </w:pPr>
      <w:r>
        <w:t xml:space="preserve">4. Aetiology and pathogenesis</w:t>
      </w:r>
    </w:p>
    <w:p>
      <w:pPr>
        <w:pStyle w:val="FirstParagraph"/>
      </w:pPr>
      <w:r>
        <w:t xml:space="preserve">Biopsychosocial interaction — biological predisposition + psychological factors + social context.</w:t>
      </w:r>
    </w:p>
    <w:bookmarkEnd w:id="2478"/>
    <w:bookmarkStart w:id="2479" w:name="X39fc48cf84065176844c71fcc9284a4c2d6eade"/>
    <w:p>
      <w:pPr>
        <w:pStyle w:val="Heading3"/>
      </w:pPr>
      <w:r>
        <w:t xml:space="preserve">5. Clinical features</w:t>
      </w:r>
    </w:p>
    <w:p>
      <w:pPr>
        <w:pStyle w:val="Compact"/>
        <w:numPr>
          <w:ilvl w:val="0"/>
          <w:numId w:val="2240"/>
        </w:numPr>
      </w:pPr>
      <w:r>
        <w:t xml:space="preserve">Comorbid depression/anxiety affects illness (e.g., increased mortality after myocardial infarction).</w:t>
      </w:r>
    </w:p>
    <w:p>
      <w:pPr>
        <w:pStyle w:val="Compact"/>
        <w:numPr>
          <w:ilvl w:val="0"/>
          <w:numId w:val="2240"/>
        </w:numPr>
      </w:pPr>
      <w:r>
        <w:t xml:space="preserve">Medication non-adherence (compliance/adherence).</w:t>
      </w:r>
    </w:p>
    <w:p>
      <w:pPr>
        <w:pStyle w:val="Compact"/>
        <w:numPr>
          <w:ilvl w:val="0"/>
          <w:numId w:val="2240"/>
        </w:numPr>
      </w:pPr>
      <w:r>
        <w:t xml:space="preserve">False beliefs about illness.</w:t>
      </w:r>
    </w:p>
    <w:p>
      <w:pPr>
        <w:pStyle w:val="Compact"/>
        <w:numPr>
          <w:ilvl w:val="0"/>
          <w:numId w:val="2240"/>
        </w:numPr>
      </w:pPr>
      <w:r>
        <w:t xml:space="preserve">Stress worsens illness course.</w:t>
      </w:r>
    </w:p>
    <w:p>
      <w:pPr>
        <w:pStyle w:val="Compact"/>
        <w:numPr>
          <w:ilvl w:val="0"/>
          <w:numId w:val="2240"/>
        </w:numPr>
      </w:pPr>
      <w:r>
        <w:t xml:space="preserve">Behavioral factors (smoking, alcohol, diet, physical inactivity).</w:t>
      </w:r>
    </w:p>
    <w:bookmarkEnd w:id="2479"/>
    <w:bookmarkStart w:id="2484" w:name="X2a63d8eb3e0a1612dccdb40b299f148db4e3550"/>
    <w:p>
      <w:pPr>
        <w:pStyle w:val="Heading3"/>
      </w:pPr>
      <w:r>
        <w:t xml:space="preserve">6. Diagnosis</w:t>
      </w:r>
    </w:p>
    <w:bookmarkStart w:id="2480" w:name="unified-diagnostic-criteria-61"/>
    <w:p>
      <w:pPr>
        <w:pStyle w:val="Heading4"/>
      </w:pPr>
      <w:r>
        <w:t xml:space="preserve">6.1 Unified diagnostic criteria</w:t>
      </w:r>
    </w:p>
    <w:p>
      <w:pPr>
        <w:pStyle w:val="FirstParagraph"/>
      </w:pPr>
      <w:r>
        <w:t xml:space="preserve">A. Confirmed medical illness present.</w:t>
      </w:r>
    </w:p>
    <w:p>
      <w:pPr>
        <w:pStyle w:val="BodyText"/>
      </w:pPr>
      <w:r>
        <w:t xml:space="preserve">B. Psychological or behavioral factors interfere with illness course:</w:t>
      </w:r>
    </w:p>
    <w:p>
      <w:pPr>
        <w:pStyle w:val="Compact"/>
        <w:numPr>
          <w:ilvl w:val="0"/>
          <w:numId w:val="2241"/>
        </w:numPr>
      </w:pPr>
      <w:r>
        <w:t xml:space="preserve">Reduces treatment response;</w:t>
      </w:r>
    </w:p>
    <w:p>
      <w:pPr>
        <w:pStyle w:val="Compact"/>
        <w:numPr>
          <w:ilvl w:val="0"/>
          <w:numId w:val="2241"/>
        </w:numPr>
      </w:pPr>
      <w:r>
        <w:t xml:space="preserve">Increases health risk;</w:t>
      </w:r>
    </w:p>
    <w:p>
      <w:pPr>
        <w:pStyle w:val="Compact"/>
        <w:numPr>
          <w:ilvl w:val="0"/>
          <w:numId w:val="2241"/>
        </w:numPr>
      </w:pPr>
      <w:r>
        <w:t xml:space="preserve">The pathophysiology is worsened;</w:t>
      </w:r>
    </w:p>
    <w:p>
      <w:pPr>
        <w:pStyle w:val="Compact"/>
        <w:numPr>
          <w:ilvl w:val="0"/>
          <w:numId w:val="2241"/>
        </w:numPr>
      </w:pPr>
      <w:r>
        <w:t xml:space="preserve">Medical intervention alters the necessity.</w:t>
      </w:r>
    </w:p>
    <w:p>
      <w:pPr>
        <w:pStyle w:val="FirstParagraph"/>
      </w:pPr>
      <w:r>
        <w:t xml:space="preserve">C. Not better explained by factitious disorder, somatic symptom disorder, or another mental disorder.</w:t>
      </w:r>
    </w:p>
    <w:bookmarkEnd w:id="2480"/>
    <w:bookmarkStart w:id="2481" w:name="differences-between-sources-156"/>
    <w:p>
      <w:pPr>
        <w:pStyle w:val="Heading4"/>
      </w:pPr>
      <w:r>
        <w:t xml:space="preserve">6.2 Differences between sources</w:t>
      </w:r>
    </w:p>
    <w:p>
      <w:pPr>
        <w:pStyle w:val="Compact"/>
        <w:numPr>
          <w:ilvl w:val="0"/>
          <w:numId w:val="2242"/>
        </w:numPr>
      </w:pPr>
      <w:r>
        <w:t xml:space="preserve">DSM-5-TR / ICD-11 — same.</w:t>
      </w:r>
    </w:p>
    <w:p>
      <w:pPr>
        <w:pStyle w:val="Compact"/>
        <w:numPr>
          <w:ilvl w:val="0"/>
          <w:numId w:val="2242"/>
        </w:numPr>
      </w:pPr>
      <w:r>
        <w:t xml:space="preserve">Consultation-liaison psychiatry model.</w:t>
      </w:r>
    </w:p>
    <w:bookmarkEnd w:id="2481"/>
    <w:bookmarkStart w:id="2482" w:name="diagnostic-algorithm-87"/>
    <w:p>
      <w:pPr>
        <w:pStyle w:val="Heading4"/>
      </w:pPr>
      <w:r>
        <w:t xml:space="preserve">6.3 Diagnostic algorithm</w:t>
      </w:r>
    </w:p>
    <w:p>
      <w:pPr>
        <w:pStyle w:val="Compact"/>
        <w:numPr>
          <w:ilvl w:val="0"/>
          <w:numId w:val="2243"/>
        </w:numPr>
      </w:pPr>
      <w:r>
        <w:t xml:space="preserve">Evaluation of medical illness.</w:t>
      </w:r>
    </w:p>
    <w:p>
      <w:pPr>
        <w:pStyle w:val="Compact"/>
        <w:numPr>
          <w:ilvl w:val="0"/>
          <w:numId w:val="2243"/>
        </w:numPr>
      </w:pPr>
      <w:r>
        <w:t xml:space="preserve">Identification of psychological factors — depression (PHQ-9), anxiety (GAD-7), medication adherence (Morisky).</w:t>
      </w:r>
    </w:p>
    <w:p>
      <w:pPr>
        <w:pStyle w:val="Compact"/>
        <w:numPr>
          <w:ilvl w:val="0"/>
          <w:numId w:val="2243"/>
        </w:numPr>
      </w:pPr>
      <w:r>
        <w:t xml:space="preserve">Behavioral factors — smoking, alcohol, diet, physical activity.</w:t>
      </w:r>
    </w:p>
    <w:p>
      <w:pPr>
        <w:pStyle w:val="Compact"/>
        <w:numPr>
          <w:ilvl w:val="0"/>
          <w:numId w:val="2243"/>
        </w:numPr>
      </w:pPr>
      <w:r>
        <w:t xml:space="preserve">Screening for comorbid psychiatric disorder.</w:t>
      </w:r>
    </w:p>
    <w:bookmarkEnd w:id="2482"/>
    <w:bookmarkStart w:id="2483" w:name="differential-diagnosis-8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Somatic symptom disorder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Somatic complaint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Factitious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Conscious lie.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comorbid with medical illness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meet independent criteria — separate diagnosis.</w:t>
            </w:r>
          </w:p>
        </w:tc>
      </w:tr>
    </w:tbl>
    <w:bookmarkEnd w:id="2483"/>
    <w:bookmarkEnd w:id="2484"/>
    <w:bookmarkStart w:id="2485" w:name="Xcc49e21da3dd3314a835d0e1662ca35d7986c2f"/>
    <w:p>
      <w:pPr>
        <w:pStyle w:val="Heading3"/>
      </w:pPr>
      <w:r>
        <w:t xml:space="preserve">7. Examination and assessment</w:t>
      </w:r>
    </w:p>
    <w:p>
      <w:pPr>
        <w:pStyle w:val="Compact"/>
        <w:numPr>
          <w:ilvl w:val="0"/>
          <w:numId w:val="2244"/>
        </w:numPr>
      </w:pPr>
      <w:r>
        <w:t xml:space="preserve">PHQ-9, GAD-7, Morisky.</w:t>
      </w:r>
    </w:p>
    <w:p>
      <w:pPr>
        <w:pStyle w:val="Compact"/>
        <w:numPr>
          <w:ilvl w:val="0"/>
          <w:numId w:val="2244"/>
        </w:numPr>
      </w:pPr>
      <w:r>
        <w:t xml:space="preserve">Illness-specific scales (DDS — Diabetes Distress Scale, Beck-cardiac).</w:t>
      </w:r>
    </w:p>
    <w:bookmarkEnd w:id="2485"/>
    <w:bookmarkStart w:id="2488" w:name="Xa0c9e3e42d4f123a333b9a25085aec3c9a89e5a"/>
    <w:p>
      <w:pPr>
        <w:pStyle w:val="Heading3"/>
      </w:pPr>
      <w:r>
        <w:t xml:space="preserve">8. Treatment</w:t>
      </w:r>
    </w:p>
    <w:p>
      <w:pPr>
        <w:pStyle w:val="Compact"/>
        <w:numPr>
          <w:ilvl w:val="0"/>
          <w:numId w:val="2245"/>
        </w:numPr>
      </w:pPr>
      <w:r>
        <w:t xml:space="preserve">An integrated multidisciplinary approach — somatic specialist + psychiatrist + psychologist.</w:t>
      </w:r>
    </w:p>
    <w:p>
      <w:pPr>
        <w:pStyle w:val="Compact"/>
        <w:numPr>
          <w:ilvl w:val="0"/>
          <w:numId w:val="2245"/>
        </w:numPr>
      </w:pPr>
      <w:r>
        <w:t xml:space="preserve">Illness-specific psychosocial intervention:</w:t>
      </w:r>
    </w:p>
    <w:p>
      <w:pPr>
        <w:pStyle w:val="Compact"/>
        <w:numPr>
          <w:ilvl w:val="1"/>
          <w:numId w:val="2246"/>
        </w:numPr>
      </w:pPr>
      <w:r>
        <w:t xml:space="preserve">Cardiac CBT (post-MI depression);</w:t>
      </w:r>
    </w:p>
    <w:p>
      <w:pPr>
        <w:pStyle w:val="Compact"/>
        <w:numPr>
          <w:ilvl w:val="1"/>
          <w:numId w:val="2246"/>
        </w:numPr>
      </w:pPr>
      <w:r>
        <w:t xml:space="preserve">Diabetes self-management education (DSME);</w:t>
      </w:r>
    </w:p>
    <w:p>
      <w:pPr>
        <w:pStyle w:val="Compact"/>
        <w:numPr>
          <w:ilvl w:val="1"/>
          <w:numId w:val="2246"/>
        </w:numPr>
      </w:pPr>
      <w:r>
        <w:t xml:space="preserve">Oncology distress monitoring;</w:t>
      </w:r>
    </w:p>
    <w:p>
      <w:pPr>
        <w:pStyle w:val="Compact"/>
        <w:numPr>
          <w:ilvl w:val="1"/>
          <w:numId w:val="2246"/>
        </w:numPr>
      </w:pPr>
      <w:r>
        <w:t xml:space="preserve">Chronic pain CBT and ACT.</w:t>
      </w:r>
    </w:p>
    <w:p>
      <w:pPr>
        <w:pStyle w:val="Compact"/>
        <w:numPr>
          <w:ilvl w:val="0"/>
          <w:numId w:val="2245"/>
        </w:numPr>
      </w:pPr>
      <w:r>
        <w:t xml:space="preserve">Antidepressant — disease-specific side effect profile:</w:t>
      </w:r>
    </w:p>
    <w:p>
      <w:pPr>
        <w:pStyle w:val="Compact"/>
        <w:numPr>
          <w:ilvl w:val="1"/>
          <w:numId w:val="2247"/>
        </w:numPr>
      </w:pPr>
      <w:r>
        <w:t xml:space="preserve">Cardiac — sertraline, escitalopram;</w:t>
      </w:r>
    </w:p>
    <w:p>
      <w:pPr>
        <w:pStyle w:val="Compact"/>
        <w:numPr>
          <w:ilvl w:val="1"/>
          <w:numId w:val="2247"/>
        </w:numPr>
      </w:pPr>
      <w:r>
        <w:t xml:space="preserve">Oncology — mirtazapine (sleep, appetite benefit);</w:t>
      </w:r>
    </w:p>
    <w:p>
      <w:pPr>
        <w:pStyle w:val="Compact"/>
        <w:numPr>
          <w:ilvl w:val="1"/>
          <w:numId w:val="2247"/>
        </w:numPr>
      </w:pPr>
      <w:r>
        <w:t xml:space="preserve">Chronic pain — duloxetine, amitriptyline.</w:t>
      </w:r>
    </w:p>
    <w:p>
      <w:pPr>
        <w:pStyle w:val="Compact"/>
        <w:numPr>
          <w:ilvl w:val="0"/>
          <w:numId w:val="2245"/>
        </w:numPr>
      </w:pPr>
      <w:r>
        <w:t xml:space="preserve">Motivational interviewing — behavior change (smoking, physical activity).</w:t>
      </w:r>
    </w:p>
    <w:bookmarkStart w:id="2486" w:name="treatment-methods-85"/>
    <w:p>
      <w:pPr>
        <w:pStyle w:val="Heading4"/>
      </w:pPr>
      <w:r>
        <w:t xml:space="preserve">8.1 Treatment methods</w:t>
      </w:r>
    </w:p>
    <w:p>
      <w:pPr>
        <w:pStyle w:val="Compact"/>
        <w:numPr>
          <w:ilvl w:val="0"/>
          <w:numId w:val="2248"/>
        </w:numPr>
      </w:pPr>
      <w:r>
        <w:t xml:space="preserve">Consultation-Liaison Psychiatry — integrated service in medical-surgical departments.</w:t>
      </w:r>
    </w:p>
    <w:p>
      <w:pPr>
        <w:pStyle w:val="Compact"/>
        <w:numPr>
          <w:ilvl w:val="0"/>
          <w:numId w:val="2248"/>
        </w:numPr>
      </w:pPr>
      <w:r>
        <w:t xml:space="preserve">Cardiac CBT — Post-MI depression management.</w:t>
      </w:r>
    </w:p>
    <w:p>
      <w:pPr>
        <w:pStyle w:val="Compact"/>
        <w:numPr>
          <w:ilvl w:val="0"/>
          <w:numId w:val="2248"/>
        </w:numPr>
      </w:pPr>
      <w:r>
        <w:t xml:space="preserve">Diabetes Self-Management Education (DSME) — Diabetes self-management training.</w:t>
      </w:r>
    </w:p>
    <w:p>
      <w:pPr>
        <w:pStyle w:val="Compact"/>
        <w:numPr>
          <w:ilvl w:val="0"/>
          <w:numId w:val="2248"/>
        </w:numPr>
      </w:pPr>
      <w:r>
        <w:t xml:space="preserve">CBT and ACT for chronic pain — Williams Cochrane 2020.</w:t>
      </w:r>
    </w:p>
    <w:bookmarkEnd w:id="2486"/>
    <w:bookmarkStart w:id="2487" w:name="differences-between-sources-157"/>
    <w:p>
      <w:pPr>
        <w:pStyle w:val="Heading4"/>
      </w:pPr>
      <w:r>
        <w:t xml:space="preserve">8.2 Differences between sources</w:t>
      </w:r>
    </w:p>
    <w:p>
      <w:pPr>
        <w:pStyle w:val="Compact"/>
        <w:numPr>
          <w:ilvl w:val="0"/>
          <w:numId w:val="2249"/>
        </w:numPr>
      </w:pPr>
      <w:r>
        <w:t xml:space="preserve">NICE CG91 — CBT for depression in cardiac patients.</w:t>
      </w:r>
    </w:p>
    <w:p>
      <w:pPr>
        <w:pStyle w:val="Compact"/>
        <w:numPr>
          <w:ilvl w:val="0"/>
          <w:numId w:val="2249"/>
        </w:numPr>
      </w:pPr>
      <w:r>
        <w:t xml:space="preserve">Levenson J.L. APA Textbook of Psychosomatic Medicine 2018.</w:t>
      </w:r>
    </w:p>
    <w:bookmarkEnd w:id="2487"/>
    <w:bookmarkEnd w:id="2488"/>
    <w:bookmarkStart w:id="2489" w:name="Xefcc2596e4ce737522cf5484cc997e6cf0e2016"/>
    <w:p>
      <w:pPr>
        <w:pStyle w:val="Heading3"/>
      </w:pPr>
      <w:r>
        <w:t xml:space="preserve">9. Prognosis</w:t>
      </w:r>
    </w:p>
    <w:p>
      <w:pPr>
        <w:pStyle w:val="FirstParagraph"/>
      </w:pPr>
      <w:r>
        <w:t xml:space="preserve">Integrative approach improves both somatic and psychological outcomes.</w:t>
      </w:r>
    </w:p>
    <w:bookmarkEnd w:id="2489"/>
    <w:bookmarkStart w:id="2494" w:name="X6bfdea827c70283c581abbf40fbc57e629cced0"/>
    <w:p>
      <w:pPr>
        <w:pStyle w:val="Heading3"/>
      </w:pPr>
      <w:r>
        <w:t xml:space="preserve">10. Myths and misconceptions</w:t>
      </w:r>
    </w:p>
    <w:bookmarkStart w:id="2490" w:name="X9bdeeac220a3a0dcf44492761ee82529ac6c8c3"/>
    <w:p>
      <w:pPr>
        <w:pStyle w:val="Heading5"/>
      </w:pPr>
      <w:r>
        <w:t xml:space="preserve">Myth 1: “The illness is entirely psychological in origin”</w:t>
      </w:r>
    </w:p>
    <w:p>
      <w:pPr>
        <w:pStyle w:val="FirstParagraph"/>
      </w:pPr>
      <w:r>
        <w:t xml:space="preserve">Evidence: “Biopsychosocial” model — psychological factors influence but do not alone cause somatic illness.</w:t>
      </w:r>
    </w:p>
    <w:bookmarkEnd w:id="2490"/>
    <w:bookmarkStart w:id="2491" w:name="X2915c731eb4856dd49f56149e6aca1782b2c199"/>
    <w:p>
      <w:pPr>
        <w:pStyle w:val="Heading5"/>
      </w:pPr>
      <w:r>
        <w:t xml:space="preserve">Myth 2: “The psychiatrist is ‘running away’ from the illness”</w:t>
      </w:r>
    </w:p>
    <w:p>
      <w:pPr>
        <w:pStyle w:val="FirstParagraph"/>
      </w:pPr>
      <w:r>
        <w:t xml:space="preserve">Evidence: integrated approach — somatic and psychiatric intervention parallel.</w:t>
      </w:r>
    </w:p>
    <w:bookmarkEnd w:id="2491"/>
    <w:bookmarkStart w:id="2492" w:name="X736f8ac8084e54d477af950ba8ce085d99cb093"/>
    <w:p>
      <w:pPr>
        <w:pStyle w:val="Heading5"/>
      </w:pPr>
      <w:r>
        <w:t xml:space="preserve">Myth 3: “Alternative medicine (yoga, mindfulness) cures somatic illness”</w:t>
      </w:r>
    </w:p>
    <w:p>
      <w:pPr>
        <w:pStyle w:val="FirstParagraph"/>
      </w:pPr>
      <w:r>
        <w:t xml:space="preserve">Evidence: Complementary interventions may be adjunctive; does not replace standard somatic treatment (oncologic, cardiac).</w:t>
      </w:r>
    </w:p>
    <w:bookmarkEnd w:id="2492"/>
    <w:bookmarkStart w:id="2493" w:name="X209f8ae6e6d45d6fc168c27cf810664cc673a99"/>
    <w:p>
      <w:pPr>
        <w:pStyle w:val="Heading5"/>
      </w:pPr>
      <w:r>
        <w:t xml:space="preserve">Myth 4: “Telling the patient ‘you got sick because of stress’ is therapeutic”</w:t>
      </w:r>
    </w:p>
    <w:p>
      <w:pPr>
        <w:pStyle w:val="FirstParagraph"/>
      </w:pPr>
      <w:r>
        <w:t xml:space="preserve">Evidence: This approach undermines accusatory and therapeutic relationship.</w:t>
      </w:r>
    </w:p>
    <w:bookmarkEnd w:id="2493"/>
    <w:bookmarkEnd w:id="2494"/>
    <w:bookmarkStart w:id="2495" w:name="X3086f7556ff83e0fdd14c0e939a2ea341007c97"/>
    <w:p>
      <w:pPr>
        <w:pStyle w:val="Heading3"/>
      </w:pPr>
      <w:r>
        <w:t xml:space="preserve">11. Sources</w:t>
      </w:r>
    </w:p>
    <w:p>
      <w:pPr>
        <w:pStyle w:val="Compact"/>
        <w:numPr>
          <w:ilvl w:val="0"/>
          <w:numId w:val="2250"/>
        </w:numPr>
      </w:pPr>
      <w:r>
        <w:t xml:space="preserve">WHO. ICD-11. 6E40 Psychological or behavioural factors affecting disorders or diseases classified elsewhere. 2024.</w:t>
      </w:r>
    </w:p>
    <w:p>
      <w:pPr>
        <w:pStyle w:val="Compact"/>
        <w:numPr>
          <w:ilvl w:val="0"/>
          <w:numId w:val="2250"/>
        </w:numPr>
      </w:pPr>
      <w:r>
        <w:t xml:space="preserve">APA. DSM-5-TR. 2022.</w:t>
      </w:r>
    </w:p>
    <w:p>
      <w:pPr>
        <w:pStyle w:val="Compact"/>
        <w:numPr>
          <w:ilvl w:val="0"/>
          <w:numId w:val="2250"/>
        </w:numPr>
      </w:pPr>
      <w:r>
        <w:t xml:space="preserve">Levenson J.L. (ed.). APA Publishing Textbook of Psychosomatic Medicine and Consultation-Liaison Psychiatry. 3rd ed. 2018.</w:t>
      </w:r>
    </w:p>
    <w:p>
      <w:pPr>
        <w:pStyle w:val="Compact"/>
        <w:numPr>
          <w:ilvl w:val="0"/>
          <w:numId w:val="2250"/>
        </w:numPr>
      </w:pPr>
      <w:r>
        <w:t xml:space="preserve">NICE NG185. Acute coronary syndromes. 2020.</w:t>
      </w:r>
    </w:p>
    <w:p>
      <w:pPr>
        <w:pStyle w:val="Compact"/>
        <w:numPr>
          <w:ilvl w:val="0"/>
          <w:numId w:val="2250"/>
        </w:numPr>
      </w:pPr>
      <w:r>
        <w:t xml:space="preserve">Whooley M.A., Wong J.M. Depression and cardiovascular disorders. Annu Rev Clin Psychol 2013;9:327–354.</w:t>
      </w:r>
    </w:p>
    <w:bookmarkEnd w:id="2495"/>
    <w:bookmarkStart w:id="2496" w:name="m1116e606e6z-secondary-psychiatry"/>
    <w:p>
      <w:pPr>
        <w:pageBreakBefore/>
        <w:pStyle w:val="Heading1"/>
      </w:pPr>
      <w:r>
        <w:t xml:space="preserve">6E60–6E6Z SECONDARY PSYCHIATRY</w:t>
      </w:r>
    </w:p>
    <w:p>
      <w:pPr>
        <w:pStyle w:val="FirstParagraph"/>
      </w:pPr>
      <w:r>
        <w:t xml:space="preserve">Secondary mental or behavioural syndromes</w:t>
      </w:r>
    </w:p>
    <w:bookmarkEnd w:id="2496"/>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497" w:name="m1126e61-secondary-psychotic-syndrome"/>
            <w:r>
              <w:t xml:space="preserve">6E61 SECONDARY PSYCHOTIC SYNDROME</w:t>
            </w:r>
            <w:bookmarkEnd w:id="2497"/>
          </w:p>
          <w:p>
            <w:pPr>
              <w:pStyle w:val="Compact"/>
              <w:ind w:firstLine="0" w:left="0"/>
            </w:pPr>
            <w:r>
              <w:rPr>
                <w:lang w:val="en"/>
              </w:rPr>
              <w:t xml:space="preserve">Secondary psychotic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Organic delusional [schizophrenia-like]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Psychotic Disorder Due to Another Medical Condition, With Delusions</w:t>
            </w:r>
          </w:p>
        </w:tc>
      </w:tr>
    </w:tbl>
    <w:bookmarkStart w:id="2498" w:name="Xe9fec1565f807ca5454ccd334af0f66c33bc821"/>
    <w:p>
      <w:pPr>
        <w:pStyle w:val="Heading3"/>
      </w:pPr>
      <w:r>
        <w:t xml:space="preserve">1. Definition and nosology</w:t>
      </w:r>
    </w:p>
    <w:p>
      <w:pPr>
        <w:pStyle w:val="FirstParagraph"/>
      </w:pPr>
      <w:r>
        <w:t xml:space="preserve">Secondary Psychotic Syndrome (ICD-11:</w:t>
      </w:r>
      <w:r>
        <w:t xml:space="preserve"> </w:t>
      </w:r>
      <w:r>
        <w:t xml:space="preserve">6E61</w:t>
      </w:r>
      <w:r>
        <w:t xml:space="preserve">; DSM-5-TR: F06.2/F06.0 Psychotic Disorder Due to Another Medical Condition) — psychotic episode developing in the context of another medical condition (autoimmune, infectious, endocrine, metabolic, neurological) or a substance. First-line intervention — treatment directed at the primary etiology.</w:t>
      </w:r>
    </w:p>
    <w:bookmarkEnd w:id="2498"/>
    <w:bookmarkStart w:id="2499" w:name="X2129721a0df09e1cef7cab25d16b5ebff5c819f"/>
    <w:p>
      <w:pPr>
        <w:pStyle w:val="Heading3"/>
      </w:pPr>
      <w:r>
        <w:t xml:space="preserve">2. History</w:t>
      </w:r>
    </w:p>
    <w:p>
      <w:pPr>
        <w:pStyle w:val="Compact"/>
        <w:numPr>
          <w:ilvl w:val="0"/>
          <w:numId w:val="2251"/>
        </w:numPr>
      </w:pPr>
      <w:r>
        <w:t xml:space="preserve">The term “Symptomatic psychosis” was formulated in the 20th century.</w:t>
      </w:r>
    </w:p>
    <w:p>
      <w:pPr>
        <w:pStyle w:val="Compact"/>
        <w:numPr>
          <w:ilvl w:val="0"/>
          <w:numId w:val="2251"/>
        </w:numPr>
      </w:pPr>
      <w:r>
        <w:t xml:space="preserve">Dalmau J. (2007) — discovery of anti-NMDA-R encephalitis; autoimmune psychosis revolution.</w:t>
      </w:r>
    </w:p>
    <w:p>
      <w:pPr>
        <w:pStyle w:val="Compact"/>
        <w:numPr>
          <w:ilvl w:val="0"/>
          <w:numId w:val="2251"/>
        </w:numPr>
      </w:pPr>
      <w:r>
        <w:t xml:space="preserve">Graus F. et al. (2016) — autoimmune encephalitis clinical guideline.</w:t>
      </w:r>
    </w:p>
    <w:bookmarkEnd w:id="2499"/>
    <w:bookmarkStart w:id="2500" w:name="X67f05236fe4ecebf17facc56505c97bf7bfa6e9"/>
    <w:p>
      <w:pPr>
        <w:pStyle w:val="Heading3"/>
      </w:pPr>
      <w:r>
        <w:t xml:space="preserve">3. Epidemiology</w:t>
      </w:r>
    </w:p>
    <w:p>
      <w:pPr>
        <w:pStyle w:val="Compact"/>
        <w:numPr>
          <w:ilvl w:val="0"/>
          <w:numId w:val="2252"/>
        </w:numPr>
      </w:pPr>
      <w:r>
        <w:t xml:space="preserve">3–8% of all first-episode psychosis cases have secondary etiologies.</w:t>
      </w:r>
    </w:p>
    <w:p>
      <w:pPr>
        <w:pStyle w:val="Compact"/>
        <w:numPr>
          <w:ilvl w:val="0"/>
          <w:numId w:val="2252"/>
        </w:numPr>
      </w:pPr>
      <w:r>
        <w:t xml:space="preserve">Anti-NMDA-R encephalitis — rare but reversible psychosis in young women; paraneoplastic with teratoma.</w:t>
      </w:r>
    </w:p>
    <w:p>
      <w:pPr>
        <w:pStyle w:val="Compact"/>
        <w:numPr>
          <w:ilvl w:val="0"/>
          <w:numId w:val="2252"/>
        </w:numPr>
      </w:pPr>
      <w:r>
        <w:t xml:space="preserve">Hashimoto encephalopathy, lupus encephalopathy.</w:t>
      </w:r>
    </w:p>
    <w:bookmarkEnd w:id="2500"/>
    <w:bookmarkStart w:id="2501" w:name="X4e098db2ba20845d035c31f23589bbf26707cda"/>
    <w:p>
      <w:pPr>
        <w:pStyle w:val="Heading3"/>
      </w:pPr>
      <w:r>
        <w:t xml:space="preserve">4. Aetiology and pathogenesis</w:t>
      </w:r>
    </w:p>
    <w:p>
      <w:pPr>
        <w:pStyle w:val="Compact"/>
        <w:numPr>
          <w:ilvl w:val="0"/>
          <w:numId w:val="2253"/>
        </w:numPr>
      </w:pPr>
      <w:r>
        <w:t xml:space="preserve">Autoimmune: Anti-NMDA-R, anti-LGI1, anti-CASPR2 encephalitis; Hashimoto (TPO antibodies); lupus (NPSLE).</w:t>
      </w:r>
    </w:p>
    <w:p>
      <w:pPr>
        <w:pStyle w:val="Compact"/>
        <w:numPr>
          <w:ilvl w:val="0"/>
          <w:numId w:val="2253"/>
        </w:numPr>
      </w:pPr>
      <w:r>
        <w:t xml:space="preserve">Infectious: HIV, syphilis, herpes encephalitis, COVID-19.</w:t>
      </w:r>
    </w:p>
    <w:p>
      <w:pPr>
        <w:pStyle w:val="Compact"/>
        <w:numPr>
          <w:ilvl w:val="0"/>
          <w:numId w:val="2253"/>
        </w:numPr>
      </w:pPr>
      <w:r>
        <w:t xml:space="preserve">Endocrine: hyper/hypothyroidism, cortisol disorders (Cushing, Addison), parathyroid disorders (hypercalcemia).</w:t>
      </w:r>
    </w:p>
    <w:p>
      <w:pPr>
        <w:pStyle w:val="Compact"/>
        <w:numPr>
          <w:ilvl w:val="0"/>
          <w:numId w:val="2253"/>
        </w:numPr>
      </w:pPr>
      <w:r>
        <w:t xml:space="preserve">Metabolic: uremia, hepatic encephalopathy, hyponatremia, hypo/hyperglycemia, B12 deficiency, Wilson's disease.</w:t>
      </w:r>
    </w:p>
    <w:p>
      <w:pPr>
        <w:pStyle w:val="Compact"/>
        <w:numPr>
          <w:ilvl w:val="0"/>
          <w:numId w:val="2253"/>
        </w:numPr>
      </w:pPr>
      <w:r>
        <w:t xml:space="preserve">Neurological: brain tumor, stroke, epilepsy (postictal-), dementia.</w:t>
      </w:r>
    </w:p>
    <w:p>
      <w:pPr>
        <w:pStyle w:val="Compact"/>
        <w:numPr>
          <w:ilvl w:val="0"/>
          <w:numId w:val="2253"/>
        </w:numPr>
      </w:pPr>
      <w:r>
        <w:t xml:space="preserve">Substance-induced: Amfetamine, cocaine, cannabis, hallucinogen, alcohol withdrawal, steroids.</w:t>
      </w:r>
    </w:p>
    <w:p>
      <w:pPr>
        <w:pStyle w:val="Compact"/>
        <w:numPr>
          <w:ilvl w:val="0"/>
          <w:numId w:val="2253"/>
        </w:numPr>
      </w:pPr>
      <w:r>
        <w:t xml:space="preserve">Paraneoplastic: Ovarian teratoma (anti-NMDA-R), small cell lung carcinoma.</w:t>
      </w:r>
    </w:p>
    <w:bookmarkEnd w:id="2501"/>
    <w:bookmarkStart w:id="2502" w:name="X7e7fecd83ededa130cf9e7ef8133c13aca9cc0c"/>
    <w:p>
      <w:pPr>
        <w:pStyle w:val="Heading3"/>
      </w:pPr>
      <w:r>
        <w:t xml:space="preserve">5. Clinical features</w:t>
      </w:r>
    </w:p>
    <w:p>
      <w:pPr>
        <w:pStyle w:val="Compact"/>
        <w:numPr>
          <w:ilvl w:val="0"/>
          <w:numId w:val="2254"/>
        </w:numPr>
      </w:pPr>
      <w:r>
        <w:t xml:space="preserve">Psychotic symptoms (delusion, hallucination, disorganized behavior).</w:t>
      </w:r>
    </w:p>
    <w:p>
      <w:pPr>
        <w:pStyle w:val="Compact"/>
        <w:numPr>
          <w:ilvl w:val="0"/>
          <w:numId w:val="2254"/>
        </w:numPr>
      </w:pPr>
      <w:r>
        <w:t xml:space="preserve">Atypical features (characteristic of autoimmune encephalitis):</w:t>
      </w:r>
    </w:p>
    <w:p>
      <w:pPr>
        <w:pStyle w:val="Compact"/>
        <w:numPr>
          <w:ilvl w:val="1"/>
          <w:numId w:val="2255"/>
        </w:numPr>
      </w:pPr>
      <w:r>
        <w:t xml:space="preserve">Rapid onset</w:t>
      </w:r>
    </w:p>
    <w:p>
      <w:pPr>
        <w:pStyle w:val="Compact"/>
        <w:numPr>
          <w:ilvl w:val="1"/>
          <w:numId w:val="2255"/>
        </w:numPr>
      </w:pPr>
      <w:r>
        <w:t xml:space="preserve">Motor symptoms (catatonic, dystonias, orofacial dyskinesia);</w:t>
      </w:r>
    </w:p>
    <w:p>
      <w:pPr>
        <w:pStyle w:val="Compact"/>
        <w:numPr>
          <w:ilvl w:val="1"/>
          <w:numId w:val="2255"/>
        </w:numPr>
      </w:pPr>
      <w:r>
        <w:t xml:space="preserve">Autonomic disturbance (hypertension, tachycardia, hyperthermia);</w:t>
      </w:r>
    </w:p>
    <w:p>
      <w:pPr>
        <w:pStyle w:val="Compact"/>
        <w:numPr>
          <w:ilvl w:val="1"/>
          <w:numId w:val="2255"/>
        </w:numPr>
      </w:pPr>
      <w:r>
        <w:t xml:space="preserve">Seizures;</w:t>
      </w:r>
    </w:p>
    <w:p>
      <w:pPr>
        <w:pStyle w:val="Compact"/>
        <w:numPr>
          <w:ilvl w:val="1"/>
          <w:numId w:val="2255"/>
        </w:numPr>
      </w:pPr>
      <w:r>
        <w:t xml:space="preserve">Impairment of consciousness.</w:t>
      </w:r>
    </w:p>
    <w:p>
      <w:pPr>
        <w:pStyle w:val="Compact"/>
        <w:numPr>
          <w:ilvl w:val="0"/>
          <w:numId w:val="2254"/>
        </w:numPr>
      </w:pPr>
      <w:r>
        <w:t xml:space="preserve">Compared to classic psychosis (schizophrenia) — atypical presentation raises suspicion.</w:t>
      </w:r>
    </w:p>
    <w:bookmarkEnd w:id="2502"/>
    <w:bookmarkStart w:id="2507" w:name="X5b51e4e1d66607345338eff20d1a32d7be23b0a"/>
    <w:p>
      <w:pPr>
        <w:pStyle w:val="Heading3"/>
      </w:pPr>
      <w:r>
        <w:t xml:space="preserve">6. Diagnosis</w:t>
      </w:r>
    </w:p>
    <w:bookmarkStart w:id="2503" w:name="unified-diagnostic-criteria-62"/>
    <w:p>
      <w:pPr>
        <w:pStyle w:val="Heading4"/>
      </w:pPr>
      <w:r>
        <w:t xml:space="preserve">6.1 Unified diagnostic criteria</w:t>
      </w:r>
    </w:p>
    <w:p>
      <w:pPr>
        <w:pStyle w:val="FirstParagraph"/>
      </w:pPr>
      <w:r>
        <w:t xml:space="preserve">A. Psychotic symptoms.</w:t>
      </w:r>
    </w:p>
    <w:p>
      <w:pPr>
        <w:pStyle w:val="BodyText"/>
      </w:pPr>
      <w:r>
        <w:t xml:space="preserve">B. Evidence of medical condition (autoimmune, infectious, endocrine, metabolic, neurological) or substance effect.</w:t>
      </w:r>
    </w:p>
    <w:p>
      <w:pPr>
        <w:pStyle w:val="BodyText"/>
      </w:pPr>
      <w:r>
        <w:t xml:space="preserve">C. Psychosis does not occur in the context of delirium (but may overlap with delirium).</w:t>
      </w:r>
    </w:p>
    <w:p>
      <w:pPr>
        <w:pStyle w:val="BodyText"/>
      </w:pPr>
      <w:r>
        <w:t xml:space="preserve">D. Not better explained by another primary psychotic disorder.</w:t>
      </w:r>
    </w:p>
    <w:bookmarkEnd w:id="2503"/>
    <w:bookmarkStart w:id="2504" w:name="differences-between-sources-158"/>
    <w:p>
      <w:pPr>
        <w:pStyle w:val="Heading4"/>
      </w:pPr>
      <w:r>
        <w:t xml:space="preserve">6.2 Differences between sources</w:t>
      </w:r>
    </w:p>
    <w:p>
      <w:pPr>
        <w:pStyle w:val="Compact"/>
        <w:numPr>
          <w:ilvl w:val="0"/>
          <w:numId w:val="2256"/>
        </w:numPr>
      </w:pPr>
      <w:r>
        <w:t xml:space="preserve">Graus F. et al. Lancet Neurol 2016 — autoimmune encephalitis clinical approach.</w:t>
      </w:r>
    </w:p>
    <w:p>
      <w:pPr>
        <w:pStyle w:val="Compact"/>
        <w:numPr>
          <w:ilvl w:val="0"/>
          <w:numId w:val="2256"/>
        </w:numPr>
      </w:pPr>
      <w:r>
        <w:t xml:space="preserve">ICD-11 — substance-induced psychosis does NOT belong here: it lives in the substance chapter (6C40.6 alcohol, 6C41.6 cannabis and so on). 6E61 covers only health conditions outside the mental-disorders chapter and is assigned alongside the diagnosis of the underlying disease.</w:t>
      </w:r>
    </w:p>
    <w:bookmarkEnd w:id="2504"/>
    <w:bookmarkStart w:id="2505" w:name="diagnostic-algorithm-88"/>
    <w:p>
      <w:pPr>
        <w:pStyle w:val="Heading4"/>
      </w:pPr>
      <w:r>
        <w:t xml:space="preserve">6.3 Diagnostic algorithm</w:t>
      </w:r>
    </w:p>
    <w:p>
      <w:pPr>
        <w:pStyle w:val="Compact"/>
        <w:numPr>
          <w:ilvl w:val="0"/>
          <w:numId w:val="2257"/>
        </w:numPr>
      </w:pPr>
      <w:r>
        <w:t xml:space="preserve">Clinical suspicion — new-onset psychosis, especially with atypical features or in young women.</w:t>
      </w:r>
    </w:p>
    <w:p>
      <w:pPr>
        <w:pStyle w:val="Compact"/>
        <w:numPr>
          <w:ilvl w:val="0"/>
          <w:numId w:val="2257"/>
        </w:numPr>
      </w:pPr>
      <w:r>
        <w:t xml:space="preserve">Medical assessment:</w:t>
      </w:r>
    </w:p>
    <w:p>
      <w:pPr>
        <w:pStyle w:val="Compact"/>
        <w:numPr>
          <w:ilvl w:val="1"/>
          <w:numId w:val="2258"/>
        </w:numPr>
      </w:pPr>
      <w:r>
        <w:t xml:space="preserve">Complete blood count, liver/renal, electrolytes (Na, Ca), glucose, ammonia;</w:t>
      </w:r>
    </w:p>
    <w:p>
      <w:pPr>
        <w:pStyle w:val="Compact"/>
        <w:numPr>
          <w:ilvl w:val="1"/>
          <w:numId w:val="2258"/>
        </w:numPr>
      </w:pPr>
      <w:r>
        <w:t xml:space="preserve">TSH, TPO antibodies (Hashimoto);</w:t>
      </w:r>
    </w:p>
    <w:p>
      <w:pPr>
        <w:pStyle w:val="Compact"/>
        <w:numPr>
          <w:ilvl w:val="1"/>
          <w:numId w:val="2258"/>
        </w:numPr>
      </w:pPr>
      <w:r>
        <w:t xml:space="preserve">Cortisol level (Cushing/Addison);</w:t>
      </w:r>
    </w:p>
    <w:p>
      <w:pPr>
        <w:pStyle w:val="Compact"/>
        <w:numPr>
          <w:ilvl w:val="1"/>
          <w:numId w:val="2258"/>
        </w:numPr>
      </w:pPr>
      <w:r>
        <w:t xml:space="preserve">HIV, syphilis;</w:t>
      </w:r>
    </w:p>
    <w:p>
      <w:pPr>
        <w:pStyle w:val="Compact"/>
        <w:numPr>
          <w:ilvl w:val="1"/>
          <w:numId w:val="2258"/>
        </w:numPr>
      </w:pPr>
      <w:r>
        <w:t xml:space="preserve">ANA, lupus panel;</w:t>
      </w:r>
    </w:p>
    <w:p>
      <w:pPr>
        <w:pStyle w:val="Compact"/>
        <w:numPr>
          <w:ilvl w:val="1"/>
          <w:numId w:val="2258"/>
        </w:numPr>
      </w:pPr>
      <w:r>
        <w:t xml:space="preserve">B12, folate, ceruloplasmin (Wilson);</w:t>
      </w:r>
    </w:p>
    <w:p>
      <w:pPr>
        <w:pStyle w:val="Compact"/>
        <w:numPr>
          <w:ilvl w:val="1"/>
          <w:numId w:val="2258"/>
        </w:numPr>
      </w:pPr>
      <w:r>
        <w:t xml:space="preserve">Toxicology screening.</w:t>
      </w:r>
    </w:p>
    <w:p>
      <w:pPr>
        <w:pStyle w:val="Compact"/>
        <w:numPr>
          <w:ilvl w:val="0"/>
          <w:numId w:val="2257"/>
        </w:numPr>
      </w:pPr>
      <w:r>
        <w:t xml:space="preserve">Brain MRI.</w:t>
      </w:r>
    </w:p>
    <w:p>
      <w:pPr>
        <w:pStyle w:val="Compact"/>
        <w:numPr>
          <w:ilvl w:val="0"/>
          <w:numId w:val="2257"/>
        </w:numPr>
      </w:pPr>
      <w:r>
        <w:t xml:space="preserve">EEG — non-convulsive status, encephalitis.</w:t>
      </w:r>
    </w:p>
    <w:p>
      <w:pPr>
        <w:pStyle w:val="Compact"/>
        <w:numPr>
          <w:ilvl w:val="0"/>
          <w:numId w:val="2257"/>
        </w:numPr>
      </w:pPr>
      <w:r>
        <w:t xml:space="preserve">Lumbar puncture — pleocytosis, antibody panel (anti-NMDA-R, anti-LGI1, anti-CASPR2, paraneoplastic).</w:t>
      </w:r>
    </w:p>
    <w:p>
      <w:pPr>
        <w:pStyle w:val="Compact"/>
        <w:numPr>
          <w:ilvl w:val="0"/>
          <w:numId w:val="2257"/>
        </w:numPr>
      </w:pPr>
      <w:r>
        <w:t xml:space="preserve">Tumor screening (when paraneoplastic antibody positive — ovarian USG, pelvic MRI, chest CT).</w:t>
      </w:r>
    </w:p>
    <w:bookmarkEnd w:id="2505"/>
    <w:bookmarkStart w:id="2506" w:name="differential-diagnosis-8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Schizophrenia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Medical cause absent; typical clinical course.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Acute and transient psychotic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Secondary causes excluded.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Fluctuation of attention; psychosis in the context of delirium.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Substance-induced psychosis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Substance confirmation and temporal relationship.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Dementia with psychotic features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Cognitive decline.</w:t>
            </w:r>
          </w:p>
        </w:tc>
      </w:tr>
    </w:tbl>
    <w:bookmarkEnd w:id="2506"/>
    <w:bookmarkEnd w:id="2507"/>
    <w:bookmarkStart w:id="2508" w:name="Xac9750cca7857969e0ca9c0507ed51c8f9a8823"/>
    <w:p>
      <w:pPr>
        <w:pStyle w:val="Heading3"/>
      </w:pPr>
      <w:r>
        <w:t xml:space="preserve">7. Examination and assessment</w:t>
      </w:r>
    </w:p>
    <w:p>
      <w:pPr>
        <w:pStyle w:val="Compact"/>
        <w:numPr>
          <w:ilvl w:val="0"/>
          <w:numId w:val="2259"/>
        </w:numPr>
      </w:pPr>
      <w:r>
        <w:t xml:space="preserve">The above laboratory panel.</w:t>
      </w:r>
    </w:p>
    <w:p>
      <w:pPr>
        <w:pStyle w:val="Compact"/>
        <w:numPr>
          <w:ilvl w:val="0"/>
          <w:numId w:val="2259"/>
        </w:numPr>
      </w:pPr>
      <w:r>
        <w:t xml:space="preserve">MRI, EEG.</w:t>
      </w:r>
    </w:p>
    <w:p>
      <w:pPr>
        <w:pStyle w:val="Compact"/>
        <w:numPr>
          <w:ilvl w:val="0"/>
          <w:numId w:val="2259"/>
        </w:numPr>
      </w:pPr>
      <w:r>
        <w:t xml:space="preserve">CSF antibody panel.</w:t>
      </w:r>
    </w:p>
    <w:p>
      <w:pPr>
        <w:pStyle w:val="Compact"/>
        <w:numPr>
          <w:ilvl w:val="0"/>
          <w:numId w:val="2259"/>
        </w:numPr>
      </w:pPr>
      <w:r>
        <w:t xml:space="preserve">Tumor screening.</w:t>
      </w:r>
    </w:p>
    <w:bookmarkEnd w:id="2508"/>
    <w:bookmarkStart w:id="2511" w:name="X98d35db668bc17ef4a3e4870817480308d2944f"/>
    <w:p>
      <w:pPr>
        <w:pStyle w:val="Heading3"/>
      </w:pPr>
      <w:r>
        <w:t xml:space="preserve">8. Treatment</w:t>
      </w:r>
    </w:p>
    <w:p>
      <w:pPr>
        <w:pStyle w:val="Compact"/>
        <w:numPr>
          <w:ilvl w:val="0"/>
          <w:numId w:val="2260"/>
        </w:numPr>
      </w:pPr>
      <w:r>
        <w:t xml:space="preserve">Etiological treatment is first-line:</w:t>
      </w:r>
    </w:p>
    <w:p>
      <w:pPr>
        <w:pStyle w:val="Compact"/>
        <w:numPr>
          <w:ilvl w:val="1"/>
          <w:numId w:val="2261"/>
        </w:numPr>
      </w:pPr>
      <w:r>
        <w:t xml:space="preserve">Autoimmune encephalitis — IV methylprednisolone 1 g × 5 days → IVIG and/or plasmapheresis; second-line rituximab, cyclophosphamide;</w:t>
      </w:r>
    </w:p>
    <w:p>
      <w:pPr>
        <w:pStyle w:val="Compact"/>
        <w:numPr>
          <w:ilvl w:val="1"/>
          <w:numId w:val="2261"/>
        </w:numPr>
      </w:pPr>
      <w:r>
        <w:t xml:space="preserve">Paraneoplastic — tumor treatment (ovarian teratoma surgery);</w:t>
      </w:r>
    </w:p>
    <w:p>
      <w:pPr>
        <w:pStyle w:val="Compact"/>
        <w:numPr>
          <w:ilvl w:val="1"/>
          <w:numId w:val="2261"/>
        </w:numPr>
      </w:pPr>
      <w:r>
        <w:t xml:space="preserve">Endocrine — thyroid, cortisol, calcium correction;</w:t>
      </w:r>
    </w:p>
    <w:p>
      <w:pPr>
        <w:pStyle w:val="Compact"/>
        <w:numPr>
          <w:ilvl w:val="1"/>
          <w:numId w:val="2261"/>
        </w:numPr>
      </w:pPr>
      <w:r>
        <w:t xml:space="preserve">Infectious — antibiotic, antiviral;</w:t>
      </w:r>
    </w:p>
    <w:p>
      <w:pPr>
        <w:pStyle w:val="Compact"/>
        <w:numPr>
          <w:ilvl w:val="1"/>
          <w:numId w:val="2261"/>
        </w:numPr>
      </w:pPr>
      <w:r>
        <w:t xml:space="preserve">Metabolic — correction of the disorder;</w:t>
      </w:r>
    </w:p>
    <w:p>
      <w:pPr>
        <w:pStyle w:val="Compact"/>
        <w:numPr>
          <w:ilvl w:val="1"/>
          <w:numId w:val="2261"/>
        </w:numPr>
      </w:pPr>
      <w:r>
        <w:t xml:space="preserve">Medication-induced — discontinuation of the suspected agent.</w:t>
      </w:r>
    </w:p>
    <w:p>
      <w:pPr>
        <w:pStyle w:val="Compact"/>
        <w:numPr>
          <w:ilvl w:val="0"/>
          <w:numId w:val="2260"/>
        </w:numPr>
      </w:pPr>
      <w:r>
        <w:t xml:space="preserve">Symptomatic psychiatric intervention — until etiological treatment yields results:</w:t>
      </w:r>
    </w:p>
    <w:p>
      <w:pPr>
        <w:pStyle w:val="Compact"/>
        <w:numPr>
          <w:ilvl w:val="1"/>
          <w:numId w:val="2262"/>
        </w:numPr>
      </w:pPr>
      <w:r>
        <w:t xml:space="preserve">Atypical antipsychotic (quetiapine, olanzapine) — with caution;</w:t>
      </w:r>
    </w:p>
    <w:p>
      <w:pPr>
        <w:pStyle w:val="Compact"/>
        <w:numPr>
          <w:ilvl w:val="1"/>
          <w:numId w:val="2262"/>
        </w:numPr>
      </w:pPr>
      <w:r>
        <w:t xml:space="preserve">In case of autoimmune encephalitis — typical antipsychotic (haloperidol) contraindicated — Risk of NMS and disease exacerbation;</w:t>
      </w:r>
    </w:p>
    <w:p>
      <w:pPr>
        <w:pStyle w:val="Compact"/>
        <w:numPr>
          <w:ilvl w:val="1"/>
          <w:numId w:val="2262"/>
        </w:numPr>
      </w:pPr>
      <w:r>
        <w:t xml:space="preserve">Benzodiazepine (lorazepam) — acute agitation.</w:t>
      </w:r>
    </w:p>
    <w:p>
      <w:pPr>
        <w:pStyle w:val="Compact"/>
        <w:numPr>
          <w:ilvl w:val="0"/>
          <w:numId w:val="2260"/>
        </w:numPr>
      </w:pPr>
      <w:r>
        <w:t xml:space="preserve">ECT — alternative for refractory catatonic or autoimmune encephalitis.</w:t>
      </w:r>
    </w:p>
    <w:bookmarkStart w:id="2509" w:name="treatment-methods-86"/>
    <w:p>
      <w:pPr>
        <w:pStyle w:val="Heading4"/>
      </w:pPr>
      <w:r>
        <w:t xml:space="preserve">8.1 Treatment methods</w:t>
      </w:r>
    </w:p>
    <w:p>
      <w:pPr>
        <w:pStyle w:val="Compact"/>
        <w:numPr>
          <w:ilvl w:val="0"/>
          <w:numId w:val="2263"/>
        </w:numPr>
      </w:pPr>
      <w:r>
        <w:t xml:space="preserve">Immunotherapy (Autoimmune Encephalitis) — IV steroids → IVIG → plasmapheresis → rituximab/cyclophosphamide.</w:t>
      </w:r>
    </w:p>
    <w:p>
      <w:pPr>
        <w:pStyle w:val="Compact"/>
        <w:numPr>
          <w:ilvl w:val="0"/>
          <w:numId w:val="2263"/>
        </w:numPr>
      </w:pPr>
      <w:r>
        <w:t xml:space="preserve">Treatment of Tumor (Paraneoplastic) — Surgical or oncological treatment.</w:t>
      </w:r>
    </w:p>
    <w:p>
      <w:pPr>
        <w:pStyle w:val="Compact"/>
        <w:numPr>
          <w:ilvl w:val="0"/>
          <w:numId w:val="2263"/>
        </w:numPr>
      </w:pPr>
      <w:r>
        <w:t xml:space="preserve">Atypical Antipsychotic, Symptomatic — Until etiological treatment produces results; quetiapine, olanzapine superior.</w:t>
      </w:r>
    </w:p>
    <w:p>
      <w:pPr>
        <w:pStyle w:val="Compact"/>
        <w:numPr>
          <w:ilvl w:val="0"/>
          <w:numId w:val="2263"/>
        </w:numPr>
      </w:pPr>
      <w:r>
        <w:t xml:space="preserve">ECT — in refractory cases — Effective in catatonic or immunotherapy-resistant autoimmune encephalitis.</w:t>
      </w:r>
    </w:p>
    <w:bookmarkEnd w:id="2509"/>
    <w:bookmarkStart w:id="2510" w:name="differences-between-sources-159"/>
    <w:p>
      <w:pPr>
        <w:pStyle w:val="Heading4"/>
      </w:pPr>
      <w:r>
        <w:t xml:space="preserve">8.2 Differences between sources</w:t>
      </w:r>
    </w:p>
    <w:p>
      <w:pPr>
        <w:pStyle w:val="Compact"/>
        <w:numPr>
          <w:ilvl w:val="0"/>
          <w:numId w:val="2264"/>
        </w:numPr>
      </w:pPr>
      <w:r>
        <w:t xml:space="preserve">Graus F. et al. Lancet Neurol 2016 — autoimmune encephalitis protocols.</w:t>
      </w:r>
    </w:p>
    <w:p>
      <w:pPr>
        <w:pStyle w:val="Compact"/>
        <w:numPr>
          <w:ilvl w:val="0"/>
          <w:numId w:val="2264"/>
        </w:numPr>
      </w:pPr>
      <w:r>
        <w:t xml:space="preserve">APA Textbook of Consultation-Liaison Psychiatry (Levenson).</w:t>
      </w:r>
    </w:p>
    <w:bookmarkEnd w:id="2510"/>
    <w:bookmarkEnd w:id="2511"/>
    <w:bookmarkStart w:id="2512" w:name="Xb6988fdb10b8eefdacdd74c70f9e41497d7f312"/>
    <w:p>
      <w:pPr>
        <w:pStyle w:val="Heading3"/>
      </w:pPr>
      <w:r>
        <w:t xml:space="preserve">9. Prognosis</w:t>
      </w:r>
    </w:p>
    <w:p>
      <w:pPr>
        <w:pStyle w:val="Compact"/>
        <w:numPr>
          <w:ilvl w:val="0"/>
          <w:numId w:val="2265"/>
        </w:numPr>
      </w:pPr>
      <w:r>
        <w:t xml:space="preserve">Most cases respond to etiological treatment; reversible condition.</w:t>
      </w:r>
    </w:p>
    <w:p>
      <w:pPr>
        <w:pStyle w:val="Compact"/>
        <w:numPr>
          <w:ilvl w:val="0"/>
          <w:numId w:val="2265"/>
        </w:numPr>
      </w:pPr>
      <w:r>
        <w:t xml:space="preserve">Anti-NMDA-R encephalitis — 75% good recovery with early immunotherapy.</w:t>
      </w:r>
    </w:p>
    <w:bookmarkEnd w:id="2512"/>
    <w:bookmarkStart w:id="2518" w:name="Xa0debe1205539b8b0327913dcc28410ef5e34f5"/>
    <w:p>
      <w:pPr>
        <w:pStyle w:val="Heading3"/>
      </w:pPr>
      <w:r>
        <w:t xml:space="preserve">10. Myths and misconceptions</w:t>
      </w:r>
    </w:p>
    <w:bookmarkStart w:id="2513" w:name="Xa8325d8e7e8582324969ccface5760eb396a263"/>
    <w:p>
      <w:pPr>
        <w:pStyle w:val="Heading5"/>
      </w:pPr>
      <w:r>
        <w:t xml:space="preserve">Myth 1: “First-episode psychosis is always schizophrenia”</w:t>
      </w:r>
    </w:p>
    <w:p>
      <w:pPr>
        <w:pStyle w:val="FirstParagraph"/>
      </w:pPr>
      <w:r>
        <w:t xml:space="preserve">Evidence: 3–8% secondary etiologies; atypical features require attention; medical evaluation is mandatory in first-episode psychosis.</w:t>
      </w:r>
    </w:p>
    <w:bookmarkEnd w:id="2513"/>
    <w:bookmarkStart w:id="2514" w:name="Xde7f32d82c95533b39faf5508a7a160194a999a"/>
    <w:p>
      <w:pPr>
        <w:pStyle w:val="Heading5"/>
      </w:pPr>
      <w:r>
        <w:t xml:space="preserve">Myth 2: “Typical antipsychotic (haloperidol) is safe for every psychotic episode”</w:t>
      </w:r>
    </w:p>
    <w:p>
      <w:pPr>
        <w:pStyle w:val="FirstParagraph"/>
      </w:pPr>
      <w:r>
        <w:t xml:space="preserve">Evidence: If autoimmune encephalitis is suspected, haloperidol and similar first-generation antipsychotics are prohibited — risk of NMS, disease exacerbation.</w:t>
      </w:r>
    </w:p>
    <w:bookmarkEnd w:id="2514"/>
    <w:bookmarkStart w:id="2515" w:name="X766fb704a4b6d1b99be52b3cdbb8dca1bf822e9"/>
    <w:p>
      <w:pPr>
        <w:pStyle w:val="Heading5"/>
      </w:pPr>
      <w:r>
        <w:t xml:space="preserve">Myth 3: “Anti-NMDA-R encephalitis is rare, not worth looking for”</w:t>
      </w:r>
    </w:p>
    <w:p>
      <w:pPr>
        <w:pStyle w:val="FirstParagraph"/>
      </w:pPr>
      <w:r>
        <w:t xml:space="preserve">Evidence: In a young woman atypical psychosis + movement symptoms + seizures is the classic presentation of Anti-NMDA-R; antibody test saves lives; reversible condition.</w:t>
      </w:r>
    </w:p>
    <w:bookmarkEnd w:id="2515"/>
    <w:bookmarkStart w:id="2516" w:name="X9ce96366d2aa5a1198df8cde5b787d7ab4c9873"/>
    <w:p>
      <w:pPr>
        <w:pStyle w:val="Heading5"/>
      </w:pPr>
      <w:r>
        <w:t xml:space="preserve">Myth 4: “If no medical cause is found, a psychiatric diagnosis is made — no further search is needed”</w:t>
      </w:r>
    </w:p>
    <w:p>
      <w:pPr>
        <w:pStyle w:val="FirstParagraph"/>
      </w:pPr>
      <w:r>
        <w:t xml:space="preserve">Evidence: Atypical clinical presentation requires expanded investigation (CSF, MRI, paraneoplastic panel).</w:t>
      </w:r>
    </w:p>
    <w:bookmarkEnd w:id="2516"/>
    <w:bookmarkStart w:id="2517" w:name="X09a9104d30039364809453fdaf7f16f1e4bced9"/>
    <w:p>
      <w:pPr>
        <w:pStyle w:val="Heading5"/>
      </w:pPr>
      <w:r>
        <w:t xml:space="preserve">Myth 5: “Immunotherapy is not suitable for psychiatric conditions”</w:t>
      </w:r>
    </w:p>
    <w:p>
      <w:pPr>
        <w:pStyle w:val="FirstParagraph"/>
      </w:pPr>
      <w:r>
        <w:t xml:space="preserve">Evidence: If evidence of autoimmune encephalitis, immunotherapy first-line; standard antipsychotic ineffective.</w:t>
      </w:r>
    </w:p>
    <w:bookmarkEnd w:id="2517"/>
    <w:bookmarkEnd w:id="2518"/>
    <w:bookmarkStart w:id="2932" w:name="X6b3cd14e0c41c663d72b143a96529f3c98b1fa6"/>
    <w:p>
      <w:pPr>
        <w:pStyle w:val="Heading3"/>
      </w:pPr>
      <w:r>
        <w:t xml:space="preserve">11. Sources</w:t>
      </w:r>
    </w:p>
    <w:p>
      <w:pPr>
        <w:pStyle w:val="Compact"/>
        <w:numPr>
          <w:ilvl w:val="0"/>
          <w:numId w:val="2266"/>
        </w:numPr>
      </w:pPr>
      <w:r>
        <w:t xml:space="preserve">WHO. ICD-11. 6E61 Secondary psychotic syndrome. 2024.</w:t>
      </w:r>
    </w:p>
    <w:p>
      <w:pPr>
        <w:pStyle w:val="Compact"/>
        <w:numPr>
          <w:ilvl w:val="0"/>
          <w:numId w:val="2266"/>
        </w:numPr>
      </w:pPr>
      <w:r>
        <w:t xml:space="preserve">APA. DSM-5-TR. 2022.</w:t>
      </w:r>
    </w:p>
    <w:p>
      <w:pPr>
        <w:pStyle w:val="Compact"/>
        <w:numPr>
          <w:ilvl w:val="0"/>
          <w:numId w:val="2266"/>
        </w:numPr>
      </w:pPr>
      <w:r>
        <w:t xml:space="preserve">Graus F. et al. A clinical approach to diagnosis of autoimmune encephalitis. Lancet Neurol 2016;15(4):391–404.</w:t>
      </w:r>
    </w:p>
    <w:p>
      <w:pPr>
        <w:pStyle w:val="Compact"/>
        <w:numPr>
          <w:ilvl w:val="0"/>
          <w:numId w:val="2266"/>
        </w:numPr>
      </w:pPr>
      <w:r>
        <w:t xml:space="preserve">Dalmau J. et al. Anti-NMDA-receptor encephalitis: case series and analysis of the effects of antibodies. Lancet Neurol 2008;7(12):1091–1098.</w:t>
      </w:r>
    </w:p>
    <w:p>
      <w:pPr>
        <w:pStyle w:val="Compact"/>
        <w:numPr>
          <w:ilvl w:val="0"/>
          <w:numId w:val="2266"/>
        </w:numPr>
      </w:pPr>
      <w:r>
        <w:t xml:space="preserve">Levenson J.L. (ed.). APA Publishing Textbook of Psychosomatic Medicine and Consultation-Liaison Psychiatry. 3rd ed.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19" w:name="m1136e62-secondary-mood-syndrome"/>
            <w:r>
              <w:t xml:space="preserve">6E62 SECONDARY MOOD SYNDROME</w:t>
            </w:r>
            <w:bookmarkEnd w:id="2519"/>
          </w:p>
          <w:p>
            <w:pPr>
              <w:pStyle w:val="Compact"/>
              <w:ind w:firstLine="0" w:left="0"/>
            </w:pPr>
            <w:r>
              <w:rPr>
                <w:lang w:val="en"/>
              </w:rPr>
              <w:t xml:space="preserve">Secondary mood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Organic mood [affective]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Disorder Due to Another Medical Condition</w:t>
            </w:r>
          </w:p>
        </w:tc>
      </w:tr>
    </w:tbl>
    <w:bookmarkStart w:id="2520" w:name="Xe66800e7427422c440d3efa9e5f35ffa3dfb839"/>
    <w:p>
      <w:pPr>
        <w:pStyle w:val="Heading3"/>
      </w:pPr>
      <w:r>
        <w:t xml:space="preserve">1. Definition and nosology</w:t>
      </w:r>
    </w:p>
    <w:p>
      <w:pPr>
        <w:pStyle w:val="FirstParagraph"/>
      </w:pPr>
      <w:r>
        <w:t xml:space="preserve">Secondary mood syndrome (ICD-11:</w:t>
      </w:r>
      <w:r>
        <w:t xml:space="preserve"> </w:t>
      </w:r>
      <w:r>
        <w:t xml:space="preserve">6E62</w:t>
      </w:r>
      <w:r>
        <w:t xml:space="preserve">; DSM-5-TR: F06.3x Mood Disorder Due to Another Medical Condition) — depressive, manic, or mixed mood episodes in the context of another medical condition, substance, or medication effect.</w:t>
      </w:r>
    </w:p>
    <w:bookmarkEnd w:id="2520"/>
    <w:bookmarkStart w:id="2521" w:name="Xf01d4e27f6d95b6cb05cc476b29c199d50c045c"/>
    <w:p>
      <w:pPr>
        <w:pStyle w:val="Heading3"/>
      </w:pPr>
      <w:r>
        <w:t xml:space="preserve">2. History</w:t>
      </w:r>
    </w:p>
    <w:p>
      <w:pPr>
        <w:pStyle w:val="FirstParagraph"/>
      </w:pPr>
      <w:r>
        <w:t xml:space="preserve">The term “Organic Affective Disorder” belongs to the 20th century; current clinical practice has moved toward the biopsychosocial model.</w:t>
      </w:r>
    </w:p>
    <w:bookmarkEnd w:id="2521"/>
    <w:bookmarkStart w:id="2522" w:name="Xa6b02b62b5dc89c6999d8ba0be52243138dfff2"/>
    <w:p>
      <w:pPr>
        <w:pStyle w:val="Heading3"/>
      </w:pPr>
      <w:r>
        <w:t xml:space="preserve">3. Epidemiology</w:t>
      </w:r>
    </w:p>
    <w:p>
      <w:pPr>
        <w:pStyle w:val="Compact"/>
        <w:numPr>
          <w:ilvl w:val="0"/>
          <w:numId w:val="2267"/>
        </w:numPr>
      </w:pPr>
      <w:r>
        <w:t xml:space="preserve">Depressive symptoms are prevalent in chronic medical conditions; some meet criteria for clinical depressive episode.</w:t>
      </w:r>
    </w:p>
    <w:p>
      <w:pPr>
        <w:pStyle w:val="Compact"/>
        <w:numPr>
          <w:ilvl w:val="0"/>
          <w:numId w:val="2267"/>
        </w:numPr>
      </w:pPr>
      <w:r>
        <w:t xml:space="preserve">Steroid-induced mood disorders — high-dose prednisone 5–18% mania/hypomania, depression.</w:t>
      </w:r>
    </w:p>
    <w:p>
      <w:pPr>
        <w:pStyle w:val="Compact"/>
        <w:numPr>
          <w:ilvl w:val="0"/>
          <w:numId w:val="2267"/>
        </w:numPr>
      </w:pPr>
      <w:r>
        <w:t xml:space="preserve">Interferon-induced depression — 20–40% in HCV treatment.</w:t>
      </w:r>
    </w:p>
    <w:p>
      <w:pPr>
        <w:pStyle w:val="Compact"/>
        <w:numPr>
          <w:ilvl w:val="0"/>
          <w:numId w:val="2267"/>
        </w:numPr>
      </w:pPr>
      <w:r>
        <w:t xml:space="preserve">Post-stroke depression — 30%.</w:t>
      </w:r>
    </w:p>
    <w:bookmarkEnd w:id="2522"/>
    <w:bookmarkStart w:id="2523" w:name="X5303596b943bb0740f08b6d803843fecd412845"/>
    <w:p>
      <w:pPr>
        <w:pStyle w:val="Heading3"/>
      </w:pPr>
      <w:r>
        <w:t xml:space="preserve">4. Aetiology and pathogenesis</w:t>
      </w:r>
    </w:p>
    <w:p>
      <w:pPr>
        <w:pStyle w:val="Compact"/>
        <w:numPr>
          <w:ilvl w:val="0"/>
          <w:numId w:val="2268"/>
        </w:numPr>
      </w:pPr>
      <w:r>
        <w:t xml:space="preserve">Endocrine — hypothyroid (depression), hyperthyroid (mania-like), Cushing, Addison.</w:t>
      </w:r>
    </w:p>
    <w:p>
      <w:pPr>
        <w:pStyle w:val="Compact"/>
        <w:numPr>
          <w:ilvl w:val="0"/>
          <w:numId w:val="2268"/>
        </w:numPr>
      </w:pPr>
      <w:r>
        <w:t xml:space="preserve">Neurological — stroke (left frontal — depression, right — mania), Parkinson's, MS, brain tumor, dementia, TBI.</w:t>
      </w:r>
    </w:p>
    <w:p>
      <w:pPr>
        <w:pStyle w:val="Compact"/>
        <w:numPr>
          <w:ilvl w:val="0"/>
          <w:numId w:val="2268"/>
        </w:numPr>
      </w:pPr>
      <w:r>
        <w:t xml:space="preserve">Substance/medication — steroids, interferon, dopamine agonists, isotretinoin, β-blocker, anticonvulsant.</w:t>
      </w:r>
    </w:p>
    <w:p>
      <w:pPr>
        <w:pStyle w:val="Compact"/>
        <w:numPr>
          <w:ilvl w:val="0"/>
          <w:numId w:val="2268"/>
        </w:numPr>
      </w:pPr>
      <w:r>
        <w:t xml:space="preserve">Metabolic — uremia, B12, folate.</w:t>
      </w:r>
    </w:p>
    <w:p>
      <w:pPr>
        <w:pStyle w:val="Compact"/>
        <w:numPr>
          <w:ilvl w:val="0"/>
          <w:numId w:val="2268"/>
        </w:numPr>
      </w:pPr>
      <w:r>
        <w:t xml:space="preserve">Infectious — HIV, syphilis, COVID.</w:t>
      </w:r>
    </w:p>
    <w:p>
      <w:pPr>
        <w:pStyle w:val="Compact"/>
        <w:numPr>
          <w:ilvl w:val="0"/>
          <w:numId w:val="2268"/>
        </w:numPr>
      </w:pPr>
      <w:r>
        <w:t xml:space="preserve">Autoimmune — lupus, Hashimoto.</w:t>
      </w:r>
    </w:p>
    <w:p>
      <w:pPr>
        <w:pStyle w:val="Compact"/>
        <w:numPr>
          <w:ilvl w:val="0"/>
          <w:numId w:val="2268"/>
        </w:numPr>
      </w:pPr>
      <w:r>
        <w:t xml:space="preserve">Oncology — pancreatic cancer (classic depressive presentation), paraneoplastic.</w:t>
      </w:r>
    </w:p>
    <w:bookmarkEnd w:id="2523"/>
    <w:bookmarkStart w:id="2524" w:name="X4a2d026e06b0b470f748de92ae541e9d6643b96"/>
    <w:p>
      <w:pPr>
        <w:pStyle w:val="Heading3"/>
      </w:pPr>
      <w:r>
        <w:t xml:space="preserve">5. Clinical features</w:t>
      </w:r>
    </w:p>
    <w:p>
      <w:pPr>
        <w:pStyle w:val="Compact"/>
        <w:numPr>
          <w:ilvl w:val="0"/>
          <w:numId w:val="2269"/>
        </w:numPr>
      </w:pPr>
      <w:r>
        <w:t xml:space="preserve">Symptoms of depressive, manic, mixed, and hypomanic episodes.</w:t>
      </w:r>
    </w:p>
    <w:p>
      <w:pPr>
        <w:pStyle w:val="Compact"/>
        <w:numPr>
          <w:ilvl w:val="0"/>
          <w:numId w:val="2269"/>
        </w:numPr>
      </w:pPr>
      <w:r>
        <w:t xml:space="preserve">Medical condition or substance-related temporal association.</w:t>
      </w:r>
    </w:p>
    <w:p>
      <w:pPr>
        <w:pStyle w:val="Compact"/>
        <w:numPr>
          <w:ilvl w:val="0"/>
          <w:numId w:val="2269"/>
        </w:numPr>
      </w:pPr>
      <w:r>
        <w:t xml:space="preserve">Features not characteristic of classic affective disorder (late onset, atypical presentation).</w:t>
      </w:r>
    </w:p>
    <w:bookmarkEnd w:id="2524"/>
    <w:bookmarkStart w:id="2529" w:name="X0d2dd20b36d48a44eaf8db3c6a2099b9fa3ca19"/>
    <w:p>
      <w:pPr>
        <w:pStyle w:val="Heading3"/>
      </w:pPr>
      <w:r>
        <w:t xml:space="preserve">6. Diagnosis</w:t>
      </w:r>
    </w:p>
    <w:bookmarkStart w:id="2525" w:name="unified-diagnostic-criteria-63"/>
    <w:p>
      <w:pPr>
        <w:pStyle w:val="Heading4"/>
      </w:pPr>
      <w:r>
        <w:t xml:space="preserve">6.1 Unified diagnostic criteria</w:t>
      </w:r>
    </w:p>
    <w:p>
      <w:pPr>
        <w:pStyle w:val="FirstParagraph"/>
      </w:pPr>
      <w:r>
        <w:t xml:space="preserve">A. Persistent mood disturbance (depressive, manic, or mixed).</w:t>
      </w:r>
    </w:p>
    <w:p>
      <w:pPr>
        <w:pStyle w:val="BodyText"/>
      </w:pPr>
      <w:r>
        <w:t xml:space="preserve">B. Medical condition or substance effect evidence.</w:t>
      </w:r>
    </w:p>
    <w:p>
      <w:pPr>
        <w:pStyle w:val="BodyText"/>
      </w:pPr>
      <w:r>
        <w:t xml:space="preserve">C. Not better explained by a primary affective disorder.</w:t>
      </w:r>
    </w:p>
    <w:p>
      <w:pPr>
        <w:pStyle w:val="BodyText"/>
      </w:pPr>
      <w:r>
        <w:t xml:space="preserve">D. Does not occur in the context of delirium</w:t>
      </w:r>
    </w:p>
    <w:bookmarkEnd w:id="2525"/>
    <w:bookmarkStart w:id="2526" w:name="differences-between-sources-160"/>
    <w:p>
      <w:pPr>
        <w:pStyle w:val="Heading4"/>
      </w:pPr>
      <w:r>
        <w:t xml:space="preserve">6.2 Differences between sources</w:t>
      </w:r>
    </w:p>
    <w:p>
      <w:pPr>
        <w:pStyle w:val="Compact"/>
        <w:numPr>
          <w:ilvl w:val="0"/>
          <w:numId w:val="2270"/>
        </w:numPr>
      </w:pPr>
      <w:r>
        <w:t xml:space="preserve">ICD-11 — a substance-induced mood disorder does NOT belong here: it lives in the substance chapter. 6E62 covers only health conditions outside the mental-disorders chapter and is assigned alongside the diagnosis of the underlying disease.</w:t>
      </w:r>
    </w:p>
    <w:p>
      <w:pPr>
        <w:pStyle w:val="Compact"/>
        <w:numPr>
          <w:ilvl w:val="0"/>
          <w:numId w:val="2270"/>
        </w:numPr>
      </w:pPr>
      <w:r>
        <w:t xml:space="preserve">Consultation-liaison protocols.</w:t>
      </w:r>
    </w:p>
    <w:bookmarkEnd w:id="2526"/>
    <w:bookmarkStart w:id="2527" w:name="diagnostic-algorithm-89"/>
    <w:p>
      <w:pPr>
        <w:pStyle w:val="Heading4"/>
      </w:pPr>
      <w:r>
        <w:t xml:space="preserve">6.3 Diagnostic algorithm</w:t>
      </w:r>
    </w:p>
    <w:p>
      <w:pPr>
        <w:pStyle w:val="Compact"/>
        <w:numPr>
          <w:ilvl w:val="0"/>
          <w:numId w:val="2271"/>
        </w:numPr>
      </w:pPr>
      <w:r>
        <w:t xml:space="preserve">Clinical interview + medical history.</w:t>
      </w:r>
    </w:p>
    <w:p>
      <w:pPr>
        <w:pStyle w:val="Compact"/>
        <w:numPr>
          <w:ilvl w:val="0"/>
          <w:numId w:val="2271"/>
        </w:numPr>
      </w:pPr>
      <w:r>
        <w:t xml:space="preserve">Medical and laboratory assessment (TSH, B12, cortisol, renal, hepatic).</w:t>
      </w:r>
    </w:p>
    <w:p>
      <w:pPr>
        <w:pStyle w:val="Compact"/>
        <w:numPr>
          <w:ilvl w:val="0"/>
          <w:numId w:val="2271"/>
        </w:numPr>
      </w:pPr>
      <w:r>
        <w:t xml:space="preserve">Medication list review.</w:t>
      </w:r>
    </w:p>
    <w:p>
      <w:pPr>
        <w:pStyle w:val="Compact"/>
        <w:numPr>
          <w:ilvl w:val="0"/>
          <w:numId w:val="2271"/>
        </w:numPr>
      </w:pPr>
      <w:r>
        <w:t xml:space="preserve">Brain imaging (stroke, MS, tumor).</w:t>
      </w:r>
    </w:p>
    <w:p>
      <w:pPr>
        <w:pStyle w:val="Compact"/>
        <w:numPr>
          <w:ilvl w:val="0"/>
          <w:numId w:val="2271"/>
        </w:numPr>
      </w:pPr>
      <w:r>
        <w:t xml:space="preserve">Toxicology.</w:t>
      </w:r>
    </w:p>
    <w:p>
      <w:pPr>
        <w:pStyle w:val="Compact"/>
        <w:numPr>
          <w:ilvl w:val="0"/>
          <w:numId w:val="2271"/>
        </w:numPr>
      </w:pPr>
      <w:r>
        <w:t xml:space="preserve">Comorbid disorders.</w:t>
      </w:r>
    </w:p>
    <w:bookmarkEnd w:id="2527"/>
    <w:bookmarkStart w:id="2528" w:name="differential-diagnosis-9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first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There is no medical cause.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Bipolar first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History of affective episodes without a medical cause.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Adjustment disorder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Response to stress factor.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Fluctuation of attention.</w:t>
            </w:r>
          </w:p>
        </w:tc>
      </w:tr>
    </w:tbl>
    <w:bookmarkEnd w:id="2528"/>
    <w:bookmarkEnd w:id="2529"/>
    <w:bookmarkStart w:id="2530" w:name="Xd70df07c95920baf912a0e80662584d26336b36"/>
    <w:p>
      <w:pPr>
        <w:pStyle w:val="Heading3"/>
      </w:pPr>
      <w:r>
        <w:t xml:space="preserve">7. Examination and assessment</w:t>
      </w:r>
    </w:p>
    <w:p>
      <w:pPr>
        <w:pStyle w:val="Compact"/>
        <w:numPr>
          <w:ilvl w:val="0"/>
          <w:numId w:val="2272"/>
        </w:numPr>
      </w:pPr>
      <w:r>
        <w:t xml:space="preserve">PHQ-9, MADRS, YMRS.</w:t>
      </w:r>
    </w:p>
    <w:p>
      <w:pPr>
        <w:pStyle w:val="Compact"/>
        <w:numPr>
          <w:ilvl w:val="0"/>
          <w:numId w:val="2272"/>
        </w:numPr>
      </w:pPr>
      <w:r>
        <w:t xml:space="preserve">Laboratory: TSH, B12, cortisol, ANA, kidney, liver.</w:t>
      </w:r>
    </w:p>
    <w:p>
      <w:pPr>
        <w:pStyle w:val="Compact"/>
        <w:numPr>
          <w:ilvl w:val="0"/>
          <w:numId w:val="2272"/>
        </w:numPr>
      </w:pPr>
      <w:r>
        <w:t xml:space="preserve">MRI in atypical cases.</w:t>
      </w:r>
    </w:p>
    <w:p>
      <w:pPr>
        <w:pStyle w:val="Compact"/>
        <w:numPr>
          <w:ilvl w:val="0"/>
          <w:numId w:val="2272"/>
        </w:numPr>
      </w:pPr>
      <w:r>
        <w:t xml:space="preserve">C-SSRS.</w:t>
      </w:r>
    </w:p>
    <w:bookmarkEnd w:id="2530"/>
    <w:bookmarkStart w:id="2532" w:name="Xbccfc98ef8faffb7c75528fee90ce451dd2d06d"/>
    <w:p>
      <w:pPr>
        <w:pStyle w:val="Heading3"/>
      </w:pPr>
      <w:r>
        <w:t xml:space="preserve">8. Treatment</w:t>
      </w:r>
    </w:p>
    <w:p>
      <w:pPr>
        <w:pStyle w:val="Compact"/>
        <w:numPr>
          <w:ilvl w:val="0"/>
          <w:numId w:val="2273"/>
        </w:numPr>
      </w:pPr>
      <w:r>
        <w:t xml:space="preserve">Etiological treatment — correction of medical condition or medication.</w:t>
      </w:r>
    </w:p>
    <w:p>
      <w:pPr>
        <w:pStyle w:val="Compact"/>
        <w:numPr>
          <w:ilvl w:val="0"/>
          <w:numId w:val="2273"/>
        </w:numPr>
      </w:pPr>
      <w:r>
        <w:t xml:space="preserve">Symptomatic psychiatric treatment:</w:t>
      </w:r>
    </w:p>
    <w:p>
      <w:pPr>
        <w:pStyle w:val="Compact"/>
        <w:numPr>
          <w:ilvl w:val="1"/>
          <w:numId w:val="2274"/>
        </w:numPr>
      </w:pPr>
      <w:r>
        <w:t xml:space="preserve">Depressive — SSRIs (disease-specific selection; cardiac — sertraline, escitalopram; oncology — mirtazapine);</w:t>
      </w:r>
    </w:p>
    <w:p>
      <w:pPr>
        <w:pStyle w:val="Compact"/>
        <w:numPr>
          <w:ilvl w:val="1"/>
          <w:numId w:val="2274"/>
        </w:numPr>
      </w:pPr>
      <w:r>
        <w:t xml:space="preserve">Manic — antipsychotic (quetiapine, olanzapine); in steroid-induced mania, taper steroids or use antipsychotic;</w:t>
      </w:r>
    </w:p>
    <w:p>
      <w:pPr>
        <w:pStyle w:val="Compact"/>
        <w:numPr>
          <w:ilvl w:val="1"/>
          <w:numId w:val="2274"/>
        </w:numPr>
      </w:pPr>
      <w:r>
        <w:t xml:space="preserve">Mixed or refractory — ECT.</w:t>
      </w:r>
    </w:p>
    <w:p>
      <w:pPr>
        <w:pStyle w:val="Compact"/>
        <w:numPr>
          <w:ilvl w:val="0"/>
          <w:numId w:val="2273"/>
        </w:numPr>
      </w:pPr>
      <w:r>
        <w:t xml:space="preserve">Multidisciplinary coordination.</w:t>
      </w:r>
    </w:p>
    <w:bookmarkStart w:id="2531" w:name="treatment-methods-87"/>
    <w:p>
      <w:pPr>
        <w:pStyle w:val="Heading4"/>
      </w:pPr>
      <w:r>
        <w:t xml:space="preserve">8.1 Treatment methods</w:t>
      </w:r>
    </w:p>
    <w:p>
      <w:pPr>
        <w:pStyle w:val="Compact"/>
        <w:numPr>
          <w:ilvl w:val="0"/>
          <w:numId w:val="2275"/>
        </w:numPr>
      </w:pPr>
      <w:r>
        <w:t xml:space="preserve">SSRI Illness-Specific — Choice appropriate to cardiac, oncological, neurological context.</w:t>
      </w:r>
    </w:p>
    <w:p>
      <w:pPr>
        <w:pStyle w:val="Compact"/>
        <w:numPr>
          <w:ilvl w:val="0"/>
          <w:numId w:val="2275"/>
        </w:numPr>
      </w:pPr>
      <w:r>
        <w:t xml:space="preserve">ECT — In refractory and severe cases.</w:t>
      </w:r>
    </w:p>
    <w:bookmarkEnd w:id="2531"/>
    <w:bookmarkEnd w:id="2532"/>
    <w:bookmarkStart w:id="2533" w:name="Xb0402e169c15afabf051275386738dfec6612f5"/>
    <w:p>
      <w:pPr>
        <w:pStyle w:val="Heading3"/>
      </w:pPr>
      <w:r>
        <w:t xml:space="preserve">9. Prognosis</w:t>
      </w:r>
    </w:p>
    <w:p>
      <w:pPr>
        <w:pStyle w:val="FirstParagraph"/>
      </w:pPr>
      <w:r>
        <w:t xml:space="preserve">Most remissions with etiological intervention.</w:t>
      </w:r>
    </w:p>
    <w:bookmarkEnd w:id="2533"/>
    <w:bookmarkStart w:id="2538" w:name="Xcf20c04985e056ad91348f1bf99b1365504abc7"/>
    <w:p>
      <w:pPr>
        <w:pStyle w:val="Heading3"/>
      </w:pPr>
      <w:r>
        <w:t xml:space="preserve">10. Myths and misconceptions</w:t>
      </w:r>
    </w:p>
    <w:bookmarkStart w:id="2534" w:name="X5b0350ad536c893bbbf6ed9739eeadbd97e1b56"/>
    <w:p>
      <w:pPr>
        <w:pStyle w:val="Heading5"/>
      </w:pPr>
      <w:r>
        <w:t xml:space="preserve">Myth 1: “Depression is ‘normal’ for a patient with a medical illness”</w:t>
      </w:r>
    </w:p>
    <w:p>
      <w:pPr>
        <w:pStyle w:val="FirstParagraph"/>
      </w:pPr>
      <w:r>
        <w:t xml:space="preserve">Evidence: Clinical depression worsens medical condition course; requires active intervention.</w:t>
      </w:r>
    </w:p>
    <w:bookmarkEnd w:id="2534"/>
    <w:bookmarkStart w:id="2535" w:name="Xc5d1dfe370b2c3190b9827f48c4cca1929859eb"/>
    <w:p>
      <w:pPr>
        <w:pStyle w:val="Heading5"/>
      </w:pPr>
      <w:r>
        <w:t xml:space="preserve">Myth 2: “Steroid-induced mania resolves on its own”</w:t>
      </w:r>
    </w:p>
    <w:p>
      <w:pPr>
        <w:pStyle w:val="FirstParagraph"/>
      </w:pPr>
      <w:r>
        <w:t xml:space="preserve">Evidence: dose reduction or antipsychotic addition required.</w:t>
      </w:r>
    </w:p>
    <w:bookmarkEnd w:id="2535"/>
    <w:bookmarkStart w:id="2536" w:name="X5c9305cec905f4de4d389038a75107fd32b89e6"/>
    <w:p>
      <w:pPr>
        <w:pStyle w:val="Heading5"/>
      </w:pPr>
      <w:r>
        <w:t xml:space="preserve">Myth 3: “Antidepressant is first-line in hypothyroidism”</w:t>
      </w:r>
    </w:p>
    <w:p>
      <w:pPr>
        <w:pStyle w:val="FirstParagraph"/>
      </w:pPr>
      <w:r>
        <w:t xml:space="preserve">Evidence: thyroid correction first; antidepressants for residual symptoms.</w:t>
      </w:r>
    </w:p>
    <w:bookmarkEnd w:id="2536"/>
    <w:bookmarkStart w:id="2537" w:name="myth-4-interferon-depression-is-rare"/>
    <w:p>
      <w:pPr>
        <w:pStyle w:val="Heading5"/>
      </w:pPr>
      <w:r>
        <w:t xml:space="preserve">Myth 4: “Interferon depression is rare”</w:t>
      </w:r>
    </w:p>
    <w:p>
      <w:pPr>
        <w:pStyle w:val="FirstParagraph"/>
      </w:pPr>
      <w:r>
        <w:t xml:space="preserve">Evidence: HCV interferon therapy 20–40% — active monitoring required.</w:t>
      </w:r>
    </w:p>
    <w:bookmarkEnd w:id="2537"/>
    <w:bookmarkEnd w:id="2538"/>
    <w:bookmarkStart w:id="2931" w:name="Xe0a8057c0dfb829d378d273341d81991e350b0e"/>
    <w:p>
      <w:pPr>
        <w:pStyle w:val="Heading3"/>
      </w:pPr>
      <w:r>
        <w:t xml:space="preserve">11. Sources</w:t>
      </w:r>
    </w:p>
    <w:p>
      <w:pPr>
        <w:pStyle w:val="Compact"/>
        <w:numPr>
          <w:ilvl w:val="0"/>
          <w:numId w:val="2276"/>
        </w:numPr>
      </w:pPr>
      <w:r>
        <w:t xml:space="preserve">WHO. ICD-11. 6E62 Secondary mood syndrome. 2024.</w:t>
      </w:r>
    </w:p>
    <w:p>
      <w:pPr>
        <w:pStyle w:val="Compact"/>
        <w:numPr>
          <w:ilvl w:val="0"/>
          <w:numId w:val="2276"/>
        </w:numPr>
      </w:pPr>
      <w:r>
        <w:t xml:space="preserve">APA. DSM-5-TR. 2022.</w:t>
      </w:r>
    </w:p>
    <w:p>
      <w:pPr>
        <w:pStyle w:val="Compact"/>
        <w:numPr>
          <w:ilvl w:val="0"/>
          <w:numId w:val="2276"/>
        </w:numPr>
      </w:pPr>
      <w:r>
        <w:t xml:space="preserve">Levenson J.L. (ed.). APA Publishing Textbook of Psychosomatic Medicine and Consultation-Liaison Psychiatry. 3rd ed. 2018.</w:t>
      </w:r>
    </w:p>
    <w:p>
      <w:pPr>
        <w:pStyle w:val="Compact"/>
        <w:numPr>
          <w:ilvl w:val="0"/>
          <w:numId w:val="2276"/>
        </w:numPr>
      </w:pPr>
      <w:r>
        <w:t xml:space="preserve">Robinson R.G., Jorge R.E. Post-stroke depression: a review. Am J Psychiatry 2016;173(3):221–231.</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39" w:name="m1146e63-secondary-anxiety-syndrome"/>
            <w:r>
              <w:t xml:space="preserve">6E63 SECONDARY ANXIETY SYNDROME</w:t>
            </w:r>
            <w:bookmarkEnd w:id="2539"/>
          </w:p>
          <w:p>
            <w:pPr>
              <w:pStyle w:val="Compact"/>
              <w:ind w:firstLine="0" w:left="0"/>
            </w:pPr>
            <w:r>
              <w:rPr>
                <w:lang w:val="en"/>
              </w:rPr>
              <w:t xml:space="preserve">Secondary anxiety syndrome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Organic anxiety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Anxiety Disorder Due to Another Medical Condition</w:t>
            </w:r>
          </w:p>
        </w:tc>
      </w:tr>
    </w:tbl>
    <w:bookmarkStart w:id="2540" w:name="X69cdcdd4adcea8cd5bec9360dd342e26c410510"/>
    <w:p>
      <w:pPr>
        <w:pStyle w:val="Heading3"/>
      </w:pPr>
      <w:r>
        <w:t xml:space="preserve">1. Definition and nosology</w:t>
      </w:r>
    </w:p>
    <w:p>
      <w:pPr>
        <w:pStyle w:val="FirstParagraph"/>
      </w:pPr>
      <w:r>
        <w:t xml:space="preserve">Secondary Anxiety Syndrome (ICD-11:</w:t>
      </w:r>
      <w:r>
        <w:t xml:space="preserve"> </w:t>
      </w:r>
      <w:r>
        <w:t xml:space="preserve">6E63</w:t>
      </w:r>
      <w:r>
        <w:t xml:space="preserve">; DSM-5-TR: F06.4 Anxiety Disorder Due to Another Medical Condition) — anxiety, panic or obsessive-like symptoms within context of another medical condition or substance effect.</w:t>
      </w:r>
    </w:p>
    <w:bookmarkEnd w:id="2540"/>
    <w:bookmarkStart w:id="2541" w:name="X859a5ad46d0acd0358ea3c1c9e674388dadcd39"/>
    <w:p>
      <w:pPr>
        <w:pStyle w:val="Heading3"/>
      </w:pPr>
      <w:r>
        <w:t xml:space="preserve">2. History</w:t>
      </w:r>
    </w:p>
    <w:p>
      <w:pPr>
        <w:pStyle w:val="FirstParagraph"/>
      </w:pPr>
      <w:r>
        <w:t xml:space="preserve">Development of consultation-liaison psychiatry; formalization from DSM-III.</w:t>
      </w:r>
    </w:p>
    <w:bookmarkEnd w:id="2541"/>
    <w:bookmarkStart w:id="2542" w:name="X09b937cb93ba38f3dd1f61dfe8cbc062d6acecd"/>
    <w:p>
      <w:pPr>
        <w:pStyle w:val="Heading3"/>
      </w:pPr>
      <w:r>
        <w:t xml:space="preserve">3. Epidemiology</w:t>
      </w:r>
    </w:p>
    <w:p>
      <w:pPr>
        <w:pStyle w:val="Compact"/>
        <w:numPr>
          <w:ilvl w:val="0"/>
          <w:numId w:val="2277"/>
        </w:numPr>
      </w:pPr>
      <w:r>
        <w:t xml:space="preserve">Frequency of anxiety is high in chronic medical conditions (cardiac, COPD, endocrine).</w:t>
      </w:r>
    </w:p>
    <w:p>
      <w:pPr>
        <w:pStyle w:val="Compact"/>
        <w:numPr>
          <w:ilvl w:val="0"/>
          <w:numId w:val="2277"/>
        </w:numPr>
      </w:pPr>
      <w:r>
        <w:t xml:space="preserve">In hyperthyroidism, 60–70% have anxiety symptoms.</w:t>
      </w:r>
    </w:p>
    <w:p>
      <w:pPr>
        <w:pStyle w:val="Compact"/>
        <w:numPr>
          <w:ilvl w:val="0"/>
          <w:numId w:val="2277"/>
        </w:numPr>
      </w:pPr>
      <w:r>
        <w:t xml:space="preserve">Caffeine, stimulant-induced anxiety.</w:t>
      </w:r>
    </w:p>
    <w:bookmarkEnd w:id="2542"/>
    <w:bookmarkStart w:id="2543" w:name="X437924cebb5a46aede9e7c19a6f66eabe5ecbf7"/>
    <w:p>
      <w:pPr>
        <w:pStyle w:val="Heading3"/>
      </w:pPr>
      <w:r>
        <w:t xml:space="preserve">4. Aetiology and pathogenesis</w:t>
      </w:r>
    </w:p>
    <w:p>
      <w:pPr>
        <w:pStyle w:val="Compact"/>
        <w:numPr>
          <w:ilvl w:val="0"/>
          <w:numId w:val="2278"/>
        </w:numPr>
      </w:pPr>
      <w:r>
        <w:t xml:space="preserve">Endocrine — hyperthyroidism, pheochromocytoma, hypoglycemia.</w:t>
      </w:r>
    </w:p>
    <w:p>
      <w:pPr>
        <w:pStyle w:val="Compact"/>
        <w:numPr>
          <w:ilvl w:val="0"/>
          <w:numId w:val="2278"/>
        </w:numPr>
      </w:pPr>
      <w:r>
        <w:t xml:space="preserve">Cardiac — arrhythmia, myocardial infarction, mitral valve prolapse.</w:t>
      </w:r>
    </w:p>
    <w:p>
      <w:pPr>
        <w:pStyle w:val="Compact"/>
        <w:numPr>
          <w:ilvl w:val="0"/>
          <w:numId w:val="2278"/>
        </w:numPr>
      </w:pPr>
      <w:r>
        <w:t xml:space="preserve">Respiratory — COPD, asthma, pulmonary embolism.</w:t>
      </w:r>
    </w:p>
    <w:p>
      <w:pPr>
        <w:pStyle w:val="Compact"/>
        <w:numPr>
          <w:ilvl w:val="0"/>
          <w:numId w:val="2278"/>
        </w:numPr>
      </w:pPr>
      <w:r>
        <w:t xml:space="preserve">Neurological — TBI, Parkinson's, MS.</w:t>
      </w:r>
    </w:p>
    <w:p>
      <w:pPr>
        <w:pStyle w:val="Compact"/>
        <w:numPr>
          <w:ilvl w:val="0"/>
          <w:numId w:val="2278"/>
        </w:numPr>
      </w:pPr>
      <w:r>
        <w:t xml:space="preserve">Substance/medication — caffeine, stimulant, corticosteroid, β-blocker (paradoxical), benzodiazepine/alcohol withdrawal.</w:t>
      </w:r>
    </w:p>
    <w:p>
      <w:pPr>
        <w:pStyle w:val="Compact"/>
        <w:numPr>
          <w:ilvl w:val="0"/>
          <w:numId w:val="2278"/>
        </w:numPr>
      </w:pPr>
      <w:r>
        <w:t xml:space="preserve">Vestibular disorders.</w:t>
      </w:r>
    </w:p>
    <w:bookmarkEnd w:id="2543"/>
    <w:bookmarkStart w:id="2544" w:name="X785b48eaba7fb26e42a8bf8bbfb69b511aa88ca"/>
    <w:p>
      <w:pPr>
        <w:pStyle w:val="Heading3"/>
      </w:pPr>
      <w:r>
        <w:t xml:space="preserve">5. Clinical features</w:t>
      </w:r>
    </w:p>
    <w:p>
      <w:pPr>
        <w:pStyle w:val="Compact"/>
        <w:numPr>
          <w:ilvl w:val="0"/>
          <w:numId w:val="2279"/>
        </w:numPr>
      </w:pPr>
      <w:r>
        <w:t xml:space="preserve">GAD, panic attack, OCD-like symptoms in the context of a medical condition.</w:t>
      </w:r>
    </w:p>
    <w:p>
      <w:pPr>
        <w:pStyle w:val="Compact"/>
        <w:numPr>
          <w:ilvl w:val="0"/>
          <w:numId w:val="2279"/>
        </w:numPr>
      </w:pPr>
      <w:r>
        <w:t xml:space="preserve">Atypical features (late onset, focal symptoms).</w:t>
      </w:r>
    </w:p>
    <w:bookmarkEnd w:id="2544"/>
    <w:bookmarkStart w:id="2548" w:name="Xf120dd9ecb6341d91e016fc8e48dfe8b91ff909"/>
    <w:p>
      <w:pPr>
        <w:pStyle w:val="Heading3"/>
      </w:pPr>
      <w:r>
        <w:t xml:space="preserve">6. Diagnosis</w:t>
      </w:r>
    </w:p>
    <w:p>
      <w:pPr>
        <w:pStyle w:val="FirstParagraph"/>
      </w:pPr>
      <w:r>
        <w:t xml:space="preserve">Medical evidence + distress symptoms + temporal congruence.</w:t>
      </w:r>
    </w:p>
    <w:bookmarkStart w:id="2545" w:name="differences-between-sources-161"/>
    <w:p>
      <w:pPr>
        <w:pStyle w:val="Heading4"/>
      </w:pPr>
      <w:r>
        <w:t xml:space="preserve">6.1 Differences between sources</w:t>
      </w:r>
    </w:p>
    <w:p>
      <w:pPr>
        <w:pStyle w:val="FirstParagraph"/>
      </w:pPr>
      <w:r>
        <w:t xml:space="preserve">DSM-5-TR / ICD-11 — same.</w:t>
      </w:r>
    </w:p>
    <w:bookmarkEnd w:id="2545"/>
    <w:bookmarkStart w:id="2546" w:name="diagnostic-algorithm-90"/>
    <w:p>
      <w:pPr>
        <w:pStyle w:val="Heading4"/>
      </w:pPr>
      <w:r>
        <w:t xml:space="preserve">6.2 Diagnostic algorithm</w:t>
      </w:r>
    </w:p>
    <w:p>
      <w:pPr>
        <w:pStyle w:val="Compact"/>
        <w:numPr>
          <w:ilvl w:val="0"/>
          <w:numId w:val="2280"/>
        </w:numPr>
      </w:pPr>
      <w:r>
        <w:t xml:space="preserve">Clinical interview.</w:t>
      </w:r>
    </w:p>
    <w:p>
      <w:pPr>
        <w:pStyle w:val="Compact"/>
        <w:numPr>
          <w:ilvl w:val="0"/>
          <w:numId w:val="2280"/>
        </w:numPr>
      </w:pPr>
      <w:r>
        <w:t xml:space="preserve">Medical evaluation — TSH, glucose, cardiac, vestibular.</w:t>
      </w:r>
    </w:p>
    <w:p>
      <w:pPr>
        <w:pStyle w:val="Compact"/>
        <w:numPr>
          <w:ilvl w:val="0"/>
          <w:numId w:val="2280"/>
        </w:numPr>
      </w:pPr>
      <w:r>
        <w:t xml:space="preserve">Medication and caffeine history.</w:t>
      </w:r>
    </w:p>
    <w:p>
      <w:pPr>
        <w:pStyle w:val="Compact"/>
        <w:numPr>
          <w:ilvl w:val="0"/>
          <w:numId w:val="2280"/>
        </w:numPr>
      </w:pPr>
      <w:r>
        <w:t xml:space="preserve">Toxicology.</w:t>
      </w:r>
    </w:p>
    <w:bookmarkEnd w:id="2546"/>
    <w:bookmarkStart w:id="2547" w:name="differential-diagnosis-91"/>
    <w:p>
      <w:pPr>
        <w:pStyle w:val="Heading4"/>
      </w:pPr>
      <w:r>
        <w:t xml:space="preserve">6.3 Differential diagnosis</w:t>
      </w:r>
    </w:p>
    <w:p>
      <w:pPr>
        <w:pStyle w:val="Compact"/>
        <w:numPr>
          <w:ilvl w:val="0"/>
          <w:numId w:val="2281"/>
        </w:numPr>
      </w:pPr>
      <w:r>
        <w:t xml:space="preserve">Primary anxiety disorders (6B0x);</w:t>
      </w:r>
    </w:p>
    <w:p>
      <w:pPr>
        <w:pStyle w:val="Compact"/>
        <w:numPr>
          <w:ilvl w:val="0"/>
          <w:numId w:val="2281"/>
        </w:numPr>
      </w:pPr>
      <w:r>
        <w:t xml:space="preserve">Delirium;</w:t>
      </w:r>
    </w:p>
    <w:p>
      <w:pPr>
        <w:pStyle w:val="Compact"/>
        <w:numPr>
          <w:ilvl w:val="0"/>
          <w:numId w:val="2281"/>
        </w:numPr>
      </w:pPr>
      <w:r>
        <w:t xml:space="preserve">Adjustment disorder.</w:t>
      </w:r>
    </w:p>
    <w:bookmarkEnd w:id="2547"/>
    <w:bookmarkEnd w:id="2548"/>
    <w:bookmarkStart w:id="2549" w:name="Xcee88aeb700c3582887dd6322c90231051f0fb1"/>
    <w:p>
      <w:pPr>
        <w:pStyle w:val="Heading3"/>
      </w:pPr>
      <w:r>
        <w:t xml:space="preserve">7. Examination and assessment</w:t>
      </w:r>
    </w:p>
    <w:p>
      <w:pPr>
        <w:pStyle w:val="Compact"/>
        <w:numPr>
          <w:ilvl w:val="0"/>
          <w:numId w:val="2282"/>
        </w:numPr>
      </w:pPr>
      <w:r>
        <w:t xml:space="preserve">GAD-7, HAM-A.</w:t>
      </w:r>
    </w:p>
    <w:p>
      <w:pPr>
        <w:pStyle w:val="Compact"/>
        <w:numPr>
          <w:ilvl w:val="0"/>
          <w:numId w:val="2282"/>
        </w:numPr>
      </w:pPr>
      <w:r>
        <w:t xml:space="preserve">TSH, glucose, EKG.</w:t>
      </w:r>
    </w:p>
    <w:p>
      <w:pPr>
        <w:pStyle w:val="Compact"/>
        <w:numPr>
          <w:ilvl w:val="0"/>
          <w:numId w:val="2282"/>
        </w:numPr>
      </w:pPr>
      <w:r>
        <w:t xml:space="preserve">Toxicology.</w:t>
      </w:r>
    </w:p>
    <w:bookmarkEnd w:id="2549"/>
    <w:bookmarkStart w:id="2551" w:name="X5f826823f683722d50c59058d684d5aa7738b4b"/>
    <w:p>
      <w:pPr>
        <w:pStyle w:val="Heading3"/>
      </w:pPr>
      <w:r>
        <w:t xml:space="preserve">8. Treatment</w:t>
      </w:r>
    </w:p>
    <w:p>
      <w:pPr>
        <w:pStyle w:val="Compact"/>
        <w:numPr>
          <w:ilvl w:val="0"/>
          <w:numId w:val="2283"/>
        </w:numPr>
      </w:pPr>
      <w:r>
        <w:t xml:space="preserve">Etiological treatment.</w:t>
      </w:r>
    </w:p>
    <w:p>
      <w:pPr>
        <w:pStyle w:val="Compact"/>
        <w:numPr>
          <w:ilvl w:val="0"/>
          <w:numId w:val="2283"/>
        </w:numPr>
      </w:pPr>
      <w:r>
        <w:t xml:space="preserve">Symptomatic — SSRIs for residual anxiety; benzodiazepines short-term for acute condition.</w:t>
      </w:r>
    </w:p>
    <w:p>
      <w:pPr>
        <w:pStyle w:val="Compact"/>
        <w:numPr>
          <w:ilvl w:val="0"/>
          <w:numId w:val="2283"/>
        </w:numPr>
      </w:pPr>
      <w:r>
        <w:t xml:space="preserve">Caffeine restriction.</w:t>
      </w:r>
    </w:p>
    <w:bookmarkStart w:id="2550" w:name="treatment-methods-88"/>
    <w:p>
      <w:pPr>
        <w:pStyle w:val="Heading4"/>
      </w:pPr>
      <w:r>
        <w:t xml:space="preserve">8.1 Treatment methods</w:t>
      </w:r>
    </w:p>
    <w:p>
      <w:pPr>
        <w:pStyle w:val="Compact"/>
        <w:numPr>
          <w:ilvl w:val="0"/>
          <w:numId w:val="2284"/>
        </w:numPr>
      </w:pPr>
      <w:r>
        <w:t xml:space="preserve">Etiological Intervention — Correction of medical condition.</w:t>
      </w:r>
    </w:p>
    <w:p>
      <w:pPr>
        <w:pStyle w:val="Compact"/>
        <w:numPr>
          <w:ilvl w:val="0"/>
          <w:numId w:val="2284"/>
        </w:numPr>
      </w:pPr>
      <w:r>
        <w:t xml:space="preserve">SSRI For Residual Anxiety — For residual symptoms after correction of medical condition.</w:t>
      </w:r>
    </w:p>
    <w:bookmarkEnd w:id="2550"/>
    <w:bookmarkEnd w:id="2551"/>
    <w:bookmarkStart w:id="2552" w:name="Xa49bc520b242916bc462b2d6072b675725f3ba2"/>
    <w:p>
      <w:pPr>
        <w:pStyle w:val="Heading3"/>
      </w:pPr>
      <w:r>
        <w:t xml:space="preserve">9. Prognosis</w:t>
      </w:r>
    </w:p>
    <w:p>
      <w:pPr>
        <w:pStyle w:val="FirstParagraph"/>
      </w:pPr>
      <w:r>
        <w:t xml:space="preserve">Significant improvement with etiological intervention.</w:t>
      </w:r>
    </w:p>
    <w:bookmarkEnd w:id="2552"/>
    <w:bookmarkStart w:id="2556" w:name="Xb79f5702a7a3fc3e8faa2b4b4a2765394a4ed55"/>
    <w:p>
      <w:pPr>
        <w:pStyle w:val="Heading3"/>
      </w:pPr>
      <w:r>
        <w:t xml:space="preserve">10. Myths and misconceptions</w:t>
      </w:r>
    </w:p>
    <w:bookmarkStart w:id="2553" w:name="Xe583807ad082cfa4abf74ae335e4818329f3e0f"/>
    <w:p>
      <w:pPr>
        <w:pStyle w:val="Heading5"/>
      </w:pPr>
      <w:r>
        <w:t xml:space="preserve">Myth 1: “Anxiety in a patient with a medical illness is ‘normal’”</w:t>
      </w:r>
    </w:p>
    <w:p>
      <w:pPr>
        <w:pStyle w:val="FirstParagraph"/>
      </w:pPr>
      <w:r>
        <w:t xml:space="preserve">Evidence: Clinical distress worsens the course of the medical condition; intervention required.</w:t>
      </w:r>
    </w:p>
    <w:bookmarkEnd w:id="2553"/>
    <w:bookmarkStart w:id="2554" w:name="X3efc39b271c4641a391cddba16e7a22f81518e5"/>
    <w:p>
      <w:pPr>
        <w:pStyle w:val="Heading5"/>
      </w:pPr>
      <w:r>
        <w:t xml:space="preserve">Myth 2: “Anxiolytics are first-line in hyperthyroidism”</w:t>
      </w:r>
    </w:p>
    <w:p>
      <w:pPr>
        <w:pStyle w:val="FirstParagraph"/>
      </w:pPr>
      <w:r>
        <w:t xml:space="preserve">Evidence: Primary is thyroid correction; β-blocker (propranolol) is a symptomatic adjunct.</w:t>
      </w:r>
    </w:p>
    <w:bookmarkEnd w:id="2554"/>
    <w:bookmarkStart w:id="2555" w:name="myth-3-caffeine-is-safe"/>
    <w:p>
      <w:pPr>
        <w:pStyle w:val="Heading5"/>
      </w:pPr>
      <w:r>
        <w:t xml:space="preserve">Myth 3: “Caffeine is safe”</w:t>
      </w:r>
    </w:p>
    <w:p>
      <w:pPr>
        <w:pStyle w:val="FirstParagraph"/>
      </w:pPr>
      <w:r>
        <w:t xml:space="preserve">Evidence: High doses can cause panic, anxiety, and tachycardia; limitation is recommended.</w:t>
      </w:r>
    </w:p>
    <w:bookmarkEnd w:id="2555"/>
    <w:bookmarkEnd w:id="2556"/>
    <w:bookmarkStart w:id="2557" w:name="X0a26e92cee8b1f1667363b139e9f7306c1ce35e"/>
    <w:p>
      <w:pPr>
        <w:pStyle w:val="Heading3"/>
      </w:pPr>
      <w:r>
        <w:t xml:space="preserve">11. Sources</w:t>
      </w:r>
    </w:p>
    <w:p>
      <w:pPr>
        <w:pStyle w:val="Compact"/>
        <w:numPr>
          <w:ilvl w:val="0"/>
          <w:numId w:val="2285"/>
        </w:numPr>
      </w:pPr>
      <w:r>
        <w:t xml:space="preserve">WHO. ICD-11. 6E63 Secondary anxiety syndrome. 2024.</w:t>
      </w:r>
    </w:p>
    <w:p>
      <w:pPr>
        <w:pStyle w:val="Compact"/>
        <w:numPr>
          <w:ilvl w:val="0"/>
          <w:numId w:val="2285"/>
        </w:numPr>
      </w:pPr>
      <w:r>
        <w:t xml:space="preserve">APA. DSM-5-TR. 2022.</w:t>
      </w:r>
    </w:p>
    <w:p>
      <w:pPr>
        <w:pStyle w:val="Compact"/>
        <w:numPr>
          <w:ilvl w:val="0"/>
          <w:numId w:val="2285"/>
        </w:numPr>
      </w:pPr>
      <w:r>
        <w:t xml:space="preserve">Levenson J.L. (ed.). APA Publishing Textbook of Psychosomatic Medicine and Consultation-Liaison Psychiatry. 3rd ed. 2018.</w:t>
      </w:r>
    </w:p>
    <w:bookmarkEnd w:id="2557"/>
    <w:bookmarkStart w:id="2558" w:name="m1157a007a8z-sleep-disorders"/>
    <w:p>
      <w:pPr>
        <w:pageBreakBefore/>
        <w:pStyle w:val="Heading1"/>
      </w:pPr>
      <w:r>
        <w:t xml:space="preserve">7A00–7A8Z SLEEP DISORDERS</w:t>
      </w:r>
    </w:p>
    <w:p>
      <w:pPr>
        <w:pStyle w:val="FirstParagraph"/>
      </w:pPr>
      <w:r>
        <w:t xml:space="preserve">Sleep-wake disorders</w:t>
      </w:r>
    </w:p>
    <w:bookmarkEnd w:id="2558"/>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59" w:name="m1167a00-chronic-insomnia"/>
            <w:r>
              <w:t xml:space="preserve">7A00 CHRONIC INSOMNIA</w:t>
            </w:r>
            <w:bookmarkEnd w:id="2559"/>
          </w:p>
          <w:p>
            <w:pPr>
              <w:pStyle w:val="Compact"/>
              <w:ind w:firstLine="0" w:left="0"/>
            </w:pPr>
            <w:r>
              <w:rPr>
                <w:lang w:val="en"/>
              </w:rPr>
              <w:t xml:space="preserve">Chronic insomnia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Nonorganic insomnia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Insomnia Disorder</w:t>
            </w:r>
          </w:p>
        </w:tc>
      </w:tr>
    </w:tbl>
    <w:bookmarkStart w:id="2560" w:name="X045b980a0b84ab2909c6933cab2b089dbce084d"/>
    <w:p>
      <w:pPr>
        <w:pStyle w:val="Heading3"/>
      </w:pPr>
      <w:r>
        <w:t xml:space="preserve">1. Definition and nosology</w:t>
      </w:r>
    </w:p>
    <w:p>
      <w:pPr>
        <w:pStyle w:val="FirstParagraph"/>
      </w:pPr>
      <w:r>
        <w:t xml:space="preserve">Chronic insomnia (ICD-11:</w:t>
      </w:r>
      <w:r>
        <w:t xml:space="preserve"> </w:t>
      </w:r>
      <w:r>
        <w:t xml:space="preserve">7A00</w:t>
      </w:r>
      <w:r>
        <w:t xml:space="preserve">; DSM-5-TR: F51.01 Insomnia Disorder) — difficulty initiating sleep, maintaining sleep, and/or early morning awakening; daytime functional impairment. Duration ≥ 3 months, frequency ≥ 3 times per week.</w:t>
      </w:r>
    </w:p>
    <w:bookmarkEnd w:id="2560"/>
    <w:bookmarkStart w:id="2561" w:name="X3d0984bacb56ed0480e76987eb0cf1d832caf5b"/>
    <w:p>
      <w:pPr>
        <w:pStyle w:val="Heading3"/>
      </w:pPr>
      <w:r>
        <w:t xml:space="preserve">2. History</w:t>
      </w:r>
    </w:p>
    <w:p>
      <w:pPr>
        <w:pStyle w:val="Compact"/>
        <w:numPr>
          <w:ilvl w:val="0"/>
          <w:numId w:val="2286"/>
        </w:numPr>
      </w:pPr>
      <w:r>
        <w:t xml:space="preserve">DSM-IV — ‘Primary Insomnia’; DSM-5 (2013) — ‘Insomnia Disorder’ — primary/secondary distinction abolished.</w:t>
      </w:r>
    </w:p>
    <w:p>
      <w:pPr>
        <w:pStyle w:val="Compact"/>
        <w:numPr>
          <w:ilvl w:val="0"/>
          <w:numId w:val="2286"/>
        </w:numPr>
      </w:pPr>
      <w:r>
        <w:t xml:space="preserve">AASM (American Academy of Sleep Medicine) — Clinical Practice Guidelines (2021 CBT-I, 2017 pharmacological).</w:t>
      </w:r>
    </w:p>
    <w:p>
      <w:pPr>
        <w:pStyle w:val="Compact"/>
        <w:numPr>
          <w:ilvl w:val="0"/>
          <w:numId w:val="2286"/>
        </w:numPr>
      </w:pPr>
      <w:r>
        <w:t xml:space="preserve">European Insomnia Guideline (Riemann D. 2023).</w:t>
      </w:r>
    </w:p>
    <w:p>
      <w:pPr>
        <w:pStyle w:val="Compact"/>
        <w:numPr>
          <w:ilvl w:val="0"/>
          <w:numId w:val="2286"/>
        </w:numPr>
      </w:pPr>
      <w:r>
        <w:t xml:space="preserve">NICE TA922 (2023).</w:t>
      </w:r>
    </w:p>
    <w:bookmarkEnd w:id="2561"/>
    <w:bookmarkStart w:id="2562" w:name="X84691945274cb84a2c37b54216e1449744c8d87"/>
    <w:p>
      <w:pPr>
        <w:pStyle w:val="Heading3"/>
      </w:pPr>
      <w:r>
        <w:t xml:space="preserve">3. Epidemiology</w:t>
      </w:r>
    </w:p>
    <w:p>
      <w:pPr>
        <w:pStyle w:val="Compact"/>
        <w:numPr>
          <w:ilvl w:val="0"/>
          <w:numId w:val="2287"/>
        </w:numPr>
      </w:pPr>
      <w:r>
        <w:t xml:space="preserve">Lifetime prevalence: chronic insomnia 10–15%; insomnia symptoms 30–35%.</w:t>
      </w:r>
    </w:p>
    <w:p>
      <w:pPr>
        <w:pStyle w:val="Compact"/>
        <w:numPr>
          <w:ilvl w:val="0"/>
          <w:numId w:val="2287"/>
        </w:numPr>
      </w:pPr>
      <w:r>
        <w:t xml:space="preserve">Sex: 1.5 times higher in females.</w:t>
      </w:r>
    </w:p>
    <w:p>
      <w:pPr>
        <w:pStyle w:val="Compact"/>
        <w:numPr>
          <w:ilvl w:val="0"/>
          <w:numId w:val="2287"/>
        </w:numPr>
      </w:pPr>
      <w:r>
        <w:t xml:space="preserve">Increases with age.</w:t>
      </w:r>
    </w:p>
    <w:p>
      <w:pPr>
        <w:pStyle w:val="Compact"/>
        <w:numPr>
          <w:ilvl w:val="0"/>
          <w:numId w:val="2287"/>
        </w:numPr>
      </w:pPr>
      <w:r>
        <w:t xml:space="preserve">Comorbidity: MDD ~50%, anxiety, pain, COPD, circadian disorders.</w:t>
      </w:r>
    </w:p>
    <w:bookmarkEnd w:id="2562"/>
    <w:bookmarkStart w:id="2563" w:name="Xf01dbd25282639726236fd1aa45851b12a38b02"/>
    <w:p>
      <w:pPr>
        <w:pStyle w:val="Heading3"/>
      </w:pPr>
      <w:r>
        <w:t xml:space="preserve">4. Aetiology and pathogenesis</w:t>
      </w:r>
    </w:p>
    <w:p>
      <w:pPr>
        <w:pStyle w:val="Compact"/>
        <w:numPr>
          <w:ilvl w:val="0"/>
          <w:numId w:val="2288"/>
        </w:numPr>
      </w:pPr>
      <w:r>
        <w:t xml:space="preserve">Spielman 3P Model — Predisposing, Precipitating, Perpetuating.</w:t>
      </w:r>
    </w:p>
    <w:p>
      <w:pPr>
        <w:pStyle w:val="Compact"/>
        <w:numPr>
          <w:ilvl w:val="0"/>
          <w:numId w:val="2288"/>
        </w:numPr>
      </w:pPr>
      <w:r>
        <w:t xml:space="preserve">Hyperarousal hypothesis — physiological and cognitive stimulation.</w:t>
      </w:r>
    </w:p>
    <w:p>
      <w:pPr>
        <w:pStyle w:val="Compact"/>
        <w:numPr>
          <w:ilvl w:val="0"/>
          <w:numId w:val="2288"/>
        </w:numPr>
      </w:pPr>
      <w:r>
        <w:t xml:space="preserve">Behavioral factors — irregular schedule, caffeine, alcohol, screen use, non-sleep activities in the bedroom.</w:t>
      </w:r>
    </w:p>
    <w:bookmarkEnd w:id="2563"/>
    <w:bookmarkStart w:id="2564" w:name="X7165675d8ab14d44074a786da10ae0080169678"/>
    <w:p>
      <w:pPr>
        <w:pStyle w:val="Heading3"/>
      </w:pPr>
      <w:r>
        <w:t xml:space="preserve">5. Clinical features</w:t>
      </w:r>
    </w:p>
    <w:p>
      <w:pPr>
        <w:pStyle w:val="Compact"/>
        <w:numPr>
          <w:ilvl w:val="0"/>
          <w:numId w:val="2289"/>
        </w:numPr>
      </w:pPr>
      <w:r>
        <w:t xml:space="preserve">Sleep difficulty (falling asleep), maintenance, early awakening.</w:t>
      </w:r>
    </w:p>
    <w:p>
      <w:pPr>
        <w:pStyle w:val="Compact"/>
        <w:numPr>
          <w:ilvl w:val="0"/>
          <w:numId w:val="2289"/>
        </w:numPr>
      </w:pPr>
      <w:r>
        <w:t xml:space="preserve">Daytime symptoms: fatigue, irritability, concentration difficulties, occupational/academic impairment, somatic (headache, GI).</w:t>
      </w:r>
    </w:p>
    <w:p>
      <w:pPr>
        <w:pStyle w:val="Compact"/>
        <w:numPr>
          <w:ilvl w:val="0"/>
          <w:numId w:val="2289"/>
        </w:numPr>
      </w:pPr>
      <w:r>
        <w:t xml:space="preserve">Impact on performance, risk of accident.</w:t>
      </w:r>
    </w:p>
    <w:bookmarkEnd w:id="2564"/>
    <w:bookmarkStart w:id="2569" w:name="X9a0106f918af36ad4be11785edfaee75e3344bb"/>
    <w:p>
      <w:pPr>
        <w:pStyle w:val="Heading3"/>
      </w:pPr>
      <w:r>
        <w:t xml:space="preserve">6. Diagnosis</w:t>
      </w:r>
    </w:p>
    <w:bookmarkStart w:id="2565" w:name="unified-diagnostic-criteria-64"/>
    <w:p>
      <w:pPr>
        <w:pStyle w:val="Heading4"/>
      </w:pPr>
      <w:r>
        <w:t xml:space="preserve">6.1 Unified diagnostic criteria</w:t>
      </w:r>
    </w:p>
    <w:p>
      <w:pPr>
        <w:pStyle w:val="FirstParagraph"/>
      </w:pPr>
      <w:r>
        <w:t xml:space="preserve">A. Sleep difficulty (onset, maintenance, or early awakening).</w:t>
      </w:r>
    </w:p>
    <w:p>
      <w:pPr>
        <w:pStyle w:val="BodyText"/>
      </w:pPr>
      <w:r>
        <w:t xml:space="preserve">B. Despite adequate sleep opportunities.</w:t>
      </w:r>
    </w:p>
    <w:p>
      <w:pPr>
        <w:pStyle w:val="BodyText"/>
      </w:pPr>
      <w:r>
        <w:t xml:space="preserve">C. Daytime functional impairment.</w:t>
      </w:r>
    </w:p>
    <w:p>
      <w:pPr>
        <w:pStyle w:val="BodyText"/>
      </w:pPr>
      <w:r>
        <w:t xml:space="preserve">D. Duration ≥ 3 months, ≥ 3 times per week.</w:t>
      </w:r>
    </w:p>
    <w:p>
      <w:pPr>
        <w:pStyle w:val="BodyText"/>
      </w:pPr>
      <w:r>
        <w:t xml:space="preserve">E. Not fully explained by another sleep disorder, substance, or medical condition.</w:t>
      </w:r>
    </w:p>
    <w:bookmarkEnd w:id="2565"/>
    <w:bookmarkStart w:id="2566" w:name="differences-between-sources-162"/>
    <w:p>
      <w:pPr>
        <w:pStyle w:val="Heading4"/>
      </w:pPr>
      <w:r>
        <w:t xml:space="preserve">6.2 Differences between sources</w:t>
      </w:r>
    </w:p>
    <w:p>
      <w:pPr>
        <w:pStyle w:val="Compact"/>
        <w:numPr>
          <w:ilvl w:val="0"/>
          <w:numId w:val="2290"/>
        </w:numPr>
      </w:pPr>
      <w:r>
        <w:t xml:space="preserve">AASM — CBT-I first-line.</w:t>
      </w:r>
    </w:p>
    <w:p>
      <w:pPr>
        <w:pStyle w:val="Compact"/>
        <w:numPr>
          <w:ilvl w:val="0"/>
          <w:numId w:val="2290"/>
        </w:numPr>
      </w:pPr>
      <w:r>
        <w:t xml:space="preserve">NICE TA922 (2023) — daridorexant only if CBT-I has been tried and did not work, or is unavailable; that is, CBT-I comes first.</w:t>
      </w:r>
    </w:p>
    <w:bookmarkEnd w:id="2566"/>
    <w:bookmarkStart w:id="2567" w:name="diagnostic-algorithm-91"/>
    <w:p>
      <w:pPr>
        <w:pStyle w:val="Heading4"/>
      </w:pPr>
      <w:r>
        <w:t xml:space="preserve">6.3 Diagnostic algorithm</w:t>
      </w:r>
    </w:p>
    <w:p>
      <w:pPr>
        <w:pStyle w:val="Compact"/>
        <w:numPr>
          <w:ilvl w:val="0"/>
          <w:numId w:val="2291"/>
        </w:numPr>
      </w:pPr>
      <w:r>
        <w:t xml:space="preserve">Clinical interview + sleep diary for 1–2 weeks.</w:t>
      </w:r>
    </w:p>
    <w:p>
      <w:pPr>
        <w:pStyle w:val="Compact"/>
        <w:numPr>
          <w:ilvl w:val="0"/>
          <w:numId w:val="2291"/>
        </w:numPr>
      </w:pPr>
      <w:r>
        <w:t xml:space="preserve">ISI (Insomnia Severity Index), PSQI.</w:t>
      </w:r>
    </w:p>
    <w:p>
      <w:pPr>
        <w:pStyle w:val="Compact"/>
        <w:numPr>
          <w:ilvl w:val="0"/>
          <w:numId w:val="2291"/>
        </w:numPr>
      </w:pPr>
      <w:r>
        <w:t xml:space="preserve">Differential — obstructive sleep apnea (STOP-BANG), restless legs, circadian.</w:t>
      </w:r>
    </w:p>
    <w:p>
      <w:pPr>
        <w:pStyle w:val="Compact"/>
        <w:numPr>
          <w:ilvl w:val="0"/>
          <w:numId w:val="2291"/>
        </w:numPr>
      </w:pPr>
      <w:r>
        <w:t xml:space="preserve">Comorbidity (MDD, anxiety).</w:t>
      </w:r>
    </w:p>
    <w:p>
      <w:pPr>
        <w:pStyle w:val="Compact"/>
        <w:numPr>
          <w:ilvl w:val="0"/>
          <w:numId w:val="2291"/>
        </w:numPr>
      </w:pPr>
      <w:r>
        <w:t xml:space="preserve">Polysomnography only in atypical cases or suspicion of another sleep disorder.</w:t>
      </w:r>
    </w:p>
    <w:bookmarkEnd w:id="2567"/>
    <w:bookmarkStart w:id="2568" w:name="differential-diagnosis-9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Obstructive sleep apnoea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Snoring, daytime sleepiness; polysomnography.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Circadian rhythm disorders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Shift in the sleep schedule.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Restless Legs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Akathisia-like leg discomfort.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MDD with insomnia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 predominate.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Hyperthyroidism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r>
    </w:tbl>
    <w:bookmarkEnd w:id="2568"/>
    <w:bookmarkEnd w:id="2569"/>
    <w:bookmarkStart w:id="2570" w:name="X8f3f91d84ce71b933cc40fba6b23605b9e26f8b"/>
    <w:p>
      <w:pPr>
        <w:pStyle w:val="Heading3"/>
      </w:pPr>
      <w:r>
        <w:t xml:space="preserve">7. Examination and assessment</w:t>
      </w:r>
    </w:p>
    <w:p>
      <w:pPr>
        <w:pStyle w:val="Compact"/>
        <w:numPr>
          <w:ilvl w:val="0"/>
          <w:numId w:val="2292"/>
        </w:numPr>
      </w:pPr>
      <w:r>
        <w:t xml:space="preserve">ISI, PSQI.</w:t>
      </w:r>
    </w:p>
    <w:p>
      <w:pPr>
        <w:pStyle w:val="Compact"/>
        <w:numPr>
          <w:ilvl w:val="0"/>
          <w:numId w:val="2292"/>
        </w:numPr>
      </w:pPr>
      <w:r>
        <w:t xml:space="preserve">Sleep diary.</w:t>
      </w:r>
    </w:p>
    <w:p>
      <w:pPr>
        <w:pStyle w:val="Compact"/>
        <w:numPr>
          <w:ilvl w:val="0"/>
          <w:numId w:val="2292"/>
        </w:numPr>
      </w:pPr>
      <w:r>
        <w:t xml:space="preserve">STOP-BANG (OSA), Epworth Sleepiness Scale.</w:t>
      </w:r>
    </w:p>
    <w:p>
      <w:pPr>
        <w:pStyle w:val="Compact"/>
        <w:numPr>
          <w:ilvl w:val="0"/>
          <w:numId w:val="2292"/>
        </w:numPr>
      </w:pPr>
      <w:r>
        <w:t xml:space="preserve">TSH, ferritin.</w:t>
      </w:r>
    </w:p>
    <w:bookmarkEnd w:id="2570"/>
    <w:bookmarkStart w:id="2574" w:name="X8b98c381e3159ae79b8f8a7ec8a45593a4dfe70"/>
    <w:p>
      <w:pPr>
        <w:pStyle w:val="Heading3"/>
      </w:pPr>
      <w:r>
        <w:t xml:space="preserve">8. Treatment</w:t>
      </w:r>
    </w:p>
    <w:bookmarkStart w:id="2571" w:name="Xb8f843b52aaebf0fcd5fd1e966670d6647de7e1"/>
    <w:p>
      <w:pPr>
        <w:pStyle w:val="Heading4"/>
      </w:pPr>
      <w:r>
        <w:t xml:space="preserve">8.1 General principles (AASM 2021 · European Insomnia Guideline 2023 · NICE TA922 2023)</w:t>
      </w:r>
    </w:p>
    <w:p>
      <w:pPr>
        <w:pStyle w:val="Compact"/>
        <w:numPr>
          <w:ilvl w:val="0"/>
          <w:numId w:val="2293"/>
        </w:numPr>
      </w:pPr>
      <w:r>
        <w:t xml:space="preserve">CBT-I (cognitive behavioural therapy for insomnia) — first line; the gold standard in chronic insomnia; superior long-term efficacy to pharmacotherapy (Mitchell M.D. BMC Fam Pract 2012 meta-analysis). 5 main components:</w:t>
      </w:r>
    </w:p>
    <w:p>
      <w:pPr>
        <w:pStyle w:val="Compact"/>
        <w:numPr>
          <w:ilvl w:val="1"/>
          <w:numId w:val="2294"/>
        </w:numPr>
      </w:pPr>
      <w:r>
        <w:t xml:space="preserve">Stimulus control (Bootzin) — bed only for sleep;</w:t>
      </w:r>
    </w:p>
    <w:p>
      <w:pPr>
        <w:pStyle w:val="Compact"/>
        <w:numPr>
          <w:ilvl w:val="1"/>
          <w:numId w:val="2294"/>
        </w:numPr>
      </w:pPr>
      <w:r>
        <w:t xml:space="preserve">Sleep restriction (Spielman) — restricting time in bed to equal sleep time;</w:t>
      </w:r>
    </w:p>
    <w:p>
      <w:pPr>
        <w:pStyle w:val="Compact"/>
        <w:numPr>
          <w:ilvl w:val="1"/>
          <w:numId w:val="2294"/>
        </w:numPr>
      </w:pPr>
      <w:r>
        <w:t xml:space="preserve">Cognitive therapy — catastrophic thoughts about sleep;</w:t>
      </w:r>
    </w:p>
    <w:p>
      <w:pPr>
        <w:pStyle w:val="Compact"/>
        <w:numPr>
          <w:ilvl w:val="1"/>
          <w:numId w:val="2294"/>
        </w:numPr>
      </w:pPr>
      <w:r>
        <w:t xml:space="preserve">Sleep hygiene;</w:t>
      </w:r>
    </w:p>
    <w:p>
      <w:pPr>
        <w:pStyle w:val="Compact"/>
        <w:numPr>
          <w:ilvl w:val="1"/>
          <w:numId w:val="2294"/>
        </w:numPr>
      </w:pPr>
      <w:r>
        <w:t xml:space="preserve">Relaxation training.</w:t>
      </w:r>
    </w:p>
    <w:p>
      <w:pPr>
        <w:pStyle w:val="Compact"/>
        <w:numPr>
          <w:ilvl w:val="0"/>
          <w:numId w:val="2293"/>
        </w:numPr>
      </w:pPr>
      <w:r>
        <w:t xml:space="preserve">Digital CBT-I (Sleepio, SHUTi) — NICE HTG624 (2022): a cost-saving option in primary care for people who would otherwise be offered sleep hygiene or sleeping pills; direct comparison with face-to-face CBT-I is not established.</w:t>
      </w:r>
    </w:p>
    <w:p>
      <w:pPr>
        <w:pStyle w:val="Compact"/>
        <w:numPr>
          <w:ilvl w:val="0"/>
          <w:numId w:val="2293"/>
        </w:numPr>
      </w:pPr>
      <w:r>
        <w:t xml:space="preserve">Pharmacotherapy — short-term (2–4 weeks), when there is no response to CBT-I or it is unavailable:</w:t>
      </w:r>
    </w:p>
    <w:p>
      <w:pPr>
        <w:pStyle w:val="Compact"/>
        <w:numPr>
          <w:ilvl w:val="1"/>
          <w:numId w:val="2295"/>
        </w:numPr>
      </w:pPr>
      <w:r>
        <w:t xml:space="preserve">Z-drugs (zolpidem, zopiclone, eszopiclone);</w:t>
      </w:r>
    </w:p>
    <w:p>
      <w:pPr>
        <w:pStyle w:val="Compact"/>
        <w:numPr>
          <w:ilvl w:val="1"/>
          <w:numId w:val="2295"/>
        </w:numPr>
      </w:pPr>
      <w:r>
        <w:t xml:space="preserve">Benzodiazepine (temazepam) — tolerance, dependence risk;</w:t>
      </w:r>
    </w:p>
    <w:p>
      <w:pPr>
        <w:pStyle w:val="Compact"/>
        <w:numPr>
          <w:ilvl w:val="1"/>
          <w:numId w:val="2295"/>
        </w:numPr>
      </w:pPr>
      <w:r>
        <w:t xml:space="preserve">Newer — suvorexant, lemborexant (orexin antagonists) — less dependence;</w:t>
      </w:r>
    </w:p>
    <w:p>
      <w:pPr>
        <w:pStyle w:val="Compact"/>
        <w:numPr>
          <w:ilvl w:val="1"/>
          <w:numId w:val="2295"/>
        </w:numPr>
      </w:pPr>
      <w:r>
        <w:t xml:space="preserve">Doxepin at low dose (3–6 mg);</w:t>
      </w:r>
    </w:p>
    <w:p>
      <w:pPr>
        <w:pStyle w:val="Compact"/>
        <w:numPr>
          <w:ilvl w:val="1"/>
          <w:numId w:val="2295"/>
        </w:numPr>
      </w:pPr>
      <w:r>
        <w:t xml:space="preserve">Melatonin — for circadian component or in elderly; ramelteon (melatonin agonist).</w:t>
      </w:r>
    </w:p>
    <w:p>
      <w:pPr>
        <w:pStyle w:val="Compact"/>
        <w:numPr>
          <w:ilvl w:val="0"/>
          <w:numId w:val="2293"/>
        </w:numPr>
      </w:pPr>
      <w:r>
        <w:t xml:space="preserve">In older adults — Beers Criteria; avoid benzodiazepines and antihistamines (diphenhydramine).</w:t>
      </w:r>
    </w:p>
    <w:p>
      <w:pPr>
        <w:pStyle w:val="Compact"/>
        <w:numPr>
          <w:ilvl w:val="0"/>
          <w:numId w:val="2293"/>
        </w:numPr>
      </w:pPr>
      <w:r>
        <w:t xml:space="preserve">Comorbid depression — sedative antidepressant (mirtazapine, trazodone) — long-term use side effects should be considered.</w:t>
      </w:r>
    </w:p>
    <w:bookmarkEnd w:id="2571"/>
    <w:bookmarkStart w:id="2572" w:name="treatment-methods-89"/>
    <w:p>
      <w:pPr>
        <w:pStyle w:val="Heading4"/>
      </w:pPr>
      <w:r>
        <w:t xml:space="preserve">8.2 Treatment methods</w:t>
      </w:r>
    </w:p>
    <w:p>
      <w:pPr>
        <w:pStyle w:val="Compact"/>
        <w:numPr>
          <w:ilvl w:val="0"/>
          <w:numId w:val="2296"/>
        </w:numPr>
      </w:pPr>
      <w:r>
        <w:t xml:space="preserve">CBT for insomnia (CBT-I — Cognitive Behavioral Therapy for Insomnia), 5 components — Stimulus control, sleep restriction, cognitive therapy, sleep hygiene, relaxation.</w:t>
      </w:r>
    </w:p>
    <w:p>
      <w:pPr>
        <w:pStyle w:val="Compact"/>
        <w:numPr>
          <w:ilvl w:val="0"/>
          <w:numId w:val="2296"/>
        </w:numPr>
      </w:pPr>
      <w:r>
        <w:t xml:space="preserve">Digital CBT-I (Digital) — Sleepio, SHUTi — internet-based.</w:t>
      </w:r>
    </w:p>
    <w:p>
      <w:pPr>
        <w:pStyle w:val="Compact"/>
        <w:numPr>
          <w:ilvl w:val="0"/>
          <w:numId w:val="2296"/>
        </w:numPr>
      </w:pPr>
      <w:r>
        <w:t xml:space="preserve">Orexin Antagonists — Suvorexant, lemborexant — lower addiction potential.</w:t>
      </w:r>
    </w:p>
    <w:p>
      <w:pPr>
        <w:pStyle w:val="Compact"/>
        <w:numPr>
          <w:ilvl w:val="0"/>
          <w:numId w:val="2296"/>
        </w:numPr>
      </w:pPr>
      <w:r>
        <w:t xml:space="preserve">Insomnia Severity Index (ISI — Insomnia Severity Index) — 7-item screening.</w:t>
      </w:r>
    </w:p>
    <w:p>
      <w:pPr>
        <w:pStyle w:val="Compact"/>
        <w:numPr>
          <w:ilvl w:val="0"/>
          <w:numId w:val="2296"/>
        </w:numPr>
      </w:pPr>
      <w:r>
        <w:t xml:space="preserve">Sleep Diary — 1–2 weeks baseline indicators.</w:t>
      </w:r>
    </w:p>
    <w:bookmarkEnd w:id="2572"/>
    <w:bookmarkStart w:id="2573" w:name="differences-between-sources-163"/>
    <w:p>
      <w:pPr>
        <w:pStyle w:val="Heading4"/>
      </w:pPr>
      <w:r>
        <w:t xml:space="preserve">8.3 Differences between sources</w:t>
      </w:r>
    </w:p>
    <w:p>
      <w:pPr>
        <w:pStyle w:val="Compact"/>
        <w:numPr>
          <w:ilvl w:val="0"/>
          <w:numId w:val="2297"/>
        </w:numPr>
      </w:pPr>
      <w:r>
        <w:t xml:space="preserve">AASM Clinical Practice Guideline for Behavioral and Psychological Treatments (Edinger J.D. 2021).</w:t>
      </w:r>
    </w:p>
    <w:p>
      <w:pPr>
        <w:pStyle w:val="Compact"/>
        <w:numPr>
          <w:ilvl w:val="0"/>
          <w:numId w:val="2297"/>
        </w:numPr>
      </w:pPr>
      <w:r>
        <w:t xml:space="preserve">European Insomnia Guideline (Riemann D. J Sleep Res 2023).</w:t>
      </w:r>
    </w:p>
    <w:p>
      <w:pPr>
        <w:pStyle w:val="Compact"/>
        <w:numPr>
          <w:ilvl w:val="0"/>
          <w:numId w:val="2297"/>
        </w:numPr>
      </w:pPr>
      <w:r>
        <w:t xml:space="preserve">NICE TA922 (2023) — CBT-I must be tried before moving to medication.</w:t>
      </w:r>
    </w:p>
    <w:bookmarkEnd w:id="2573"/>
    <w:bookmarkEnd w:id="2574"/>
    <w:bookmarkStart w:id="2575" w:name="X31698f98666d7c848f16f4b950c3258a6fbfc37"/>
    <w:p>
      <w:pPr>
        <w:pStyle w:val="Heading3"/>
      </w:pPr>
      <w:r>
        <w:t xml:space="preserve">9. Prognosis</w:t>
      </w:r>
    </w:p>
    <w:p>
      <w:pPr>
        <w:pStyle w:val="Compact"/>
        <w:numPr>
          <w:ilvl w:val="0"/>
          <w:numId w:val="2298"/>
        </w:numPr>
      </w:pPr>
      <w:r>
        <w:t xml:space="preserve">Response to CBT-I 70–80%, remission ~40%; the effect is sustained long-term.</w:t>
      </w:r>
    </w:p>
    <w:p>
      <w:pPr>
        <w:pStyle w:val="Compact"/>
        <w:numPr>
          <w:ilvl w:val="0"/>
          <w:numId w:val="2298"/>
        </w:numPr>
      </w:pPr>
      <w:r>
        <w:t xml:space="preserve">Without treatment, chronic course and comorbidity (MDD, anxiety).</w:t>
      </w:r>
    </w:p>
    <w:bookmarkEnd w:id="2575"/>
    <w:bookmarkStart w:id="2582" w:name="X87091463a0f3d0496b7419ab0544ec451f67560"/>
    <w:p>
      <w:pPr>
        <w:pStyle w:val="Heading3"/>
      </w:pPr>
      <w:r>
        <w:t xml:space="preserve">10. Myths and misconceptions</w:t>
      </w:r>
    </w:p>
    <w:bookmarkStart w:id="2576" w:name="Xaf0ae05017d7dacbf1a23e97e66e90422ec96bf"/>
    <w:p>
      <w:pPr>
        <w:pStyle w:val="Heading5"/>
      </w:pPr>
      <w:r>
        <w:t xml:space="preserve">Myth 1: “Sleep medications are the main treatment for insomnia”</w:t>
      </w:r>
    </w:p>
    <w:p>
      <w:pPr>
        <w:pStyle w:val="FirstParagraph"/>
      </w:pPr>
      <w:r>
        <w:t xml:space="preserve">Evidence: AASM 2021 — CBT-I first-line; pharmacotherapy short-term adjunct; long-term use tolerance, dependence.</w:t>
      </w:r>
    </w:p>
    <w:bookmarkEnd w:id="2576"/>
    <w:bookmarkStart w:id="2577" w:name="myth-2-alcohol-helps-with-sleep"/>
    <w:p>
      <w:pPr>
        <w:pStyle w:val="Heading5"/>
      </w:pPr>
      <w:r>
        <w:t xml:space="preserve">Myth 2: “Alcohol helps with sleep”</w:t>
      </w:r>
    </w:p>
    <w:p>
      <w:pPr>
        <w:pStyle w:val="FirstParagraph"/>
      </w:pPr>
      <w:r>
        <w:t xml:space="preserve">Evidence: Alcohol reduces REM, causes midnight awakenings, leads to chronic insomnia.</w:t>
      </w:r>
    </w:p>
    <w:bookmarkEnd w:id="2577"/>
    <w:bookmarkStart w:id="2578" w:name="X5db266707256fd2ead63e91b4fab90724a4408e"/>
    <w:p>
      <w:pPr>
        <w:pStyle w:val="Heading5"/>
      </w:pPr>
      <w:r>
        <w:t xml:space="preserve">Myth 3: “Antihistamine (diphenhydramine) is safe in the elderly”</w:t>
      </w:r>
    </w:p>
    <w:p>
      <w:pPr>
        <w:pStyle w:val="FirstParagraph"/>
      </w:pPr>
      <w:r>
        <w:t xml:space="preserve">Evidence: Beers Criteria — antihistamines in the elderly: anticholinergic side effects (falls, cognitive decline); avoid.</w:t>
      </w:r>
    </w:p>
    <w:bookmarkEnd w:id="2578"/>
    <w:bookmarkStart w:id="2579" w:name="X02ad4144c4da3a557cd4a8a00f46d3857f75e21"/>
    <w:p>
      <w:pPr>
        <w:pStyle w:val="Heading5"/>
      </w:pPr>
      <w:r>
        <w:t xml:space="preserve">Myth 4: “Valerian, kava are safe alternatives for insomnia”</w:t>
      </w:r>
    </w:p>
    <w:p>
      <w:pPr>
        <w:pStyle w:val="FirstParagraph"/>
      </w:pPr>
      <w:r>
        <w:t xml:space="preserve">Evidence: valerian — Leach M.J., Page A.T. Sleep Med Rev 2015;24:1–12 — evidence for effect insufficient; kava hepatotoxicity.</w:t>
      </w:r>
    </w:p>
    <w:bookmarkEnd w:id="2579"/>
    <w:bookmarkStart w:id="2580" w:name="X172d158183001710a47922e4de90603fb3a291c"/>
    <w:p>
      <w:pPr>
        <w:pStyle w:val="Heading5"/>
      </w:pPr>
      <w:r>
        <w:t xml:space="preserve">Myth 5: “8 hours of sleep is necessary for everyone”</w:t>
      </w:r>
    </w:p>
    <w:p>
      <w:pPr>
        <w:pStyle w:val="FirstParagraph"/>
      </w:pPr>
      <w:r>
        <w:t xml:space="preserve">Evidence: Individual need 6–9 hours; important is daytime function.</w:t>
      </w:r>
    </w:p>
    <w:bookmarkEnd w:id="2580"/>
    <w:bookmarkStart w:id="2581" w:name="X68e30e4bff607e6cab61c3c9c19760436e2888e"/>
    <w:p>
      <w:pPr>
        <w:pStyle w:val="Heading5"/>
      </w:pPr>
      <w:r>
        <w:t xml:space="preserve">Myth 6: “Waking up during the night is harmful”</w:t>
      </w:r>
    </w:p>
    <w:p>
      <w:pPr>
        <w:pStyle w:val="FirstParagraph"/>
      </w:pPr>
      <w:r>
        <w:t xml:space="preserve">Evidence: Brief awakenings are normal; stimulus control — rise if you can't sleep for 20 min.</w:t>
      </w:r>
    </w:p>
    <w:bookmarkEnd w:id="2581"/>
    <w:bookmarkEnd w:id="2582"/>
    <w:bookmarkStart w:id="2930" w:name="Xf2d1fbbffd6ea7414a55a9b147018f87520dc64"/>
    <w:p>
      <w:pPr>
        <w:pStyle w:val="Heading3"/>
      </w:pPr>
      <w:r>
        <w:t xml:space="preserve">11. Sources</w:t>
      </w:r>
    </w:p>
    <w:p>
      <w:pPr>
        <w:pStyle w:val="Compact"/>
        <w:numPr>
          <w:ilvl w:val="0"/>
          <w:numId w:val="2299"/>
        </w:numPr>
      </w:pPr>
      <w:r>
        <w:t xml:space="preserve">WHO. ICD-11. 7A00 Insomnia disorders. 2024.</w:t>
      </w:r>
    </w:p>
    <w:p>
      <w:pPr>
        <w:pStyle w:val="Compact"/>
        <w:numPr>
          <w:ilvl w:val="0"/>
          <w:numId w:val="2299"/>
        </w:numPr>
      </w:pPr>
      <w:r>
        <w:t xml:space="preserve">APA. DSM-5-TR. 2022.</w:t>
      </w:r>
    </w:p>
    <w:p>
      <w:pPr>
        <w:pStyle w:val="Compact"/>
        <w:numPr>
          <w:ilvl w:val="0"/>
          <w:numId w:val="2299"/>
        </w:numPr>
      </w:pPr>
      <w:r>
        <w:t xml:space="preserve">Edinger J.D. et al. Behavioral and psychological treatments for chronic insomnia disorder in adults: an AASM clinical practice guideline. J Clin Sleep Med 2021;17(2):255–262.</w:t>
      </w:r>
    </w:p>
    <w:p>
      <w:pPr>
        <w:pStyle w:val="Compact"/>
        <w:numPr>
          <w:ilvl w:val="0"/>
          <w:numId w:val="2299"/>
        </w:numPr>
      </w:pPr>
      <w:r>
        <w:t xml:space="preserve">Riemann D. et al. The European Insomnia Guideline 2023. J Sleep Res 2023;32(6):e14035.</w:t>
      </w:r>
    </w:p>
    <w:p>
      <w:pPr>
        <w:pStyle w:val="Compact"/>
        <w:numPr>
          <w:ilvl w:val="0"/>
          <w:numId w:val="2299"/>
        </w:numPr>
      </w:pPr>
      <w:r>
        <w:t xml:space="preserve">Mitchell M.D. et al. Comparative effectiveness of cognitive behavioral therapy for insomnia: a systematic review. BMC Fam Pract 2012;13:40.</w:t>
      </w:r>
    </w:p>
    <w:p>
      <w:pPr>
        <w:pStyle w:val="Compact"/>
        <w:numPr>
          <w:ilvl w:val="0"/>
          <w:numId w:val="2299"/>
        </w:numPr>
      </w:pPr>
      <w:r>
        <w:t xml:space="preserve">Buysse D.J. et al. Efficacy of brief behavioral treatment for chronic insomnia in older adults. Arch Intern Med 2011;171(10):887–895.</w:t>
      </w:r>
    </w:p>
    <w:p>
      <w:pPr>
        <w:pStyle w:val="Compact"/>
        <w:numPr>
          <w:ilvl w:val="0"/>
          <w:numId w:val="2299"/>
        </w:numPr>
      </w:pPr>
      <w:r>
        <w:t xml:space="preserve">National Institute for Health and Care Excellence. Sleepio to treat insomnia and insomnia symptoms. HealthTech guidance HTG624. London: NICE; 2022.</w:t>
      </w:r>
    </w:p>
    <w:p>
      <w:pPr>
        <w:pStyle w:val="Compact"/>
        <w:numPr>
          <w:ilvl w:val="0"/>
          <w:numId w:val="2299"/>
        </w:numPr>
      </w:pPr>
      <w:r>
        <w:t xml:space="preserve">National Institute for Health and Care Excellence. Daridorexant for treating long-term insomnia. Technology appraisal guidance TA922. London: NICE; 18 October 2023.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583" w:name="m1177a41-obstructive-sleep-apnoea-osa"/>
            <w:r>
              <w:t xml:space="preserve">7A41 OBSTRUCTIVE SLEEP APNOEA (OSA)</w:t>
            </w:r>
            <w:bookmarkEnd w:id="2583"/>
          </w:p>
          <w:p>
            <w:pPr>
              <w:pStyle w:val="Compact"/>
              <w:ind w:firstLine="0" w:left="0"/>
            </w:pPr>
            <w:r>
              <w:rPr>
                <w:lang w:val="en"/>
              </w:rPr>
              <w:t xml:space="preserve">Obstructive sleep apnoea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Sleep apnoea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Obstructive Sleep Apnea Hypopnea</w:t>
            </w:r>
          </w:p>
        </w:tc>
      </w:tr>
    </w:tbl>
    <w:bookmarkStart w:id="2584" w:name="X483a7b3aebc33ec69b84671ce858af70b59e888"/>
    <w:p>
      <w:pPr>
        <w:pStyle w:val="Heading3"/>
      </w:pPr>
      <w:r>
        <w:t xml:space="preserve">1. Definition and nosology</w:t>
      </w:r>
    </w:p>
    <w:p>
      <w:pPr>
        <w:pStyle w:val="FirstParagraph"/>
      </w:pPr>
      <w:r>
        <w:t xml:space="preserve">Obstructive Sleep Apnea (OSA; ICD-11:</w:t>
      </w:r>
      <w:r>
        <w:t xml:space="preserve"> </w:t>
      </w:r>
      <w:r>
        <w:t xml:space="preserve">7A41</w:t>
      </w:r>
      <w:r>
        <w:t xml:space="preserve">; DSM-5-TR: G47.33) — recurrent complete (apnea) or partial (hypopnea) obstruction of the upper airway during sleep; daytime sleepiness, cognitive impairment, increased cardiovascular mortality.</w:t>
      </w:r>
    </w:p>
    <w:bookmarkEnd w:id="2584"/>
    <w:bookmarkStart w:id="2585" w:name="X875b7ffeb48523f513bdb19ce1d435391157bd1"/>
    <w:p>
      <w:pPr>
        <w:pStyle w:val="Heading3"/>
      </w:pPr>
      <w:r>
        <w:t xml:space="preserve">2. History</w:t>
      </w:r>
    </w:p>
    <w:p>
      <w:pPr>
        <w:pStyle w:val="Compact"/>
        <w:numPr>
          <w:ilvl w:val="0"/>
          <w:numId w:val="2300"/>
        </w:numPr>
      </w:pPr>
      <w:r>
        <w:t xml:space="preserve">Gastaut H. (1965) — classic description of OSA.</w:t>
      </w:r>
    </w:p>
    <w:p>
      <w:pPr>
        <w:pStyle w:val="Compact"/>
        <w:numPr>
          <w:ilvl w:val="0"/>
          <w:numId w:val="2300"/>
        </w:numPr>
      </w:pPr>
      <w:r>
        <w:t xml:space="preserve">Sullivan C.E. (1981) — invented CPAP.</w:t>
      </w:r>
    </w:p>
    <w:p>
      <w:pPr>
        <w:pStyle w:val="Compact"/>
        <w:numPr>
          <w:ilvl w:val="0"/>
          <w:numId w:val="2300"/>
        </w:numPr>
      </w:pPr>
      <w:r>
        <w:t xml:space="preserve">AASM Practice Parameters (update).</w:t>
      </w:r>
    </w:p>
    <w:bookmarkEnd w:id="2585"/>
    <w:bookmarkStart w:id="2586" w:name="X51e2bc6e09075e794a1164983705beedb282241"/>
    <w:p>
      <w:pPr>
        <w:pStyle w:val="Heading3"/>
      </w:pPr>
      <w:r>
        <w:t xml:space="preserve">3. Epidemiology</w:t>
      </w:r>
    </w:p>
    <w:p>
      <w:pPr>
        <w:pStyle w:val="Compact"/>
        <w:numPr>
          <w:ilvl w:val="0"/>
          <w:numId w:val="2301"/>
        </w:numPr>
      </w:pPr>
      <w:r>
        <w:t xml:space="preserve">In adults: approximately 13% in men, approximately 6% in women (moderate-to-severe OSA).</w:t>
      </w:r>
    </w:p>
    <w:p>
      <w:pPr>
        <w:pStyle w:val="Compact"/>
        <w:numPr>
          <w:ilvl w:val="0"/>
          <w:numId w:val="2301"/>
        </w:numPr>
      </w:pPr>
      <w:r>
        <w:t xml:space="preserve">Increases with age and BMI.</w:t>
      </w:r>
    </w:p>
    <w:p>
      <w:pPr>
        <w:pStyle w:val="Compact"/>
        <w:numPr>
          <w:ilvl w:val="0"/>
          <w:numId w:val="2301"/>
        </w:numPr>
      </w:pPr>
      <w:r>
        <w:t xml:space="preserve">Comorbidity: hypertension (50%), cardiovascular disease, stroke, atrial fibrillation, diabetes.</w:t>
      </w:r>
    </w:p>
    <w:bookmarkEnd w:id="2586"/>
    <w:bookmarkStart w:id="2587" w:name="X64cbc6710efcf78ab25f852f912b03e0f1e59ff"/>
    <w:p>
      <w:pPr>
        <w:pStyle w:val="Heading3"/>
      </w:pPr>
      <w:r>
        <w:t xml:space="preserve">4. Aetiology and pathogenesis</w:t>
      </w:r>
    </w:p>
    <w:p>
      <w:pPr>
        <w:pStyle w:val="Compact"/>
        <w:numPr>
          <w:ilvl w:val="0"/>
          <w:numId w:val="2302"/>
        </w:numPr>
      </w:pPr>
      <w:r>
        <w:t xml:space="preserve">Anatomical — adipose tissue in the upper airway, small mandible, enlarged tonsils/adenoids.</w:t>
      </w:r>
    </w:p>
    <w:p>
      <w:pPr>
        <w:pStyle w:val="Compact"/>
        <w:numPr>
          <w:ilvl w:val="0"/>
          <w:numId w:val="2302"/>
        </w:numPr>
      </w:pPr>
      <w:r>
        <w:t xml:space="preserve">Genetic and family history.</w:t>
      </w:r>
    </w:p>
    <w:p>
      <w:pPr>
        <w:pStyle w:val="Compact"/>
        <w:numPr>
          <w:ilvl w:val="0"/>
          <w:numId w:val="2302"/>
        </w:numPr>
      </w:pPr>
      <w:r>
        <w:t xml:space="preserve">Posture — worsens in supine position.</w:t>
      </w:r>
    </w:p>
    <w:p>
      <w:pPr>
        <w:pStyle w:val="Compact"/>
        <w:numPr>
          <w:ilvl w:val="0"/>
          <w:numId w:val="2302"/>
        </w:numPr>
      </w:pPr>
      <w:r>
        <w:t xml:space="preserve">Alcohol, sedative — worsens.</w:t>
      </w:r>
    </w:p>
    <w:bookmarkEnd w:id="2587"/>
    <w:bookmarkStart w:id="2588" w:name="X9affb62916b56b5221e33f196470fd4222dcc44"/>
    <w:p>
      <w:pPr>
        <w:pStyle w:val="Heading3"/>
      </w:pPr>
      <w:r>
        <w:t xml:space="preserve">5. Clinical features</w:t>
      </w:r>
    </w:p>
    <w:p>
      <w:pPr>
        <w:pStyle w:val="Compact"/>
        <w:numPr>
          <w:ilvl w:val="0"/>
          <w:numId w:val="2303"/>
        </w:numPr>
      </w:pPr>
      <w:r>
        <w:t xml:space="preserve">Waking up with loud snoring, observed apnea, or choking sensation.</w:t>
      </w:r>
    </w:p>
    <w:p>
      <w:pPr>
        <w:pStyle w:val="Compact"/>
        <w:numPr>
          <w:ilvl w:val="0"/>
          <w:numId w:val="2303"/>
        </w:numPr>
      </w:pPr>
      <w:r>
        <w:t xml:space="preserve">Daytime sleepiness (dangerous while driving), fatigue.</w:t>
      </w:r>
    </w:p>
    <w:p>
      <w:pPr>
        <w:pStyle w:val="Compact"/>
        <w:numPr>
          <w:ilvl w:val="0"/>
          <w:numId w:val="2303"/>
        </w:numPr>
      </w:pPr>
      <w:r>
        <w:t xml:space="preserve">Morning headache, dry mouth.</w:t>
      </w:r>
    </w:p>
    <w:p>
      <w:pPr>
        <w:pStyle w:val="Compact"/>
        <w:numPr>
          <w:ilvl w:val="0"/>
          <w:numId w:val="2303"/>
        </w:numPr>
      </w:pPr>
      <w:r>
        <w:t xml:space="preserve">Concentration, memory problems.</w:t>
      </w:r>
    </w:p>
    <w:p>
      <w:pPr>
        <w:pStyle w:val="Compact"/>
        <w:numPr>
          <w:ilvl w:val="0"/>
          <w:numId w:val="2303"/>
        </w:numPr>
      </w:pPr>
      <w:r>
        <w:t xml:space="preserve">Sexual dysfunction, depressive symptoms.</w:t>
      </w:r>
    </w:p>
    <w:bookmarkEnd w:id="2588"/>
    <w:bookmarkStart w:id="2593" w:name="X179baa6a2fbc5c34e7ec615990fe93244d77888"/>
    <w:p>
      <w:pPr>
        <w:pStyle w:val="Heading3"/>
      </w:pPr>
      <w:r>
        <w:t xml:space="preserve">6. Diagnosis</w:t>
      </w:r>
    </w:p>
    <w:bookmarkStart w:id="2589" w:name="unified-diagnostic-criteria-65"/>
    <w:p>
      <w:pPr>
        <w:pStyle w:val="Heading4"/>
      </w:pPr>
      <w:r>
        <w:t xml:space="preserve">6.1 Unified diagnostic criteria</w:t>
      </w:r>
    </w:p>
    <w:p>
      <w:pPr>
        <w:pStyle w:val="FirstParagraph"/>
      </w:pPr>
      <w:r>
        <w:t xml:space="preserve">Polysomnography (PSG) — AHI (Apnea-Hypopnea Index) ≥ 5/hour + symptoms; AHI ≥ 15 irrespective of symptoms.</w:t>
      </w:r>
    </w:p>
    <w:bookmarkEnd w:id="2589"/>
    <w:bookmarkStart w:id="2590" w:name="differences-between-sources-164"/>
    <w:p>
      <w:pPr>
        <w:pStyle w:val="Heading4"/>
      </w:pPr>
      <w:r>
        <w:t xml:space="preserve">6.2 Differences between sources</w:t>
      </w:r>
    </w:p>
    <w:p>
      <w:pPr>
        <w:pStyle w:val="Compact"/>
        <w:numPr>
          <w:ilvl w:val="0"/>
          <w:numId w:val="2304"/>
        </w:numPr>
      </w:pPr>
      <w:r>
        <w:t xml:space="preserve">AASM Clinical Practice Guideline for Diagnostic Testing (2017).</w:t>
      </w:r>
    </w:p>
    <w:p>
      <w:pPr>
        <w:pStyle w:val="Compact"/>
        <w:numPr>
          <w:ilvl w:val="0"/>
          <w:numId w:val="2304"/>
        </w:numPr>
      </w:pPr>
      <w:r>
        <w:t xml:space="preserve">Home Sleep Apnea Test (HSAT) — appropriate for moderate-severe OSA.</w:t>
      </w:r>
    </w:p>
    <w:bookmarkEnd w:id="2590"/>
    <w:bookmarkStart w:id="2591" w:name="diagnostic-algorithm-92"/>
    <w:p>
      <w:pPr>
        <w:pStyle w:val="Heading4"/>
      </w:pPr>
      <w:r>
        <w:t xml:space="preserve">6.3 Diagnostic algorithm</w:t>
      </w:r>
    </w:p>
    <w:p>
      <w:pPr>
        <w:pStyle w:val="Compact"/>
        <w:numPr>
          <w:ilvl w:val="0"/>
          <w:numId w:val="2305"/>
        </w:numPr>
      </w:pPr>
      <w:r>
        <w:t xml:space="preserve">STOP-BANG screening (Snoring, Tiredness, Observed apnea, BP, BMI, Age, Neck, Gender).</w:t>
      </w:r>
    </w:p>
    <w:p>
      <w:pPr>
        <w:pStyle w:val="Compact"/>
        <w:numPr>
          <w:ilvl w:val="0"/>
          <w:numId w:val="2305"/>
        </w:numPr>
      </w:pPr>
      <w:r>
        <w:t xml:space="preserve">Epworth Sleepiness Scale.</w:t>
      </w:r>
    </w:p>
    <w:p>
      <w:pPr>
        <w:pStyle w:val="Compact"/>
        <w:numPr>
          <w:ilvl w:val="0"/>
          <w:numId w:val="2305"/>
        </w:numPr>
      </w:pPr>
      <w:r>
        <w:t xml:space="preserve">Polysomnography or HSAT.</w:t>
      </w:r>
    </w:p>
    <w:p>
      <w:pPr>
        <w:pStyle w:val="Compact"/>
        <w:numPr>
          <w:ilvl w:val="0"/>
          <w:numId w:val="2305"/>
        </w:numPr>
      </w:pPr>
      <w:r>
        <w:t xml:space="preserve">Cardiovascular evaluation.</w:t>
      </w:r>
    </w:p>
    <w:bookmarkEnd w:id="2591"/>
    <w:bookmarkStart w:id="2592" w:name="differential-diagnosis-93"/>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Sleeping and retention problems; no snoring.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Central sleep apnoea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Respiratory effort absent.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Narcolepsy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Cataplexy,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Restless legs.</w:t>
            </w:r>
          </w:p>
        </w:tc>
      </w:tr>
    </w:tbl>
    <w:bookmarkEnd w:id="2592"/>
    <w:bookmarkEnd w:id="2593"/>
    <w:bookmarkStart w:id="2594" w:name="X2fd028f4b84c728a88fb69570b4facdca385ead"/>
    <w:p>
      <w:pPr>
        <w:pStyle w:val="Heading3"/>
      </w:pPr>
      <w:r>
        <w:t xml:space="preserve">7. Examination and assessment</w:t>
      </w:r>
    </w:p>
    <w:p>
      <w:pPr>
        <w:pStyle w:val="Compact"/>
        <w:numPr>
          <w:ilvl w:val="0"/>
          <w:numId w:val="2306"/>
        </w:numPr>
      </w:pPr>
      <w:r>
        <w:t xml:space="preserve">STOP-BANG, Epworth.</w:t>
      </w:r>
    </w:p>
    <w:p>
      <w:pPr>
        <w:pStyle w:val="Compact"/>
        <w:numPr>
          <w:ilvl w:val="0"/>
          <w:numId w:val="2306"/>
        </w:numPr>
      </w:pPr>
      <w:r>
        <w:t xml:space="preserve">Polysomnography or Home Sleep Apnea Testing.</w:t>
      </w:r>
    </w:p>
    <w:p>
      <w:pPr>
        <w:pStyle w:val="Compact"/>
        <w:numPr>
          <w:ilvl w:val="0"/>
          <w:numId w:val="2306"/>
        </w:numPr>
      </w:pPr>
      <w:r>
        <w:t xml:space="preserve">BMI, neck circumference.</w:t>
      </w:r>
    </w:p>
    <w:bookmarkEnd w:id="2594"/>
    <w:bookmarkStart w:id="2597" w:name="X35ef3b8af0ed443f1e6ec305e4b9445d8ea8d00"/>
    <w:p>
      <w:pPr>
        <w:pStyle w:val="Heading3"/>
      </w:pPr>
      <w:r>
        <w:t xml:space="preserve">8. Treatment</w:t>
      </w:r>
    </w:p>
    <w:p>
      <w:pPr>
        <w:pStyle w:val="Compact"/>
        <w:numPr>
          <w:ilvl w:val="0"/>
          <w:numId w:val="2307"/>
        </w:numPr>
      </w:pPr>
      <w:r>
        <w:t xml:space="preserve">CPAP — Continuous Positive Airway Pressure is first-line. For moderate-severe OSA; AHI significantly reduced; effect on cardiovascular mortality has not been confirmed in randomized trials (SAVE, NEJM 2016).</w:t>
      </w:r>
    </w:p>
    <w:p>
      <w:pPr>
        <w:pStyle w:val="Compact"/>
        <w:numPr>
          <w:ilvl w:val="0"/>
          <w:numId w:val="2307"/>
        </w:numPr>
      </w:pPr>
      <w:r>
        <w:t xml:space="preserve">BiPAP — in refractory cases or CPAP non-response.</w:t>
      </w:r>
    </w:p>
    <w:p>
      <w:pPr>
        <w:pStyle w:val="Compact"/>
        <w:numPr>
          <w:ilvl w:val="0"/>
          <w:numId w:val="2307"/>
        </w:numPr>
      </w:pPr>
      <w:r>
        <w:t xml:space="preserve">Weight loss — mild OSA; bariatric surgery in severe obesity.</w:t>
      </w:r>
    </w:p>
    <w:p>
      <w:pPr>
        <w:pStyle w:val="Compact"/>
        <w:numPr>
          <w:ilvl w:val="0"/>
          <w:numId w:val="2307"/>
        </w:numPr>
      </w:pPr>
      <w:r>
        <w:t xml:space="preserve">Mandibular advancement device (MAD) — mild-moderate OSA, CPAP non-responsive.</w:t>
      </w:r>
    </w:p>
    <w:p>
      <w:pPr>
        <w:pStyle w:val="Compact"/>
        <w:numPr>
          <w:ilvl w:val="0"/>
          <w:numId w:val="2307"/>
        </w:numPr>
      </w:pPr>
      <w:r>
        <w:t xml:space="preserve">Postural therapy — supine-avoidant.</w:t>
      </w:r>
    </w:p>
    <w:p>
      <w:pPr>
        <w:pStyle w:val="Compact"/>
        <w:numPr>
          <w:ilvl w:val="0"/>
          <w:numId w:val="2307"/>
        </w:numPr>
      </w:pPr>
      <w:r>
        <w:t xml:space="preserve">Surgery (UPPP, hypoglossal nerve stimulation — Inspire) — in selected cases.</w:t>
      </w:r>
    </w:p>
    <w:p>
      <w:pPr>
        <w:pStyle w:val="Compact"/>
        <w:numPr>
          <w:ilvl w:val="0"/>
          <w:numId w:val="2307"/>
        </w:numPr>
      </w:pPr>
      <w:r>
        <w:t xml:space="preserve">Withdrawal from alcohol and sedatives.</w:t>
      </w:r>
    </w:p>
    <w:bookmarkStart w:id="2595" w:name="treatment-methods-90"/>
    <w:p>
      <w:pPr>
        <w:pStyle w:val="Heading4"/>
      </w:pPr>
      <w:r>
        <w:t xml:space="preserve">8.1 Treatment methods</w:t>
      </w:r>
    </w:p>
    <w:p>
      <w:pPr>
        <w:pStyle w:val="Compact"/>
        <w:numPr>
          <w:ilvl w:val="0"/>
          <w:numId w:val="2308"/>
        </w:numPr>
      </w:pPr>
      <w:r>
        <w:t xml:space="preserve">CPAP — First-line; adherence main problem.</w:t>
      </w:r>
    </w:p>
    <w:p>
      <w:pPr>
        <w:pStyle w:val="Compact"/>
        <w:numPr>
          <w:ilvl w:val="0"/>
          <w:numId w:val="2308"/>
        </w:numPr>
      </w:pPr>
      <w:r>
        <w:t xml:space="preserve">Mandibular Advancement Device (MAD) — Mild-moderate OSA; when CPAP fails.</w:t>
      </w:r>
    </w:p>
    <w:p>
      <w:pPr>
        <w:pStyle w:val="Compact"/>
        <w:numPr>
          <w:ilvl w:val="0"/>
          <w:numId w:val="2308"/>
        </w:numPr>
      </w:pPr>
      <w:r>
        <w:t xml:space="preserve">Hypoglossal Nerve Stimulation (Inspire) — New surgical option; in selected cases.</w:t>
      </w:r>
    </w:p>
    <w:p>
      <w:pPr>
        <w:pStyle w:val="Compact"/>
        <w:numPr>
          <w:ilvl w:val="0"/>
          <w:numId w:val="2308"/>
        </w:numPr>
      </w:pPr>
      <w:r>
        <w:t xml:space="preserve">STOP-BANG, Epworth, PSG — Screening and diagnosis.</w:t>
      </w:r>
    </w:p>
    <w:bookmarkEnd w:id="2595"/>
    <w:bookmarkStart w:id="2596" w:name="differences-between-sources-165"/>
    <w:p>
      <w:pPr>
        <w:pStyle w:val="Heading4"/>
      </w:pPr>
      <w:r>
        <w:t xml:space="preserve">8.2 Differences between sources</w:t>
      </w:r>
    </w:p>
    <w:p>
      <w:pPr>
        <w:pStyle w:val="Compact"/>
        <w:numPr>
          <w:ilvl w:val="0"/>
          <w:numId w:val="2309"/>
        </w:numPr>
      </w:pPr>
      <w:r>
        <w:t xml:space="preserve">AASM CPAP standard, MAD selective.</w:t>
      </w:r>
    </w:p>
    <w:p>
      <w:pPr>
        <w:pStyle w:val="Compact"/>
        <w:numPr>
          <w:ilvl w:val="0"/>
          <w:numId w:val="2309"/>
        </w:numPr>
      </w:pPr>
      <w:r>
        <w:t xml:space="preserve">NICE NG202 (OSA-COPD-overlap).</w:t>
      </w:r>
    </w:p>
    <w:bookmarkEnd w:id="2596"/>
    <w:bookmarkEnd w:id="2597"/>
    <w:bookmarkStart w:id="2598" w:name="Xaba6e1892d9648bb9c852c747e19dec7a7f8817"/>
    <w:p>
      <w:pPr>
        <w:pStyle w:val="Heading3"/>
      </w:pPr>
      <w:r>
        <w:t xml:space="preserve">9. Prognosis</w:t>
      </w:r>
    </w:p>
    <w:p>
      <w:pPr>
        <w:pStyle w:val="Compact"/>
        <w:numPr>
          <w:ilvl w:val="0"/>
          <w:numId w:val="2310"/>
        </w:numPr>
      </w:pPr>
      <w:r>
        <w:t xml:space="preserve">CPAP reliably reduces symptoms and AHI and improves quality of life; its effect on cardiovascular mortality is unproven (observational studies — Marin 2005 — linked it to reduced mortality, but randomized trials — SAVE, NEJM 2016 — did not confirm this, likely due to poor adherence in trials).</w:t>
      </w:r>
    </w:p>
    <w:p>
      <w:pPr>
        <w:pStyle w:val="Compact"/>
        <w:numPr>
          <w:ilvl w:val="0"/>
          <w:numId w:val="2310"/>
        </w:numPr>
      </w:pPr>
      <w:r>
        <w:t xml:space="preserve">Without treatment — stroke, atrial fibrillation, diabetes, increased mortality.</w:t>
      </w:r>
    </w:p>
    <w:bookmarkEnd w:id="2598"/>
    <w:bookmarkStart w:id="2603" w:name="X0818161249a3c478ceaea09c0c0900fc02ae95a"/>
    <w:p>
      <w:pPr>
        <w:pStyle w:val="Heading3"/>
      </w:pPr>
      <w:r>
        <w:t xml:space="preserve">10. Myths and misconceptions</w:t>
      </w:r>
    </w:p>
    <w:bookmarkStart w:id="2599" w:name="myth-1-osa-only-occurs-in-obese-people"/>
    <w:p>
      <w:pPr>
        <w:pStyle w:val="Heading5"/>
      </w:pPr>
      <w:r>
        <w:t xml:space="preserve">Myth 1: “OSA only occurs in obese people”</w:t>
      </w:r>
    </w:p>
    <w:p>
      <w:pPr>
        <w:pStyle w:val="FirstParagraph"/>
      </w:pPr>
      <w:r>
        <w:t xml:space="preserve">Evidence: Possible in normal-weight patients as well (anatomical factors).</w:t>
      </w:r>
    </w:p>
    <w:bookmarkEnd w:id="2599"/>
    <w:bookmarkStart w:id="2600" w:name="X91a41a94db1e5228ae294e22b710c72d1d484b3"/>
    <w:p>
      <w:pPr>
        <w:pStyle w:val="Heading5"/>
      </w:pPr>
      <w:r>
        <w:t xml:space="preserve">Myth 2: “Snoring is the main sign of OSA, nothing more is needed”</w:t>
      </w:r>
    </w:p>
    <w:p>
      <w:pPr>
        <w:pStyle w:val="FirstParagraph"/>
      </w:pPr>
      <w:r>
        <w:t xml:space="preserve">Evidence: snoring alone not proof; AHI measurement required; untreated OSA high mortality and morbidity.</w:t>
      </w:r>
    </w:p>
    <w:bookmarkEnd w:id="2600"/>
    <w:bookmarkStart w:id="2601" w:name="X46e72727fa9db7412d7b5bf008ffabf67e0aa12"/>
    <w:p>
      <w:pPr>
        <w:pStyle w:val="Heading5"/>
      </w:pPr>
      <w:r>
        <w:t xml:space="preserve">Myth 3: “CPAP only reduces symptoms, does not affect mortality”</w:t>
      </w:r>
    </w:p>
    <w:p>
      <w:pPr>
        <w:pStyle w:val="FirstParagraph"/>
      </w:pPr>
      <w:r>
        <w:t xml:space="preserve">Evidence: The truth is more nuanced. Observational data (Marin, Lancet 2005) linked CPAP to reduced mortality, but subsequent randomized trials (SAVE, NEJM 2016) did not confirm reduced cardiovascular mortality — likely due to poor adherence in trials (mean ~3.3 h/night vs. the recommended ~4 h). CPAP reliably reduces symptoms and AHI and improves quality of life; its mortality effect remains unproven.</w:t>
      </w:r>
    </w:p>
    <w:bookmarkEnd w:id="2601"/>
    <w:bookmarkStart w:id="2602" w:name="X73b7d620316113c94c1d4e5638e85d9ee0ca228"/>
    <w:p>
      <w:pPr>
        <w:pStyle w:val="Heading5"/>
      </w:pPr>
      <w:r>
        <w:t xml:space="preserve">Myth 4: “Central sleep apnea and OSA are treated the same”</w:t>
      </w:r>
    </w:p>
    <w:p>
      <w:pPr>
        <w:pStyle w:val="FirstParagraph"/>
      </w:pPr>
      <w:r>
        <w:t xml:space="preserve">Evidence: Different intervention (ASV — Adaptive Servo-Ventilation for central apnea); differentiation is critical.</w:t>
      </w:r>
    </w:p>
    <w:bookmarkEnd w:id="2602"/>
    <w:bookmarkEnd w:id="2603"/>
    <w:bookmarkStart w:id="2929" w:name="Xf84f204721e12a01bf9b8ad20811c2a1d0a205d"/>
    <w:p>
      <w:pPr>
        <w:pStyle w:val="Heading3"/>
      </w:pPr>
      <w:r>
        <w:t xml:space="preserve">11. Sources</w:t>
      </w:r>
    </w:p>
    <w:p>
      <w:pPr>
        <w:pStyle w:val="Compact"/>
        <w:numPr>
          <w:ilvl w:val="0"/>
          <w:numId w:val="2311"/>
        </w:numPr>
      </w:pPr>
      <w:r>
        <w:t xml:space="preserve">WHO. ICD-11. 7A41 Obstructive sleep apnoea. 2024.</w:t>
      </w:r>
    </w:p>
    <w:p>
      <w:pPr>
        <w:pStyle w:val="Compact"/>
        <w:numPr>
          <w:ilvl w:val="0"/>
          <w:numId w:val="2311"/>
        </w:numPr>
      </w:pPr>
      <w:r>
        <w:t xml:space="preserve">APA. DSM-5-TR. 2022.</w:t>
      </w:r>
    </w:p>
    <w:p>
      <w:pPr>
        <w:pStyle w:val="Compact"/>
        <w:numPr>
          <w:ilvl w:val="0"/>
          <w:numId w:val="2311"/>
        </w:numPr>
      </w:pPr>
      <w:r>
        <w:t xml:space="preserve">Kapur V.K. et al. AASM Clinical Practice Guideline for Diagnostic Testing for Adult OSA. J Clin Sleep Med 2017;13(3):479–504.</w:t>
      </w:r>
    </w:p>
    <w:p>
      <w:pPr>
        <w:pStyle w:val="Compact"/>
        <w:numPr>
          <w:ilvl w:val="0"/>
          <w:numId w:val="2311"/>
        </w:numPr>
      </w:pPr>
      <w:r>
        <w:t xml:space="preserve">Marin J.M. et al. Long-term cardiovascular outcomes in men with OSA-hypopnoea with or without treatment with CPAP. Lancet 2005;365(9464):1046–1053.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04" w:name="X0dca22bfa1e1518c49da0af790aae21b7c3478e"/>
            <w:r>
              <w:t xml:space="preserve">7A60–7A65 CIRCADIAN RHYTHM SLEEP-WAKE DISORDERS</w:t>
            </w:r>
            <w:bookmarkEnd w:id="2604"/>
          </w:p>
          <w:p>
            <w:pPr>
              <w:pStyle w:val="Compact"/>
              <w:ind w:firstLine="0" w:left="0"/>
            </w:pPr>
            <w:r>
              <w:rPr>
                <w:lang w:val="en"/>
              </w:rPr>
              <w:t xml:space="preserve">Circadian rhythm sleep-wake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Nonorganic disorder of the sleep-wake schedule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Circadian Rhythm Sleep-Wake Disorders, Delayed Sleep Phase Type</w:t>
            </w:r>
          </w:p>
        </w:tc>
      </w:tr>
    </w:tbl>
    <w:bookmarkStart w:id="2605" w:name="Xa091683d28c1f125b0efbee8ad8ef7274067d53"/>
    <w:p>
      <w:pPr>
        <w:pStyle w:val="Heading3"/>
      </w:pPr>
      <w:r>
        <w:t xml:space="preserve">1. Definition and nosology</w:t>
      </w:r>
    </w:p>
    <w:p>
      <w:pPr>
        <w:pStyle w:val="FirstParagraph"/>
      </w:pPr>
      <w:r>
        <w:t xml:space="preserve">Circadian Rhythm Sleep-Wake Disorders (ICD-11:</w:t>
      </w:r>
      <w:r>
        <w:t xml:space="preserve"> </w:t>
      </w:r>
      <w:r>
        <w:t xml:space="preserve">7A60–7A65</w:t>
      </w:r>
      <w:r>
        <w:t xml:space="preserve">; DSM-5-TR: G47.21) — mismatch between the internal circadian rhythm and the external social and light schedule; resulting in insomnia and/or sleepiness.</w:t>
      </w:r>
    </w:p>
    <w:p>
      <w:pPr>
        <w:pStyle w:val="BodyText"/>
      </w:pPr>
      <w:r>
        <w:t xml:space="preserve">Subtypes: Delayed Sleep-Wake Phase Disorder (DSWPD), Advanced Sleep-Wake Phase Disorder, Irregular Sleep-Wake Rhythm, Non-24-hour Sleep-Wake (in blind individuals), Shift Work Disorder, Jet Lag Disorder.</w:t>
      </w:r>
    </w:p>
    <w:bookmarkEnd w:id="2605"/>
    <w:bookmarkStart w:id="2606" w:name="X7d219d6311dace44f385df7544f766aca679a61"/>
    <w:p>
      <w:pPr>
        <w:pStyle w:val="Heading3"/>
      </w:pPr>
      <w:r>
        <w:t xml:space="preserve">2. History</w:t>
      </w:r>
    </w:p>
    <w:p>
      <w:pPr>
        <w:pStyle w:val="Compact"/>
        <w:numPr>
          <w:ilvl w:val="0"/>
          <w:numId w:val="2312"/>
        </w:numPr>
      </w:pPr>
      <w:r>
        <w:t xml:space="preserve">In the 1960s, Aschoff J. — foundations of circadian biology.</w:t>
      </w:r>
    </w:p>
    <w:p>
      <w:pPr>
        <w:pStyle w:val="Compact"/>
        <w:numPr>
          <w:ilvl w:val="0"/>
          <w:numId w:val="2312"/>
        </w:numPr>
      </w:pPr>
      <w:r>
        <w:t xml:space="preserve">AASM (2015) — clinical practice guideline for circadian rhythm disorders.</w:t>
      </w:r>
    </w:p>
    <w:bookmarkEnd w:id="2606"/>
    <w:bookmarkStart w:id="2607" w:name="X0a60175f7776e693742bcfa9620ad3fa72ba897"/>
    <w:p>
      <w:pPr>
        <w:pStyle w:val="Heading3"/>
      </w:pPr>
      <w:r>
        <w:t xml:space="preserve">3. Epidemiology</w:t>
      </w:r>
    </w:p>
    <w:p>
      <w:pPr>
        <w:pStyle w:val="Compact"/>
        <w:numPr>
          <w:ilvl w:val="0"/>
          <w:numId w:val="2313"/>
        </w:numPr>
      </w:pPr>
      <w:r>
        <w:t xml:space="preserve">DSWPD — 7–16% in adolescents and young adults.</w:t>
      </w:r>
    </w:p>
    <w:p>
      <w:pPr>
        <w:pStyle w:val="Compact"/>
        <w:numPr>
          <w:ilvl w:val="0"/>
          <w:numId w:val="2313"/>
        </w:numPr>
      </w:pPr>
      <w:r>
        <w:t xml:space="preserve">Shift Work Disorder — 10–30% of shift workers.</w:t>
      </w:r>
    </w:p>
    <w:p>
      <w:pPr>
        <w:pStyle w:val="Compact"/>
        <w:numPr>
          <w:ilvl w:val="0"/>
          <w:numId w:val="2313"/>
        </w:numPr>
      </w:pPr>
      <w:r>
        <w:t xml:space="preserve">Comorbidity: MDD, anxiety, bipolar, cardiovascular.</w:t>
      </w:r>
    </w:p>
    <w:bookmarkEnd w:id="2607"/>
    <w:bookmarkStart w:id="2608" w:name="X5dc8debf612c073ad4b699c69d02154ab4e582e"/>
    <w:p>
      <w:pPr>
        <w:pStyle w:val="Heading3"/>
      </w:pPr>
      <w:r>
        <w:t xml:space="preserve">4. Aetiology and pathogenesis</w:t>
      </w:r>
    </w:p>
    <w:p>
      <w:pPr>
        <w:pStyle w:val="Compact"/>
        <w:numPr>
          <w:ilvl w:val="0"/>
          <w:numId w:val="2314"/>
        </w:numPr>
      </w:pPr>
      <w:r>
        <w:t xml:space="preserve">Endogenous circadian rhythm disorder (clock gene mutations rare — Familial Advanced Sleep Phase).</w:t>
      </w:r>
    </w:p>
    <w:p>
      <w:pPr>
        <w:pStyle w:val="Compact"/>
        <w:numPr>
          <w:ilvl w:val="0"/>
          <w:numId w:val="2314"/>
        </w:numPr>
      </w:pPr>
      <w:r>
        <w:t xml:space="preserve">Environment — light exposure, social schedule.</w:t>
      </w:r>
    </w:p>
    <w:p>
      <w:pPr>
        <w:pStyle w:val="Compact"/>
        <w:numPr>
          <w:ilvl w:val="0"/>
          <w:numId w:val="2314"/>
        </w:numPr>
      </w:pPr>
      <w:r>
        <w:t xml:space="preserve">In adolescents, DSWPD — pubertal hormonal changes.</w:t>
      </w:r>
    </w:p>
    <w:bookmarkEnd w:id="2608"/>
    <w:bookmarkStart w:id="2609" w:name="X0db3544968a1b00c98594d4ff36f25ae17df2b0"/>
    <w:p>
      <w:pPr>
        <w:pStyle w:val="Heading3"/>
      </w:pPr>
      <w:r>
        <w:t xml:space="preserve">5. Clinical features</w:t>
      </w:r>
    </w:p>
    <w:p>
      <w:pPr>
        <w:pStyle w:val="Compact"/>
        <w:numPr>
          <w:ilvl w:val="0"/>
          <w:numId w:val="2315"/>
        </w:numPr>
      </w:pPr>
      <w:r>
        <w:t xml:space="preserve">DSWPD — late sleep and wake times; mismatch with school/work; “night owl” pattern.</w:t>
      </w:r>
    </w:p>
    <w:p>
      <w:pPr>
        <w:pStyle w:val="Compact"/>
        <w:numPr>
          <w:ilvl w:val="0"/>
          <w:numId w:val="2315"/>
        </w:numPr>
      </w:pPr>
      <w:r>
        <w:t xml:space="preserve">Advanced — early sleep and wake times; in elderly.</w:t>
      </w:r>
    </w:p>
    <w:p>
      <w:pPr>
        <w:pStyle w:val="Compact"/>
        <w:numPr>
          <w:ilvl w:val="0"/>
          <w:numId w:val="2315"/>
        </w:numPr>
      </w:pPr>
      <w:r>
        <w:t xml:space="preserve">Irregular — sleep episodes scattered throughout the day; dementia, ID.</w:t>
      </w:r>
    </w:p>
    <w:p>
      <w:pPr>
        <w:pStyle w:val="Compact"/>
        <w:numPr>
          <w:ilvl w:val="0"/>
          <w:numId w:val="2315"/>
        </w:numPr>
      </w:pPr>
      <w:r>
        <w:t xml:space="preserve">Non-24-hour — in blind people; the circadian rhythm does not entrain to the external light signal.</w:t>
      </w:r>
    </w:p>
    <w:p>
      <w:pPr>
        <w:pStyle w:val="Compact"/>
        <w:numPr>
          <w:ilvl w:val="0"/>
          <w:numId w:val="2315"/>
        </w:numPr>
      </w:pPr>
      <w:r>
        <w:t xml:space="preserve">Shift Work — shift work; insomnia + daytime sleepiness.</w:t>
      </w:r>
    </w:p>
    <w:p>
      <w:pPr>
        <w:pStyle w:val="Compact"/>
        <w:numPr>
          <w:ilvl w:val="0"/>
          <w:numId w:val="2315"/>
        </w:numPr>
      </w:pPr>
      <w:r>
        <w:t xml:space="preserve">Jet Lag — transient, rapid time zone change.</w:t>
      </w:r>
    </w:p>
    <w:bookmarkEnd w:id="2609"/>
    <w:bookmarkStart w:id="2614" w:name="Xc3691eef9b2c71c580abf9db9af43612aade221"/>
    <w:p>
      <w:pPr>
        <w:pStyle w:val="Heading3"/>
      </w:pPr>
      <w:r>
        <w:t xml:space="preserve">6. Diagnosis</w:t>
      </w:r>
    </w:p>
    <w:bookmarkStart w:id="2610" w:name="unified-diagnostic-criteria-66"/>
    <w:p>
      <w:pPr>
        <w:pStyle w:val="Heading4"/>
      </w:pPr>
      <w:r>
        <w:t xml:space="preserve">6.1 Unified diagnostic criteria</w:t>
      </w:r>
    </w:p>
    <w:p>
      <w:pPr>
        <w:pStyle w:val="FirstParagraph"/>
      </w:pPr>
      <w:r>
        <w:t xml:space="preserve">A. Mismatch between sleep-wake schedule and internal circadian rhythm.</w:t>
      </w:r>
    </w:p>
    <w:p>
      <w:pPr>
        <w:pStyle w:val="BodyText"/>
      </w:pPr>
      <w:r>
        <w:t xml:space="preserve">B. Insomnia, drowsiness, or both.</w:t>
      </w:r>
    </w:p>
    <w:p>
      <w:pPr>
        <w:pStyle w:val="BodyText"/>
      </w:pPr>
      <w:r>
        <w:t xml:space="preserve">C. Duration ≥ 3 months (excluding jet lag and shift work).</w:t>
      </w:r>
    </w:p>
    <w:p>
      <w:pPr>
        <w:pStyle w:val="BodyText"/>
      </w:pPr>
      <w:r>
        <w:t xml:space="preserve">D. Functional impairment.</w:t>
      </w:r>
    </w:p>
    <w:bookmarkEnd w:id="2610"/>
    <w:bookmarkStart w:id="2611" w:name="differences-between-sources-166"/>
    <w:p>
      <w:pPr>
        <w:pStyle w:val="Heading4"/>
      </w:pPr>
      <w:r>
        <w:t xml:space="preserve">6.2 Differences between sources</w:t>
      </w:r>
    </w:p>
    <w:p>
      <w:pPr>
        <w:pStyle w:val="Compact"/>
        <w:numPr>
          <w:ilvl w:val="0"/>
          <w:numId w:val="2316"/>
        </w:numPr>
      </w:pPr>
      <w:r>
        <w:t xml:space="preserve">AASM 2015 Clinical Practice Guideline.</w:t>
      </w:r>
    </w:p>
    <w:bookmarkEnd w:id="2611"/>
    <w:bookmarkStart w:id="2612" w:name="diagnostic-algorithm-93"/>
    <w:p>
      <w:pPr>
        <w:pStyle w:val="Heading4"/>
      </w:pPr>
      <w:r>
        <w:t xml:space="preserve">6.3 Diagnostic algorithm</w:t>
      </w:r>
    </w:p>
    <w:p>
      <w:pPr>
        <w:pStyle w:val="Compact"/>
        <w:numPr>
          <w:ilvl w:val="0"/>
          <w:numId w:val="2317"/>
        </w:numPr>
      </w:pPr>
      <w:r>
        <w:t xml:space="preserve">Clinical interview + sleep diary for 1–2 weeks.</w:t>
      </w:r>
    </w:p>
    <w:p>
      <w:pPr>
        <w:pStyle w:val="Compact"/>
        <w:numPr>
          <w:ilvl w:val="0"/>
          <w:numId w:val="2317"/>
        </w:numPr>
      </w:pPr>
      <w:r>
        <w:t xml:space="preserve">Actigraphy 2 weeks.</w:t>
      </w:r>
    </w:p>
    <w:p>
      <w:pPr>
        <w:pStyle w:val="Compact"/>
        <w:numPr>
          <w:ilvl w:val="0"/>
          <w:numId w:val="2317"/>
        </w:numPr>
      </w:pPr>
      <w:r>
        <w:t xml:space="preserve">Dim Light Melatonin Onset (DLMO) — in research context.</w:t>
      </w:r>
    </w:p>
    <w:p>
      <w:pPr>
        <w:pStyle w:val="Compact"/>
        <w:numPr>
          <w:ilvl w:val="0"/>
          <w:numId w:val="2317"/>
        </w:numPr>
      </w:pPr>
      <w:r>
        <w:t xml:space="preserve">Exclusion of comorbid sleep disorders.</w:t>
      </w:r>
    </w:p>
    <w:bookmarkEnd w:id="2612"/>
    <w:bookmarkStart w:id="2613" w:name="differential-diagnosis-94"/>
    <w:p>
      <w:pPr>
        <w:pStyle w:val="Heading4"/>
      </w:pPr>
      <w:r>
        <w:t xml:space="preserve">6.4 Differential diagnosis</w:t>
      </w:r>
    </w:p>
    <w:p>
      <w:pPr>
        <w:pStyle w:val="FirstParagraph"/>
      </w:pPr>
      <w:r>
        <w:t xml:space="preserve">Insomnia, OSA, depressive disorder, narcolepsy.</w:t>
      </w:r>
    </w:p>
    <w:bookmarkEnd w:id="2613"/>
    <w:bookmarkEnd w:id="2614"/>
    <w:bookmarkStart w:id="2615" w:name="Xb89fdfb49f961a340c8a2a7e9e5e168d0faa9b1"/>
    <w:p>
      <w:pPr>
        <w:pStyle w:val="Heading3"/>
      </w:pPr>
      <w:r>
        <w:t xml:space="preserve">7. Examination and assessment</w:t>
      </w:r>
    </w:p>
    <w:p>
      <w:pPr>
        <w:pStyle w:val="Compact"/>
        <w:numPr>
          <w:ilvl w:val="0"/>
          <w:numId w:val="2318"/>
        </w:numPr>
      </w:pPr>
      <w:r>
        <w:t xml:space="preserve">Sleep diary, actigraphy.</w:t>
      </w:r>
    </w:p>
    <w:p>
      <w:pPr>
        <w:pStyle w:val="Compact"/>
        <w:numPr>
          <w:ilvl w:val="0"/>
          <w:numId w:val="2318"/>
        </w:numPr>
      </w:pPr>
      <w:r>
        <w:t xml:space="preserve">Munich Chronotype Questionnaire.</w:t>
      </w:r>
    </w:p>
    <w:bookmarkEnd w:id="2615"/>
    <w:bookmarkStart w:id="2617" w:name="X036b7d26172cba4022233e775a43b68aa56649e"/>
    <w:p>
      <w:pPr>
        <w:pStyle w:val="Heading3"/>
      </w:pPr>
      <w:r>
        <w:t xml:space="preserve">8. Treatment</w:t>
      </w:r>
    </w:p>
    <w:p>
      <w:pPr>
        <w:pStyle w:val="Compact"/>
        <w:numPr>
          <w:ilvl w:val="0"/>
          <w:numId w:val="2319"/>
        </w:numPr>
      </w:pPr>
      <w:r>
        <w:t xml:space="preserve">Bright light therapy — In DSWPD morning; in Advanced evening.</w:t>
      </w:r>
    </w:p>
    <w:p>
      <w:pPr>
        <w:pStyle w:val="Compact"/>
        <w:numPr>
          <w:ilvl w:val="0"/>
          <w:numId w:val="2319"/>
        </w:numPr>
      </w:pPr>
      <w:r>
        <w:t xml:space="preserve">Exogenous melatonin — physiological low dose (0.3–5 mg); in DSWPD evening (time critical); in jet lag.</w:t>
      </w:r>
    </w:p>
    <w:p>
      <w:pPr>
        <w:pStyle w:val="Compact"/>
        <w:numPr>
          <w:ilvl w:val="0"/>
          <w:numId w:val="2319"/>
        </w:numPr>
      </w:pPr>
      <w:r>
        <w:t xml:space="preserve">Chronotherapy — gradual shift of sleep timing.</w:t>
      </w:r>
    </w:p>
    <w:p>
      <w:pPr>
        <w:pStyle w:val="Compact"/>
        <w:numPr>
          <w:ilvl w:val="0"/>
          <w:numId w:val="2319"/>
        </w:numPr>
      </w:pPr>
      <w:r>
        <w:t xml:space="preserve">Sleep hygiene and behavioral intervention.</w:t>
      </w:r>
    </w:p>
    <w:p>
      <w:pPr>
        <w:pStyle w:val="Compact"/>
        <w:numPr>
          <w:ilvl w:val="0"/>
          <w:numId w:val="2319"/>
        </w:numPr>
      </w:pPr>
      <w:r>
        <w:t xml:space="preserve">Shift work — strategic resting, dark room, caffeine timing.</w:t>
      </w:r>
    </w:p>
    <w:p>
      <w:pPr>
        <w:pStyle w:val="Compact"/>
        <w:numPr>
          <w:ilvl w:val="0"/>
          <w:numId w:val="2319"/>
        </w:numPr>
      </w:pPr>
      <w:r>
        <w:t xml:space="preserve">Non-24-hour in blind patients — tasimelteon (Hetlioz, FDA approved).</w:t>
      </w:r>
    </w:p>
    <w:bookmarkStart w:id="2616" w:name="treatment-methods-91"/>
    <w:p>
      <w:pPr>
        <w:pStyle w:val="Heading4"/>
      </w:pPr>
      <w:r>
        <w:t xml:space="preserve">8.1 Treatment methods</w:t>
      </w:r>
    </w:p>
    <w:p>
      <w:pPr>
        <w:pStyle w:val="Compact"/>
        <w:numPr>
          <w:ilvl w:val="0"/>
          <w:numId w:val="2320"/>
        </w:numPr>
      </w:pPr>
      <w:r>
        <w:t xml:space="preserve">Bright Light Therapy — 10,000 lux × 30–60 minutes; timing adjusted to the circadian shift.</w:t>
      </w:r>
    </w:p>
    <w:p>
      <w:pPr>
        <w:pStyle w:val="Compact"/>
        <w:numPr>
          <w:ilvl w:val="0"/>
          <w:numId w:val="2320"/>
        </w:numPr>
      </w:pPr>
      <w:r>
        <w:t xml:space="preserve">Melatonin (Circadian) — Low dose; timing is critical.</w:t>
      </w:r>
    </w:p>
    <w:p>
      <w:pPr>
        <w:pStyle w:val="Compact"/>
        <w:numPr>
          <w:ilvl w:val="0"/>
          <w:numId w:val="2320"/>
        </w:numPr>
      </w:pPr>
      <w:r>
        <w:t xml:space="preserve">Actigraphy — 2 weeks.</w:t>
      </w:r>
    </w:p>
    <w:p>
      <w:pPr>
        <w:pStyle w:val="Compact"/>
        <w:numPr>
          <w:ilvl w:val="0"/>
          <w:numId w:val="2320"/>
        </w:numPr>
      </w:pPr>
      <w:r>
        <w:t xml:space="preserve">Tasimelteon — FDA approval for Non-24-hour.</w:t>
      </w:r>
    </w:p>
    <w:bookmarkEnd w:id="2616"/>
    <w:bookmarkEnd w:id="2617"/>
    <w:bookmarkStart w:id="2618" w:name="X9a1e070682544d27804f9ed55ce11ac4a53a34c"/>
    <w:p>
      <w:pPr>
        <w:pStyle w:val="Heading3"/>
      </w:pPr>
      <w:r>
        <w:t xml:space="preserve">9. Prognosis</w:t>
      </w:r>
    </w:p>
    <w:p>
      <w:pPr>
        <w:pStyle w:val="FirstParagraph"/>
      </w:pPr>
      <w:r>
        <w:t xml:space="preserve">With intervention, most patients improve; chronic form requires ongoing strategy.</w:t>
      </w:r>
    </w:p>
    <w:bookmarkEnd w:id="2618"/>
    <w:bookmarkStart w:id="2623" w:name="X56c437127650f909d16abc1f2506742c7274e92"/>
    <w:p>
      <w:pPr>
        <w:pStyle w:val="Heading3"/>
      </w:pPr>
      <w:r>
        <w:t xml:space="preserve">10. Myths and misconceptions</w:t>
      </w:r>
    </w:p>
    <w:bookmarkStart w:id="2619" w:name="X95142f91c7e11353eb56fa3dedc8f0eff3cab15"/>
    <w:p>
      <w:pPr>
        <w:pStyle w:val="Heading5"/>
      </w:pPr>
      <w:r>
        <w:t xml:space="preserve">Myth 1: “The adolescent is ‘lazy’ and can get up early”</w:t>
      </w:r>
    </w:p>
    <w:p>
      <w:pPr>
        <w:pStyle w:val="FirstParagraph"/>
      </w:pPr>
      <w:r>
        <w:t xml:space="preserve">Evidence: DSWPD is the neurobiological basis of circadian delay during puberty.</w:t>
      </w:r>
    </w:p>
    <w:bookmarkEnd w:id="2619"/>
    <w:bookmarkStart w:id="2620" w:name="myth-2-melatonin-is-a-sleep-medication"/>
    <w:p>
      <w:pPr>
        <w:pStyle w:val="Heading5"/>
      </w:pPr>
      <w:r>
        <w:t xml:space="preserve">Myth 2: “Melatonin is a sleep medication”</w:t>
      </w:r>
    </w:p>
    <w:p>
      <w:pPr>
        <w:pStyle w:val="FirstParagraph"/>
      </w:pPr>
      <w:r>
        <w:t xml:space="preserve">Evidence: melatonin regulates circadian phase, hypnotic effect is minimal; timing selection is critical.</w:t>
      </w:r>
    </w:p>
    <w:bookmarkEnd w:id="2620"/>
    <w:bookmarkStart w:id="2621" w:name="X8cb5e5c102e3e5ad5d0a6561336fb72918c536b"/>
    <w:p>
      <w:pPr>
        <w:pStyle w:val="Heading5"/>
      </w:pPr>
      <w:r>
        <w:t xml:space="preserve">Myth 3: “There is no treatment for shift work insomnia”</w:t>
      </w:r>
    </w:p>
    <w:p>
      <w:pPr>
        <w:pStyle w:val="FirstParagraph"/>
      </w:pPr>
      <w:r>
        <w:t xml:space="preserve">Evidence: Strategic rest, light therapy, melatonin, caffeine timing improves.</w:t>
      </w:r>
    </w:p>
    <w:bookmarkEnd w:id="2621"/>
    <w:bookmarkStart w:id="2622" w:name="myth-4-jet-lag-resolves-on-its-own"/>
    <w:p>
      <w:pPr>
        <w:pStyle w:val="Heading5"/>
      </w:pPr>
      <w:r>
        <w:t xml:space="preserve">Myth 4: “Jet lag resolves on its own”</w:t>
      </w:r>
    </w:p>
    <w:p>
      <w:pPr>
        <w:pStyle w:val="FirstParagraph"/>
      </w:pPr>
      <w:r>
        <w:t xml:space="preserve">Evidence: 1 day approximately for 1 hour of shift; acceleration with light + melatonin.</w:t>
      </w:r>
    </w:p>
    <w:bookmarkEnd w:id="2622"/>
    <w:bookmarkEnd w:id="2623"/>
    <w:bookmarkStart w:id="2928" w:name="X10fb57cc3df6df417826bfb1d5d692b0c854119"/>
    <w:p>
      <w:pPr>
        <w:pStyle w:val="Heading3"/>
      </w:pPr>
      <w:r>
        <w:t xml:space="preserve">11. Sources</w:t>
      </w:r>
    </w:p>
    <w:p>
      <w:pPr>
        <w:pStyle w:val="Compact"/>
        <w:numPr>
          <w:ilvl w:val="0"/>
          <w:numId w:val="2321"/>
        </w:numPr>
      </w:pPr>
      <w:r>
        <w:t xml:space="preserve">WHO. ICD-11. 7A60–7A65 Circadian rhythm sleep-wake disorders. 2024.</w:t>
      </w:r>
    </w:p>
    <w:p>
      <w:pPr>
        <w:pStyle w:val="Compact"/>
        <w:numPr>
          <w:ilvl w:val="0"/>
          <w:numId w:val="2321"/>
        </w:numPr>
      </w:pPr>
      <w:r>
        <w:t xml:space="preserve">APA. DSM-5-TR. 2022.</w:t>
      </w:r>
    </w:p>
    <w:p>
      <w:pPr>
        <w:pStyle w:val="Compact"/>
        <w:numPr>
          <w:ilvl w:val="0"/>
          <w:numId w:val="2321"/>
        </w:numPr>
      </w:pPr>
      <w:r>
        <w:t xml:space="preserve">Auger R.R. et al. AASM Clinical Practice Guideline for the Treatment of Intrinsic Circadian Rhythm Sleep-Wake Disorders. J Clin Sleep Med 2015;11(10):1199–1236.</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24" w:name="m1197a217a26-hypersomnia"/>
            <w:r>
              <w:t xml:space="preserve">7A21–7A26 HYPERSOMNIA</w:t>
            </w:r>
            <w:bookmarkEnd w:id="2624"/>
          </w:p>
          <w:p>
            <w:pPr>
              <w:pStyle w:val="Compact"/>
              <w:ind w:firstLine="0" w:left="0"/>
            </w:pPr>
            <w:r>
              <w:rPr>
                <w:lang w:val="en"/>
              </w:rPr>
              <w:t xml:space="preserve">Hypersomnolence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Nonorganic hypersomnia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Hypersomnolence Disorder</w:t>
            </w:r>
          </w:p>
        </w:tc>
      </w:tr>
    </w:tbl>
    <w:bookmarkStart w:id="2625" w:name="Xc416bbddaca74ab30c444eec1ecca4492ba8b01"/>
    <w:p>
      <w:pPr>
        <w:pStyle w:val="Heading3"/>
      </w:pPr>
      <w:r>
        <w:t xml:space="preserve">1. Definition and nosology</w:t>
      </w:r>
    </w:p>
    <w:p>
      <w:pPr>
        <w:pStyle w:val="FirstParagraph"/>
      </w:pPr>
      <w:r>
        <w:t xml:space="preserve">Hypersomnia (ICD-11:</w:t>
      </w:r>
      <w:r>
        <w:t xml:space="preserve"> </w:t>
      </w:r>
      <w:r>
        <w:t xml:space="preserve">7A21–7A26</w:t>
      </w:r>
      <w:r>
        <w:t xml:space="preserve">; DSM-5-TR: F51.11 Hypersomnolence Disorder) — excessive daytime sleepiness or sleep episodes (after ≥ 7 hours of nighttime sleep); functional impairment. In the context of idiopathic hypersomnia, narcolepsy, or other sleep disorders.</w:t>
      </w:r>
    </w:p>
    <w:bookmarkEnd w:id="2625"/>
    <w:bookmarkStart w:id="2626" w:name="X8e0e1304c9cfde2f3f98f93c73edc393105d140"/>
    <w:p>
      <w:pPr>
        <w:pStyle w:val="Heading3"/>
      </w:pPr>
      <w:r>
        <w:t xml:space="preserve">2. History</w:t>
      </w:r>
    </w:p>
    <w:p>
      <w:pPr>
        <w:pStyle w:val="FirstParagraph"/>
      </w:pPr>
      <w:r>
        <w:t xml:space="preserve">In the 1970s–1980s, differentiation from narcolepsy developed; AASM clinical guidelines.</w:t>
      </w:r>
    </w:p>
    <w:bookmarkEnd w:id="2626"/>
    <w:bookmarkStart w:id="2627" w:name="X7cebe5fe9da92445111953033522cacb4cd21b5"/>
    <w:p>
      <w:pPr>
        <w:pStyle w:val="Heading3"/>
      </w:pPr>
      <w:r>
        <w:t xml:space="preserve">3. Epidemiology</w:t>
      </w:r>
    </w:p>
    <w:p>
      <w:pPr>
        <w:pStyle w:val="Compact"/>
        <w:numPr>
          <w:ilvl w:val="0"/>
          <w:numId w:val="2322"/>
        </w:numPr>
      </w:pPr>
      <w:r>
        <w:t xml:space="preserve">Idiopathic hypersomnia: ~50/100,000.</w:t>
      </w:r>
    </w:p>
    <w:p>
      <w:pPr>
        <w:pStyle w:val="Compact"/>
        <w:numPr>
          <w:ilvl w:val="0"/>
          <w:numId w:val="2322"/>
        </w:numPr>
      </w:pPr>
      <w:r>
        <w:t xml:space="preserve">Kleine-Levin syndrome — rare (~1/1 million); recurrent episodes of hypersomnia + appetite/sexual disturbance.</w:t>
      </w:r>
    </w:p>
    <w:p>
      <w:pPr>
        <w:pStyle w:val="Compact"/>
        <w:numPr>
          <w:ilvl w:val="0"/>
          <w:numId w:val="2322"/>
        </w:numPr>
      </w:pPr>
      <w:r>
        <w:t xml:space="preserve">Comorbidity: depressive symptoms, OSA, narcolepsy.</w:t>
      </w:r>
    </w:p>
    <w:bookmarkEnd w:id="2627"/>
    <w:bookmarkStart w:id="2628" w:name="X21ddf8947fe40ee9c933ff0f3d55bf6331624ae"/>
    <w:p>
      <w:pPr>
        <w:pStyle w:val="Heading3"/>
      </w:pPr>
      <w:r>
        <w:t xml:space="preserve">4. Aetiology and pathogenesis</w:t>
      </w:r>
    </w:p>
    <w:p>
      <w:pPr>
        <w:pStyle w:val="Compact"/>
        <w:numPr>
          <w:ilvl w:val="0"/>
          <w:numId w:val="2323"/>
        </w:numPr>
      </w:pPr>
      <w:r>
        <w:t xml:space="preserve">Unknown (idiopathic) — neurobiological dysregulation hypothesis.</w:t>
      </w:r>
    </w:p>
    <w:p>
      <w:pPr>
        <w:pStyle w:val="Compact"/>
        <w:numPr>
          <w:ilvl w:val="0"/>
          <w:numId w:val="2323"/>
        </w:numPr>
      </w:pPr>
      <w:r>
        <w:t xml:space="preserve">Dysregulation of the GABA-ergic system (idiopathic).</w:t>
      </w:r>
    </w:p>
    <w:p>
      <w:pPr>
        <w:pStyle w:val="Compact"/>
        <w:numPr>
          <w:ilvl w:val="0"/>
          <w:numId w:val="2323"/>
        </w:numPr>
      </w:pPr>
      <w:r>
        <w:t xml:space="preserve">Secondary — Kleine-Levin (autoimmune suspicion), post-TBI, MS, depressive disorder.</w:t>
      </w:r>
    </w:p>
    <w:bookmarkEnd w:id="2628"/>
    <w:bookmarkStart w:id="2629" w:name="X86f4863dfaf9832774d0a2363d0cadcac726b8e"/>
    <w:p>
      <w:pPr>
        <w:pStyle w:val="Heading3"/>
      </w:pPr>
      <w:r>
        <w:t xml:space="preserve">5. Clinical features</w:t>
      </w:r>
    </w:p>
    <w:p>
      <w:pPr>
        <w:pStyle w:val="Compact"/>
        <w:numPr>
          <w:ilvl w:val="0"/>
          <w:numId w:val="2324"/>
        </w:numPr>
      </w:pPr>
      <w:r>
        <w:t xml:space="preserve">Excessive Daytime Sleepiness (EDS).</w:t>
      </w:r>
    </w:p>
    <w:p>
      <w:pPr>
        <w:pStyle w:val="Compact"/>
        <w:numPr>
          <w:ilvl w:val="0"/>
          <w:numId w:val="2324"/>
        </w:numPr>
      </w:pPr>
      <w:r>
        <w:t xml:space="preserve">Long night sleep (≥ 9 hours) is insufficient.</w:t>
      </w:r>
    </w:p>
    <w:p>
      <w:pPr>
        <w:pStyle w:val="Compact"/>
        <w:numPr>
          <w:ilvl w:val="0"/>
          <w:numId w:val="2324"/>
        </w:numPr>
      </w:pPr>
      <w:r>
        <w:t xml:space="preserve">“Sleep drunkenness” — confusion, disorientation upon awakening.</w:t>
      </w:r>
    </w:p>
    <w:p>
      <w:pPr>
        <w:pStyle w:val="Compact"/>
        <w:numPr>
          <w:ilvl w:val="0"/>
          <w:numId w:val="2324"/>
        </w:numPr>
      </w:pPr>
      <w:r>
        <w:t xml:space="preserve">Daytime sleep episodes are prolonged and non-restorative (in contrast to narcolepsy, where they are brief and restorative).</w:t>
      </w:r>
    </w:p>
    <w:p>
      <w:pPr>
        <w:pStyle w:val="Compact"/>
        <w:numPr>
          <w:ilvl w:val="0"/>
          <w:numId w:val="2324"/>
        </w:numPr>
      </w:pPr>
      <w:r>
        <w:t xml:space="preserve">Kleine-Levin — 1–2 week episodes of hypersomnia + hyperphagia + disinhibited behavior.</w:t>
      </w:r>
    </w:p>
    <w:bookmarkEnd w:id="2629"/>
    <w:bookmarkStart w:id="2634" w:name="X818e251fb4e78717838408674f1f1c8bcb61485"/>
    <w:p>
      <w:pPr>
        <w:pStyle w:val="Heading3"/>
      </w:pPr>
      <w:r>
        <w:t xml:space="preserve">6. Diagnosis</w:t>
      </w:r>
    </w:p>
    <w:bookmarkStart w:id="2630" w:name="unified-diagnostic-criteria-67"/>
    <w:p>
      <w:pPr>
        <w:pStyle w:val="Heading4"/>
      </w:pPr>
      <w:r>
        <w:t xml:space="preserve">6.1 Unified diagnostic criteria</w:t>
      </w:r>
    </w:p>
    <w:p>
      <w:pPr>
        <w:pStyle w:val="FirstParagraph"/>
      </w:pPr>
      <w:r>
        <w:t xml:space="preserve">A. Even after sufficient sleep (≥7 hours), excessive sleepiness or prolonged sleep.</w:t>
      </w:r>
    </w:p>
    <w:p>
      <w:pPr>
        <w:pStyle w:val="BodyText"/>
      </w:pPr>
      <w:r>
        <w:t xml:space="preserve">B. Frequency and duration — ≥3 times per week, ≥3 months.</w:t>
      </w:r>
    </w:p>
    <w:p>
      <w:pPr>
        <w:pStyle w:val="BodyText"/>
      </w:pPr>
      <w:r>
        <w:t xml:space="preserve">C. Significant distress or functional impairment.</w:t>
      </w:r>
    </w:p>
    <w:p>
      <w:pPr>
        <w:pStyle w:val="BodyText"/>
      </w:pPr>
      <w:r>
        <w:t xml:space="preserve">D. Not fully explained by another sleep disorder, substance, or medical condition.</w:t>
      </w:r>
    </w:p>
    <w:bookmarkEnd w:id="2630"/>
    <w:bookmarkStart w:id="2631" w:name="differences-between-sources-167"/>
    <w:p>
      <w:pPr>
        <w:pStyle w:val="Heading4"/>
      </w:pPr>
      <w:r>
        <w:t xml:space="preserve">6.2 Differences between sources</w:t>
      </w:r>
    </w:p>
    <w:p>
      <w:pPr>
        <w:pStyle w:val="Compact"/>
        <w:numPr>
          <w:ilvl w:val="0"/>
          <w:numId w:val="2325"/>
        </w:numPr>
      </w:pPr>
      <w:r>
        <w:t xml:space="preserve">AASM Practice Parameters — diagnostic PSG and MSLT (Multiple Sleep Latency Test).</w:t>
      </w:r>
    </w:p>
    <w:p>
      <w:pPr>
        <w:pStyle w:val="Compact"/>
        <w:numPr>
          <w:ilvl w:val="0"/>
          <w:numId w:val="2325"/>
        </w:numPr>
      </w:pPr>
      <w:r>
        <w:t xml:space="preserve">Idiopathic hypersomnia — mean sleep latency on MSLT ≤ 8 min; SOREMP ≤ 1 (different from narcolepsy).</w:t>
      </w:r>
    </w:p>
    <w:bookmarkEnd w:id="2631"/>
    <w:bookmarkStart w:id="2632" w:name="diagnostic-algorithm-94"/>
    <w:p>
      <w:pPr>
        <w:pStyle w:val="Heading4"/>
      </w:pPr>
      <w:r>
        <w:t xml:space="preserve">6.3 Diagnostic algorithm</w:t>
      </w:r>
    </w:p>
    <w:p>
      <w:pPr>
        <w:pStyle w:val="Compact"/>
        <w:numPr>
          <w:ilvl w:val="0"/>
          <w:numId w:val="2326"/>
        </w:numPr>
      </w:pPr>
      <w:r>
        <w:t xml:space="preserve">Clinical interview and sleep diary.</w:t>
      </w:r>
    </w:p>
    <w:p>
      <w:pPr>
        <w:pStyle w:val="Compact"/>
        <w:numPr>
          <w:ilvl w:val="0"/>
          <w:numId w:val="2326"/>
        </w:numPr>
      </w:pPr>
      <w:r>
        <w:t xml:space="preserve">Epworth Sleepiness Scale.</w:t>
      </w:r>
    </w:p>
    <w:p>
      <w:pPr>
        <w:pStyle w:val="Compact"/>
        <w:numPr>
          <w:ilvl w:val="0"/>
          <w:numId w:val="2326"/>
        </w:numPr>
      </w:pPr>
      <w:r>
        <w:t xml:space="preserve">PSG + MSLT (excluding narcolepsy).</w:t>
      </w:r>
    </w:p>
    <w:p>
      <w:pPr>
        <w:pStyle w:val="Compact"/>
        <w:numPr>
          <w:ilvl w:val="0"/>
          <w:numId w:val="2326"/>
        </w:numPr>
      </w:pPr>
      <w:r>
        <w:t xml:space="preserve">Medical assessment — thyroid, anemia, depressive, OSA.</w:t>
      </w:r>
    </w:p>
    <w:bookmarkEnd w:id="2632"/>
    <w:bookmarkStart w:id="2633" w:name="differential-diagnosis-95"/>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Narcolepsy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Cataplexy,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Snoring,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Affective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Insomnia.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Kleine-Levin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Episodic 1–2 week hypersomnia + appetite.</w:t>
            </w:r>
          </w:p>
        </w:tc>
      </w:tr>
    </w:tbl>
    <w:bookmarkEnd w:id="2633"/>
    <w:bookmarkEnd w:id="2634"/>
    <w:bookmarkStart w:id="2635" w:name="Xa35619f2848d45c132b4860e643cb6e76023134"/>
    <w:p>
      <w:pPr>
        <w:pStyle w:val="Heading3"/>
      </w:pPr>
      <w:r>
        <w:t xml:space="preserve">7. Examination and assessment</w:t>
      </w:r>
    </w:p>
    <w:p>
      <w:pPr>
        <w:pStyle w:val="Compact"/>
        <w:numPr>
          <w:ilvl w:val="0"/>
          <w:numId w:val="2327"/>
        </w:numPr>
      </w:pPr>
      <w:r>
        <w:t xml:space="preserve">Epworth, PSG + MSLT.</w:t>
      </w:r>
    </w:p>
    <w:p>
      <w:pPr>
        <w:pStyle w:val="Compact"/>
        <w:numPr>
          <w:ilvl w:val="0"/>
          <w:numId w:val="2327"/>
        </w:numPr>
      </w:pPr>
      <w:r>
        <w:t xml:space="preserve">Medical laboratory tests.</w:t>
      </w:r>
    </w:p>
    <w:bookmarkEnd w:id="2635"/>
    <w:bookmarkStart w:id="2638" w:name="X76a4edd84c73053bc1325d28d3aff51d85035c9"/>
    <w:p>
      <w:pPr>
        <w:pStyle w:val="Heading3"/>
      </w:pPr>
      <w:r>
        <w:t xml:space="preserve">8. Treatment</w:t>
      </w:r>
    </w:p>
    <w:p>
      <w:pPr>
        <w:pStyle w:val="Compact"/>
        <w:numPr>
          <w:ilvl w:val="0"/>
          <w:numId w:val="2328"/>
        </w:numPr>
      </w:pPr>
      <w:r>
        <w:t xml:space="preserve">Modafinil, armodafinil — first-line.</w:t>
      </w:r>
    </w:p>
    <w:p>
      <w:pPr>
        <w:pStyle w:val="Compact"/>
        <w:numPr>
          <w:ilvl w:val="0"/>
          <w:numId w:val="2328"/>
        </w:numPr>
      </w:pPr>
      <w:r>
        <w:t xml:space="preserve">Stimulants (methylphenidate, amphetamine) — refractory.</w:t>
      </w:r>
    </w:p>
    <w:p>
      <w:pPr>
        <w:pStyle w:val="Compact"/>
        <w:numPr>
          <w:ilvl w:val="0"/>
          <w:numId w:val="2328"/>
        </w:numPr>
      </w:pPr>
      <w:r>
        <w:t xml:space="preserve">Low-sodium oxybate (Xywav, FDA 2021) — the only agent approved for idiopathic hypersomnia.</w:t>
      </w:r>
    </w:p>
    <w:p>
      <w:pPr>
        <w:pStyle w:val="Compact"/>
        <w:numPr>
          <w:ilvl w:val="0"/>
          <w:numId w:val="2328"/>
        </w:numPr>
      </w:pPr>
      <w:r>
        <w:t xml:space="preserve">Pitolisant (FDA 2019) — approved for narcolepsy; solriamfetol (FDA 2019) — approved for narcolepsy and obstructive sleep apnoea; both off-label in idiopathic hypersomnia.</w:t>
      </w:r>
    </w:p>
    <w:p>
      <w:pPr>
        <w:pStyle w:val="Compact"/>
        <w:numPr>
          <w:ilvl w:val="0"/>
          <w:numId w:val="2328"/>
        </w:numPr>
      </w:pPr>
      <w:r>
        <w:t xml:space="preserve">Sleep hygiene and behavioral intervention (planned daytime naps).</w:t>
      </w:r>
    </w:p>
    <w:p>
      <w:pPr>
        <w:pStyle w:val="Compact"/>
        <w:numPr>
          <w:ilvl w:val="0"/>
          <w:numId w:val="2328"/>
        </w:numPr>
      </w:pPr>
      <w:r>
        <w:t xml:space="preserve">Kleine-Levin — supportive; asymptomatic between episodes.</w:t>
      </w:r>
    </w:p>
    <w:bookmarkStart w:id="2636" w:name="treatment-methods-92"/>
    <w:p>
      <w:pPr>
        <w:pStyle w:val="Heading4"/>
      </w:pPr>
      <w:r>
        <w:t xml:space="preserve">8.1 Treatment methods</w:t>
      </w:r>
    </w:p>
    <w:p>
      <w:pPr>
        <w:pStyle w:val="Compact"/>
        <w:numPr>
          <w:ilvl w:val="0"/>
          <w:numId w:val="2329"/>
        </w:numPr>
      </w:pPr>
      <w:r>
        <w:t xml:space="preserve">Modafinil/Armodafinil — Wakefulness-promoting; first-line; headache, anxiety side effects.</w:t>
      </w:r>
    </w:p>
    <w:p>
      <w:pPr>
        <w:pStyle w:val="Compact"/>
        <w:numPr>
          <w:ilvl w:val="0"/>
          <w:numId w:val="2329"/>
        </w:numPr>
      </w:pPr>
      <w:r>
        <w:t xml:space="preserve">Multiple Sleep Latency Test (MSLT) — 5 sleep attempts with 2-hour intervals; sleep latency measurement.</w:t>
      </w:r>
    </w:p>
    <w:p>
      <w:pPr>
        <w:pStyle w:val="Compact"/>
        <w:numPr>
          <w:ilvl w:val="0"/>
          <w:numId w:val="2329"/>
        </w:numPr>
      </w:pPr>
      <w:r>
        <w:t xml:space="preserve">Pitolisant and Solriamfetol — New medications; in refractory cases.</w:t>
      </w:r>
    </w:p>
    <w:bookmarkEnd w:id="2636"/>
    <w:bookmarkStart w:id="2637" w:name="differences-between-sources-168"/>
    <w:p>
      <w:pPr>
        <w:pStyle w:val="Heading4"/>
      </w:pPr>
      <w:r>
        <w:t xml:space="preserve">8.2 Differences between sources</w:t>
      </w:r>
    </w:p>
    <w:p>
      <w:pPr>
        <w:pStyle w:val="Compact"/>
        <w:numPr>
          <w:ilvl w:val="0"/>
          <w:numId w:val="2330"/>
        </w:numPr>
      </w:pPr>
      <w:r>
        <w:t xml:space="preserve">AASM Treatment Guidelines (Maski K. et al. 2021).</w:t>
      </w:r>
    </w:p>
    <w:bookmarkEnd w:id="2637"/>
    <w:bookmarkEnd w:id="2638"/>
    <w:bookmarkStart w:id="2639" w:name="Xb198fd089f81d17d3ab5f9357dd2024ef2cce01"/>
    <w:p>
      <w:pPr>
        <w:pStyle w:val="Heading3"/>
      </w:pPr>
      <w:r>
        <w:t xml:space="preserve">9. Prognosis</w:t>
      </w:r>
    </w:p>
    <w:p>
      <w:pPr>
        <w:pStyle w:val="FirstParagraph"/>
      </w:pPr>
      <w:r>
        <w:t xml:space="preserve">Chronic; functional improvement with pharmacotherapy.</w:t>
      </w:r>
    </w:p>
    <w:bookmarkEnd w:id="2639"/>
    <w:bookmarkStart w:id="2643" w:name="X2b23d329e415264cffe7c6c056c498de6fe7bac"/>
    <w:p>
      <w:pPr>
        <w:pStyle w:val="Heading3"/>
      </w:pPr>
      <w:r>
        <w:t xml:space="preserve">10. Myths and misconceptions</w:t>
      </w:r>
    </w:p>
    <w:bookmarkStart w:id="2640" w:name="myth-1-daytime-sleepiness-is-laziness"/>
    <w:p>
      <w:pPr>
        <w:pStyle w:val="Heading5"/>
      </w:pPr>
      <w:r>
        <w:t xml:space="preserve">Myth 1: “Daytime sleepiness is ‘laziness’”</w:t>
      </w:r>
    </w:p>
    <w:p>
      <w:pPr>
        <w:pStyle w:val="FirstParagraph"/>
      </w:pPr>
      <w:r>
        <w:t xml:space="preserve">Evidence: Clinical condition; increased risk of mortality and accidents.</w:t>
      </w:r>
    </w:p>
    <w:bookmarkEnd w:id="2640"/>
    <w:bookmarkStart w:id="2641" w:name="Xd0e6eea631b19da8a6e3fad4eb06fe80e330319"/>
    <w:p>
      <w:pPr>
        <w:pStyle w:val="Heading5"/>
      </w:pPr>
      <w:r>
        <w:t xml:space="preserve">Myth 2: “Caffeine is sufficient for hypersomnia”</w:t>
      </w:r>
    </w:p>
    <w:p>
      <w:pPr>
        <w:pStyle w:val="FirstParagraph"/>
      </w:pPr>
      <w:r>
        <w:t xml:space="preserve">Evidence: Caffeine adjunct; modafinil or stimulant required.</w:t>
      </w:r>
    </w:p>
    <w:bookmarkEnd w:id="2641"/>
    <w:bookmarkStart w:id="2642" w:name="X9cf6803afcf3c2ab36754d0af183b573e4a718d"/>
    <w:p>
      <w:pPr>
        <w:pStyle w:val="Heading5"/>
      </w:pPr>
      <w:r>
        <w:t xml:space="preserve">Myth 3: “Hypersomnia is only a symptom of depression”</w:t>
      </w:r>
    </w:p>
    <w:p>
      <w:pPr>
        <w:pStyle w:val="FirstParagraph"/>
      </w:pPr>
      <w:r>
        <w:t xml:space="preserve">Evidence: idiopathic hypersomnia is a distinct disorder; MSLT differentiates.</w:t>
      </w:r>
    </w:p>
    <w:bookmarkEnd w:id="2642"/>
    <w:bookmarkEnd w:id="2643"/>
    <w:bookmarkStart w:id="2927" w:name="Xb22ca9b141feb62101f2b610ea929a0f4aa833c"/>
    <w:p>
      <w:pPr>
        <w:pStyle w:val="Heading3"/>
      </w:pPr>
      <w:r>
        <w:t xml:space="preserve">11. Sources</w:t>
      </w:r>
    </w:p>
    <w:p>
      <w:pPr>
        <w:pStyle w:val="Compact"/>
        <w:numPr>
          <w:ilvl w:val="0"/>
          <w:numId w:val="2331"/>
        </w:numPr>
      </w:pPr>
      <w:r>
        <w:t xml:space="preserve">WHO. ICD-11. 7A21–7A26 Hypersomnolence disorders. 2024.</w:t>
      </w:r>
    </w:p>
    <w:p>
      <w:pPr>
        <w:pStyle w:val="Compact"/>
        <w:numPr>
          <w:ilvl w:val="0"/>
          <w:numId w:val="2331"/>
        </w:numPr>
      </w:pPr>
      <w:r>
        <w:t xml:space="preserve">APA. DSM-5-TR. 2022.</w:t>
      </w:r>
    </w:p>
    <w:p>
      <w:pPr>
        <w:pStyle w:val="Compact"/>
        <w:numPr>
          <w:ilvl w:val="0"/>
          <w:numId w:val="2331"/>
        </w:numPr>
      </w:pPr>
      <w:r>
        <w:t xml:space="preserve">Maski K. et al. Treatment of central disorders of hypersomnolence: AASM Clinical Practice Guideline. J Clin Sleep Med 2021;17(9):1881–1893.</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44" w:name="m1207a20-narcolepsy"/>
            <w:r>
              <w:t xml:space="preserve">7A20 NARCOLEPSY</w:t>
            </w:r>
            <w:bookmarkEnd w:id="2644"/>
          </w:p>
          <w:p>
            <w:pPr>
              <w:pStyle w:val="Compact"/>
              <w:ind w:firstLine="0" w:left="0"/>
            </w:pPr>
            <w:r>
              <w:rPr>
                <w:lang w:val="en"/>
              </w:rPr>
              <w:t xml:space="preserve">Narcolepsy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Narcolepsy and cataplexy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Narcolepsy</w:t>
            </w:r>
          </w:p>
        </w:tc>
      </w:tr>
    </w:tbl>
    <w:bookmarkStart w:id="2645" w:name="X3a241febb2cb11f4fe6754bba8f308f086077ec"/>
    <w:p>
      <w:pPr>
        <w:pStyle w:val="Heading3"/>
      </w:pPr>
      <w:r>
        <w:t xml:space="preserve">1. Definition and nosology</w:t>
      </w:r>
    </w:p>
    <w:p>
      <w:pPr>
        <w:pStyle w:val="FirstParagraph"/>
      </w:pPr>
      <w:r>
        <w:t xml:space="preserve">Narcolepsy (ICD-11:</w:t>
      </w:r>
      <w:r>
        <w:t xml:space="preserve"> </w:t>
      </w:r>
      <w:r>
        <w:t xml:space="preserve">7A20</w:t>
      </w:r>
      <w:r>
        <w:t xml:space="preserve">; DSM-5-TR: G47.4xx) — irresistible daytime sleep episodes; two types: Type 1 (with cataplexy, orexin-A/hypocretin deficiency) and Type 2 (without cataplexy).</w:t>
      </w:r>
    </w:p>
    <w:bookmarkEnd w:id="2645"/>
    <w:bookmarkStart w:id="2646" w:name="Xfa33ae44639fe23a8134587a13dc804697f8fcb"/>
    <w:p>
      <w:pPr>
        <w:pStyle w:val="Heading3"/>
      </w:pPr>
      <w:r>
        <w:t xml:space="preserve">2. History</w:t>
      </w:r>
    </w:p>
    <w:p>
      <w:pPr>
        <w:pStyle w:val="Compact"/>
        <w:numPr>
          <w:ilvl w:val="0"/>
          <w:numId w:val="2332"/>
        </w:numPr>
      </w:pPr>
      <w:r>
        <w:t xml:space="preserve">Gélineau J.B. (1880) — the term narcolepsy.</w:t>
      </w:r>
    </w:p>
    <w:p>
      <w:pPr>
        <w:pStyle w:val="Compact"/>
        <w:numPr>
          <w:ilvl w:val="0"/>
          <w:numId w:val="2332"/>
        </w:numPr>
      </w:pPr>
      <w:r>
        <w:t xml:space="preserve">Mignot E. et al. (2000) — discovery of the orexin/hypocretin system in narcolepsy etiology.</w:t>
      </w:r>
    </w:p>
    <w:bookmarkEnd w:id="2646"/>
    <w:bookmarkStart w:id="2647" w:name="X2732fbfed35a3f83b2e9a5b35c91ba0252b7c49"/>
    <w:p>
      <w:pPr>
        <w:pStyle w:val="Heading3"/>
      </w:pPr>
      <w:r>
        <w:t xml:space="preserve">3. Epidemiology</w:t>
      </w:r>
    </w:p>
    <w:p>
      <w:pPr>
        <w:pStyle w:val="Compact"/>
        <w:numPr>
          <w:ilvl w:val="0"/>
          <w:numId w:val="2333"/>
        </w:numPr>
      </w:pPr>
      <w:r>
        <w:t xml:space="preserve">Prevalence: 25–50 per 100,000.</w:t>
      </w:r>
    </w:p>
    <w:p>
      <w:pPr>
        <w:pStyle w:val="Compact"/>
        <w:numPr>
          <w:ilvl w:val="0"/>
          <w:numId w:val="2333"/>
        </w:numPr>
      </w:pPr>
      <w:r>
        <w:t xml:space="preserve">Onset: 10–25 years (bimodal).</w:t>
      </w:r>
    </w:p>
    <w:p>
      <w:pPr>
        <w:pStyle w:val="Compact"/>
        <w:numPr>
          <w:ilvl w:val="0"/>
          <w:numId w:val="2333"/>
        </w:numPr>
      </w:pPr>
      <w:r>
        <w:t xml:space="preserve">Comorbidity: OSA, depressive symptoms, OCD.</w:t>
      </w:r>
    </w:p>
    <w:bookmarkEnd w:id="2647"/>
    <w:bookmarkStart w:id="2648" w:name="Xfe280dfe5f3d12fedade0672ce6acc9e6c3e3dd"/>
    <w:p>
      <w:pPr>
        <w:pStyle w:val="Heading3"/>
      </w:pPr>
      <w:r>
        <w:t xml:space="preserve">4. Aetiology and pathogenesis</w:t>
      </w:r>
    </w:p>
    <w:p>
      <w:pPr>
        <w:pStyle w:val="Compact"/>
        <w:numPr>
          <w:ilvl w:val="0"/>
          <w:numId w:val="2334"/>
        </w:numPr>
      </w:pPr>
      <w:r>
        <w:t xml:space="preserve">Type 1 — autoimmune damage to orexin-A neurons (CSF orexin &lt;110 pg/ml); HLA-DQB1*06:02 strong association.</w:t>
      </w:r>
    </w:p>
    <w:p>
      <w:pPr>
        <w:pStyle w:val="Compact"/>
        <w:numPr>
          <w:ilvl w:val="0"/>
          <w:numId w:val="2334"/>
        </w:numPr>
      </w:pPr>
      <w:r>
        <w:t xml:space="preserve">H1N1 vaccine (Pandemrix, 2009) — increased incidence of narcolepsy type 1 in Scandinavian countries (Miller E. BMJ 2013).</w:t>
      </w:r>
    </w:p>
    <w:p>
      <w:pPr>
        <w:pStyle w:val="Compact"/>
        <w:numPr>
          <w:ilvl w:val="0"/>
          <w:numId w:val="2334"/>
        </w:numPr>
      </w:pPr>
      <w:r>
        <w:t xml:space="preserve">Type 2 — etiology not fully clear.</w:t>
      </w:r>
    </w:p>
    <w:bookmarkEnd w:id="2648"/>
    <w:bookmarkStart w:id="2650" w:name="Xc7233f98c9ecd0e05150f6c2edf5dbbdbc79016"/>
    <w:p>
      <w:pPr>
        <w:pStyle w:val="Heading3"/>
      </w:pPr>
      <w:r>
        <w:t xml:space="preserve">5. Clinical features</w:t>
      </w:r>
    </w:p>
    <w:bookmarkStart w:id="2649" w:name="classic-tetrad"/>
    <w:p>
      <w:pPr>
        <w:pStyle w:val="Heading4"/>
      </w:pPr>
      <w:r>
        <w:t xml:space="preserve">Classic tetrad</w:t>
      </w:r>
    </w:p>
    <w:p>
      <w:pPr>
        <w:pStyle w:val="Compact"/>
        <w:numPr>
          <w:ilvl w:val="0"/>
          <w:numId w:val="2335"/>
        </w:numPr>
      </w:pPr>
      <w:r>
        <w:t xml:space="preserve">Excessive daytime sleepiness (EDS) — irresistible sleep attacks.</w:t>
      </w:r>
    </w:p>
    <w:p>
      <w:pPr>
        <w:pStyle w:val="Compact"/>
        <w:numPr>
          <w:ilvl w:val="0"/>
          <w:numId w:val="2335"/>
        </w:numPr>
      </w:pPr>
      <w:r>
        <w:t xml:space="preserve">Cataplexy (Type 1) — sudden partial or complete loss of muscle tone triggered by emotion (laughter, anger); consciousness preserved.</w:t>
      </w:r>
    </w:p>
    <w:p>
      <w:pPr>
        <w:pStyle w:val="Compact"/>
        <w:numPr>
          <w:ilvl w:val="0"/>
          <w:numId w:val="2335"/>
        </w:numPr>
      </w:pPr>
      <w:r>
        <w:t xml:space="preserve">Sleep paralysis — inability to move at sleep onset or upon awakening.</w:t>
      </w:r>
    </w:p>
    <w:p>
      <w:pPr>
        <w:pStyle w:val="Compact"/>
        <w:numPr>
          <w:ilvl w:val="0"/>
          <w:numId w:val="2335"/>
        </w:numPr>
      </w:pPr>
      <w:r>
        <w:t xml:space="preserve">Hypnagogic/hypnopompic hallucinations — visual/auditory hallucinations at sleep transition.</w:t>
      </w:r>
    </w:p>
    <w:p>
      <w:pPr>
        <w:pStyle w:val="FirstParagraph"/>
      </w:pPr>
      <w:r>
        <w:t xml:space="preserve">Complete tetrad rare; EDS main feature.</w:t>
      </w:r>
    </w:p>
    <w:bookmarkEnd w:id="2649"/>
    <w:bookmarkEnd w:id="2650"/>
    <w:bookmarkStart w:id="2655" w:name="X51ac3e5e5c9a043e70fbd630530f6c90c8da2fd"/>
    <w:p>
      <w:pPr>
        <w:pStyle w:val="Heading3"/>
      </w:pPr>
      <w:r>
        <w:t xml:space="preserve">6. Diagnosis</w:t>
      </w:r>
    </w:p>
    <w:bookmarkStart w:id="2651" w:name="unified-diagnostic-criteria-68"/>
    <w:p>
      <w:pPr>
        <w:pStyle w:val="Heading4"/>
      </w:pPr>
      <w:r>
        <w:t xml:space="preserve">6.1 Unified diagnostic criteria</w:t>
      </w:r>
    </w:p>
    <w:p>
      <w:pPr>
        <w:pStyle w:val="FirstParagraph"/>
      </w:pPr>
      <w:r>
        <w:t xml:space="preserve">A. EDS ≥ 3 months.</w:t>
      </w:r>
    </w:p>
    <w:p>
      <w:pPr>
        <w:pStyle w:val="BodyText"/>
      </w:pPr>
      <w:r>
        <w:t xml:space="preserve">B. MSLT — mean sleep latency ≤8 min + ≥2 SOREMPs (Sleep Onset REM Period); or CSF orexin-A &lt;110 pg/ml.</w:t>
      </w:r>
    </w:p>
    <w:p>
      <w:pPr>
        <w:pStyle w:val="BodyText"/>
      </w:pPr>
      <w:r>
        <w:t xml:space="preserve">C. Type 1 — cataplexy + orexin deficiency; Type 2 — no cataplexy, normal orexin.</w:t>
      </w:r>
    </w:p>
    <w:bookmarkEnd w:id="2651"/>
    <w:bookmarkStart w:id="2652" w:name="differences-between-sources-169"/>
    <w:p>
      <w:pPr>
        <w:pStyle w:val="Heading4"/>
      </w:pPr>
      <w:r>
        <w:t xml:space="preserve">6.2 Differences between sources</w:t>
      </w:r>
    </w:p>
    <w:p>
      <w:pPr>
        <w:pStyle w:val="Compact"/>
        <w:numPr>
          <w:ilvl w:val="0"/>
          <w:numId w:val="2336"/>
        </w:numPr>
      </w:pPr>
      <w:r>
        <w:t xml:space="preserve">ICSD-3 (International Classification of Sleep Disorders) — AASM.</w:t>
      </w:r>
    </w:p>
    <w:p>
      <w:pPr>
        <w:pStyle w:val="Compact"/>
        <w:numPr>
          <w:ilvl w:val="0"/>
          <w:numId w:val="2336"/>
        </w:numPr>
      </w:pPr>
      <w:r>
        <w:t xml:space="preserve">HLA typing and CSF orexin — in atypical cases.</w:t>
      </w:r>
    </w:p>
    <w:bookmarkEnd w:id="2652"/>
    <w:bookmarkStart w:id="2653" w:name="diagnostic-algorithm-95"/>
    <w:p>
      <w:pPr>
        <w:pStyle w:val="Heading4"/>
      </w:pPr>
      <w:r>
        <w:t xml:space="preserve">6.3 Diagnostic algorithm</w:t>
      </w:r>
    </w:p>
    <w:p>
      <w:pPr>
        <w:pStyle w:val="Compact"/>
        <w:numPr>
          <w:ilvl w:val="0"/>
          <w:numId w:val="2337"/>
        </w:numPr>
      </w:pPr>
      <w:r>
        <w:t xml:space="preserve">Clinical interview.</w:t>
      </w:r>
    </w:p>
    <w:p>
      <w:pPr>
        <w:pStyle w:val="Compact"/>
        <w:numPr>
          <w:ilvl w:val="0"/>
          <w:numId w:val="2337"/>
        </w:numPr>
      </w:pPr>
      <w:r>
        <w:t xml:space="preserve">PSG (night) + MSLT (day) — gold standard.</w:t>
      </w:r>
    </w:p>
    <w:p>
      <w:pPr>
        <w:pStyle w:val="Compact"/>
        <w:numPr>
          <w:ilvl w:val="0"/>
          <w:numId w:val="2337"/>
        </w:numPr>
      </w:pPr>
      <w:r>
        <w:t xml:space="preserve">CSF orexin — selective.</w:t>
      </w:r>
    </w:p>
    <w:p>
      <w:pPr>
        <w:pStyle w:val="Compact"/>
        <w:numPr>
          <w:ilvl w:val="0"/>
          <w:numId w:val="2337"/>
        </w:numPr>
      </w:pPr>
      <w:r>
        <w:t xml:space="preserve">HLA-DQB1*06:02 — supportive.</w:t>
      </w:r>
    </w:p>
    <w:bookmarkEnd w:id="2653"/>
    <w:bookmarkStart w:id="2654" w:name="differential-diagnosis-96"/>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Idiopathic hypersomnia (7A21)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OSA (7A41)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Elevated AHI.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Seizure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Loss of consciousness; 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Syncope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Cardiovascular cause.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Functional/psychogenic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Typical clinical pattern and mismatch with PSG/MSLT results.</w:t>
            </w:r>
          </w:p>
        </w:tc>
      </w:tr>
    </w:tbl>
    <w:bookmarkEnd w:id="2654"/>
    <w:bookmarkEnd w:id="2655"/>
    <w:bookmarkStart w:id="2656" w:name="X7796f49fb3c0d348a0e21aa723bd1e46247e393"/>
    <w:p>
      <w:pPr>
        <w:pStyle w:val="Heading3"/>
      </w:pPr>
      <w:r>
        <w:t xml:space="preserve">7. Examination and assessment</w:t>
      </w:r>
    </w:p>
    <w:p>
      <w:pPr>
        <w:pStyle w:val="Compact"/>
        <w:numPr>
          <w:ilvl w:val="0"/>
          <w:numId w:val="2338"/>
        </w:numPr>
      </w:pPr>
      <w:r>
        <w:t xml:space="preserve">Epworth.</w:t>
      </w:r>
    </w:p>
    <w:p>
      <w:pPr>
        <w:pStyle w:val="Compact"/>
        <w:numPr>
          <w:ilvl w:val="0"/>
          <w:numId w:val="2338"/>
        </w:numPr>
      </w:pPr>
      <w:r>
        <w:t xml:space="preserve">PSG + MSLT.</w:t>
      </w:r>
    </w:p>
    <w:p>
      <w:pPr>
        <w:pStyle w:val="Compact"/>
        <w:numPr>
          <w:ilvl w:val="0"/>
          <w:numId w:val="2338"/>
        </w:numPr>
      </w:pPr>
      <w:r>
        <w:t xml:space="preserve">CSF orexin, HLA-DQB1*06:02.</w:t>
      </w:r>
    </w:p>
    <w:bookmarkEnd w:id="2656"/>
    <w:bookmarkStart w:id="2659" w:name="X71044c6edeef5f11938770b2ea39672f2f5206a"/>
    <w:p>
      <w:pPr>
        <w:pStyle w:val="Heading3"/>
      </w:pPr>
      <w:r>
        <w:t xml:space="preserve">8. Treatment</w:t>
      </w:r>
    </w:p>
    <w:p>
      <w:pPr>
        <w:pStyle w:val="Compact"/>
        <w:numPr>
          <w:ilvl w:val="0"/>
          <w:numId w:val="2339"/>
        </w:numPr>
      </w:pPr>
      <w:r>
        <w:t xml:space="preserve">EDS: modafinil, armodafinil, solriamfetol, pitolisant; stimulants (methylphenidate, amphetamine) in refractory cases.</w:t>
      </w:r>
    </w:p>
    <w:p>
      <w:pPr>
        <w:pStyle w:val="Compact"/>
        <w:numPr>
          <w:ilvl w:val="0"/>
          <w:numId w:val="2339"/>
        </w:numPr>
      </w:pPr>
      <w:r>
        <w:t xml:space="preserve">Cataplexy: sodium oxybate (Xyrem) — gold standard; new — calcium/magnesium/potassium/sodium oxybate (Xywav, FDA 2020, low sodium); SSRI/SNRI (venlafaxine, fluoxetine); pitolisant.</w:t>
      </w:r>
    </w:p>
    <w:p>
      <w:pPr>
        <w:pStyle w:val="Compact"/>
        <w:numPr>
          <w:ilvl w:val="0"/>
          <w:numId w:val="2339"/>
        </w:numPr>
      </w:pPr>
      <w:r>
        <w:t xml:space="preserve">Behavior — planned daytime naps (15–20 min)</w:t>
      </w:r>
    </w:p>
    <w:p>
      <w:pPr>
        <w:pStyle w:val="Compact"/>
        <w:numPr>
          <w:ilvl w:val="0"/>
          <w:numId w:val="2339"/>
        </w:numPr>
      </w:pPr>
      <w:r>
        <w:t xml:space="preserve">Driving restriction if EDS present.</w:t>
      </w:r>
    </w:p>
    <w:bookmarkStart w:id="2657" w:name="treatment-methods-93"/>
    <w:p>
      <w:pPr>
        <w:pStyle w:val="Heading4"/>
      </w:pPr>
      <w:r>
        <w:t xml:space="preserve">8.1 Treatment methods</w:t>
      </w:r>
    </w:p>
    <w:p>
      <w:pPr>
        <w:pStyle w:val="Compact"/>
        <w:numPr>
          <w:ilvl w:val="0"/>
          <w:numId w:val="2340"/>
        </w:numPr>
      </w:pPr>
      <w:r>
        <w:t xml:space="preserve">Sodium Oxybate (Xyrem/Xywav) — GHB; two doses at night; effect on cataplexy and EDS.</w:t>
      </w:r>
    </w:p>
    <w:p>
      <w:pPr>
        <w:pStyle w:val="Compact"/>
        <w:numPr>
          <w:ilvl w:val="0"/>
          <w:numId w:val="2340"/>
        </w:numPr>
      </w:pPr>
      <w:r>
        <w:t xml:space="preserve">Modafinil/Armodafinil — First-line for EDS.</w:t>
      </w:r>
    </w:p>
    <w:p>
      <w:pPr>
        <w:pStyle w:val="Compact"/>
        <w:numPr>
          <w:ilvl w:val="0"/>
          <w:numId w:val="2340"/>
        </w:numPr>
      </w:pPr>
      <w:r>
        <w:t xml:space="preserve">Pitolisant — H3 receptor antagonist; for EDS and cataplexy.</w:t>
      </w:r>
    </w:p>
    <w:p>
      <w:pPr>
        <w:pStyle w:val="Compact"/>
        <w:numPr>
          <w:ilvl w:val="0"/>
          <w:numId w:val="2340"/>
        </w:numPr>
      </w:pPr>
      <w:r>
        <w:t xml:space="preserve">SSRI/SNRI for cataplexy — Venlafaxine, fluoxetine off-label.</w:t>
      </w:r>
    </w:p>
    <w:p>
      <w:pPr>
        <w:pStyle w:val="Compact"/>
        <w:numPr>
          <w:ilvl w:val="0"/>
          <w:numId w:val="2340"/>
        </w:numPr>
      </w:pPr>
      <w:r>
        <w:t xml:space="preserve">MSLT — ≥2 SOREMP diagnostic.</w:t>
      </w:r>
    </w:p>
    <w:bookmarkEnd w:id="2657"/>
    <w:bookmarkStart w:id="2658" w:name="differences-between-sources-170"/>
    <w:p>
      <w:pPr>
        <w:pStyle w:val="Heading4"/>
      </w:pPr>
      <w:r>
        <w:t xml:space="preserve">8.2 Differences between sources</w:t>
      </w:r>
    </w:p>
    <w:p>
      <w:pPr>
        <w:pStyle w:val="Compact"/>
        <w:numPr>
          <w:ilvl w:val="0"/>
          <w:numId w:val="2341"/>
        </w:numPr>
      </w:pPr>
      <w:r>
        <w:t xml:space="preserve">AASM Treatment Guidelines (Maski 2021).</w:t>
      </w:r>
    </w:p>
    <w:p>
      <w:pPr>
        <w:pStyle w:val="Compact"/>
        <w:numPr>
          <w:ilvl w:val="0"/>
          <w:numId w:val="2341"/>
        </w:numPr>
      </w:pPr>
      <w:r>
        <w:t xml:space="preserve">FDA approvals — pitolisant 2019, solriamfetol 2019, Xywav 2020.</w:t>
      </w:r>
    </w:p>
    <w:bookmarkEnd w:id="2658"/>
    <w:bookmarkEnd w:id="2659"/>
    <w:bookmarkStart w:id="2660" w:name="X0efd7f449340b4716453f70d6a87b76fb06a7e5"/>
    <w:p>
      <w:pPr>
        <w:pStyle w:val="Heading3"/>
      </w:pPr>
      <w:r>
        <w:t xml:space="preserve">9. Prognosis</w:t>
      </w:r>
    </w:p>
    <w:p>
      <w:pPr>
        <w:pStyle w:val="Compact"/>
        <w:numPr>
          <w:ilvl w:val="0"/>
          <w:numId w:val="2342"/>
        </w:numPr>
      </w:pPr>
      <w:r>
        <w:t xml:space="preserve">Chronic; functional improvement with pharmacotherapy.</w:t>
      </w:r>
    </w:p>
    <w:p>
      <w:pPr>
        <w:pStyle w:val="Compact"/>
        <w:numPr>
          <w:ilvl w:val="0"/>
          <w:numId w:val="2342"/>
        </w:numPr>
      </w:pPr>
      <w:r>
        <w:t xml:space="preserve">Comorbidity (MDD, OSA) intervention essential.</w:t>
      </w:r>
    </w:p>
    <w:bookmarkEnd w:id="2660"/>
    <w:bookmarkStart w:id="2665" w:name="X88a90ed1454c261dc4520050fd28fae54ee462d"/>
    <w:p>
      <w:pPr>
        <w:pStyle w:val="Heading3"/>
      </w:pPr>
      <w:r>
        <w:t xml:space="preserve">10. Myths and misconceptions</w:t>
      </w:r>
    </w:p>
    <w:bookmarkStart w:id="2661" w:name="myth-1-narcolepsy-is-just-eds-alone"/>
    <w:p>
      <w:pPr>
        <w:pStyle w:val="Heading5"/>
      </w:pPr>
      <w:r>
        <w:t xml:space="preserve">Myth 1: “Narcolepsy is just EDS alone”</w:t>
      </w:r>
    </w:p>
    <w:p>
      <w:pPr>
        <w:pStyle w:val="FirstParagraph"/>
      </w:pPr>
      <w:r>
        <w:t xml:space="preserve">Evidence: Tetrad (EDS + cataplexy + paralysis + hallucinations); SOREMPs differentiating in MSLT.</w:t>
      </w:r>
    </w:p>
    <w:bookmarkEnd w:id="2661"/>
    <w:bookmarkStart w:id="2662" w:name="myth-2-cataplexy-is-a-seizure"/>
    <w:p>
      <w:pPr>
        <w:pStyle w:val="Heading5"/>
      </w:pPr>
      <w:r>
        <w:t xml:space="preserve">Myth 2: “Cataplexy is a seizure”</w:t>
      </w:r>
    </w:p>
    <w:p>
      <w:pPr>
        <w:pStyle w:val="FirstParagraph"/>
      </w:pPr>
      <w:r>
        <w:t xml:space="preserve">Evidence: consciousness preserved; EEG no epileptic activity; emotional trigger.</w:t>
      </w:r>
    </w:p>
    <w:bookmarkEnd w:id="2662"/>
    <w:bookmarkStart w:id="2663" w:name="X3aa40100cdb6f64b3fdeb67f865a7db384249a9"/>
    <w:p>
      <w:pPr>
        <w:pStyle w:val="Heading5"/>
      </w:pPr>
      <w:r>
        <w:t xml:space="preserve">Myth 3: “H1N1 vaccine causes narcolepsy — vaccines should be avoided”</w:t>
      </w:r>
    </w:p>
    <w:p>
      <w:pPr>
        <w:pStyle w:val="FirstParagraph"/>
      </w:pPr>
      <w:r>
        <w:t xml:space="preserve">Evidence: Risk indicated specifically with Pandemrix (2009 Scandinavia); other vaccines are safe; avoiding vaccination overall is not recommended.</w:t>
      </w:r>
    </w:p>
    <w:bookmarkEnd w:id="2663"/>
    <w:bookmarkStart w:id="2664" w:name="myth-4-the-patient-can-drive"/>
    <w:p>
      <w:pPr>
        <w:pStyle w:val="Heading5"/>
      </w:pPr>
      <w:r>
        <w:t xml:space="preserve">Myth 4: “The patient can drive”</w:t>
      </w:r>
    </w:p>
    <w:p>
      <w:pPr>
        <w:pStyle w:val="FirstParagraph"/>
      </w:pPr>
      <w:r>
        <w:t xml:space="preserve">Evidence: Driving must be restricted in a narcoleptic patient with EDS.</w:t>
      </w:r>
    </w:p>
    <w:bookmarkEnd w:id="2664"/>
    <w:bookmarkEnd w:id="2665"/>
    <w:bookmarkStart w:id="2666" w:name="X1534ed9acc55ae4462ac31845018ea7c6a8fe48"/>
    <w:p>
      <w:pPr>
        <w:pStyle w:val="Heading3"/>
      </w:pPr>
      <w:r>
        <w:t xml:space="preserve">11. Sources</w:t>
      </w:r>
    </w:p>
    <w:p>
      <w:pPr>
        <w:pStyle w:val="Compact"/>
        <w:numPr>
          <w:ilvl w:val="0"/>
          <w:numId w:val="2343"/>
        </w:numPr>
      </w:pPr>
      <w:r>
        <w:t xml:space="preserve">WHO. ICD-11. 7A20 Narcolepsy. 2024.</w:t>
      </w:r>
    </w:p>
    <w:p>
      <w:pPr>
        <w:pStyle w:val="Compact"/>
        <w:numPr>
          <w:ilvl w:val="0"/>
          <w:numId w:val="2343"/>
        </w:numPr>
      </w:pPr>
      <w:r>
        <w:t xml:space="preserve">APA. DSM-5-TR. 2022.</w:t>
      </w:r>
    </w:p>
    <w:p>
      <w:pPr>
        <w:pStyle w:val="Compact"/>
        <w:numPr>
          <w:ilvl w:val="0"/>
          <w:numId w:val="2343"/>
        </w:numPr>
      </w:pPr>
      <w:r>
        <w:t xml:space="preserve">Maski K. et al. AASM CPG. J Clin Sleep Med 2021;17(9):1881–1893.</w:t>
      </w:r>
    </w:p>
    <w:p>
      <w:pPr>
        <w:pStyle w:val="Compact"/>
        <w:numPr>
          <w:ilvl w:val="0"/>
          <w:numId w:val="2343"/>
        </w:numPr>
      </w:pPr>
      <w:r>
        <w:t xml:space="preserve">Miller E. et al. Risk of narcolepsy in children and young people receiving AS03 adjuvanted pandemic A/H1N1 2009 influenza vaccine. BMJ 2013;346:f794.</w:t>
      </w:r>
    </w:p>
    <w:p>
      <w:pPr>
        <w:pStyle w:val="Compact"/>
        <w:numPr>
          <w:ilvl w:val="0"/>
          <w:numId w:val="2343"/>
        </w:numPr>
      </w:pPr>
      <w:r>
        <w:t xml:space="preserve">Mignot E. et al. The role of cerebrospinal fluid hypocretin measurement in the diagnosis of narcolepsy. Arch Neurol 2002;59(10):1553–1562.</w:t>
      </w:r>
    </w:p>
    <w:bookmarkEnd w:id="2666"/>
    <w:bookmarkStart w:id="2667" w:name="m121ha00ha0z-sexual-health"/>
    <w:p>
      <w:pPr>
        <w:pageBreakBefore/>
        <w:pStyle w:val="Heading1"/>
      </w:pPr>
      <w:r>
        <w:t xml:space="preserve">HA00–HA0Z SEXUAL HEALTH</w:t>
      </w:r>
    </w:p>
    <w:p>
      <w:pPr>
        <w:pStyle w:val="FirstParagraph"/>
      </w:pPr>
      <w:r>
        <w:t xml:space="preserve">Conditions related to sexual health</w:t>
      </w:r>
    </w:p>
    <w:bookmarkEnd w:id="2667"/>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68" w:name="m122ha01.1-male-erectile-dysfunction-ed"/>
            <w:r>
              <w:t xml:space="preserve">HA01.1 MALE ERECTILE DYSFUNCTION (ED)</w:t>
            </w:r>
            <w:bookmarkEnd w:id="2668"/>
          </w:p>
          <w:p>
            <w:pPr>
              <w:pStyle w:val="Compact"/>
              <w:ind w:firstLine="0" w:left="0"/>
            </w:pPr>
            <w:r>
              <w:rPr>
                <w:lang w:val="en"/>
              </w:rPr>
              <w:t xml:space="preserve">Male erectile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Failure of genital response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Erectile Disorder</w:t>
            </w:r>
          </w:p>
        </w:tc>
      </w:tr>
    </w:tbl>
    <w:bookmarkStart w:id="2669" w:name="ha01-1-terif"/>
    <w:p>
      <w:pPr>
        <w:pStyle w:val="Heading3"/>
      </w:pPr>
      <w:r>
        <w:t xml:space="preserve">1. Definition and nosology</w:t>
      </w:r>
    </w:p>
    <w:p>
      <w:pPr>
        <w:pStyle w:val="FirstParagraph"/>
      </w:pPr>
      <w:r>
        <w:t xml:space="preserve">Erectile Dysfunction (ED; ICD-11:</w:t>
      </w:r>
      <w:r>
        <w:t xml:space="preserve"> </w:t>
      </w:r>
      <w:r>
        <w:t xml:space="preserve">HA01.1</w:t>
      </w:r>
      <w:r>
        <w:t xml:space="preserve"> </w:t>
      </w:r>
      <w:r>
        <w:t xml:space="preserve">Erectile Dysfunction; DSM-5-TR: F52.21) — persistent difficulty in obtaining or maintaining an erection sufficient for sexual intercourse. Duration ≥ 6 months, in most attempts.</w:t>
      </w:r>
    </w:p>
    <w:bookmarkEnd w:id="2669"/>
    <w:bookmarkStart w:id="2670" w:name="ha01-2-tarixce"/>
    <w:p>
      <w:pPr>
        <w:pStyle w:val="Heading3"/>
      </w:pPr>
      <w:r>
        <w:t xml:space="preserve">2. History</w:t>
      </w:r>
    </w:p>
    <w:p>
      <w:pPr>
        <w:pStyle w:val="Compact"/>
        <w:numPr>
          <w:ilvl w:val="0"/>
          <w:numId w:val="2344"/>
        </w:numPr>
      </w:pPr>
      <w:r>
        <w:t xml:space="preserve">1998 — FDA approval of sildenafil (Viagra) — revolution in ED treatment.</w:t>
      </w:r>
    </w:p>
    <w:p>
      <w:pPr>
        <w:pStyle w:val="Compact"/>
        <w:numPr>
          <w:ilvl w:val="0"/>
          <w:numId w:val="2344"/>
        </w:numPr>
      </w:pPr>
      <w:r>
        <w:t xml:space="preserve">AUA (American Urological Association) Guideline (Burnett 2018, 2024 update).</w:t>
      </w:r>
    </w:p>
    <w:p>
      <w:pPr>
        <w:pStyle w:val="Compact"/>
        <w:numPr>
          <w:ilvl w:val="0"/>
          <w:numId w:val="2344"/>
        </w:numPr>
      </w:pPr>
      <w:r>
        <w:t xml:space="preserve">EAU (European Association of Urology) Guidelines.</w:t>
      </w:r>
    </w:p>
    <w:bookmarkEnd w:id="2670"/>
    <w:bookmarkStart w:id="2671" w:name="ha01-3-epidemiologiya"/>
    <w:p>
      <w:pPr>
        <w:pStyle w:val="Heading3"/>
      </w:pPr>
      <w:r>
        <w:t xml:space="preserve">3. Epidemiology</w:t>
      </w:r>
    </w:p>
    <w:p>
      <w:pPr>
        <w:pStyle w:val="Compact"/>
        <w:numPr>
          <w:ilvl w:val="0"/>
          <w:numId w:val="2345"/>
        </w:numPr>
      </w:pPr>
      <w:r>
        <w:t xml:space="preserve">5–10% at age 40, 50%+ at age 70.</w:t>
      </w:r>
    </w:p>
    <w:p>
      <w:pPr>
        <w:pStyle w:val="Compact"/>
        <w:numPr>
          <w:ilvl w:val="0"/>
          <w:numId w:val="2345"/>
        </w:numPr>
      </w:pPr>
      <w:r>
        <w:t xml:space="preserve">Risk factors: diabetes, cardiovascular disease (ED as cardiovascular early marker), hypertension, hyperlipidemia, smoking, obesity, depression, antidepressants.</w:t>
      </w:r>
    </w:p>
    <w:bookmarkEnd w:id="2671"/>
    <w:bookmarkStart w:id="2672" w:name="ha01-4-etiologiya"/>
    <w:p>
      <w:pPr>
        <w:pStyle w:val="Heading3"/>
      </w:pPr>
      <w:r>
        <w:t xml:space="preserve">4. Aetiology and pathogenesis</w:t>
      </w:r>
    </w:p>
    <w:p>
      <w:pPr>
        <w:pStyle w:val="Compact"/>
        <w:numPr>
          <w:ilvl w:val="0"/>
          <w:numId w:val="2346"/>
        </w:numPr>
      </w:pPr>
      <w:r>
        <w:t xml:space="preserve">Organic (~70%) — vascular, neurogenic, endocrine (hypogonadism), medication-related.</w:t>
      </w:r>
    </w:p>
    <w:p>
      <w:pPr>
        <w:pStyle w:val="Compact"/>
        <w:numPr>
          <w:ilvl w:val="0"/>
          <w:numId w:val="2346"/>
        </w:numPr>
      </w:pPr>
      <w:r>
        <w:t xml:space="preserve">Psychogenic (~10%) — performance anxiety, relationship problems, depression.</w:t>
      </w:r>
    </w:p>
    <w:p>
      <w:pPr>
        <w:pStyle w:val="Compact"/>
        <w:numPr>
          <w:ilvl w:val="0"/>
          <w:numId w:val="2346"/>
        </w:numPr>
      </w:pPr>
      <w:r>
        <w:t xml:space="preserve">Mixed (~20%).</w:t>
      </w:r>
    </w:p>
    <w:p>
      <w:pPr>
        <w:pStyle w:val="Compact"/>
        <w:numPr>
          <w:ilvl w:val="0"/>
          <w:numId w:val="2346"/>
        </w:numPr>
      </w:pPr>
      <w:r>
        <w:t xml:space="preserve">Princeton III Consensus (Nehra 2012) — ED an early cardiovascular marker, cardiac risk assessment important.</w:t>
      </w:r>
    </w:p>
    <w:bookmarkEnd w:id="2672"/>
    <w:bookmarkStart w:id="2673" w:name="ha01-5-klinik"/>
    <w:p>
      <w:pPr>
        <w:pStyle w:val="Heading3"/>
      </w:pPr>
      <w:r>
        <w:t xml:space="preserve">5. Clinical features</w:t>
      </w:r>
    </w:p>
    <w:p>
      <w:pPr>
        <w:pStyle w:val="Compact"/>
        <w:numPr>
          <w:ilvl w:val="0"/>
          <w:numId w:val="2347"/>
        </w:numPr>
      </w:pPr>
      <w:r>
        <w:t xml:space="preserve">Difficulty obtaining or maintaining erection.</w:t>
      </w:r>
    </w:p>
    <w:p>
      <w:pPr>
        <w:pStyle w:val="Compact"/>
        <w:numPr>
          <w:ilvl w:val="0"/>
          <w:numId w:val="2347"/>
        </w:numPr>
      </w:pPr>
      <w:r>
        <w:t xml:space="preserve">Presence or absence of morning or nighttime erections (for psychogenic vs organic differentiation)</w:t>
      </w:r>
    </w:p>
    <w:p>
      <w:pPr>
        <w:pStyle w:val="Compact"/>
        <w:numPr>
          <w:ilvl w:val="0"/>
          <w:numId w:val="2347"/>
        </w:numPr>
      </w:pPr>
      <w:r>
        <w:t xml:space="preserve">Relationship and emotional burden.</w:t>
      </w:r>
    </w:p>
    <w:bookmarkEnd w:id="2673"/>
    <w:bookmarkStart w:id="2678" w:name="ha01-6-diaqnoz"/>
    <w:p>
      <w:pPr>
        <w:pStyle w:val="Heading3"/>
      </w:pPr>
      <w:r>
        <w:t xml:space="preserve">6. Diagnosis</w:t>
      </w:r>
    </w:p>
    <w:bookmarkStart w:id="2674" w:name="unified-diagnostic-criteria-aua-2018-eau"/>
    <w:p>
      <w:pPr>
        <w:pStyle w:val="Heading4"/>
      </w:pPr>
      <w:r>
        <w:t xml:space="preserve">6.1 Unified diagnostic criteria (AUA 2018 · EAU)</w:t>
      </w:r>
    </w:p>
    <w:p>
      <w:pPr>
        <w:pStyle w:val="FirstParagraph"/>
      </w:pPr>
      <w:r>
        <w:t xml:space="preserve">A. Persistent difficulty obtaining and/or maintaining erection.</w:t>
      </w:r>
    </w:p>
    <w:p>
      <w:pPr>
        <w:pStyle w:val="BodyText"/>
      </w:pPr>
      <w:r>
        <w:t xml:space="preserve">B. Duration ≥ 6 months, in most attempts.</w:t>
      </w:r>
    </w:p>
    <w:p>
      <w:pPr>
        <w:pStyle w:val="BodyText"/>
      </w:pPr>
      <w:r>
        <w:t xml:space="preserve">C. Distress or relationship impairment.</w:t>
      </w:r>
    </w:p>
    <w:bookmarkEnd w:id="2674"/>
    <w:bookmarkStart w:id="2675" w:name="differences-between-sources-171"/>
    <w:p>
      <w:pPr>
        <w:pStyle w:val="Heading4"/>
      </w:pPr>
      <w:r>
        <w:t xml:space="preserve">6.2 Differences between sources</w:t>
      </w:r>
    </w:p>
    <w:p>
      <w:pPr>
        <w:pStyle w:val="Compact"/>
        <w:numPr>
          <w:ilvl w:val="0"/>
          <w:numId w:val="2348"/>
        </w:numPr>
      </w:pPr>
      <w:r>
        <w:t xml:space="preserve">AUA 2018/2024 and EAU — stepwise approach.</w:t>
      </w:r>
    </w:p>
    <w:bookmarkEnd w:id="2675"/>
    <w:bookmarkStart w:id="2676" w:name="diagnostic-algorithm-96"/>
    <w:p>
      <w:pPr>
        <w:pStyle w:val="Heading4"/>
      </w:pPr>
      <w:r>
        <w:t xml:space="preserve">6.3 Diagnostic algorithm</w:t>
      </w:r>
    </w:p>
    <w:p>
      <w:pPr>
        <w:pStyle w:val="Compact"/>
        <w:numPr>
          <w:ilvl w:val="0"/>
          <w:numId w:val="2349"/>
        </w:numPr>
      </w:pPr>
      <w:r>
        <w:t xml:space="preserve">Clinical interview (sexual and medical history, relationships).</w:t>
      </w:r>
    </w:p>
    <w:p>
      <w:pPr>
        <w:pStyle w:val="Compact"/>
        <w:numPr>
          <w:ilvl w:val="0"/>
          <w:numId w:val="2349"/>
        </w:numPr>
      </w:pPr>
      <w:r>
        <w:t xml:space="preserve">IIEF (International Index of Erectile Function) / SHIM.</w:t>
      </w:r>
    </w:p>
    <w:p>
      <w:pPr>
        <w:pStyle w:val="Compact"/>
        <w:numPr>
          <w:ilvl w:val="0"/>
          <w:numId w:val="2349"/>
        </w:numPr>
      </w:pPr>
      <w:r>
        <w:t xml:space="preserve">Laboratory — morning testosterone, glucose, HbA1c, lipid, prolactin, thyroid.</w:t>
      </w:r>
    </w:p>
    <w:p>
      <w:pPr>
        <w:pStyle w:val="Compact"/>
        <w:numPr>
          <w:ilvl w:val="0"/>
          <w:numId w:val="2349"/>
        </w:numPr>
      </w:pPr>
      <w:r>
        <w:t xml:space="preserve">Cardiovascular evaluation.</w:t>
      </w:r>
    </w:p>
    <w:p>
      <w:pPr>
        <w:pStyle w:val="Compact"/>
        <w:numPr>
          <w:ilvl w:val="0"/>
          <w:numId w:val="2349"/>
        </w:numPr>
      </w:pPr>
      <w:r>
        <w:t xml:space="preserve">Penile ultrasound (vascular suspicion) — selective.</w:t>
      </w:r>
    </w:p>
    <w:bookmarkEnd w:id="2676"/>
    <w:bookmarkStart w:id="2677" w:name="differential-diagnosis-97"/>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Hypogonadism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Low testosterone +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Premature ejaculation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Ejaculation time.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Decreased desire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Peyronie's disease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Penile curvature and pain.</w:t>
            </w:r>
          </w:p>
        </w:tc>
      </w:tr>
    </w:tbl>
    <w:bookmarkEnd w:id="2677"/>
    <w:bookmarkEnd w:id="2678"/>
    <w:bookmarkStart w:id="2679" w:name="ha01-7-muayine"/>
    <w:p>
      <w:pPr>
        <w:pStyle w:val="Heading3"/>
      </w:pPr>
      <w:r>
        <w:t xml:space="preserve">7. Examination and assessment</w:t>
      </w:r>
    </w:p>
    <w:p>
      <w:pPr>
        <w:pStyle w:val="Compact"/>
        <w:numPr>
          <w:ilvl w:val="0"/>
          <w:numId w:val="2350"/>
        </w:numPr>
      </w:pPr>
      <w:r>
        <w:t xml:space="preserve">IIEF.</w:t>
      </w:r>
    </w:p>
    <w:p>
      <w:pPr>
        <w:pStyle w:val="Compact"/>
        <w:numPr>
          <w:ilvl w:val="0"/>
          <w:numId w:val="2350"/>
        </w:numPr>
      </w:pPr>
      <w:r>
        <w:t xml:space="preserve">Medical and laboratory (above).</w:t>
      </w:r>
    </w:p>
    <w:p>
      <w:pPr>
        <w:pStyle w:val="Compact"/>
        <w:numPr>
          <w:ilvl w:val="0"/>
          <w:numId w:val="2350"/>
        </w:numPr>
      </w:pPr>
      <w:r>
        <w:t xml:space="preserve">Cardiac evaluation (EKG, stress test if needed).</w:t>
      </w:r>
    </w:p>
    <w:bookmarkEnd w:id="2679"/>
    <w:bookmarkStart w:id="2683" w:name="ha01-8-mualice"/>
    <w:p>
      <w:pPr>
        <w:pStyle w:val="Heading3"/>
      </w:pPr>
      <w:r>
        <w:t xml:space="preserve">8. Treatment</w:t>
      </w:r>
    </w:p>
    <w:bookmarkStart w:id="2680" w:name="Xd1958fbc459c80b5e2c5a541d4842e80265f82e"/>
    <w:p>
      <w:pPr>
        <w:pStyle w:val="Heading4"/>
      </w:pPr>
      <w:r>
        <w:t xml:space="preserve">8.1 General principles (AUA 2018/2024 · EAU stepwise)</w:t>
      </w:r>
    </w:p>
    <w:p>
      <w:pPr>
        <w:pStyle w:val="Compact"/>
        <w:numPr>
          <w:ilvl w:val="0"/>
          <w:numId w:val="2351"/>
        </w:numPr>
      </w:pPr>
      <w:r>
        <w:t xml:space="preserve">1st line:</w:t>
      </w:r>
    </w:p>
    <w:p>
      <w:pPr>
        <w:pStyle w:val="Compact"/>
        <w:numPr>
          <w:ilvl w:val="1"/>
          <w:numId w:val="2352"/>
        </w:numPr>
      </w:pPr>
      <w:r>
        <w:t xml:space="preserve">Lifestyle — smoking cessation, weight, physical activity, cardiovascular management;</w:t>
      </w:r>
    </w:p>
    <w:p>
      <w:pPr>
        <w:pStyle w:val="Compact"/>
        <w:numPr>
          <w:ilvl w:val="1"/>
          <w:numId w:val="2352"/>
        </w:numPr>
      </w:pPr>
      <w:r>
        <w:t xml:space="preserve">PDE5 inhibitors — sildenafil (25–100 mg), tadalafil (5–20 mg as needed or 2.5–5 mg daily), vardenafil, avanafil; absolutely contraindicated with nitrates; caution with α-blockers.</w:t>
      </w:r>
    </w:p>
    <w:p>
      <w:pPr>
        <w:pStyle w:val="Compact"/>
        <w:numPr>
          <w:ilvl w:val="0"/>
          <w:numId w:val="2351"/>
        </w:numPr>
      </w:pPr>
      <w:r>
        <w:t xml:space="preserve">1st line (in hypogonadism): Testosterone replacement therapy (TRT) — only for confirmed hypogonadism (≥ 2 morning measurements low + symptoms); monitoring PSA and hematocrit.</w:t>
      </w:r>
    </w:p>
    <w:p>
      <w:pPr>
        <w:pStyle w:val="Compact"/>
        <w:numPr>
          <w:ilvl w:val="0"/>
          <w:numId w:val="2351"/>
        </w:numPr>
      </w:pPr>
      <w:r>
        <w:t xml:space="preserve">Second-line:</w:t>
      </w:r>
    </w:p>
    <w:p>
      <w:pPr>
        <w:pStyle w:val="Compact"/>
        <w:numPr>
          <w:ilvl w:val="1"/>
          <w:numId w:val="2353"/>
        </w:numPr>
      </w:pPr>
      <w:r>
        <w:t xml:space="preserve">Intracavernosal alprostadil (PGE1);</w:t>
      </w:r>
    </w:p>
    <w:p>
      <w:pPr>
        <w:pStyle w:val="Compact"/>
        <w:numPr>
          <w:ilvl w:val="1"/>
          <w:numId w:val="2353"/>
        </w:numPr>
      </w:pPr>
      <w:r>
        <w:t xml:space="preserve">Transurethral alprostadil (MUSE);</w:t>
      </w:r>
    </w:p>
    <w:p>
      <w:pPr>
        <w:pStyle w:val="Compact"/>
        <w:numPr>
          <w:ilvl w:val="1"/>
          <w:numId w:val="2353"/>
        </w:numPr>
      </w:pPr>
      <w:r>
        <w:t xml:space="preserve">Vacuum erectile device.</w:t>
      </w:r>
    </w:p>
    <w:p>
      <w:pPr>
        <w:pStyle w:val="Compact"/>
        <w:numPr>
          <w:ilvl w:val="0"/>
          <w:numId w:val="2351"/>
        </w:numPr>
      </w:pPr>
      <w:r>
        <w:t xml:space="preserve">Third-line: penile prosthesis (semirigid or inflatable); high satisfaction.</w:t>
      </w:r>
    </w:p>
    <w:p>
      <w:pPr>
        <w:pStyle w:val="Compact"/>
        <w:numPr>
          <w:ilvl w:val="0"/>
          <w:numId w:val="2351"/>
        </w:numPr>
      </w:pPr>
      <w:r>
        <w:t xml:space="preserve">Psychotherapy — in performance anxiety; couple therapy.</w:t>
      </w:r>
    </w:p>
    <w:p>
      <w:pPr>
        <w:pStyle w:val="Compact"/>
        <w:numPr>
          <w:ilvl w:val="0"/>
          <w:numId w:val="2351"/>
        </w:numPr>
      </w:pPr>
      <w:r>
        <w:t xml:space="preserve">Antidepressant-induced ED — bupropion, mirtazapine, vortioxetine alternative; sildenafil adjunct (Nurnberg JAMA 2003).</w:t>
      </w:r>
    </w:p>
    <w:bookmarkEnd w:id="2680"/>
    <w:bookmarkStart w:id="2681" w:name="treatment-methods-94"/>
    <w:p>
      <w:pPr>
        <w:pStyle w:val="Heading4"/>
      </w:pPr>
      <w:r>
        <w:t xml:space="preserve">8.2 Treatment methods</w:t>
      </w:r>
    </w:p>
    <w:p>
      <w:pPr>
        <w:pStyle w:val="Compact"/>
        <w:numPr>
          <w:ilvl w:val="0"/>
          <w:numId w:val="2354"/>
        </w:numPr>
      </w:pPr>
      <w:r>
        <w:t xml:space="preserve">PDE5 Inhibitors — Phosphodiesterase 5 inhibitor; absolutely contraindicated with nitrates.</w:t>
      </w:r>
    </w:p>
    <w:p>
      <w:pPr>
        <w:pStyle w:val="Compact"/>
        <w:numPr>
          <w:ilvl w:val="0"/>
          <w:numId w:val="2354"/>
        </w:numPr>
      </w:pPr>
      <w:r>
        <w:t xml:space="preserve">Intracavernosal Alprostadil — PGE1; if PDE5 fails.</w:t>
      </w:r>
    </w:p>
    <w:p>
      <w:pPr>
        <w:pStyle w:val="Compact"/>
        <w:numPr>
          <w:ilvl w:val="0"/>
          <w:numId w:val="2354"/>
        </w:numPr>
      </w:pPr>
      <w:r>
        <w:t xml:space="preserve">Vacuum Device — Non-invasive; can be used with anticoagulant.</w:t>
      </w:r>
    </w:p>
    <w:p>
      <w:pPr>
        <w:pStyle w:val="Compact"/>
        <w:numPr>
          <w:ilvl w:val="0"/>
          <w:numId w:val="2354"/>
        </w:numPr>
      </w:pPr>
      <w:r>
        <w:t xml:space="preserve">Penile Prosthesis — Refractory ED; high satisfaction.</w:t>
      </w:r>
    </w:p>
    <w:p>
      <w:pPr>
        <w:pStyle w:val="Compact"/>
        <w:numPr>
          <w:ilvl w:val="0"/>
          <w:numId w:val="2354"/>
        </w:numPr>
      </w:pPr>
      <w:r>
        <w:t xml:space="preserve">International Index of Erectile Function (IIEF) — Severity scale.</w:t>
      </w:r>
    </w:p>
    <w:bookmarkEnd w:id="2681"/>
    <w:bookmarkStart w:id="2682" w:name="differences-between-sources-172"/>
    <w:p>
      <w:pPr>
        <w:pStyle w:val="Heading4"/>
      </w:pPr>
      <w:r>
        <w:t xml:space="preserve">8.3 Differences between sources</w:t>
      </w:r>
    </w:p>
    <w:p>
      <w:pPr>
        <w:pStyle w:val="Compact"/>
        <w:numPr>
          <w:ilvl w:val="0"/>
          <w:numId w:val="2355"/>
        </w:numPr>
      </w:pPr>
      <w:r>
        <w:t xml:space="preserve">Burnett A.L. et al. AUA Guideline. J Urol 2018, 2024 update.</w:t>
      </w:r>
    </w:p>
    <w:p>
      <w:pPr>
        <w:pStyle w:val="Compact"/>
        <w:numPr>
          <w:ilvl w:val="0"/>
          <w:numId w:val="2355"/>
        </w:numPr>
      </w:pPr>
      <w:r>
        <w:t xml:space="preserve">Salonia A. et al. EAU Guidelines 2023.</w:t>
      </w:r>
    </w:p>
    <w:bookmarkEnd w:id="2682"/>
    <w:bookmarkEnd w:id="2683"/>
    <w:bookmarkStart w:id="2684" w:name="ha01-9-proqnoz"/>
    <w:p>
      <w:pPr>
        <w:pStyle w:val="Heading3"/>
      </w:pPr>
      <w:r>
        <w:t xml:space="preserve">9. Prognosis</w:t>
      </w:r>
    </w:p>
    <w:p>
      <w:pPr>
        <w:pStyle w:val="FirstParagraph"/>
      </w:pPr>
      <w:r>
        <w:t xml:space="preserve">PDE5 with 70% efficacy; refractory cases 2nd–3rd line; cardiovascular risk management reduces mortality.</w:t>
      </w:r>
    </w:p>
    <w:bookmarkEnd w:id="2684"/>
    <w:bookmarkStart w:id="2690" w:name="ha01-10-mifler"/>
    <w:p>
      <w:pPr>
        <w:pStyle w:val="Heading3"/>
      </w:pPr>
      <w:r>
        <w:t xml:space="preserve">10. Myths and misconceptions</w:t>
      </w:r>
    </w:p>
    <w:bookmarkStart w:id="2685" w:name="Xc5d5edcb8c51f88d37c630ff4bbfef5b2da0176"/>
    <w:p>
      <w:pPr>
        <w:pStyle w:val="Heading5"/>
      </w:pPr>
      <w:r>
        <w:t xml:space="preserve">Myth 1: “ED is a normal part of aging, requires no treatment”</w:t>
      </w:r>
    </w:p>
    <w:p>
      <w:pPr>
        <w:pStyle w:val="FirstParagraph"/>
      </w:pPr>
      <w:r>
        <w:t xml:space="preserve">Evidence: ED is an early cardiovascular marker; active intervention is essential.</w:t>
      </w:r>
    </w:p>
    <w:bookmarkEnd w:id="2685"/>
    <w:bookmarkStart w:id="2686" w:name="X04ac930de50a82837b5d1f1acb462eaee555b75"/>
    <w:p>
      <w:pPr>
        <w:pStyle w:val="Heading5"/>
      </w:pPr>
      <w:r>
        <w:t xml:space="preserve">Myth 2: “Over-the-counter ‘natural’ potency enhancers are safe”</w:t>
      </w:r>
    </w:p>
    <w:p>
      <w:pPr>
        <w:pStyle w:val="FirstParagraph"/>
      </w:pPr>
      <w:r>
        <w:t xml:space="preserve">Evidence: FDA warnings — many “natural” products contain undeclared sildenafil/tadalafil — interaction with nitrates, risk of death.</w:t>
      </w:r>
    </w:p>
    <w:bookmarkEnd w:id="2686"/>
    <w:bookmarkStart w:id="2687" w:name="Xcf2e1537e09324090961104456409e960e88393"/>
    <w:p>
      <w:pPr>
        <w:pStyle w:val="Heading5"/>
      </w:pPr>
      <w:r>
        <w:t xml:space="preserve">Myth 3: “Testosterone replacement therapy is needed for every ED patient”</w:t>
      </w:r>
    </w:p>
    <w:p>
      <w:pPr>
        <w:pStyle w:val="FirstParagraph"/>
      </w:pPr>
      <w:r>
        <w:t xml:space="preserve">Evidence: AUA — only in confirmed hypogonadism; routine TRT not recommended.</w:t>
      </w:r>
    </w:p>
    <w:bookmarkEnd w:id="2687"/>
    <w:bookmarkStart w:id="2688" w:name="Xf34a673ed25d7d76d50ef5a6d381cb512f52fdf"/>
    <w:p>
      <w:pPr>
        <w:pStyle w:val="Heading5"/>
      </w:pPr>
      <w:r>
        <w:t xml:space="preserve">Myth 4: “Shock wave therapy (Li-ESWT) is standard treatment”</w:t>
      </w:r>
    </w:p>
    <w:p>
      <w:pPr>
        <w:pStyle w:val="FirstParagraph"/>
      </w:pPr>
      <w:r>
        <w:t xml:space="preserve">Evidence: AUA 2024 — under investigation; not standard first-line.</w:t>
      </w:r>
    </w:p>
    <w:bookmarkEnd w:id="2688"/>
    <w:bookmarkStart w:id="2689" w:name="Xa99bada4a3f8e7ff92c9654e9ed27d7815debb5"/>
    <w:p>
      <w:pPr>
        <w:pStyle w:val="Heading5"/>
      </w:pPr>
      <w:r>
        <w:t xml:space="preserve">Myth 5: “Yohimbine is an effective natural alternative”</w:t>
      </w:r>
    </w:p>
    <w:p>
      <w:pPr>
        <w:pStyle w:val="FirstParagraph"/>
      </w:pPr>
      <w:r>
        <w:t xml:space="preserve">Evidence: Ernst E., Pittler M.H. J Urol 1998;159(2):433–436 — small effect, side effects of anxiety and hypertension; PDE5 superior.</w:t>
      </w:r>
    </w:p>
    <w:bookmarkEnd w:id="2689"/>
    <w:bookmarkEnd w:id="2690"/>
    <w:bookmarkStart w:id="2926" w:name="ha01-11-menbeler"/>
    <w:p>
      <w:pPr>
        <w:pStyle w:val="Heading3"/>
      </w:pPr>
      <w:r>
        <w:t xml:space="preserve">11. Sources</w:t>
      </w:r>
    </w:p>
    <w:p>
      <w:pPr>
        <w:pStyle w:val="Compact"/>
        <w:numPr>
          <w:ilvl w:val="0"/>
          <w:numId w:val="2356"/>
        </w:numPr>
      </w:pPr>
      <w:r>
        <w:t xml:space="preserve">WHO. ICD-11. HA01.1 Male erectile dysfunction. 2024.</w:t>
      </w:r>
    </w:p>
    <w:p>
      <w:pPr>
        <w:pStyle w:val="Compact"/>
        <w:numPr>
          <w:ilvl w:val="0"/>
          <w:numId w:val="2356"/>
        </w:numPr>
      </w:pPr>
      <w:r>
        <w:t xml:space="preserve">APA. DSM-5-TR. 2022.</w:t>
      </w:r>
    </w:p>
    <w:p>
      <w:pPr>
        <w:pStyle w:val="Compact"/>
        <w:numPr>
          <w:ilvl w:val="0"/>
          <w:numId w:val="2356"/>
        </w:numPr>
      </w:pPr>
      <w:r>
        <w:t xml:space="preserve">Burnett A.L. et al. Erectile Dysfunction: AUA Guideline. J Urol 2018;200(3):633–641.</w:t>
      </w:r>
    </w:p>
    <w:p>
      <w:pPr>
        <w:pStyle w:val="Compact"/>
        <w:numPr>
          <w:ilvl w:val="0"/>
          <w:numId w:val="2356"/>
        </w:numPr>
      </w:pPr>
      <w:r>
        <w:t xml:space="preserve">Salonia A. et al. EAU Guidelines on Sexual and Reproductive Health 2023.</w:t>
      </w:r>
    </w:p>
    <w:p>
      <w:pPr>
        <w:pStyle w:val="Compact"/>
        <w:numPr>
          <w:ilvl w:val="0"/>
          <w:numId w:val="2356"/>
        </w:numPr>
      </w:pPr>
      <w:r>
        <w:t xml:space="preserve">Nehra A. et al. The Princeton III Consensus recommendations for the management of erectile dysfunction and cardiovascular disease. Mayo Clin Proc 2012;87(8):766–778.</w:t>
      </w:r>
    </w:p>
    <w:p>
      <w:pPr>
        <w:pStyle w:val="Compact"/>
        <w:numPr>
          <w:ilvl w:val="0"/>
          <w:numId w:val="2356"/>
        </w:numPr>
      </w:pPr>
      <w:r>
        <w:t xml:space="preserve">Yuan J. et al. Comparative effectiveness and safety of oral phosphodiesterase type 5 inhibitors for erectile dysfunction: a systematic review and network meta-analysis. Eur Urol 2013;63(5):902–912.</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691" w:name="m123ha03.0-male-early-ejaculation-pe"/>
            <w:r>
              <w:t xml:space="preserve">HA03.0 MALE EARLY EJACULATION (PE)</w:t>
            </w:r>
            <w:bookmarkEnd w:id="2691"/>
          </w:p>
          <w:p>
            <w:pPr>
              <w:pStyle w:val="Compact"/>
              <w:ind w:firstLine="0" w:left="0"/>
            </w:pPr>
            <w:r>
              <w:rPr>
                <w:lang w:val="en"/>
              </w:rPr>
              <w:t xml:space="preserve">Male early ejaculation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Premature ejaculation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Premature (Early) Ejaculation</w:t>
            </w:r>
          </w:p>
        </w:tc>
      </w:tr>
    </w:tbl>
    <w:bookmarkStart w:id="2692" w:name="ha03-1-terif"/>
    <w:p>
      <w:pPr>
        <w:pStyle w:val="Heading3"/>
      </w:pPr>
      <w:r>
        <w:t xml:space="preserve">1. Definition and nosology</w:t>
      </w:r>
    </w:p>
    <w:p>
      <w:pPr>
        <w:pStyle w:val="FirstParagraph"/>
      </w:pPr>
      <w:r>
        <w:t xml:space="preserve">Male early ejaculation (PE; ICD-11:</w:t>
      </w:r>
      <w:r>
        <w:t xml:space="preserve"> </w:t>
      </w:r>
      <w:r>
        <w:t xml:space="preserve">HA03.0</w:t>
      </w:r>
      <w:r>
        <w:t xml:space="preserve">; DSM-5-TR: F52.4 Premature Ejaculation) — ejaculation occurring involuntarily within a short time, often before or within ~1 minute of penetration; loss of control and distress.</w:t>
      </w:r>
    </w:p>
    <w:p>
      <w:pPr>
        <w:pStyle w:val="BodyText"/>
      </w:pPr>
      <w:r>
        <w:t xml:space="preserve">Subtypes: Lifelong (primary) — present from onset; Acquired (secondary) — developed later; Variable and Subjective — ISSM classification.</w:t>
      </w:r>
    </w:p>
    <w:bookmarkEnd w:id="2692"/>
    <w:bookmarkStart w:id="2693" w:name="ha03-2-tarixce"/>
    <w:p>
      <w:pPr>
        <w:pStyle w:val="Heading3"/>
      </w:pPr>
      <w:r>
        <w:t xml:space="preserve">2. History</w:t>
      </w:r>
    </w:p>
    <w:p>
      <w:pPr>
        <w:pStyle w:val="Compact"/>
        <w:numPr>
          <w:ilvl w:val="0"/>
          <w:numId w:val="2357"/>
        </w:numPr>
      </w:pPr>
      <w:r>
        <w:t xml:space="preserve">Semans J.H. (1956) — ‘stop-start’ technique.</w:t>
      </w:r>
    </w:p>
    <w:p>
      <w:pPr>
        <w:pStyle w:val="Compact"/>
        <w:numPr>
          <w:ilvl w:val="0"/>
          <w:numId w:val="2357"/>
        </w:numPr>
      </w:pPr>
      <w:r>
        <w:t xml:space="preserve">Masters &amp; Johnson (1970) — “squeeze” behavioral technique.</w:t>
      </w:r>
    </w:p>
    <w:p>
      <w:pPr>
        <w:pStyle w:val="Compact"/>
        <w:numPr>
          <w:ilvl w:val="0"/>
          <w:numId w:val="2357"/>
        </w:numPr>
      </w:pPr>
      <w:r>
        <w:t xml:space="preserve">ISSM (2014) — Althof S.E. international diagnostic and treatment guideline.</w:t>
      </w:r>
    </w:p>
    <w:p>
      <w:pPr>
        <w:pStyle w:val="Compact"/>
        <w:numPr>
          <w:ilvl w:val="0"/>
          <w:numId w:val="2357"/>
        </w:numPr>
      </w:pPr>
      <w:r>
        <w:t xml:space="preserve">2009 — dapoxetine first approved drug for PE in the EU.</w:t>
      </w:r>
    </w:p>
    <w:bookmarkEnd w:id="2693"/>
    <w:bookmarkStart w:id="2694" w:name="ha03-3-epidemiologiya"/>
    <w:p>
      <w:pPr>
        <w:pStyle w:val="Heading3"/>
      </w:pPr>
      <w:r>
        <w:t xml:space="preserve">3. Epidemiology</w:t>
      </w:r>
    </w:p>
    <w:p>
      <w:pPr>
        <w:pStyle w:val="Compact"/>
        <w:numPr>
          <w:ilvl w:val="0"/>
          <w:numId w:val="2358"/>
        </w:numPr>
      </w:pPr>
      <w:r>
        <w:t xml:space="preserve">Prevalence in males 20–30% (self-reported); with strict ISSM criteria 4–5%.</w:t>
      </w:r>
    </w:p>
    <w:p>
      <w:pPr>
        <w:pStyle w:val="Compact"/>
        <w:numPr>
          <w:ilvl w:val="0"/>
          <w:numId w:val="2358"/>
        </w:numPr>
      </w:pPr>
      <w:r>
        <w:t xml:space="preserve">Age-related variability low; occurs in all age groups.</w:t>
      </w:r>
    </w:p>
    <w:p>
      <w:pPr>
        <w:pStyle w:val="Compact"/>
        <w:numPr>
          <w:ilvl w:val="0"/>
          <w:numId w:val="2358"/>
        </w:numPr>
      </w:pPr>
      <w:r>
        <w:t xml:space="preserve">Comorbidity: ED, anxiety, depression, relationship strain.</w:t>
      </w:r>
    </w:p>
    <w:bookmarkEnd w:id="2694"/>
    <w:bookmarkStart w:id="2695" w:name="ha03-4-etiologiya"/>
    <w:p>
      <w:pPr>
        <w:pStyle w:val="Heading3"/>
      </w:pPr>
      <w:r>
        <w:t xml:space="preserve">4. Aetiology and pathogenesis</w:t>
      </w:r>
    </w:p>
    <w:p>
      <w:pPr>
        <w:pStyle w:val="Compact"/>
        <w:numPr>
          <w:ilvl w:val="0"/>
          <w:numId w:val="2359"/>
        </w:numPr>
      </w:pPr>
      <w:r>
        <w:t xml:space="preserve">Neurobiological — serotonergic (5-HT2C, 5-HT1A balance); genetic component (lifelong).</w:t>
      </w:r>
    </w:p>
    <w:p>
      <w:pPr>
        <w:pStyle w:val="Compact"/>
        <w:numPr>
          <w:ilvl w:val="0"/>
          <w:numId w:val="2359"/>
        </w:numPr>
      </w:pPr>
      <w:r>
        <w:t xml:space="preserve">Psychological — performance anxiety, early sexual experience, relationship problems.</w:t>
      </w:r>
    </w:p>
    <w:p>
      <w:pPr>
        <w:pStyle w:val="Compact"/>
        <w:numPr>
          <w:ilvl w:val="0"/>
          <w:numId w:val="2359"/>
        </w:numPr>
      </w:pPr>
      <w:r>
        <w:t xml:space="preserve">Acquired — ED, prostatitis, hyperthyroidism, substance use.</w:t>
      </w:r>
    </w:p>
    <w:bookmarkEnd w:id="2695"/>
    <w:bookmarkStart w:id="2696" w:name="ha03-5-klinik"/>
    <w:p>
      <w:pPr>
        <w:pStyle w:val="Heading3"/>
      </w:pPr>
      <w:r>
        <w:t xml:space="preserve">5. Clinical features</w:t>
      </w:r>
    </w:p>
    <w:p>
      <w:pPr>
        <w:pStyle w:val="Compact"/>
        <w:numPr>
          <w:ilvl w:val="0"/>
          <w:numId w:val="2360"/>
        </w:numPr>
      </w:pPr>
      <w:r>
        <w:t xml:space="preserve">Intravaginal ejaculation latency time (IELT) short (lifelong ~1 min; acquired ≤ 3 min).</w:t>
      </w:r>
    </w:p>
    <w:p>
      <w:pPr>
        <w:pStyle w:val="Compact"/>
        <w:numPr>
          <w:ilvl w:val="0"/>
          <w:numId w:val="2360"/>
        </w:numPr>
      </w:pPr>
      <w:r>
        <w:t xml:space="preserve">Loss of control.</w:t>
      </w:r>
    </w:p>
    <w:p>
      <w:pPr>
        <w:pStyle w:val="Compact"/>
        <w:numPr>
          <w:ilvl w:val="0"/>
          <w:numId w:val="2360"/>
        </w:numPr>
      </w:pPr>
      <w:r>
        <w:t xml:space="preserve">Distress, avoidance, relationship tension.</w:t>
      </w:r>
    </w:p>
    <w:bookmarkEnd w:id="2696"/>
    <w:bookmarkStart w:id="2701" w:name="ha03-6-diaqnoz"/>
    <w:p>
      <w:pPr>
        <w:pStyle w:val="Heading3"/>
      </w:pPr>
      <w:r>
        <w:t xml:space="preserve">6. Diagnosis</w:t>
      </w:r>
    </w:p>
    <w:bookmarkStart w:id="2697" w:name="X5e19e6be6d4eeb6c43e36be8f25761e704aca6e"/>
    <w:p>
      <w:pPr>
        <w:pStyle w:val="Heading4"/>
      </w:pPr>
      <w:r>
        <w:t xml:space="preserve">6.1 Unified diagnostic criteria (ISSM 2014 · DSM-5-TR)</w:t>
      </w:r>
    </w:p>
    <w:p>
      <w:pPr>
        <w:pStyle w:val="FirstParagraph"/>
      </w:pPr>
      <w:r>
        <w:t xml:space="preserve">A. Ejaculation always or almost always before or within ~1 minute of penetration (lifelong) or a clinically meaningful decrease in latency time to ≤ 3 minutes (acquired).</w:t>
      </w:r>
    </w:p>
    <w:p>
      <w:pPr>
        <w:pStyle w:val="BodyText"/>
      </w:pPr>
      <w:r>
        <w:t xml:space="preserve">B. Inability to delay in all or almost all penetrations.</w:t>
      </w:r>
    </w:p>
    <w:p>
      <w:pPr>
        <w:pStyle w:val="BodyText"/>
      </w:pPr>
      <w:r>
        <w:t xml:space="preserve">C. Negative personal consequences — distress, avoidance.</w:t>
      </w:r>
    </w:p>
    <w:bookmarkEnd w:id="2697"/>
    <w:bookmarkStart w:id="2698" w:name="differences-between-sources-173"/>
    <w:p>
      <w:pPr>
        <w:pStyle w:val="Heading4"/>
      </w:pPr>
      <w:r>
        <w:t xml:space="preserve">6.2 Differences between sources</w:t>
      </w:r>
    </w:p>
    <w:p>
      <w:pPr>
        <w:pStyle w:val="Compact"/>
        <w:numPr>
          <w:ilvl w:val="0"/>
          <w:numId w:val="2361"/>
        </w:numPr>
      </w:pPr>
      <w:r>
        <w:t xml:space="preserve">ISSM (Althof S.E. et al. J Sex Med 2014).</w:t>
      </w:r>
    </w:p>
    <w:p>
      <w:pPr>
        <w:pStyle w:val="Compact"/>
        <w:numPr>
          <w:ilvl w:val="0"/>
          <w:numId w:val="2361"/>
        </w:numPr>
      </w:pPr>
      <w:r>
        <w:t xml:space="preserve">AUA and EAU guidelines.</w:t>
      </w:r>
    </w:p>
    <w:bookmarkEnd w:id="2698"/>
    <w:bookmarkStart w:id="2699" w:name="diagnostic-algorithm-97"/>
    <w:p>
      <w:pPr>
        <w:pStyle w:val="Heading4"/>
      </w:pPr>
      <w:r>
        <w:t xml:space="preserve">6.3 Diagnostic algorithm</w:t>
      </w:r>
    </w:p>
    <w:p>
      <w:pPr>
        <w:pStyle w:val="Compact"/>
        <w:numPr>
          <w:ilvl w:val="0"/>
          <w:numId w:val="2362"/>
        </w:numPr>
      </w:pPr>
      <w:r>
        <w:t xml:space="preserve">Clinical interview (sexual history, IELT, control, distress).</w:t>
      </w:r>
    </w:p>
    <w:p>
      <w:pPr>
        <w:pStyle w:val="Compact"/>
        <w:numPr>
          <w:ilvl w:val="0"/>
          <w:numId w:val="2362"/>
        </w:numPr>
      </w:pPr>
      <w:r>
        <w:t xml:space="preserve">PEDT (Premature Ejaculation Diagnostic Tool) — 5-item.</w:t>
      </w:r>
    </w:p>
    <w:p>
      <w:pPr>
        <w:pStyle w:val="Compact"/>
        <w:numPr>
          <w:ilvl w:val="0"/>
          <w:numId w:val="2362"/>
        </w:numPr>
      </w:pPr>
      <w:r>
        <w:t xml:space="preserve">Comorbid ED assessment (IIEF).</w:t>
      </w:r>
    </w:p>
    <w:p>
      <w:pPr>
        <w:pStyle w:val="Compact"/>
        <w:numPr>
          <w:ilvl w:val="0"/>
          <w:numId w:val="2362"/>
        </w:numPr>
      </w:pPr>
      <w:r>
        <w:t xml:space="preserve">Endocrine and urologic (acquired form).</w:t>
      </w:r>
    </w:p>
    <w:bookmarkEnd w:id="2699"/>
    <w:bookmarkStart w:id="2700" w:name="differential-diagnosis-98"/>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Difficulty maintaining erection.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Not a clinical entity — normal variation.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IELT normal, but perception disturbance.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Prostatitis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Pelvic pain; acquired PE.</w:t>
            </w:r>
          </w:p>
        </w:tc>
      </w:tr>
    </w:tbl>
    <w:bookmarkEnd w:id="2700"/>
    <w:bookmarkEnd w:id="2701"/>
    <w:bookmarkStart w:id="2702" w:name="ha03-7-muayine"/>
    <w:p>
      <w:pPr>
        <w:pStyle w:val="Heading3"/>
      </w:pPr>
      <w:r>
        <w:t xml:space="preserve">7. Examination and assessment</w:t>
      </w:r>
    </w:p>
    <w:p>
      <w:pPr>
        <w:pStyle w:val="Compact"/>
        <w:numPr>
          <w:ilvl w:val="0"/>
          <w:numId w:val="2363"/>
        </w:numPr>
      </w:pPr>
      <w:r>
        <w:t xml:space="preserve">PEDT, IIEF.</w:t>
      </w:r>
    </w:p>
    <w:p>
      <w:pPr>
        <w:pStyle w:val="Compact"/>
        <w:numPr>
          <w:ilvl w:val="0"/>
          <w:numId w:val="2363"/>
        </w:numPr>
      </w:pPr>
      <w:r>
        <w:t xml:space="preserve">IELT (chronometry — when recommended).</w:t>
      </w:r>
    </w:p>
    <w:p>
      <w:pPr>
        <w:pStyle w:val="Compact"/>
        <w:numPr>
          <w:ilvl w:val="0"/>
          <w:numId w:val="2363"/>
        </w:numPr>
      </w:pPr>
      <w:r>
        <w:t xml:space="preserve">Endocrine and urologic (suspected acquired).</w:t>
      </w:r>
    </w:p>
    <w:bookmarkEnd w:id="2702"/>
    <w:bookmarkStart w:id="2706" w:name="ha03-8-mualice"/>
    <w:p>
      <w:pPr>
        <w:pStyle w:val="Heading3"/>
      </w:pPr>
      <w:r>
        <w:t xml:space="preserve">8. Treatment</w:t>
      </w:r>
    </w:p>
    <w:bookmarkStart w:id="2703" w:name="general-principles-issm-2014-aua-eau"/>
    <w:p>
      <w:pPr>
        <w:pStyle w:val="Heading4"/>
      </w:pPr>
      <w:r>
        <w:t xml:space="preserve">8.1 General principles (ISSM 2014 · AUA · EAU)</w:t>
      </w:r>
    </w:p>
    <w:p>
      <w:pPr>
        <w:pStyle w:val="Compact"/>
        <w:numPr>
          <w:ilvl w:val="0"/>
          <w:numId w:val="2364"/>
        </w:numPr>
      </w:pPr>
      <w:r>
        <w:t xml:space="preserve">Behavioral methods (first-line or combination):</w:t>
      </w:r>
    </w:p>
    <w:p>
      <w:pPr>
        <w:pStyle w:val="Compact"/>
        <w:numPr>
          <w:ilvl w:val="1"/>
          <w:numId w:val="2365"/>
        </w:numPr>
      </w:pPr>
      <w:r>
        <w:t xml:space="preserve">Stop-start (Semans);</w:t>
      </w:r>
    </w:p>
    <w:p>
      <w:pPr>
        <w:pStyle w:val="Compact"/>
        <w:numPr>
          <w:ilvl w:val="1"/>
          <w:numId w:val="2365"/>
        </w:numPr>
      </w:pPr>
      <w:r>
        <w:t xml:space="preserve">Squeeze technique (Masters &amp; Johnson);</w:t>
      </w:r>
    </w:p>
    <w:p>
      <w:pPr>
        <w:pStyle w:val="Compact"/>
        <w:numPr>
          <w:ilvl w:val="1"/>
          <w:numId w:val="2365"/>
        </w:numPr>
      </w:pPr>
      <w:r>
        <w:t xml:space="preserve">Pelvic floor exercises (Pastore A. RCT 2014).</w:t>
      </w:r>
    </w:p>
    <w:p>
      <w:pPr>
        <w:pStyle w:val="Compact"/>
        <w:numPr>
          <w:ilvl w:val="0"/>
          <w:numId w:val="2364"/>
        </w:numPr>
      </w:pPr>
      <w:r>
        <w:t xml:space="preserve">Dapoxetine — short-acting SSRI; 30–60 mg 1–3 hours before intercourse; approved for PE in EU and many countries. Not approved for PE by US FDA.</w:t>
      </w:r>
    </w:p>
    <w:p>
      <w:pPr>
        <w:pStyle w:val="Compact"/>
        <w:numPr>
          <w:ilvl w:val="0"/>
          <w:numId w:val="2364"/>
        </w:numPr>
      </w:pPr>
      <w:r>
        <w:t xml:space="preserve">SSRI off-label daily — paroxetine (10–40 mg) highest efficacy (Waldinger meta-analysis); sertraline, fluoxetine, citalopram alternatives; possible sexual side effects.</w:t>
      </w:r>
    </w:p>
    <w:p>
      <w:pPr>
        <w:pStyle w:val="Compact"/>
        <w:numPr>
          <w:ilvl w:val="0"/>
          <w:numId w:val="2364"/>
        </w:numPr>
      </w:pPr>
      <w:r>
        <w:t xml:space="preserve">Topical anesthetics - lidocaine/prilocaine (EMLA, TEMPE/Fortacin spray) before penetration (cream 20–30 minutes, spray ~5 minutes); protection against partner transmission (condom or wipe).</w:t>
      </w:r>
    </w:p>
    <w:p>
      <w:pPr>
        <w:pStyle w:val="Compact"/>
        <w:numPr>
          <w:ilvl w:val="0"/>
          <w:numId w:val="2364"/>
        </w:numPr>
      </w:pPr>
      <w:r>
        <w:t xml:space="preserve">Tramadol — in selected cases (addiction risk must be considered).</w:t>
      </w:r>
    </w:p>
    <w:p>
      <w:pPr>
        <w:pStyle w:val="Compact"/>
        <w:numPr>
          <w:ilvl w:val="0"/>
          <w:numId w:val="2364"/>
        </w:numPr>
      </w:pPr>
      <w:r>
        <w:t xml:space="preserve">PDE5 inhibitor — only with comorbid ED.</w:t>
      </w:r>
    </w:p>
    <w:p>
      <w:pPr>
        <w:pStyle w:val="Compact"/>
        <w:numPr>
          <w:ilvl w:val="0"/>
          <w:numId w:val="2364"/>
        </w:numPr>
      </w:pPr>
      <w:r>
        <w:t xml:space="preserve">Couple therapy and CBT — for performance anxiety.</w:t>
      </w:r>
    </w:p>
    <w:bookmarkEnd w:id="2703"/>
    <w:bookmarkStart w:id="2704" w:name="treatment-methods-95"/>
    <w:p>
      <w:pPr>
        <w:pStyle w:val="Heading4"/>
      </w:pPr>
      <w:r>
        <w:t xml:space="preserve">8.2 Treatment methods</w:t>
      </w:r>
    </w:p>
    <w:p>
      <w:pPr>
        <w:pStyle w:val="Compact"/>
        <w:numPr>
          <w:ilvl w:val="0"/>
          <w:numId w:val="2366"/>
        </w:numPr>
      </w:pPr>
      <w:r>
        <w:t xml:space="preserve">Dapoxetine — Short-acting SSRI; when needed; EU approval.</w:t>
      </w:r>
    </w:p>
    <w:p>
      <w:pPr>
        <w:pStyle w:val="Compact"/>
        <w:numPr>
          <w:ilvl w:val="0"/>
          <w:numId w:val="2366"/>
        </w:numPr>
      </w:pPr>
      <w:r>
        <w:t xml:space="preserve">Topical Anaesthetic — Lidocaine/prilocaine (EMLA cream 20–30 min; Fortacin spray ~5 min prior).</w:t>
      </w:r>
    </w:p>
    <w:p>
      <w:pPr>
        <w:pStyle w:val="Compact"/>
        <w:numPr>
          <w:ilvl w:val="0"/>
          <w:numId w:val="2366"/>
        </w:numPr>
      </w:pPr>
      <w:r>
        <w:t xml:space="preserve">SSRI Daily (off-label) — Paroxetine highest efficacy.</w:t>
      </w:r>
    </w:p>
    <w:p>
      <w:pPr>
        <w:pStyle w:val="Compact"/>
        <w:numPr>
          <w:ilvl w:val="0"/>
          <w:numId w:val="2366"/>
        </w:numPr>
      </w:pPr>
      <w:r>
        <w:t xml:space="preserve">Start-Stop and Squeeze techniques — Behavioral methods; singly or in combination.</w:t>
      </w:r>
    </w:p>
    <w:p>
      <w:pPr>
        <w:pStyle w:val="Compact"/>
        <w:numPr>
          <w:ilvl w:val="0"/>
          <w:numId w:val="2366"/>
        </w:numPr>
      </w:pPr>
      <w:r>
        <w:t xml:space="preserve">Pelvic Floor Exercises — Pastore RCT — IELT increase.</w:t>
      </w:r>
    </w:p>
    <w:bookmarkEnd w:id="2704"/>
    <w:bookmarkStart w:id="2705" w:name="differences-between-sources-174"/>
    <w:p>
      <w:pPr>
        <w:pStyle w:val="Heading4"/>
      </w:pPr>
      <w:r>
        <w:t xml:space="preserve">8.3 Differences between sources</w:t>
      </w:r>
    </w:p>
    <w:p>
      <w:pPr>
        <w:pStyle w:val="Compact"/>
        <w:numPr>
          <w:ilvl w:val="0"/>
          <w:numId w:val="2367"/>
        </w:numPr>
      </w:pPr>
      <w:r>
        <w:t xml:space="preserve">Althof S.E. et al. ISSM Guideline. J Sex Med 2014.</w:t>
      </w:r>
    </w:p>
    <w:p>
      <w:pPr>
        <w:pStyle w:val="Compact"/>
        <w:numPr>
          <w:ilvl w:val="0"/>
          <w:numId w:val="2367"/>
        </w:numPr>
      </w:pPr>
      <w:r>
        <w:t xml:space="preserve">Waldinger M.D. et al. SSRI meta-analysis.</w:t>
      </w:r>
    </w:p>
    <w:bookmarkEnd w:id="2705"/>
    <w:bookmarkEnd w:id="2706"/>
    <w:bookmarkStart w:id="2707" w:name="ha03-9-proqnoz"/>
    <w:p>
      <w:pPr>
        <w:pStyle w:val="Heading3"/>
      </w:pPr>
      <w:r>
        <w:t xml:space="preserve">9. Prognosis</w:t>
      </w:r>
    </w:p>
    <w:p>
      <w:pPr>
        <w:pStyle w:val="FirstParagraph"/>
      </w:pPr>
      <w:r>
        <w:t xml:space="preserve">Dapoxetine and SSRIs increase IELT by 2–4 times; behavioral combination supports long-term effect.</w:t>
      </w:r>
    </w:p>
    <w:bookmarkEnd w:id="2707"/>
    <w:bookmarkStart w:id="2713" w:name="ha03-10-mifler"/>
    <w:p>
      <w:pPr>
        <w:pStyle w:val="Heading3"/>
      </w:pPr>
      <w:r>
        <w:t xml:space="preserve">10. Myths and misconceptions</w:t>
      </w:r>
    </w:p>
    <w:bookmarkStart w:id="2708" w:name="X2f7ea51bf9e92d5a44706bb533a4bb0b8eff6c8"/>
    <w:p>
      <w:pPr>
        <w:pStyle w:val="Heading5"/>
      </w:pPr>
      <w:r>
        <w:t xml:space="preserve">Myth 1: “PE is only a psychological problem”</w:t>
      </w:r>
    </w:p>
    <w:p>
      <w:pPr>
        <w:pStyle w:val="FirstParagraph"/>
      </w:pPr>
      <w:r>
        <w:t xml:space="preserve">Evidence: Lifelong PE is associated with serotonergic neurobiology; the effects of dapoxetine and SSRIs confirm this.</w:t>
      </w:r>
    </w:p>
    <w:bookmarkEnd w:id="2708"/>
    <w:bookmarkStart w:id="2709" w:name="Xb542bc4c405be3e1bd90222c92978b62234c921"/>
    <w:p>
      <w:pPr>
        <w:pStyle w:val="Heading5"/>
      </w:pPr>
      <w:r>
        <w:t xml:space="preserve">Myth 2: “Dapoxetine is FDA-approved in the USA”</w:t>
      </w:r>
    </w:p>
    <w:p>
      <w:pPr>
        <w:pStyle w:val="FirstParagraph"/>
      </w:pPr>
      <w:r>
        <w:t xml:space="preserve">Evidence: Dapoxetine is not approved by the US FDA for PE; it is approved in the EU and many countries; in the US, PE is treated off-label with daily SSRIs.</w:t>
      </w:r>
    </w:p>
    <w:bookmarkEnd w:id="2709"/>
    <w:bookmarkStart w:id="2710" w:name="X790f76bf5b1a76a64a71566ea23a5e6019d2aea"/>
    <w:p>
      <w:pPr>
        <w:pStyle w:val="Heading5"/>
      </w:pPr>
      <w:r>
        <w:t xml:space="preserve">Myth 3: “Topical anesthetic is safe and has no effect on the partner”</w:t>
      </w:r>
    </w:p>
    <w:p>
      <w:pPr>
        <w:pStyle w:val="FirstParagraph"/>
      </w:pPr>
      <w:r>
        <w:t xml:space="preserve">Evidence: Condom or switch to wiping important for partner protection; otherwise partner may experience reduced sensation.</w:t>
      </w:r>
    </w:p>
    <w:bookmarkEnd w:id="2710"/>
    <w:bookmarkStart w:id="2711" w:name="Xfe4a6152f6aa866aa6627c43db201c747589c92"/>
    <w:p>
      <w:pPr>
        <w:pStyle w:val="Heading5"/>
      </w:pPr>
      <w:r>
        <w:t xml:space="preserve">Myth 4: “Over-the-counter ‘PE enhancers’ are safe”</w:t>
      </w:r>
    </w:p>
    <w:p>
      <w:pPr>
        <w:pStyle w:val="FirstParagraph"/>
      </w:pPr>
      <w:r>
        <w:t xml:space="preserve">Evidence: FDA warnings — many “natural” products contain undeclared SSRIs or anesthetic components.</w:t>
      </w:r>
    </w:p>
    <w:bookmarkEnd w:id="2711"/>
    <w:bookmarkStart w:id="2712" w:name="X1e344d40b05c4ae4ddbdbe6ea7a6fa9e9b1b75c"/>
    <w:p>
      <w:pPr>
        <w:pStyle w:val="Heading5"/>
      </w:pPr>
      <w:r>
        <w:t xml:space="preserve">Myth 5: “Behavioral therapy is only an old method”</w:t>
      </w:r>
    </w:p>
    <w:p>
      <w:pPr>
        <w:pStyle w:val="FirstParagraph"/>
      </w:pPr>
      <w:r>
        <w:t xml:space="preserve">Evidence: ISSM recommends start-stop, squeeze, and pelvic floor exercises; effectiveness increases in combination with pharmacotherapy.</w:t>
      </w:r>
    </w:p>
    <w:bookmarkEnd w:id="2712"/>
    <w:bookmarkEnd w:id="2713"/>
    <w:bookmarkStart w:id="2925" w:name="ha03-11-menbeler"/>
    <w:p>
      <w:pPr>
        <w:pStyle w:val="Heading3"/>
      </w:pPr>
      <w:r>
        <w:t xml:space="preserve">11. Sources</w:t>
      </w:r>
    </w:p>
    <w:p>
      <w:pPr>
        <w:pStyle w:val="Compact"/>
        <w:numPr>
          <w:ilvl w:val="0"/>
          <w:numId w:val="2368"/>
        </w:numPr>
      </w:pPr>
      <w:r>
        <w:t xml:space="preserve">WHO. ICD-11. HA03.0 Male early ejaculation. 2024.</w:t>
      </w:r>
    </w:p>
    <w:p>
      <w:pPr>
        <w:pStyle w:val="Compact"/>
        <w:numPr>
          <w:ilvl w:val="0"/>
          <w:numId w:val="2368"/>
        </w:numPr>
      </w:pPr>
      <w:r>
        <w:t xml:space="preserve">APA. DSM-5-TR. 2022.</w:t>
      </w:r>
    </w:p>
    <w:p>
      <w:pPr>
        <w:pStyle w:val="Compact"/>
        <w:numPr>
          <w:ilvl w:val="0"/>
          <w:numId w:val="2368"/>
        </w:numPr>
      </w:pPr>
      <w:r>
        <w:t xml:space="preserve">Althof S.E. et al. An update of the International Society of Sexual Medicine's guidelines for the diagnosis and treatment of premature ejaculation. J Sex Med 2014;11(6):1392–1422.</w:t>
      </w:r>
    </w:p>
    <w:p>
      <w:pPr>
        <w:pStyle w:val="Compact"/>
        <w:numPr>
          <w:ilvl w:val="0"/>
          <w:numId w:val="2368"/>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368"/>
        </w:numPr>
      </w:pPr>
      <w:r>
        <w:t xml:space="preserve">Pastore A.L. et al. Pelvic floor muscle rehabilitation for patients with lifelong premature ejaculation: a novel therapeutic approach. Ther Adv Urol 2014;6(3):83–88.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14" w:name="Xd6664661b13042a3f5edd83178403f7f3af86fc"/>
            <w:r>
              <w:t xml:space="preserve">HA00 HYPOACTIVE SEXUAL DESIRE DYSFUNCTION (HSDD)</w:t>
            </w:r>
            <w:bookmarkEnd w:id="2714"/>
          </w:p>
          <w:p>
            <w:pPr>
              <w:pStyle w:val="Compact"/>
              <w:ind w:firstLine="0" w:left="0"/>
            </w:pPr>
            <w:r>
              <w:rPr>
                <w:lang w:val="en"/>
              </w:rPr>
              <w:t xml:space="preserve">Hypoactive sexual desire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Lack or loss of sexual desire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Male Hypoactive Sexual Desire Disorder / Female Sexual Interest-Arousal Disorder</w:t>
            </w:r>
          </w:p>
        </w:tc>
      </w:tr>
    </w:tbl>
    <w:bookmarkStart w:id="2715" w:name="ha00-1-terif"/>
    <w:p>
      <w:pPr>
        <w:pStyle w:val="Heading3"/>
      </w:pPr>
      <w:r>
        <w:t xml:space="preserve">1. Definition and nosology</w:t>
      </w:r>
    </w:p>
    <w:p>
      <w:pPr>
        <w:pStyle w:val="FirstParagraph"/>
      </w:pPr>
      <w:r>
        <w:t xml:space="preserve">Hypoactive sexual desire dysfunction (HSDD; ICD-11:</w:t>
      </w:r>
      <w:r>
        <w:t xml:space="preserve"> </w:t>
      </w:r>
      <w:r>
        <w:t xml:space="preserve">HA00</w:t>
      </w:r>
      <w:r>
        <w:t xml:space="preserve">; DSM-5-TR in females Female Sexual Interest/Arousal Disorder F52.22, in males Male Hypoactive Sexual Desire Disorder F52.0) — persistent decrease or absence of sexual fantasies and desire for sexual activity; with distress.</w:t>
      </w:r>
    </w:p>
    <w:p>
      <w:pPr>
        <w:pStyle w:val="BodyText"/>
      </w:pPr>
      <w:r>
        <w:t xml:space="preserve">Duration ≥ 6 months; situational or generalized; lifelong or acquired.</w:t>
      </w:r>
    </w:p>
    <w:bookmarkEnd w:id="2715"/>
    <w:bookmarkStart w:id="2716" w:name="ha00-2-tarixce"/>
    <w:p>
      <w:pPr>
        <w:pStyle w:val="Heading3"/>
      </w:pPr>
      <w:r>
        <w:t xml:space="preserve">2. History</w:t>
      </w:r>
    </w:p>
    <w:p>
      <w:pPr>
        <w:pStyle w:val="Compact"/>
        <w:numPr>
          <w:ilvl w:val="0"/>
          <w:numId w:val="2369"/>
        </w:numPr>
      </w:pPr>
      <w:r>
        <w:t xml:space="preserve">Kaplan H.S. (1977) — inclusion of the desire phase in the sexual response model.</w:t>
      </w:r>
    </w:p>
    <w:p>
      <w:pPr>
        <w:pStyle w:val="Compact"/>
        <w:numPr>
          <w:ilvl w:val="0"/>
          <w:numId w:val="2369"/>
        </w:numPr>
      </w:pPr>
      <w:r>
        <w:t xml:space="preserve">Basson R. (2000) — circular desire-arousal model in women.</w:t>
      </w:r>
    </w:p>
    <w:p>
      <w:pPr>
        <w:pStyle w:val="Compact"/>
        <w:numPr>
          <w:ilvl w:val="0"/>
          <w:numId w:val="2369"/>
        </w:numPr>
      </w:pPr>
      <w:r>
        <w:t xml:space="preserve">2015 — flibanserin FDA approval; 2019 — bremelanotide FDA approval.</w:t>
      </w:r>
    </w:p>
    <w:p>
      <w:pPr>
        <w:pStyle w:val="Compact"/>
        <w:numPr>
          <w:ilvl w:val="0"/>
          <w:numId w:val="2369"/>
        </w:numPr>
      </w:pPr>
      <w:r>
        <w:t xml:space="preserve">ISSWSH (International Society for the Study of Women's Sexual Health) Process of Care 2018 (Clayton A.H.).</w:t>
      </w:r>
    </w:p>
    <w:bookmarkEnd w:id="2716"/>
    <w:bookmarkStart w:id="2717" w:name="ha00-3-epidemiologiya"/>
    <w:p>
      <w:pPr>
        <w:pStyle w:val="Heading3"/>
      </w:pPr>
      <w:r>
        <w:t xml:space="preserve">3. Epidemiology</w:t>
      </w:r>
    </w:p>
    <w:p>
      <w:pPr>
        <w:pStyle w:val="Compact"/>
        <w:numPr>
          <w:ilvl w:val="0"/>
          <w:numId w:val="2370"/>
        </w:numPr>
      </w:pPr>
      <w:r>
        <w:t xml:space="preserve">Women: 8–10% distress (HSDD); men: 14–17%.</w:t>
      </w:r>
    </w:p>
    <w:p>
      <w:pPr>
        <w:pStyle w:val="Compact"/>
        <w:numPr>
          <w:ilvl w:val="0"/>
          <w:numId w:val="2370"/>
        </w:numPr>
      </w:pPr>
      <w:r>
        <w:t xml:space="preserve">Age-related increase; perimenopause is a risk period.</w:t>
      </w:r>
    </w:p>
    <w:p>
      <w:pPr>
        <w:pStyle w:val="Compact"/>
        <w:numPr>
          <w:ilvl w:val="0"/>
          <w:numId w:val="2370"/>
        </w:numPr>
      </w:pPr>
      <w:r>
        <w:t xml:space="preserve">Comorbidity: depression, antidepressant use (SSRIs), relationship problems.</w:t>
      </w:r>
    </w:p>
    <w:bookmarkEnd w:id="2717"/>
    <w:bookmarkStart w:id="2718" w:name="ha00-4-etiologiya"/>
    <w:p>
      <w:pPr>
        <w:pStyle w:val="Heading3"/>
      </w:pPr>
      <w:r>
        <w:t xml:space="preserve">4. Aetiology and pathogenesis</w:t>
      </w:r>
    </w:p>
    <w:p>
      <w:pPr>
        <w:pStyle w:val="Compact"/>
        <w:numPr>
          <w:ilvl w:val="0"/>
          <w:numId w:val="2371"/>
        </w:numPr>
      </w:pPr>
      <w:r>
        <w:t xml:space="preserve">Biological — hormonal (testosterone, estrogen), medication-related (SSRIs, OCs, antihypertensives), chronic diseases.</w:t>
      </w:r>
    </w:p>
    <w:p>
      <w:pPr>
        <w:pStyle w:val="Compact"/>
        <w:numPr>
          <w:ilvl w:val="0"/>
          <w:numId w:val="2371"/>
        </w:numPr>
      </w:pPr>
      <w:r>
        <w:t xml:space="preserve">Psychological — depression, anxiety, body image, trauma history.</w:t>
      </w:r>
    </w:p>
    <w:p>
      <w:pPr>
        <w:pStyle w:val="Compact"/>
        <w:numPr>
          <w:ilvl w:val="0"/>
          <w:numId w:val="2371"/>
        </w:numPr>
      </w:pPr>
      <w:r>
        <w:t xml:space="preserve">Relationship — conflict, partner sexual dysfunction.</w:t>
      </w:r>
    </w:p>
    <w:p>
      <w:pPr>
        <w:pStyle w:val="Compact"/>
        <w:numPr>
          <w:ilvl w:val="0"/>
          <w:numId w:val="2371"/>
        </w:numPr>
      </w:pPr>
      <w:r>
        <w:t xml:space="preserve">Social-cultural — taboo, lack of knowledge.</w:t>
      </w:r>
    </w:p>
    <w:bookmarkEnd w:id="2718"/>
    <w:bookmarkStart w:id="2719" w:name="ha00-5-klinik"/>
    <w:p>
      <w:pPr>
        <w:pStyle w:val="Heading3"/>
      </w:pPr>
      <w:r>
        <w:t xml:space="preserve">5. Clinical features</w:t>
      </w:r>
    </w:p>
    <w:p>
      <w:pPr>
        <w:pStyle w:val="Compact"/>
        <w:numPr>
          <w:ilvl w:val="0"/>
          <w:numId w:val="2372"/>
        </w:numPr>
      </w:pPr>
      <w:r>
        <w:t xml:space="preserve">Reduction or absence of spontaneous sexual fantasy and thought.</w:t>
      </w:r>
    </w:p>
    <w:p>
      <w:pPr>
        <w:pStyle w:val="Compact"/>
        <w:numPr>
          <w:ilvl w:val="0"/>
          <w:numId w:val="2372"/>
        </w:numPr>
      </w:pPr>
      <w:r>
        <w:t xml:space="preserve">Not initiating and not responding to partner's initiative.</w:t>
      </w:r>
    </w:p>
    <w:p>
      <w:pPr>
        <w:pStyle w:val="Compact"/>
        <w:numPr>
          <w:ilvl w:val="0"/>
          <w:numId w:val="2372"/>
        </w:numPr>
      </w:pPr>
      <w:r>
        <w:t xml:space="preserve">Distress (critical criterion — mere low desire is insufficient).</w:t>
      </w:r>
    </w:p>
    <w:bookmarkEnd w:id="2719"/>
    <w:bookmarkStart w:id="2724" w:name="ha00-6-diaqnoz"/>
    <w:p>
      <w:pPr>
        <w:pStyle w:val="Heading3"/>
      </w:pPr>
      <w:r>
        <w:t xml:space="preserve">6. Diagnosis</w:t>
      </w:r>
    </w:p>
    <w:bookmarkStart w:id="2720" w:name="X0d87472b66ce33d0e5a37b79502b18e0b626712"/>
    <w:p>
      <w:pPr>
        <w:pStyle w:val="Heading4"/>
      </w:pPr>
      <w:r>
        <w:t xml:space="preserve">6.1 Unified diagnostic criteria (DSM-5-TR · ISSWSH)</w:t>
      </w:r>
    </w:p>
    <w:p>
      <w:pPr>
        <w:pStyle w:val="FirstParagraph"/>
      </w:pPr>
      <w:r>
        <w:t xml:space="preserve">A. Persistent reduction or absence of sexual fantasies and desire.</w:t>
      </w:r>
    </w:p>
    <w:p>
      <w:pPr>
        <w:pStyle w:val="BodyText"/>
      </w:pPr>
      <w:r>
        <w:t xml:space="preserve">B. Duration ≥ 6 months.</w:t>
      </w:r>
    </w:p>
    <w:p>
      <w:pPr>
        <w:pStyle w:val="BodyText"/>
      </w:pPr>
      <w:r>
        <w:t xml:space="preserve">C. Clinically significant distress.</w:t>
      </w:r>
    </w:p>
    <w:p>
      <w:pPr>
        <w:pStyle w:val="BodyText"/>
      </w:pPr>
      <w:r>
        <w:t xml:space="preserve">D. Not better explained by another mental disorder, medication, or medical condition.</w:t>
      </w:r>
    </w:p>
    <w:bookmarkEnd w:id="2720"/>
    <w:bookmarkStart w:id="2721" w:name="differences-between-sources-175"/>
    <w:p>
      <w:pPr>
        <w:pStyle w:val="Heading4"/>
      </w:pPr>
      <w:r>
        <w:t xml:space="preserve">6.2 Differences between sources</w:t>
      </w:r>
    </w:p>
    <w:p>
      <w:pPr>
        <w:pStyle w:val="Compact"/>
        <w:numPr>
          <w:ilvl w:val="0"/>
          <w:numId w:val="2373"/>
        </w:numPr>
      </w:pPr>
      <w:r>
        <w:t xml:space="preserve">ISSWSH Process of Care (Clayton A.H. et al. Mayo Clin Proc 2018).</w:t>
      </w:r>
    </w:p>
    <w:p>
      <w:pPr>
        <w:pStyle w:val="Compact"/>
        <w:numPr>
          <w:ilvl w:val="0"/>
          <w:numId w:val="2373"/>
        </w:numPr>
      </w:pPr>
      <w:r>
        <w:t xml:space="preserve">DSM-5-TR — desire and arousal combined in women (FSIAD).</w:t>
      </w:r>
    </w:p>
    <w:bookmarkEnd w:id="2721"/>
    <w:bookmarkStart w:id="2722" w:name="diagnostic-algorithm-98"/>
    <w:p>
      <w:pPr>
        <w:pStyle w:val="Heading4"/>
      </w:pPr>
      <w:r>
        <w:t xml:space="preserve">6.3 Diagnostic algorithm</w:t>
      </w:r>
    </w:p>
    <w:p>
      <w:pPr>
        <w:pStyle w:val="Compact"/>
        <w:numPr>
          <w:ilvl w:val="0"/>
          <w:numId w:val="2374"/>
        </w:numPr>
      </w:pPr>
      <w:r>
        <w:t xml:space="preserve">Clinical interview (sexual and relationship history).</w:t>
      </w:r>
    </w:p>
    <w:p>
      <w:pPr>
        <w:pStyle w:val="Compact"/>
        <w:numPr>
          <w:ilvl w:val="0"/>
          <w:numId w:val="2374"/>
        </w:numPr>
      </w:pPr>
      <w:r>
        <w:t xml:space="preserve">DSDS (Decreased Sexual Desire Screener) — 5-item in women.</w:t>
      </w:r>
    </w:p>
    <w:p>
      <w:pPr>
        <w:pStyle w:val="Compact"/>
        <w:numPr>
          <w:ilvl w:val="0"/>
          <w:numId w:val="2374"/>
        </w:numPr>
      </w:pPr>
      <w:r>
        <w:t xml:space="preserve">Hormonal assessment (morning testosterone in men; when indicated in women).</w:t>
      </w:r>
    </w:p>
    <w:p>
      <w:pPr>
        <w:pStyle w:val="Compact"/>
        <w:numPr>
          <w:ilvl w:val="0"/>
          <w:numId w:val="2374"/>
        </w:numPr>
      </w:pPr>
      <w:r>
        <w:t xml:space="preserve">Medication and comorbidity analysis.</w:t>
      </w:r>
    </w:p>
    <w:p>
      <w:pPr>
        <w:pStyle w:val="Compact"/>
        <w:numPr>
          <w:ilvl w:val="0"/>
          <w:numId w:val="2374"/>
        </w:numPr>
      </w:pPr>
      <w:r>
        <w:t xml:space="preserve">Depression, anxiety screening.</w:t>
      </w:r>
    </w:p>
    <w:bookmarkEnd w:id="2722"/>
    <w:bookmarkStart w:id="2723" w:name="differential-diagnosis-99"/>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Hypogonadism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Low testosterone + symptoms.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Anhedonia, mood disturbance.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SSRI-induced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Medication-related timing.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Anorgasmia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Orgasm disorder is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Relationship problem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Situational.</w:t>
            </w:r>
          </w:p>
        </w:tc>
      </w:tr>
    </w:tbl>
    <w:bookmarkEnd w:id="2723"/>
    <w:bookmarkEnd w:id="2724"/>
    <w:bookmarkStart w:id="2725" w:name="ha00-7-muayine"/>
    <w:p>
      <w:pPr>
        <w:pStyle w:val="Heading3"/>
      </w:pPr>
      <w:r>
        <w:t xml:space="preserve">7. Examination and assessment</w:t>
      </w:r>
    </w:p>
    <w:p>
      <w:pPr>
        <w:pStyle w:val="Compact"/>
        <w:numPr>
          <w:ilvl w:val="0"/>
          <w:numId w:val="2375"/>
        </w:numPr>
      </w:pPr>
      <w:r>
        <w:t xml:space="preserve">DSDS, FSFI, IIEF.</w:t>
      </w:r>
    </w:p>
    <w:p>
      <w:pPr>
        <w:pStyle w:val="Compact"/>
        <w:numPr>
          <w:ilvl w:val="0"/>
          <w:numId w:val="2375"/>
        </w:numPr>
      </w:pPr>
      <w:r>
        <w:t xml:space="preserve">Hormonal panel.</w:t>
      </w:r>
    </w:p>
    <w:p>
      <w:pPr>
        <w:pStyle w:val="Compact"/>
        <w:numPr>
          <w:ilvl w:val="0"/>
          <w:numId w:val="2375"/>
        </w:numPr>
      </w:pPr>
      <w:r>
        <w:t xml:space="preserve">Depression/anxiety scales.</w:t>
      </w:r>
    </w:p>
    <w:bookmarkEnd w:id="2725"/>
    <w:bookmarkStart w:id="2729" w:name="ha00-8-mualice"/>
    <w:p>
      <w:pPr>
        <w:pStyle w:val="Heading3"/>
      </w:pPr>
      <w:r>
        <w:t xml:space="preserve">8. Treatment</w:t>
      </w:r>
    </w:p>
    <w:bookmarkStart w:id="2726" w:name="general-principles-isswsh-2018"/>
    <w:p>
      <w:pPr>
        <w:pStyle w:val="Heading4"/>
      </w:pPr>
      <w:r>
        <w:t xml:space="preserve">8.1 General principles (ISSWSH 2018)</w:t>
      </w:r>
    </w:p>
    <w:p>
      <w:pPr>
        <w:pStyle w:val="Compact"/>
        <w:numPr>
          <w:ilvl w:val="0"/>
          <w:numId w:val="2376"/>
        </w:numPr>
      </w:pPr>
      <w:r>
        <w:t xml:space="preserve">Biological-psychological-social approach — multimodal according to etiology.</w:t>
      </w:r>
    </w:p>
    <w:p>
      <w:pPr>
        <w:pStyle w:val="Compact"/>
        <w:numPr>
          <w:ilvl w:val="0"/>
          <w:numId w:val="2376"/>
        </w:numPr>
      </w:pPr>
      <w:r>
        <w:t xml:space="preserve">Psychotherapy and couple therapy — CBT, mindfulness, sensate focus (Masters &amp; Johnson).</w:t>
      </w:r>
    </w:p>
    <w:p>
      <w:pPr>
        <w:pStyle w:val="Compact"/>
        <w:numPr>
          <w:ilvl w:val="0"/>
          <w:numId w:val="2376"/>
        </w:numPr>
      </w:pPr>
      <w:r>
        <w:t xml:space="preserve">Medication change — In SSRI-induced cases, bupropion, mirtazapine, vortioxetine alternatives.</w:t>
      </w:r>
    </w:p>
    <w:p>
      <w:pPr>
        <w:pStyle w:val="Compact"/>
        <w:numPr>
          <w:ilvl w:val="0"/>
          <w:numId w:val="2376"/>
        </w:numPr>
      </w:pPr>
      <w:r>
        <w:t xml:space="preserve">Pharmacotherapy in Women (Premenopausal Hypoactive Sexual Desire Disorder):</w:t>
      </w:r>
    </w:p>
    <w:p>
      <w:pPr>
        <w:pStyle w:val="Compact"/>
        <w:numPr>
          <w:ilvl w:val="1"/>
          <w:numId w:val="2377"/>
        </w:numPr>
      </w:pPr>
      <w:r>
        <w:t xml:space="preserve">Flibanserin (100 mg at night) — FDA 2015 approval; with alcohol, a risk of severe hypotension and syncope (the FDA relaxed the boxed warning in 2019: wait at least 2 hours after 1–2 standard drinks, skip that evening’s dose after 3 or more);</w:t>
      </w:r>
    </w:p>
    <w:p>
      <w:pPr>
        <w:pStyle w:val="Compact"/>
        <w:numPr>
          <w:ilvl w:val="1"/>
          <w:numId w:val="2377"/>
        </w:numPr>
      </w:pPr>
      <w:r>
        <w:t xml:space="preserve">Bremelanotide (1.75 mg s/c as needed) — FDA 2019 approval; melanocortin agonist.</w:t>
      </w:r>
    </w:p>
    <w:p>
      <w:pPr>
        <w:pStyle w:val="Compact"/>
        <w:numPr>
          <w:ilvl w:val="0"/>
          <w:numId w:val="2376"/>
        </w:numPr>
      </w:pPr>
      <w:r>
        <w:t xml:space="preserve">In postmenopausal women: Transdermal testosterone in low doses (off-label, international consensus Davis S.R. 2019) – careful monitoring.</w:t>
      </w:r>
    </w:p>
    <w:p>
      <w:pPr>
        <w:pStyle w:val="Compact"/>
        <w:numPr>
          <w:ilvl w:val="0"/>
          <w:numId w:val="2376"/>
        </w:numPr>
      </w:pPr>
      <w:r>
        <w:t xml:space="preserve">In males: hypogonadism confirmed → TRT (≥2 low morning measurements + symptoms).</w:t>
      </w:r>
    </w:p>
    <w:p>
      <w:pPr>
        <w:pStyle w:val="Compact"/>
        <w:numPr>
          <w:ilvl w:val="0"/>
          <w:numId w:val="2376"/>
        </w:numPr>
      </w:pPr>
      <w:r>
        <w:t xml:space="preserve">Relationship and communication work is critical.</w:t>
      </w:r>
    </w:p>
    <w:bookmarkEnd w:id="2726"/>
    <w:bookmarkStart w:id="2727" w:name="treatment-methods-96"/>
    <w:p>
      <w:pPr>
        <w:pStyle w:val="Heading4"/>
      </w:pPr>
      <w:r>
        <w:t xml:space="preserve">8.2 Treatment methods</w:t>
      </w:r>
    </w:p>
    <w:p>
      <w:pPr>
        <w:pStyle w:val="Compact"/>
        <w:numPr>
          <w:ilvl w:val="0"/>
          <w:numId w:val="2378"/>
        </w:numPr>
      </w:pPr>
      <w:r>
        <w:t xml:space="preserve">Flibanserin — Serotonin 1A agonist / 2A antagonist; nightly dose; in premenopausal women.</w:t>
      </w:r>
    </w:p>
    <w:p>
      <w:pPr>
        <w:pStyle w:val="Compact"/>
        <w:numPr>
          <w:ilvl w:val="0"/>
          <w:numId w:val="2378"/>
        </w:numPr>
      </w:pPr>
      <w:r>
        <w:t xml:space="preserve">Bremelanotide — Melanocortin agonist; s/c as needed.</w:t>
      </w:r>
    </w:p>
    <w:p>
      <w:pPr>
        <w:pStyle w:val="Compact"/>
        <w:numPr>
          <w:ilvl w:val="0"/>
          <w:numId w:val="2378"/>
        </w:numPr>
      </w:pPr>
      <w:r>
        <w:t xml:space="preserve">Testosterone In women (off-label) — Postmenopausal; low dose; monitoring.</w:t>
      </w:r>
    </w:p>
    <w:p>
      <w:pPr>
        <w:pStyle w:val="Compact"/>
        <w:numPr>
          <w:ilvl w:val="0"/>
          <w:numId w:val="2378"/>
        </w:numPr>
      </w:pPr>
      <w:r>
        <w:t xml:space="preserve">CBT and Mindfulness — Brotto L.A. studies — effective in female sexual dysfunction.</w:t>
      </w:r>
    </w:p>
    <w:p>
      <w:pPr>
        <w:pStyle w:val="Compact"/>
        <w:numPr>
          <w:ilvl w:val="0"/>
          <w:numId w:val="2378"/>
        </w:numPr>
      </w:pPr>
      <w:r>
        <w:t xml:space="preserve">Sensate Focus — Couple therapy technique.</w:t>
      </w:r>
    </w:p>
    <w:bookmarkEnd w:id="2727"/>
    <w:bookmarkStart w:id="2728" w:name="differences-between-sources-176"/>
    <w:p>
      <w:pPr>
        <w:pStyle w:val="Heading4"/>
      </w:pPr>
      <w:r>
        <w:t xml:space="preserve">8.3 Differences between sources</w:t>
      </w:r>
    </w:p>
    <w:p>
      <w:pPr>
        <w:pStyle w:val="Compact"/>
        <w:numPr>
          <w:ilvl w:val="0"/>
          <w:numId w:val="2379"/>
        </w:numPr>
      </w:pPr>
      <w:r>
        <w:t xml:space="preserve">Clayton A.H. et al. ISSWSH Process of Care. Mayo Clin Proc 2018.</w:t>
      </w:r>
    </w:p>
    <w:p>
      <w:pPr>
        <w:pStyle w:val="Compact"/>
        <w:numPr>
          <w:ilvl w:val="0"/>
          <w:numId w:val="2379"/>
        </w:numPr>
      </w:pPr>
      <w:r>
        <w:t xml:space="preserve">Davis S.R. et al. Global Consensus Position Statement on Testosterone Therapy for Women. J Clin Endocrinol Metab 2019.</w:t>
      </w:r>
    </w:p>
    <w:bookmarkEnd w:id="2728"/>
    <w:bookmarkEnd w:id="2729"/>
    <w:bookmarkStart w:id="2730" w:name="ha00-9-proqnoz"/>
    <w:p>
      <w:pPr>
        <w:pStyle w:val="Heading3"/>
      </w:pPr>
      <w:r>
        <w:t xml:space="preserve">9. Prognosis</w:t>
      </w:r>
    </w:p>
    <w:p>
      <w:pPr>
        <w:pStyle w:val="FirstParagraph"/>
      </w:pPr>
      <w:r>
        <w:t xml:space="preserve">With multimodal approach, most patients improve; chronic form requires ongoing strategy.</w:t>
      </w:r>
    </w:p>
    <w:bookmarkEnd w:id="2730"/>
    <w:bookmarkStart w:id="2736" w:name="ha00-10-mifler"/>
    <w:p>
      <w:pPr>
        <w:pStyle w:val="Heading3"/>
      </w:pPr>
      <w:r>
        <w:t xml:space="preserve">10. Myths and misconceptions</w:t>
      </w:r>
    </w:p>
    <w:bookmarkStart w:id="2731" w:name="myth-1-low-desire-is-always-a-disorder"/>
    <w:p>
      <w:pPr>
        <w:pStyle w:val="Heading5"/>
      </w:pPr>
      <w:r>
        <w:t xml:space="preserve">Myth 1: “Low desire is always a disorder”</w:t>
      </w:r>
    </w:p>
    <w:p>
      <w:pPr>
        <w:pStyle w:val="FirstParagraph"/>
      </w:pPr>
      <w:r>
        <w:t xml:space="preserve">Evidence: distress critical criterion; low desire without distress normal variation — not pathological.</w:t>
      </w:r>
    </w:p>
    <w:bookmarkEnd w:id="2731"/>
    <w:bookmarkStart w:id="2732" w:name="X7f4b2bf7a36928022f9ce07fde4526f73255e71"/>
    <w:p>
      <w:pPr>
        <w:pStyle w:val="Heading5"/>
      </w:pPr>
      <w:r>
        <w:t xml:space="preserve">Myth 2: “Testosterone is a libido enhancer for all women”</w:t>
      </w:r>
    </w:p>
    <w:p>
      <w:pPr>
        <w:pStyle w:val="FirstParagraph"/>
      </w:pPr>
      <w:r>
        <w:t xml:space="preserve">Evidence: Davis 2019 consensus — low-dose off-label only for postmenopausal HSDD; general timing of administration is not an official recommendation.</w:t>
      </w:r>
    </w:p>
    <w:bookmarkEnd w:id="2732"/>
    <w:bookmarkStart w:id="2733" w:name="myth-3-flibanserin-is-female-viagra"/>
    <w:p>
      <w:pPr>
        <w:pStyle w:val="Heading5"/>
      </w:pPr>
      <w:r>
        <w:t xml:space="preserve">Myth 3: “Flibanserin is ‘female Viagra’”</w:t>
      </w:r>
    </w:p>
    <w:p>
      <w:pPr>
        <w:pStyle w:val="FirstParagraph"/>
      </w:pPr>
      <w:r>
        <w:t xml:space="preserve">Evidence: The mechanisms are entirely different (serotonergic, central nervous system); daily use; the effect is modest (comparison with sildenafil is incorrect).</w:t>
      </w:r>
    </w:p>
    <w:bookmarkEnd w:id="2733"/>
    <w:bookmarkStart w:id="2734" w:name="X72da309ef9e2e1c7175b7233e070a99e725467e"/>
    <w:p>
      <w:pPr>
        <w:pStyle w:val="Heading5"/>
      </w:pPr>
      <w:r>
        <w:t xml:space="preserve">Myth 4: “Desire dysfunction is only due to psychological causes”</w:t>
      </w:r>
    </w:p>
    <w:p>
      <w:pPr>
        <w:pStyle w:val="FirstParagraph"/>
      </w:pPr>
      <w:r>
        <w:t xml:space="preserve">Evidence: SSRI, OC, antihypertensives, and hormonal changes have a strong effect; biological research is important.</w:t>
      </w:r>
    </w:p>
    <w:bookmarkEnd w:id="2734"/>
    <w:bookmarkStart w:id="2735" w:name="X6d29bf7936ca209f872afac480e9f1fa2c60179"/>
    <w:p>
      <w:pPr>
        <w:pStyle w:val="Heading5"/>
      </w:pPr>
      <w:r>
        <w:t xml:space="preserve">Myth 5: “Over-the-counter ‘aphrodisiacs’ are effective”</w:t>
      </w:r>
    </w:p>
    <w:p>
      <w:pPr>
        <w:pStyle w:val="FirstParagraph"/>
      </w:pPr>
      <w:r>
        <w:t xml:space="preserve">Evidence: Cochrane and systematic reviews — small or no effect; FDA warnings about hidden components.</w:t>
      </w:r>
    </w:p>
    <w:bookmarkEnd w:id="2735"/>
    <w:bookmarkEnd w:id="2736"/>
    <w:bookmarkStart w:id="2924" w:name="ha00-11-menbeler"/>
    <w:p>
      <w:pPr>
        <w:pStyle w:val="Heading3"/>
      </w:pPr>
      <w:r>
        <w:t xml:space="preserve">11. Sources</w:t>
      </w:r>
    </w:p>
    <w:p>
      <w:pPr>
        <w:pStyle w:val="Compact"/>
        <w:numPr>
          <w:ilvl w:val="0"/>
          <w:numId w:val="2380"/>
        </w:numPr>
      </w:pPr>
      <w:r>
        <w:t xml:space="preserve">WHO. ICD-11. HA00 Hypoactive sexual desire dysfunction. 2024.</w:t>
      </w:r>
    </w:p>
    <w:p>
      <w:pPr>
        <w:pStyle w:val="Compact"/>
        <w:numPr>
          <w:ilvl w:val="0"/>
          <w:numId w:val="2380"/>
        </w:numPr>
      </w:pPr>
      <w:r>
        <w:t xml:space="preserve">APA. DSM-5-TR. 2022.</w:t>
      </w:r>
    </w:p>
    <w:p>
      <w:pPr>
        <w:pStyle w:val="Compact"/>
        <w:numPr>
          <w:ilvl w:val="0"/>
          <w:numId w:val="2380"/>
        </w:numPr>
      </w:pPr>
      <w:r>
        <w:t xml:space="preserve">Clayton A.H. et al. The International Society for the Study of Women's Sexual Health Process of Care for Management of HSDD in Women. Mayo Clin Proc 2018;93(4):467–487.</w:t>
      </w:r>
    </w:p>
    <w:p>
      <w:pPr>
        <w:pStyle w:val="Compact"/>
        <w:numPr>
          <w:ilvl w:val="0"/>
          <w:numId w:val="2380"/>
        </w:numPr>
      </w:pPr>
      <w:r>
        <w:t xml:space="preserve">Davis S.R. et al. Global Consensus Position Statement on the Use of Testosterone Therapy for Women. J Clin Endocrinol Metab 2019;104(10):4660–4666.</w:t>
      </w:r>
    </w:p>
    <w:p>
      <w:pPr>
        <w:pStyle w:val="Compact"/>
        <w:numPr>
          <w:ilvl w:val="0"/>
          <w:numId w:val="2380"/>
        </w:numPr>
      </w:pPr>
      <w:r>
        <w:t xml:space="preserve">Basson R. The female sexual response: a different model. J Sex Marital Ther 2000;26(1):51–65.</w:t>
      </w:r>
    </w:p>
    <w:p>
      <w:pPr>
        <w:pStyle w:val="Compact"/>
        <w:numPr>
          <w:ilvl w:val="0"/>
          <w:numId w:val="2380"/>
        </w:numPr>
      </w:pPr>
      <w:r>
        <w:t xml:space="preserve">Brotto L.A. Better Sex Through Mindfulness: How Women Can Cultivate Desire. Vancouver: Greystone Books, 2018.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37" w:name="m125ha02.0-anorgasmia"/>
            <w:r>
              <w:t xml:space="preserve">HA02.0 ANORGASMIA</w:t>
            </w:r>
            <w:bookmarkEnd w:id="2737"/>
          </w:p>
          <w:p>
            <w:pPr>
              <w:pStyle w:val="Compact"/>
              <w:ind w:firstLine="0" w:left="0"/>
            </w:pPr>
            <w:r>
              <w:rPr>
                <w:lang w:val="en"/>
              </w:rPr>
              <w:t xml:space="preserve">Anorgasmia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Orgasmic dysfunction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Female Orgasmic Disorder / Delayed Ejaculation</w:t>
            </w:r>
          </w:p>
        </w:tc>
      </w:tr>
    </w:tbl>
    <w:bookmarkStart w:id="2738" w:name="ha02-1-terif"/>
    <w:p>
      <w:pPr>
        <w:pStyle w:val="Heading3"/>
      </w:pPr>
      <w:r>
        <w:t xml:space="preserve">1. Definition and nosology</w:t>
      </w:r>
    </w:p>
    <w:p>
      <w:pPr>
        <w:pStyle w:val="FirstParagraph"/>
      </w:pPr>
      <w:r>
        <w:t xml:space="preserve">Anorgasmia (ICD-11:</w:t>
      </w:r>
      <w:r>
        <w:t xml:space="preserve"> </w:t>
      </w:r>
      <w:r>
        <w:t xml:space="preserve">HA02.0</w:t>
      </w:r>
      <w:r>
        <w:t xml:space="preserve">; DSM-5-TR Female Orgasmic Disorder F52.31 in women; Delayed Ejaculation F52.32 in men) — persistent difficulty, delay, or absence of reaching orgasm after sufficient sexual arousal; or reduced intensity of orgasm.</w:t>
      </w:r>
    </w:p>
    <w:p>
      <w:pPr>
        <w:pStyle w:val="BodyText"/>
      </w:pPr>
      <w:r>
        <w:t xml:space="preserve">Duration ≥ 6 months; situational or generalized; lifelong or acquired.</w:t>
      </w:r>
    </w:p>
    <w:bookmarkEnd w:id="2738"/>
    <w:bookmarkStart w:id="2739" w:name="ha02-2-tarixce"/>
    <w:p>
      <w:pPr>
        <w:pStyle w:val="Heading3"/>
      </w:pPr>
      <w:r>
        <w:t xml:space="preserve">2. History</w:t>
      </w:r>
    </w:p>
    <w:p>
      <w:pPr>
        <w:pStyle w:val="Compact"/>
        <w:numPr>
          <w:ilvl w:val="0"/>
          <w:numId w:val="2381"/>
        </w:numPr>
      </w:pPr>
      <w:r>
        <w:t xml:space="preserve">Masters &amp; Johnson (1970) — classic description of orgasmic phase disorder.</w:t>
      </w:r>
    </w:p>
    <w:p>
      <w:pPr>
        <w:pStyle w:val="Compact"/>
        <w:numPr>
          <w:ilvl w:val="0"/>
          <w:numId w:val="2381"/>
        </w:numPr>
      </w:pPr>
      <w:r>
        <w:t xml:space="preserve">ISSWSH and ISSM guidelines.</w:t>
      </w:r>
    </w:p>
    <w:bookmarkEnd w:id="2739"/>
    <w:bookmarkStart w:id="2740" w:name="ha02-3-epidemiologiya"/>
    <w:p>
      <w:pPr>
        <w:pStyle w:val="Heading3"/>
      </w:pPr>
      <w:r>
        <w:t xml:space="preserve">3. Epidemiology</w:t>
      </w:r>
    </w:p>
    <w:p>
      <w:pPr>
        <w:pStyle w:val="Compact"/>
        <w:numPr>
          <w:ilvl w:val="0"/>
          <w:numId w:val="2382"/>
        </w:numPr>
      </w:pPr>
      <w:r>
        <w:t xml:space="preserve">Women experience clinically significant anorgasmia in 5–10% of cases; men experience delayed ejaculation in 1–4%.</w:t>
      </w:r>
    </w:p>
    <w:p>
      <w:pPr>
        <w:pStyle w:val="Compact"/>
        <w:numPr>
          <w:ilvl w:val="0"/>
          <w:numId w:val="2382"/>
        </w:numPr>
      </w:pPr>
      <w:r>
        <w:t xml:space="preserve">30–70% sexual side effects with antidepressant (SSRI) use.</w:t>
      </w:r>
    </w:p>
    <w:bookmarkEnd w:id="2740"/>
    <w:bookmarkStart w:id="2741" w:name="ha02-4-etiologiya"/>
    <w:p>
      <w:pPr>
        <w:pStyle w:val="Heading3"/>
      </w:pPr>
      <w:r>
        <w:t xml:space="preserve">4. Aetiology and pathogenesis</w:t>
      </w:r>
    </w:p>
    <w:p>
      <w:pPr>
        <w:pStyle w:val="Compact"/>
        <w:numPr>
          <w:ilvl w:val="0"/>
          <w:numId w:val="2383"/>
        </w:numPr>
      </w:pPr>
      <w:r>
        <w:t xml:space="preserve">Medication-related (SSRI, antipsychotic, opioid).</w:t>
      </w:r>
    </w:p>
    <w:p>
      <w:pPr>
        <w:pStyle w:val="Compact"/>
        <w:numPr>
          <w:ilvl w:val="0"/>
          <w:numId w:val="2383"/>
        </w:numPr>
      </w:pPr>
      <w:r>
        <w:t xml:space="preserve">Neurological (pelvic surgery, MS, diabetic neuropathy).</w:t>
      </w:r>
    </w:p>
    <w:p>
      <w:pPr>
        <w:pStyle w:val="Compact"/>
        <w:numPr>
          <w:ilvl w:val="0"/>
          <w:numId w:val="2383"/>
        </w:numPr>
      </w:pPr>
      <w:r>
        <w:t xml:space="preserve">Endocrine (hypothyroidism, hyperprolactinemia).</w:t>
      </w:r>
    </w:p>
    <w:p>
      <w:pPr>
        <w:pStyle w:val="Compact"/>
        <w:numPr>
          <w:ilvl w:val="0"/>
          <w:numId w:val="2383"/>
        </w:numPr>
      </w:pPr>
      <w:r>
        <w:t xml:space="preserve">Psychological — anxiety, trauma, knowledge deficiency.</w:t>
      </w:r>
    </w:p>
    <w:p>
      <w:pPr>
        <w:pStyle w:val="Compact"/>
        <w:numPr>
          <w:ilvl w:val="0"/>
          <w:numId w:val="2383"/>
        </w:numPr>
      </w:pPr>
      <w:r>
        <w:t xml:space="preserve">Age and hormonal changes.</w:t>
      </w:r>
    </w:p>
    <w:bookmarkEnd w:id="2741"/>
    <w:bookmarkStart w:id="2742" w:name="ha02-5-klinik"/>
    <w:p>
      <w:pPr>
        <w:pStyle w:val="Heading3"/>
      </w:pPr>
      <w:r>
        <w:t xml:space="preserve">5. Clinical features</w:t>
      </w:r>
    </w:p>
    <w:p>
      <w:pPr>
        <w:pStyle w:val="Compact"/>
        <w:numPr>
          <w:ilvl w:val="0"/>
          <w:numId w:val="2384"/>
        </w:numPr>
      </w:pPr>
      <w:r>
        <w:t xml:space="preserve">Difficulty or absence of achieving orgasm.</w:t>
      </w:r>
    </w:p>
    <w:p>
      <w:pPr>
        <w:pStyle w:val="Compact"/>
        <w:numPr>
          <w:ilvl w:val="0"/>
          <w:numId w:val="2384"/>
        </w:numPr>
      </w:pPr>
      <w:r>
        <w:t xml:space="preserve">Decreased intensity of orgasm.</w:t>
      </w:r>
    </w:p>
    <w:p>
      <w:pPr>
        <w:pStyle w:val="Compact"/>
        <w:numPr>
          <w:ilvl w:val="0"/>
          <w:numId w:val="2384"/>
        </w:numPr>
      </w:pPr>
      <w:r>
        <w:t xml:space="preserve">Distress, avoidance.</w:t>
      </w:r>
    </w:p>
    <w:bookmarkEnd w:id="2742"/>
    <w:bookmarkStart w:id="2747" w:name="ha02-6-diaqnoz"/>
    <w:p>
      <w:pPr>
        <w:pStyle w:val="Heading3"/>
      </w:pPr>
      <w:r>
        <w:t xml:space="preserve">6. Diagnosis</w:t>
      </w:r>
    </w:p>
    <w:bookmarkStart w:id="2743" w:name="unified-diagnostic-criteria-dsm-5-tr"/>
    <w:p>
      <w:pPr>
        <w:pStyle w:val="Heading4"/>
      </w:pPr>
      <w:r>
        <w:t xml:space="preserve">6.1 Unified diagnostic criteria (DSM-5-TR)</w:t>
      </w:r>
    </w:p>
    <w:p>
      <w:pPr>
        <w:pStyle w:val="FirstParagraph"/>
      </w:pPr>
      <w:r>
        <w:t xml:space="preserve">A. Delay, absence, or reduced intensity of orgasm following sufficient sexual arousal — in all or almost all instances (75–100%).</w:t>
      </w:r>
    </w:p>
    <w:p>
      <w:pPr>
        <w:pStyle w:val="BodyText"/>
      </w:pPr>
      <w:r>
        <w:t xml:space="preserve">B. Duration ≥ 6 months.</w:t>
      </w:r>
    </w:p>
    <w:p>
      <w:pPr>
        <w:pStyle w:val="BodyText"/>
      </w:pPr>
      <w:r>
        <w:t xml:space="preserve">C. Distress.</w:t>
      </w:r>
    </w:p>
    <w:bookmarkEnd w:id="2743"/>
    <w:bookmarkStart w:id="2744" w:name="differences-between-sources-177"/>
    <w:p>
      <w:pPr>
        <w:pStyle w:val="Heading4"/>
      </w:pPr>
      <w:r>
        <w:t xml:space="preserve">6.2 Differences between sources</w:t>
      </w:r>
    </w:p>
    <w:p>
      <w:pPr>
        <w:pStyle w:val="Compact"/>
        <w:numPr>
          <w:ilvl w:val="0"/>
          <w:numId w:val="2385"/>
        </w:numPr>
      </w:pPr>
      <w:r>
        <w:t xml:space="preserve">ISSM Delayed Ejaculation Guideline.</w:t>
      </w:r>
    </w:p>
    <w:p>
      <w:pPr>
        <w:pStyle w:val="Compact"/>
        <w:numPr>
          <w:ilvl w:val="0"/>
          <w:numId w:val="2385"/>
        </w:numPr>
      </w:pPr>
      <w:r>
        <w:t xml:space="preserve">ISSWSH — orgasm dysfunction in women.</w:t>
      </w:r>
    </w:p>
    <w:bookmarkEnd w:id="2744"/>
    <w:bookmarkStart w:id="2745" w:name="diagnostic-algorithm-99"/>
    <w:p>
      <w:pPr>
        <w:pStyle w:val="Heading4"/>
      </w:pPr>
      <w:r>
        <w:t xml:space="preserve">6.3 Diagnostic algorithm</w:t>
      </w:r>
    </w:p>
    <w:p>
      <w:pPr>
        <w:pStyle w:val="Compact"/>
        <w:numPr>
          <w:ilvl w:val="0"/>
          <w:numId w:val="2386"/>
        </w:numPr>
      </w:pPr>
      <w:r>
        <w:t xml:space="preserve">Clinical interview (sexual history, orgasm with masturbation, orgasm with partner).</w:t>
      </w:r>
    </w:p>
    <w:p>
      <w:pPr>
        <w:pStyle w:val="Compact"/>
        <w:numPr>
          <w:ilvl w:val="0"/>
          <w:numId w:val="2386"/>
        </w:numPr>
      </w:pPr>
      <w:r>
        <w:t xml:space="preserve">FSFI (in women) / IIEF (in men).</w:t>
      </w:r>
    </w:p>
    <w:p>
      <w:pPr>
        <w:pStyle w:val="Compact"/>
        <w:numPr>
          <w:ilvl w:val="0"/>
          <w:numId w:val="2386"/>
        </w:numPr>
      </w:pPr>
      <w:r>
        <w:t xml:space="preserve">Medication and comorbidity analysis.</w:t>
      </w:r>
    </w:p>
    <w:p>
      <w:pPr>
        <w:pStyle w:val="Compact"/>
        <w:numPr>
          <w:ilvl w:val="0"/>
          <w:numId w:val="2386"/>
        </w:numPr>
      </w:pPr>
      <w:r>
        <w:t xml:space="preserve">Endocrine (testosterone, prolactin, thyroid).</w:t>
      </w:r>
    </w:p>
    <w:bookmarkEnd w:id="2745"/>
    <w:bookmarkStart w:id="2746" w:name="differential-diagnosis-100"/>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Decreased desire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Retrograde ejaculation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Orgasm present, ejaculate into bladder.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SSRI-induced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Medication-related timing.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Erectile disorder.</w:t>
            </w:r>
          </w:p>
        </w:tc>
      </w:tr>
    </w:tbl>
    <w:bookmarkEnd w:id="2746"/>
    <w:bookmarkEnd w:id="2747"/>
    <w:bookmarkStart w:id="2748" w:name="ha02-7-muayine"/>
    <w:p>
      <w:pPr>
        <w:pStyle w:val="Heading3"/>
      </w:pPr>
      <w:r>
        <w:t xml:space="preserve">7. Examination and assessment</w:t>
      </w:r>
    </w:p>
    <w:p>
      <w:pPr>
        <w:pStyle w:val="Compact"/>
        <w:numPr>
          <w:ilvl w:val="0"/>
          <w:numId w:val="2387"/>
        </w:numPr>
      </w:pPr>
      <w:r>
        <w:t xml:space="preserve">FSFI, IIEF.</w:t>
      </w:r>
    </w:p>
    <w:p>
      <w:pPr>
        <w:pStyle w:val="Compact"/>
        <w:numPr>
          <w:ilvl w:val="0"/>
          <w:numId w:val="2387"/>
        </w:numPr>
      </w:pPr>
      <w:r>
        <w:t xml:space="preserve">Hormonal panel.</w:t>
      </w:r>
    </w:p>
    <w:p>
      <w:pPr>
        <w:pStyle w:val="Compact"/>
        <w:numPr>
          <w:ilvl w:val="0"/>
          <w:numId w:val="2387"/>
        </w:numPr>
      </w:pPr>
      <w:r>
        <w:t xml:space="preserve">Neurological and urologic (acquired suspicion).</w:t>
      </w:r>
    </w:p>
    <w:bookmarkEnd w:id="2748"/>
    <w:bookmarkStart w:id="2751" w:name="ha02-8-mualice"/>
    <w:p>
      <w:pPr>
        <w:pStyle w:val="Heading3"/>
      </w:pPr>
      <w:r>
        <w:t xml:space="preserve">8. Treatment</w:t>
      </w:r>
    </w:p>
    <w:p>
      <w:pPr>
        <w:pStyle w:val="Compact"/>
        <w:numPr>
          <w:ilvl w:val="0"/>
          <w:numId w:val="2388"/>
        </w:numPr>
      </w:pPr>
      <w:r>
        <w:t xml:space="preserve">Etiological approach — management of medication, endocrine, neurological causes.</w:t>
      </w:r>
    </w:p>
    <w:p>
      <w:pPr>
        <w:pStyle w:val="Compact"/>
        <w:numPr>
          <w:ilvl w:val="0"/>
          <w:numId w:val="2388"/>
        </w:numPr>
      </w:pPr>
      <w:r>
        <w:t xml:space="preserve">SSRI-induced anorgasmia:</w:t>
      </w:r>
    </w:p>
    <w:p>
      <w:pPr>
        <w:pStyle w:val="Compact"/>
        <w:numPr>
          <w:ilvl w:val="1"/>
          <w:numId w:val="2389"/>
        </w:numPr>
      </w:pPr>
      <w:r>
        <w:t xml:space="preserve">Medication switch — bupropion, mirtazapine, vortioxetine alternative;</w:t>
      </w:r>
    </w:p>
    <w:p>
      <w:pPr>
        <w:pStyle w:val="Compact"/>
        <w:numPr>
          <w:ilvl w:val="1"/>
          <w:numId w:val="2389"/>
        </w:numPr>
      </w:pPr>
      <w:r>
        <w:t xml:space="preserve">Dose reduction; drug holiday (with caution in SSRIs);</w:t>
      </w:r>
    </w:p>
    <w:p>
      <w:pPr>
        <w:pStyle w:val="Compact"/>
        <w:numPr>
          <w:ilvl w:val="1"/>
          <w:numId w:val="2389"/>
        </w:numPr>
      </w:pPr>
      <w:r>
        <w:t xml:space="preserve">Bupropion adjunct;</w:t>
      </w:r>
    </w:p>
    <w:p>
      <w:pPr>
        <w:pStyle w:val="Compact"/>
        <w:numPr>
          <w:ilvl w:val="1"/>
          <w:numId w:val="2389"/>
        </w:numPr>
      </w:pPr>
      <w:r>
        <w:t xml:space="preserve">Sildenafil adjunct in women for SSRI-induced dysfunction — Nurnberg JAMA 2008 RCT.</w:t>
      </w:r>
    </w:p>
    <w:p>
      <w:pPr>
        <w:pStyle w:val="Compact"/>
        <w:numPr>
          <w:ilvl w:val="0"/>
          <w:numId w:val="2388"/>
        </w:numPr>
      </w:pPr>
      <w:r>
        <w:t xml:space="preserve">Psychotherapy and behavior — orgasm-oriented therapy (Heiman &amp; LoPiccolo); CBT, mindfulness (Brotto L.A.).</w:t>
      </w:r>
    </w:p>
    <w:p>
      <w:pPr>
        <w:pStyle w:val="Compact"/>
        <w:numPr>
          <w:ilvl w:val="0"/>
          <w:numId w:val="2388"/>
        </w:numPr>
      </w:pPr>
      <w:r>
        <w:t xml:space="preserve">Directed masturbation training in women — directed masturbation; vibrator.</w:t>
      </w:r>
    </w:p>
    <w:p>
      <w:pPr>
        <w:pStyle w:val="Compact"/>
        <w:numPr>
          <w:ilvl w:val="0"/>
          <w:numId w:val="2388"/>
        </w:numPr>
      </w:pPr>
      <w:r>
        <w:t xml:space="preserve">Delayed Ejaculation in males — psychotherapy, modification of masturbation pattern; no specific FDA-approved pharmacotherapy.</w:t>
      </w:r>
    </w:p>
    <w:p>
      <w:pPr>
        <w:pStyle w:val="Compact"/>
        <w:numPr>
          <w:ilvl w:val="0"/>
          <w:numId w:val="2388"/>
        </w:numPr>
      </w:pPr>
      <w:r>
        <w:t xml:space="preserve">Hormonal therapy only in confirmed deficiency.</w:t>
      </w:r>
    </w:p>
    <w:bookmarkStart w:id="2749" w:name="treatment-methods-97"/>
    <w:p>
      <w:pPr>
        <w:pStyle w:val="Heading4"/>
      </w:pPr>
      <w:r>
        <w:t xml:space="preserve">8.1 Treatment methods</w:t>
      </w:r>
    </w:p>
    <w:p>
      <w:pPr>
        <w:pStyle w:val="Compact"/>
        <w:numPr>
          <w:ilvl w:val="0"/>
          <w:numId w:val="2390"/>
        </w:numPr>
      </w:pPr>
      <w:r>
        <w:t xml:space="preserve">Bupropion — As adjunct or switch in SSRI-induced anorgasmia.</w:t>
      </w:r>
    </w:p>
    <w:p>
      <w:pPr>
        <w:pStyle w:val="Compact"/>
        <w:numPr>
          <w:ilvl w:val="0"/>
          <w:numId w:val="2390"/>
        </w:numPr>
      </w:pPr>
      <w:r>
        <w:t xml:space="preserve">Directed Masturbation — Heiman &amp; LoPiccolo program; effective for primary anorgasmia in women.</w:t>
      </w:r>
    </w:p>
    <w:p>
      <w:pPr>
        <w:pStyle w:val="Compact"/>
        <w:numPr>
          <w:ilvl w:val="0"/>
          <w:numId w:val="2390"/>
        </w:numPr>
      </w:pPr>
      <w:r>
        <w:t xml:space="preserve">Mindfulness-CBT — Brotto research; in female sexual dysfunction.</w:t>
      </w:r>
    </w:p>
    <w:bookmarkEnd w:id="2749"/>
    <w:bookmarkStart w:id="2750" w:name="differences-between-sources-178"/>
    <w:p>
      <w:pPr>
        <w:pStyle w:val="Heading4"/>
      </w:pPr>
      <w:r>
        <w:t xml:space="preserve">8.2 Differences between sources</w:t>
      </w:r>
    </w:p>
    <w:p>
      <w:pPr>
        <w:pStyle w:val="Compact"/>
        <w:numPr>
          <w:ilvl w:val="0"/>
          <w:numId w:val="2391"/>
        </w:numPr>
      </w:pPr>
      <w:r>
        <w:t xml:space="preserve">Nurnberg H.G. et al. JAMA 2008 — sildenafil in SSRI-induced female sexual dysfunction.</w:t>
      </w:r>
    </w:p>
    <w:p>
      <w:pPr>
        <w:pStyle w:val="Compact"/>
        <w:numPr>
          <w:ilvl w:val="0"/>
          <w:numId w:val="2391"/>
        </w:numPr>
      </w:pPr>
      <w:r>
        <w:t xml:space="preserve">Brotto L.A. mindfulness studies.</w:t>
      </w:r>
    </w:p>
    <w:bookmarkEnd w:id="2750"/>
    <w:bookmarkEnd w:id="2751"/>
    <w:bookmarkStart w:id="2752" w:name="ha02-9-proqnoz"/>
    <w:p>
      <w:pPr>
        <w:pStyle w:val="Heading3"/>
      </w:pPr>
      <w:r>
        <w:t xml:space="preserve">9. Prognosis</w:t>
      </w:r>
    </w:p>
    <w:p>
      <w:pPr>
        <w:pStyle w:val="FirstParagraph"/>
      </w:pPr>
      <w:r>
        <w:t xml:space="preserve">For women, directed masturbation yields 60–90% efficacy for primary anorgasmia; in SSRI-induced cases, pharmacological strategies provide improvement.</w:t>
      </w:r>
    </w:p>
    <w:bookmarkEnd w:id="2752"/>
    <w:bookmarkStart w:id="2758" w:name="ha02-10-mifler"/>
    <w:p>
      <w:pPr>
        <w:pStyle w:val="Heading3"/>
      </w:pPr>
      <w:r>
        <w:t xml:space="preserve">10. Myths and misconceptions</w:t>
      </w:r>
    </w:p>
    <w:bookmarkStart w:id="2753" w:name="X26d87a98b9c7bf72b040447f384a09235aa3ccc"/>
    <w:p>
      <w:pPr>
        <w:pStyle w:val="Heading5"/>
      </w:pPr>
      <w:r>
        <w:t xml:space="preserve">Myth 1: “Women must achieve orgasm through penetration”</w:t>
      </w:r>
    </w:p>
    <w:p>
      <w:pPr>
        <w:pStyle w:val="FirstParagraph"/>
      </w:pPr>
      <w:r>
        <w:t xml:space="preserve">Evidence: Most women (~70%) require clitoral stimulation; orgasm with only penetration is normal variation, not anatomical norm.</w:t>
      </w:r>
    </w:p>
    <w:bookmarkEnd w:id="2753"/>
    <w:bookmarkStart w:id="2754" w:name="X30f249cabbd13139b08eebf193ab80e6d4cfa5c"/>
    <w:p>
      <w:pPr>
        <w:pStyle w:val="Heading5"/>
      </w:pPr>
      <w:r>
        <w:t xml:space="preserve">Myth 2: “Anorgasmia is a sign of ‘frigidity’ in women”</w:t>
      </w:r>
    </w:p>
    <w:p>
      <w:pPr>
        <w:pStyle w:val="FirstParagraph"/>
      </w:pPr>
      <w:r>
        <w:t xml:space="preserve">Evidence: Anorgasmia often related to knowledge, technique, anxiety, or medication; not a character trait.</w:t>
      </w:r>
    </w:p>
    <w:bookmarkEnd w:id="2754"/>
    <w:bookmarkStart w:id="2755" w:name="X628da4804a51578f7cdaf2bf48a56cf6d2a84be"/>
    <w:p>
      <w:pPr>
        <w:pStyle w:val="Heading5"/>
      </w:pPr>
      <w:r>
        <w:t xml:space="preserve">Myth 3: “SSRI-induced anorgasmia is transient, requires no treatment”</w:t>
      </w:r>
    </w:p>
    <w:p>
      <w:pPr>
        <w:pStyle w:val="FirstParagraph"/>
      </w:pPr>
      <w:r>
        <w:t xml:space="preserve">Evidence: Chronic; pharmacological interventions or adjunctive strategies are effective; ongoing distress is clinically significant.</w:t>
      </w:r>
    </w:p>
    <w:bookmarkEnd w:id="2755"/>
    <w:bookmarkStart w:id="2756" w:name="X453fe48d5b826e7643bd33ccf7df86b4d20908c"/>
    <w:p>
      <w:pPr>
        <w:pStyle w:val="Heading5"/>
      </w:pPr>
      <w:r>
        <w:t xml:space="preserve">Myth 4: “Over-the-counter ‘orgasm enhancers’ are effective”</w:t>
      </w:r>
    </w:p>
    <w:p>
      <w:pPr>
        <w:pStyle w:val="FirstParagraph"/>
      </w:pPr>
      <w:r>
        <w:t xml:space="preserve">Evidence: Evidence weak; FDA warnings hidden component.</w:t>
      </w:r>
    </w:p>
    <w:bookmarkEnd w:id="2756"/>
    <w:bookmarkStart w:id="2757" w:name="X2ccda9adda0c9ab64f1e71bf5381adcac061c37"/>
    <w:p>
      <w:pPr>
        <w:pStyle w:val="Heading5"/>
      </w:pPr>
      <w:r>
        <w:t xml:space="preserve">Myth 5: “Vibrator use deprives the patient of orgasm with a partner”</w:t>
      </w:r>
    </w:p>
    <w:p>
      <w:pPr>
        <w:pStyle w:val="FirstParagraph"/>
      </w:pPr>
      <w:r>
        <w:t xml:space="preserve">Evidence: On the contrary, it is effective in training for primary anorgasmia; can be integrated into intimate relationship with partner.</w:t>
      </w:r>
    </w:p>
    <w:bookmarkEnd w:id="2757"/>
    <w:bookmarkEnd w:id="2758"/>
    <w:bookmarkStart w:id="2923" w:name="ha02-11-menbeler"/>
    <w:p>
      <w:pPr>
        <w:pStyle w:val="Heading3"/>
      </w:pPr>
      <w:r>
        <w:t xml:space="preserve">11. Sources</w:t>
      </w:r>
    </w:p>
    <w:p>
      <w:pPr>
        <w:pStyle w:val="Compact"/>
        <w:numPr>
          <w:ilvl w:val="0"/>
          <w:numId w:val="2392"/>
        </w:numPr>
      </w:pPr>
      <w:r>
        <w:t xml:space="preserve">WHO. ICD-11. HA02.0 Anorgasmia. 2024.</w:t>
      </w:r>
    </w:p>
    <w:p>
      <w:pPr>
        <w:pStyle w:val="Compact"/>
        <w:numPr>
          <w:ilvl w:val="0"/>
          <w:numId w:val="2392"/>
        </w:numPr>
      </w:pPr>
      <w:r>
        <w:t xml:space="preserve">APA. DSM-5-TR. 2022.</w:t>
      </w:r>
    </w:p>
    <w:p>
      <w:pPr>
        <w:pStyle w:val="Compact"/>
        <w:numPr>
          <w:ilvl w:val="0"/>
          <w:numId w:val="2392"/>
        </w:numPr>
      </w:pPr>
      <w:r>
        <w:t xml:space="preserve">Nurnberg H.G. et al. Sildenafil treatment of women with antidepressant-associated sexual dysfunction. JAMA 2008;300(4):395–404.</w:t>
      </w:r>
    </w:p>
    <w:p>
      <w:pPr>
        <w:pStyle w:val="Compact"/>
        <w:numPr>
          <w:ilvl w:val="0"/>
          <w:numId w:val="2392"/>
        </w:numPr>
      </w:pPr>
      <w:r>
        <w:t xml:space="preserve">Brotto L.A. et al. Psychological and Interpersonal Dimensions of Sexual Function and Dysfunction. J Sex Med 2016;13(4):538–571.</w:t>
      </w:r>
    </w:p>
    <w:p>
      <w:pPr>
        <w:pStyle w:val="Compact"/>
        <w:numPr>
          <w:ilvl w:val="0"/>
          <w:numId w:val="2392"/>
        </w:numPr>
      </w:pPr>
      <w:r>
        <w:t xml:space="preserve">Heiman J.R., LoPiccolo J. Becoming Orgasmic. Prentice Hall, 1988.</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59" w:name="Xb6bd0896e239d4ea6d37ea9e0260f117e8cfb77"/>
            <w:r>
              <w:t xml:space="preserve">HA20 SEXUAL PAIN-PENETRATION DISORDER (VAGINISMUS)</w:t>
            </w:r>
            <w:bookmarkEnd w:id="2759"/>
          </w:p>
          <w:p>
            <w:pPr>
              <w:pStyle w:val="Compact"/>
              <w:ind w:firstLine="0" w:left="0"/>
            </w:pPr>
            <w:r>
              <w:rPr>
                <w:lang w:val="en"/>
              </w:rPr>
              <w:t xml:space="preserve">Sexual pain-penetration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Nonorganic vaginismus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Genito-Pelvic Pain/Penetration Disorder</w:t>
            </w:r>
          </w:p>
        </w:tc>
      </w:tr>
    </w:tbl>
    <w:bookmarkStart w:id="2760" w:name="ha20-1-terif"/>
    <w:p>
      <w:pPr>
        <w:pStyle w:val="Heading3"/>
      </w:pPr>
      <w:r>
        <w:t xml:space="preserve">1. Definition and nosology</w:t>
      </w:r>
    </w:p>
    <w:p>
      <w:pPr>
        <w:pStyle w:val="FirstParagraph"/>
      </w:pPr>
      <w:r>
        <w:t xml:space="preserve">Sexual pain-penetration disorder (vaginismus; ICD-11:</w:t>
      </w:r>
      <w:r>
        <w:t xml:space="preserve"> </w:t>
      </w:r>
      <w:r>
        <w:t xml:space="preserve">HA20</w:t>
      </w:r>
      <w:r>
        <w:t xml:space="preserve">; DSM-5-TR: Genito-Pelvic Pain/Penetration Disorder F52.6) — during penetration attempts: (a) difficulty, (b) genital or pelvic pain, (c) fear of pain, (d) tension of pelvic floor muscles. Classic vaginismus and dyspareunia are combined in this entity.</w:t>
      </w:r>
    </w:p>
    <w:p>
      <w:pPr>
        <w:pStyle w:val="BodyText"/>
      </w:pPr>
      <w:r>
        <w:t xml:space="preserve">Duration ≥ 6 months; lifelong or acquired.</w:t>
      </w:r>
    </w:p>
    <w:bookmarkEnd w:id="2760"/>
    <w:bookmarkStart w:id="2761" w:name="ha20-2-tarixce"/>
    <w:p>
      <w:pPr>
        <w:pStyle w:val="Heading3"/>
      </w:pPr>
      <w:r>
        <w:t xml:space="preserve">2. History</w:t>
      </w:r>
    </w:p>
    <w:p>
      <w:pPr>
        <w:pStyle w:val="Compact"/>
        <w:numPr>
          <w:ilvl w:val="0"/>
          <w:numId w:val="2393"/>
        </w:numPr>
      </w:pPr>
      <w:r>
        <w:t xml:space="preserve">Sims J.M. (1861) — description of vaginismus.</w:t>
      </w:r>
    </w:p>
    <w:p>
      <w:pPr>
        <w:pStyle w:val="Compact"/>
        <w:numPr>
          <w:ilvl w:val="0"/>
          <w:numId w:val="2393"/>
        </w:numPr>
      </w:pPr>
      <w:r>
        <w:t xml:space="preserve">Masters &amp; Johnson (1970) — pelvic floor tension.</w:t>
      </w:r>
    </w:p>
    <w:p>
      <w:pPr>
        <w:pStyle w:val="Compact"/>
        <w:numPr>
          <w:ilvl w:val="0"/>
          <w:numId w:val="2393"/>
        </w:numPr>
      </w:pPr>
      <w:r>
        <w:t xml:space="preserve">DSM-5 (2013) — vaginismus and dyspareunia combined into GPPPD.</w:t>
      </w:r>
    </w:p>
    <w:p>
      <w:pPr>
        <w:pStyle w:val="Compact"/>
        <w:numPr>
          <w:ilvl w:val="0"/>
          <w:numId w:val="2393"/>
        </w:numPr>
      </w:pPr>
      <w:r>
        <w:t xml:space="preserve">ISSWSH and ACOG guidelines.</w:t>
      </w:r>
    </w:p>
    <w:bookmarkEnd w:id="2761"/>
    <w:bookmarkStart w:id="2762" w:name="ha20-3-epidemiologiya"/>
    <w:p>
      <w:pPr>
        <w:pStyle w:val="Heading3"/>
      </w:pPr>
      <w:r>
        <w:t xml:space="preserve">3. Epidemiology</w:t>
      </w:r>
    </w:p>
    <w:p>
      <w:pPr>
        <w:pStyle w:val="Compact"/>
        <w:numPr>
          <w:ilvl w:val="0"/>
          <w:numId w:val="2394"/>
        </w:numPr>
      </w:pPr>
      <w:r>
        <w:t xml:space="preserve">Prevalence in women is 5–17% (in clinical and non-clinical samples).</w:t>
      </w:r>
    </w:p>
    <w:p>
      <w:pPr>
        <w:pStyle w:val="Compact"/>
        <w:numPr>
          <w:ilvl w:val="0"/>
          <w:numId w:val="2394"/>
        </w:numPr>
      </w:pPr>
      <w:r>
        <w:t xml:space="preserve">Lifelong vaginismus — in young women, at first penetration attempt.</w:t>
      </w:r>
    </w:p>
    <w:p>
      <w:pPr>
        <w:pStyle w:val="Compact"/>
        <w:numPr>
          <w:ilvl w:val="0"/>
          <w:numId w:val="2394"/>
        </w:numPr>
      </w:pPr>
      <w:r>
        <w:t xml:space="preserve">Acquired — trauma, infection, atrophic vaginitis, post-surgery.</w:t>
      </w:r>
    </w:p>
    <w:bookmarkEnd w:id="2762"/>
    <w:bookmarkStart w:id="2763" w:name="ha20-4-etiologiya"/>
    <w:p>
      <w:pPr>
        <w:pStyle w:val="Heading3"/>
      </w:pPr>
      <w:r>
        <w:t xml:space="preserve">4. Aetiology and pathogenesis</w:t>
      </w:r>
    </w:p>
    <w:p>
      <w:pPr>
        <w:pStyle w:val="Compact"/>
        <w:numPr>
          <w:ilvl w:val="0"/>
          <w:numId w:val="2395"/>
        </w:numPr>
      </w:pPr>
      <w:r>
        <w:t xml:space="preserve">Biological — atrophic vaginitis (postmenopausal), vulvodynia, endometriosis, infection, surgical wound.</w:t>
      </w:r>
    </w:p>
    <w:p>
      <w:pPr>
        <w:pStyle w:val="Compact"/>
        <w:numPr>
          <w:ilvl w:val="0"/>
          <w:numId w:val="2395"/>
        </w:numPr>
      </w:pPr>
      <w:r>
        <w:t xml:space="preserve">Psychological — sexual trauma, anxiety, abstinence education, fear of pain.</w:t>
      </w:r>
    </w:p>
    <w:p>
      <w:pPr>
        <w:pStyle w:val="Compact"/>
        <w:numPr>
          <w:ilvl w:val="0"/>
          <w:numId w:val="2395"/>
        </w:numPr>
      </w:pPr>
      <w:r>
        <w:t xml:space="preserve">Relationship and partner factors.</w:t>
      </w:r>
    </w:p>
    <w:bookmarkEnd w:id="2763"/>
    <w:bookmarkStart w:id="2764" w:name="ha20-5-klinik"/>
    <w:p>
      <w:pPr>
        <w:pStyle w:val="Heading3"/>
      </w:pPr>
      <w:r>
        <w:t xml:space="preserve">5. Clinical features</w:t>
      </w:r>
    </w:p>
    <w:p>
      <w:pPr>
        <w:pStyle w:val="Compact"/>
        <w:numPr>
          <w:ilvl w:val="0"/>
          <w:numId w:val="2396"/>
        </w:numPr>
      </w:pPr>
      <w:r>
        <w:t xml:space="preserve">Reflexive tension of pelvic floor muscles during penetration.</w:t>
      </w:r>
    </w:p>
    <w:p>
      <w:pPr>
        <w:pStyle w:val="Compact"/>
        <w:numPr>
          <w:ilvl w:val="0"/>
          <w:numId w:val="2396"/>
        </w:numPr>
      </w:pPr>
      <w:r>
        <w:t xml:space="preserve">Pain (burning, stabbing).</w:t>
      </w:r>
    </w:p>
    <w:p>
      <w:pPr>
        <w:pStyle w:val="Compact"/>
        <w:numPr>
          <w:ilvl w:val="0"/>
          <w:numId w:val="2396"/>
        </w:numPr>
      </w:pPr>
      <w:r>
        <w:t xml:space="preserve">Penetration avoidance.</w:t>
      </w:r>
    </w:p>
    <w:p>
      <w:pPr>
        <w:pStyle w:val="Compact"/>
        <w:numPr>
          <w:ilvl w:val="0"/>
          <w:numId w:val="2396"/>
        </w:numPr>
      </w:pPr>
      <w:r>
        <w:t xml:space="preserve">Gynecological examination also difficult or impossible.</w:t>
      </w:r>
    </w:p>
    <w:bookmarkEnd w:id="2764"/>
    <w:bookmarkStart w:id="2769" w:name="ha20-6-diaqnoz"/>
    <w:p>
      <w:pPr>
        <w:pStyle w:val="Heading3"/>
      </w:pPr>
      <w:r>
        <w:t xml:space="preserve">6. Diagnosis</w:t>
      </w:r>
    </w:p>
    <w:bookmarkStart w:id="2765" w:name="unified-diagnostic-criteria-dsm-5-tr-1"/>
    <w:p>
      <w:pPr>
        <w:pStyle w:val="Heading4"/>
      </w:pPr>
      <w:r>
        <w:t xml:space="preserve">6.1 Unified diagnostic criteria (DSM-5-TR)</w:t>
      </w:r>
    </w:p>
    <w:p>
      <w:pPr>
        <w:pStyle w:val="FirstParagraph"/>
      </w:pPr>
      <w:r>
        <w:t xml:space="preserve">A. At least one of the following:</w:t>
      </w:r>
    </w:p>
    <w:p>
      <w:pPr>
        <w:pStyle w:val="Compact"/>
        <w:numPr>
          <w:ilvl w:val="0"/>
          <w:numId w:val="2397"/>
        </w:numPr>
      </w:pPr>
      <w:r>
        <w:t xml:space="preserve">Difficulty in penetration;</w:t>
      </w:r>
    </w:p>
    <w:p>
      <w:pPr>
        <w:pStyle w:val="Compact"/>
        <w:numPr>
          <w:ilvl w:val="0"/>
          <w:numId w:val="2397"/>
        </w:numPr>
      </w:pPr>
      <w:r>
        <w:t xml:space="preserve">Pain in vulvovaginal or pelvic region during or attempted penetration.</w:t>
      </w:r>
    </w:p>
    <w:p>
      <w:pPr>
        <w:pStyle w:val="Compact"/>
        <w:numPr>
          <w:ilvl w:val="0"/>
          <w:numId w:val="2397"/>
        </w:numPr>
      </w:pPr>
      <w:r>
        <w:t xml:space="preserve">Fear of pain associated with anticipation of penetration.</w:t>
      </w:r>
    </w:p>
    <w:p>
      <w:pPr>
        <w:pStyle w:val="Compact"/>
        <w:numPr>
          <w:ilvl w:val="0"/>
          <w:numId w:val="2397"/>
        </w:numPr>
      </w:pPr>
      <w:r>
        <w:t xml:space="preserve">In attempted penetration, tension of the pelvic floor muscles.</w:t>
      </w:r>
    </w:p>
    <w:p>
      <w:pPr>
        <w:pStyle w:val="FirstParagraph"/>
      </w:pPr>
      <w:r>
        <w:t xml:space="preserve">B. Duration ≥ 6 months.</w:t>
      </w:r>
    </w:p>
    <w:p>
      <w:pPr>
        <w:pStyle w:val="BodyText"/>
      </w:pPr>
      <w:r>
        <w:t xml:space="preserve">C. Distress.</w:t>
      </w:r>
    </w:p>
    <w:bookmarkEnd w:id="2765"/>
    <w:bookmarkStart w:id="2766" w:name="differences-between-sources-179"/>
    <w:p>
      <w:pPr>
        <w:pStyle w:val="Heading4"/>
      </w:pPr>
      <w:r>
        <w:t xml:space="preserve">6.2 Differences between sources</w:t>
      </w:r>
    </w:p>
    <w:p>
      <w:pPr>
        <w:pStyle w:val="Compact"/>
        <w:numPr>
          <w:ilvl w:val="0"/>
          <w:numId w:val="2398"/>
        </w:numPr>
      </w:pPr>
      <w:r>
        <w:t xml:space="preserve">ISSWSH and ACOG.</w:t>
      </w:r>
    </w:p>
    <w:bookmarkEnd w:id="2766"/>
    <w:bookmarkStart w:id="2767" w:name="diagnostic-algorithm-100"/>
    <w:p>
      <w:pPr>
        <w:pStyle w:val="Heading4"/>
      </w:pPr>
      <w:r>
        <w:t xml:space="preserve">6.3 Diagnostic algorithm</w:t>
      </w:r>
    </w:p>
    <w:p>
      <w:pPr>
        <w:pStyle w:val="Compact"/>
        <w:numPr>
          <w:ilvl w:val="0"/>
          <w:numId w:val="2399"/>
        </w:numPr>
      </w:pPr>
      <w:r>
        <w:t xml:space="preserve">Clinical interview (sexual history, pain characteristics, trauma).</w:t>
      </w:r>
    </w:p>
    <w:p>
      <w:pPr>
        <w:pStyle w:val="Compact"/>
        <w:numPr>
          <w:ilvl w:val="0"/>
          <w:numId w:val="2399"/>
        </w:numPr>
      </w:pPr>
      <w:r>
        <w:t xml:space="preserve">Careful gynecological examination — with caution, with patient consent.</w:t>
      </w:r>
    </w:p>
    <w:p>
      <w:pPr>
        <w:pStyle w:val="Compact"/>
        <w:numPr>
          <w:ilvl w:val="0"/>
          <w:numId w:val="2399"/>
        </w:numPr>
      </w:pPr>
      <w:r>
        <w:t xml:space="preserve">Vulvodynia screening (Q-type test).</w:t>
      </w:r>
    </w:p>
    <w:p>
      <w:pPr>
        <w:pStyle w:val="Compact"/>
        <w:numPr>
          <w:ilvl w:val="0"/>
          <w:numId w:val="2399"/>
        </w:numPr>
      </w:pPr>
      <w:r>
        <w:t xml:space="preserve">Infection, atrophic vaginitis, exclusion of endometriosis.</w:t>
      </w:r>
    </w:p>
    <w:p>
      <w:pPr>
        <w:pStyle w:val="Compact"/>
        <w:numPr>
          <w:ilvl w:val="0"/>
          <w:numId w:val="2399"/>
        </w:numPr>
      </w:pPr>
      <w:r>
        <w:t xml:space="preserve">Pelvic floor assessment.</w:t>
      </w:r>
    </w:p>
    <w:bookmarkEnd w:id="2767"/>
    <w:bookmarkStart w:id="2768" w:name="differential-diagnosis-101"/>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Vulvodynia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Localized vulvar pain, Q-type positive.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Atrophic vaginitis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Postmenopausal, estrogen deficiency.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Endometriosis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Deep dyspareunia, dysmenorrhoea.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Infection (candida, vaginosis)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Exudation, microbiological.</w:t>
            </w:r>
          </w:p>
        </w:tc>
      </w:tr>
    </w:tbl>
    <w:bookmarkEnd w:id="2768"/>
    <w:bookmarkEnd w:id="2769"/>
    <w:bookmarkStart w:id="2770" w:name="ha20-7-muayine"/>
    <w:p>
      <w:pPr>
        <w:pStyle w:val="Heading3"/>
      </w:pPr>
      <w:r>
        <w:t xml:space="preserve">7. Examination and assessment</w:t>
      </w:r>
    </w:p>
    <w:p>
      <w:pPr>
        <w:pStyle w:val="Compact"/>
        <w:numPr>
          <w:ilvl w:val="0"/>
          <w:numId w:val="2400"/>
        </w:numPr>
      </w:pPr>
      <w:r>
        <w:t xml:space="preserve">Gynecological examination.</w:t>
      </w:r>
    </w:p>
    <w:p>
      <w:pPr>
        <w:pStyle w:val="Compact"/>
        <w:numPr>
          <w:ilvl w:val="0"/>
          <w:numId w:val="2400"/>
        </w:numPr>
      </w:pPr>
      <w:r>
        <w:t xml:space="preserve">Pelvic floor assessment.</w:t>
      </w:r>
    </w:p>
    <w:p>
      <w:pPr>
        <w:pStyle w:val="Compact"/>
        <w:numPr>
          <w:ilvl w:val="0"/>
          <w:numId w:val="2400"/>
        </w:numPr>
      </w:pPr>
      <w:r>
        <w:t xml:space="preserve">FSFI; pain scales.</w:t>
      </w:r>
    </w:p>
    <w:bookmarkEnd w:id="2770"/>
    <w:bookmarkStart w:id="2773" w:name="ha20-8-mualice"/>
    <w:p>
      <w:pPr>
        <w:pStyle w:val="Heading3"/>
      </w:pPr>
      <w:r>
        <w:t xml:space="preserve">8. Treatment</w:t>
      </w:r>
    </w:p>
    <w:p>
      <w:pPr>
        <w:pStyle w:val="Compact"/>
        <w:numPr>
          <w:ilvl w:val="0"/>
          <w:numId w:val="2401"/>
        </w:numPr>
      </w:pPr>
      <w:r>
        <w:t xml:space="preserve">Multidisciplinary approach — pelvic floor physiotherapy + CBT + education.</w:t>
      </w:r>
    </w:p>
    <w:p>
      <w:pPr>
        <w:pStyle w:val="Compact"/>
        <w:numPr>
          <w:ilvl w:val="0"/>
          <w:numId w:val="2401"/>
        </w:numPr>
      </w:pPr>
      <w:r>
        <w:t xml:space="preserve">Pelvic Floor Physiotherapy — biofeedback, manual therapy, dilator therapy (gradual size increase).</w:t>
      </w:r>
    </w:p>
    <w:p>
      <w:pPr>
        <w:pStyle w:val="Compact"/>
        <w:numPr>
          <w:ilvl w:val="0"/>
          <w:numId w:val="2401"/>
        </w:numPr>
      </w:pPr>
      <w:r>
        <w:t xml:space="preserve">CBT and exposure therapy — fear of pain and avoidance; ter Kuile M.M. RCT.</w:t>
      </w:r>
    </w:p>
    <w:p>
      <w:pPr>
        <w:pStyle w:val="Compact"/>
        <w:numPr>
          <w:ilvl w:val="0"/>
          <w:numId w:val="2401"/>
        </w:numPr>
      </w:pPr>
      <w:r>
        <w:t xml:space="preserve">Sensate focus and couple therapy.</w:t>
      </w:r>
    </w:p>
    <w:p>
      <w:pPr>
        <w:pStyle w:val="Compact"/>
        <w:numPr>
          <w:ilvl w:val="0"/>
          <w:numId w:val="2401"/>
        </w:numPr>
      </w:pPr>
      <w:r>
        <w:t xml:space="preserve">Topical anesthetic (lidocaine) — in provoked vulvodynia (Goldstein A.T.).</w:t>
      </w:r>
    </w:p>
    <w:p>
      <w:pPr>
        <w:pStyle w:val="Compact"/>
        <w:numPr>
          <w:ilvl w:val="0"/>
          <w:numId w:val="2401"/>
        </w:numPr>
      </w:pPr>
      <w:r>
        <w:t xml:space="preserve">Local estrogen for atrophic vaginitis.</w:t>
      </w:r>
    </w:p>
    <w:p>
      <w:pPr>
        <w:pStyle w:val="Compact"/>
        <w:numPr>
          <w:ilvl w:val="0"/>
          <w:numId w:val="2401"/>
        </w:numPr>
      </w:pPr>
      <w:r>
        <w:t xml:space="preserve">Botulinum toxin A — in refractory vaginismus; evidence base is growing.</w:t>
      </w:r>
    </w:p>
    <w:p>
      <w:pPr>
        <w:pStyle w:val="Compact"/>
        <w:numPr>
          <w:ilvl w:val="0"/>
          <w:numId w:val="2401"/>
        </w:numPr>
      </w:pPr>
      <w:r>
        <w:t xml:space="preserve">Antidepressant/anticonvulsant (amitriptyline, gabapentin) — for neuropathic component.</w:t>
      </w:r>
    </w:p>
    <w:bookmarkStart w:id="2771" w:name="treatment-methods-98"/>
    <w:p>
      <w:pPr>
        <w:pStyle w:val="Heading4"/>
      </w:pPr>
      <w:r>
        <w:t xml:space="preserve">8.1 Treatment methods</w:t>
      </w:r>
    </w:p>
    <w:p>
      <w:pPr>
        <w:pStyle w:val="Compact"/>
        <w:numPr>
          <w:ilvl w:val="0"/>
          <w:numId w:val="2402"/>
        </w:numPr>
      </w:pPr>
      <w:r>
        <w:t xml:space="preserve">Dilator Therapy — Gradual increase in size; combined with relaxation.</w:t>
      </w:r>
    </w:p>
    <w:p>
      <w:pPr>
        <w:pStyle w:val="Compact"/>
        <w:numPr>
          <w:ilvl w:val="0"/>
          <w:numId w:val="2402"/>
        </w:numPr>
      </w:pPr>
      <w:r>
        <w:t xml:space="preserve">Pelvic Floor Physiotherapy — Biofeedback, manual therapy.</w:t>
      </w:r>
    </w:p>
    <w:p>
      <w:pPr>
        <w:pStyle w:val="Compact"/>
        <w:numPr>
          <w:ilvl w:val="0"/>
          <w:numId w:val="2402"/>
        </w:numPr>
      </w:pPr>
      <w:r>
        <w:t xml:space="preserve">CBT/Exposure — Fear of pain and avoidance.</w:t>
      </w:r>
    </w:p>
    <w:p>
      <w:pPr>
        <w:pStyle w:val="Compact"/>
        <w:numPr>
          <w:ilvl w:val="0"/>
          <w:numId w:val="2402"/>
        </w:numPr>
      </w:pPr>
      <w:r>
        <w:t xml:space="preserve">Topical Estrogen — Atrophic vaginitis.</w:t>
      </w:r>
    </w:p>
    <w:p>
      <w:pPr>
        <w:pStyle w:val="Compact"/>
        <w:numPr>
          <w:ilvl w:val="0"/>
          <w:numId w:val="2402"/>
        </w:numPr>
      </w:pPr>
      <w:r>
        <w:t xml:space="preserve">Botox (off-label) — For refractory vaginismus; selective.</w:t>
      </w:r>
    </w:p>
    <w:bookmarkEnd w:id="2771"/>
    <w:bookmarkStart w:id="2772" w:name="differences-between-sources-180"/>
    <w:p>
      <w:pPr>
        <w:pStyle w:val="Heading4"/>
      </w:pPr>
      <w:r>
        <w:t xml:space="preserve">8.2 Differences between sources</w:t>
      </w:r>
    </w:p>
    <w:p>
      <w:pPr>
        <w:pStyle w:val="Compact"/>
        <w:numPr>
          <w:ilvl w:val="0"/>
          <w:numId w:val="2403"/>
        </w:numPr>
      </w:pPr>
      <w:r>
        <w:t xml:space="preserve">ter Kuile M.M. et al. CBT vaginismus.</w:t>
      </w:r>
    </w:p>
    <w:p>
      <w:pPr>
        <w:pStyle w:val="Compact"/>
        <w:numPr>
          <w:ilvl w:val="0"/>
          <w:numId w:val="2403"/>
        </w:numPr>
      </w:pPr>
      <w:r>
        <w:t xml:space="preserve">Goldstein A.T. et al. ISSWSH vulvodynia consensus.</w:t>
      </w:r>
    </w:p>
    <w:bookmarkEnd w:id="2772"/>
    <w:bookmarkEnd w:id="2773"/>
    <w:bookmarkStart w:id="2774" w:name="ha20-9-proqnoz"/>
    <w:p>
      <w:pPr>
        <w:pStyle w:val="Heading3"/>
      </w:pPr>
      <w:r>
        <w:t xml:space="preserve">9. Prognosis</w:t>
      </w:r>
    </w:p>
    <w:p>
      <w:pPr>
        <w:pStyle w:val="FirstParagraph"/>
      </w:pPr>
      <w:r>
        <w:t xml:space="preserve">With a multidisciplinary approach, prognosis is good (70–90%); in refractory cases, botox or intensive psychological intervention.</w:t>
      </w:r>
    </w:p>
    <w:bookmarkEnd w:id="2774"/>
    <w:bookmarkStart w:id="2780" w:name="ha20-10-mifler"/>
    <w:p>
      <w:pPr>
        <w:pStyle w:val="Heading3"/>
      </w:pPr>
      <w:r>
        <w:t xml:space="preserve">10. Myths and misconceptions</w:t>
      </w:r>
    </w:p>
    <w:bookmarkStart w:id="2775" w:name="X3e8ee2ed858238609f90ea2b6c0d687381be662"/>
    <w:p>
      <w:pPr>
        <w:pStyle w:val="Heading5"/>
      </w:pPr>
      <w:r>
        <w:t xml:space="preserve">Myth 1: “Vaginismus is an emotional rejection of the partner”</w:t>
      </w:r>
    </w:p>
    <w:p>
      <w:pPr>
        <w:pStyle w:val="FirstParagraph"/>
      </w:pPr>
      <w:r>
        <w:t xml:space="preserve">Evidence: Reflex muscle tension — outside conscious control; accusing harmful.</w:t>
      </w:r>
    </w:p>
    <w:bookmarkEnd w:id="2775"/>
    <w:bookmarkStart w:id="2776" w:name="myth-2-vaginismus-cannot-be-treated"/>
    <w:p>
      <w:pPr>
        <w:pStyle w:val="Heading5"/>
      </w:pPr>
      <w:r>
        <w:t xml:space="preserve">Myth 2: “Vaginismus cannot be treated”</w:t>
      </w:r>
    </w:p>
    <w:p>
      <w:pPr>
        <w:pStyle w:val="FirstParagraph"/>
      </w:pPr>
      <w:r>
        <w:t xml:space="preserve">Evidence: CBT + dilator + physiotherapy combination 70–90% efficacy; ter Kuile RCTs.</w:t>
      </w:r>
    </w:p>
    <w:bookmarkEnd w:id="2776"/>
    <w:bookmarkStart w:id="2777" w:name="Xe5d394175ab1ed0333a8cc590f6c97e6333a1f9"/>
    <w:p>
      <w:pPr>
        <w:pStyle w:val="Heading5"/>
      </w:pPr>
      <w:r>
        <w:t xml:space="preserve">Myth 3: “Treatment should be done to increase penetration frequency”</w:t>
      </w:r>
    </w:p>
    <w:p>
      <w:pPr>
        <w:pStyle w:val="FirstParagraph"/>
      </w:pPr>
      <w:r>
        <w:t xml:space="preserve">Evidence: target is reducing patient distress, restoring sense of control and choice; not a performance indicator.</w:t>
      </w:r>
    </w:p>
    <w:bookmarkEnd w:id="2777"/>
    <w:bookmarkStart w:id="2778" w:name="X9260ecf0c016e6bd4bf5074285042abe61696aa"/>
    <w:p>
      <w:pPr>
        <w:pStyle w:val="Heading5"/>
      </w:pPr>
      <w:r>
        <w:t xml:space="preserve">Myth 4: “Local anesthetic is effective for all sexual pain”</w:t>
      </w:r>
    </w:p>
    <w:p>
      <w:pPr>
        <w:pStyle w:val="FirstParagraph"/>
      </w:pPr>
      <w:r>
        <w:t xml:space="preserve">Evidence: Effective in provoked vulvodynia; use limited in generalized vaginismus — main problem is muscle tension.</w:t>
      </w:r>
    </w:p>
    <w:bookmarkEnd w:id="2778"/>
    <w:bookmarkStart w:id="2779" w:name="Xcfea3329b56ac1a0a5eaa02c78008e170ac5a45"/>
    <w:p>
      <w:pPr>
        <w:pStyle w:val="Heading5"/>
      </w:pPr>
      <w:r>
        <w:t xml:space="preserve">Myth 5: “Forcing ‘compulsory exercise’ helps with penetration attempts”</w:t>
      </w:r>
    </w:p>
    <w:p>
      <w:pPr>
        <w:pStyle w:val="FirstParagraph"/>
      </w:pPr>
      <w:r>
        <w:t xml:space="preserve">Evidence: urgent, painful repetition increases avoidance and fear; gradual, controlled exposure effective.</w:t>
      </w:r>
    </w:p>
    <w:bookmarkEnd w:id="2779"/>
    <w:bookmarkEnd w:id="2780"/>
    <w:bookmarkStart w:id="2922" w:name="ha20-11-menbeler"/>
    <w:p>
      <w:pPr>
        <w:pStyle w:val="Heading3"/>
      </w:pPr>
      <w:r>
        <w:t xml:space="preserve">11. Sources</w:t>
      </w:r>
    </w:p>
    <w:p>
      <w:pPr>
        <w:pStyle w:val="Compact"/>
        <w:numPr>
          <w:ilvl w:val="0"/>
          <w:numId w:val="2404"/>
        </w:numPr>
      </w:pPr>
      <w:r>
        <w:t xml:space="preserve">WHO. ICD-11. HA20 Genito-pelvic pain/penetration disorder. 2024.</w:t>
      </w:r>
    </w:p>
    <w:p>
      <w:pPr>
        <w:pStyle w:val="Compact"/>
        <w:numPr>
          <w:ilvl w:val="0"/>
          <w:numId w:val="2404"/>
        </w:numPr>
      </w:pPr>
      <w:r>
        <w:t xml:space="preserve">APA. DSM-5-TR. 2022.</w:t>
      </w:r>
    </w:p>
    <w:p>
      <w:pPr>
        <w:pStyle w:val="Compact"/>
        <w:numPr>
          <w:ilvl w:val="0"/>
          <w:numId w:val="2404"/>
        </w:numPr>
      </w:pPr>
      <w:r>
        <w:t xml:space="preserve">Ter Kuile M.M. et al. Therapist-aided exposure for women with lifelong vaginismus: a RCT. J Consult Clin Psychol 2013;81(6):1127–1136.</w:t>
      </w:r>
    </w:p>
    <w:p>
      <w:pPr>
        <w:pStyle w:val="Compact"/>
        <w:numPr>
          <w:ilvl w:val="0"/>
          <w:numId w:val="2404"/>
        </w:numPr>
      </w:pPr>
      <w:r>
        <w:t xml:space="preserve">Goldstein A.T. et al. Vulvodynia: Assessment and Treatment. J Sex Med 2016;13(4):572–590.</w:t>
      </w:r>
    </w:p>
    <w:p>
      <w:pPr>
        <w:pStyle w:val="Compact"/>
        <w:numPr>
          <w:ilvl w:val="0"/>
          <w:numId w:val="2404"/>
        </w:numPr>
      </w:pPr>
      <w:r>
        <w:t xml:space="preserve">Bergeron S. et al. Genital pain in women and men: It can hurt more than your sex life. Sex Med Rev 2020.</w:t>
      </w:r>
    </w:p>
    <w:tbl>
      <w:tblPr>
        <w:tblStyle w:val="Table"/>
        <w:tblW w:type="pct" w:w="5000"/>
        <w:tblLayout w:type="autofit"/>
        <w:tblLook w:firstRow="0" w:lastRow="0" w:firstColumn="0" w:lastColumn="0" w:noHBand="0" w:noVBand="0" w:val="0000"/>
      </w:tblPr>
      <w:tblGrid>
        <w:gridCol w:w="3960"/>
        <w:gridCol w:w="3960"/>
      </w:tblGrid>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ICD-11</w:t>
            </w:r>
            <w:r>
              <w:br/>
            </w:r>
            <w: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ageBreakBefore/>
              <w:pStyle w:val="Heading2"/>
              <w:ind w:firstLine="0" w:left="0"/>
            </w:pPr>
            <w:bookmarkStart w:id="2781" w:name="X21973a3ccf5597676a1dce90f37a56eb468979b"/>
            <w:r>
              <w:t xml:space="preserve">HA40 AETIOLOGICAL CONSIDERATIONS IN SEXUAL DYSFUNCTIONS AND SEXUAL PAIN DISORDERS</w:t>
            </w:r>
            <w:bookmarkEnd w:id="2781"/>
          </w:p>
          <w:p>
            <w:pPr>
              <w:pStyle w:val="Compact"/>
              <w:ind w:firstLine="0" w:left="0"/>
            </w:pPr>
            <w:r>
              <w:rPr>
                <w:lang w:val="en"/>
              </w:rPr>
              <w:t xml:space="preserve">Aetiological considerations in sexual dysfunctions and sexual pain disorders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ICD-10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Other sexual dysfunction, not caused by organic disorder or disease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bl>
    <w:bookmarkStart w:id="2782" w:name="ha40-1-terif"/>
    <w:p>
      <w:pPr>
        <w:pStyle w:val="Heading3"/>
      </w:pPr>
      <w:r>
        <w:t xml:space="preserve">1. Definition and nosology</w:t>
      </w:r>
    </w:p>
    <w:p>
      <w:pPr>
        <w:pStyle w:val="FirstParagraph"/>
      </w:pPr>
      <w:r>
        <w:t xml:space="preserve">Aetiological considerations in sexual dysfunctions and sexual pain disorders (ICD-11:</w:t>
      </w:r>
      <w:r>
        <w:t xml:space="preserve"> </w:t>
      </w:r>
      <w:r>
        <w:t xml:space="preserve">HA40</w:t>
      </w:r>
      <w:r>
        <w:t xml:space="preserve">) — a set of qualifiers identifying the aetiology of sexual dysfunctions (which may involve desire, arousal, orgasm, or pain) arising in the context of another physical illness, medication, substance, or mental disorder. Cases that do not fit specific HA01–HA20 categories or are comorbid.</w:t>
      </w:r>
    </w:p>
    <w:p>
      <w:pPr>
        <w:pStyle w:val="BodyText"/>
      </w:pPr>
      <w:r>
        <w:t xml:space="preserve">Subtypes (ICD-11): a medical condition, injury, or the effects of surgery or radiation treatment (HA40.0); psychological or behavioural factors, including mental disorders (HA40.1); use of a psychoactive substance or medication (HA40.2); lack of knowledge or experience (HA40.3); relationship factors (HA40.4); cultural factors (HA40.5); other specified (HA40.Y).</w:t>
      </w:r>
    </w:p>
    <w:bookmarkEnd w:id="2782"/>
    <w:bookmarkStart w:id="2783" w:name="ha40-2-tarixce"/>
    <w:p>
      <w:pPr>
        <w:pStyle w:val="Heading3"/>
      </w:pPr>
      <w:r>
        <w:t xml:space="preserve">2. History</w:t>
      </w:r>
    </w:p>
    <w:p>
      <w:pPr>
        <w:pStyle w:val="Compact"/>
        <w:numPr>
          <w:ilvl w:val="0"/>
          <w:numId w:val="2405"/>
        </w:numPr>
      </w:pPr>
      <w:r>
        <w:t xml:space="preserve">DSM-5 (2013) — formalization of “Substance/Medication-Induced Sexual Dysfunction”.</w:t>
      </w:r>
    </w:p>
    <w:p>
      <w:pPr>
        <w:pStyle w:val="Compact"/>
        <w:numPr>
          <w:ilvl w:val="0"/>
          <w:numId w:val="2405"/>
        </w:numPr>
      </w:pPr>
      <w:r>
        <w:t xml:space="preserve">2000s — SSRI-induced sexual dysfunction was widely described (Montejo A.L. studies).</w:t>
      </w:r>
    </w:p>
    <w:p>
      <w:pPr>
        <w:pStyle w:val="Compact"/>
        <w:numPr>
          <w:ilvl w:val="0"/>
          <w:numId w:val="2405"/>
        </w:numPr>
      </w:pPr>
      <w:r>
        <w:t xml:space="preserve">PSSD (Post-SSRI Sexual Dysfunction) — Bahrick A. (2008), EMA 2019 confirmation.</w:t>
      </w:r>
    </w:p>
    <w:bookmarkEnd w:id="2783"/>
    <w:bookmarkStart w:id="2784" w:name="ha40-3-epidemiologiya"/>
    <w:p>
      <w:pPr>
        <w:pStyle w:val="Heading3"/>
      </w:pPr>
      <w:r>
        <w:t xml:space="preserve">3. Epidemiology</w:t>
      </w:r>
    </w:p>
    <w:p>
      <w:pPr>
        <w:pStyle w:val="Compact"/>
        <w:numPr>
          <w:ilvl w:val="0"/>
          <w:numId w:val="2406"/>
        </w:numPr>
      </w:pPr>
      <w:r>
        <w:t xml:space="preserve">Sexual dysfunction with SSRI use 30–70%.</w:t>
      </w:r>
    </w:p>
    <w:p>
      <w:pPr>
        <w:pStyle w:val="Compact"/>
        <w:numPr>
          <w:ilvl w:val="0"/>
          <w:numId w:val="2406"/>
        </w:numPr>
      </w:pPr>
      <w:r>
        <w:t xml:space="preserve">ED in diabetic men 35–75%.</w:t>
      </w:r>
    </w:p>
    <w:p>
      <w:pPr>
        <w:pStyle w:val="Compact"/>
        <w:numPr>
          <w:ilvl w:val="0"/>
          <w:numId w:val="2406"/>
        </w:numPr>
      </w:pPr>
      <w:r>
        <w:t xml:space="preserve">High prevalence in cardiovascular diseases.</w:t>
      </w:r>
    </w:p>
    <w:p>
      <w:pPr>
        <w:pStyle w:val="Compact"/>
        <w:numPr>
          <w:ilvl w:val="0"/>
          <w:numId w:val="2406"/>
        </w:numPr>
      </w:pPr>
      <w:r>
        <w:t xml:space="preserve">Antipsychotic (especially risperidone, paliperidone) — due to hyperprolactinemia.</w:t>
      </w:r>
    </w:p>
    <w:bookmarkEnd w:id="2784"/>
    <w:bookmarkStart w:id="2785" w:name="ha40-4-etiologiya"/>
    <w:p>
      <w:pPr>
        <w:pStyle w:val="Heading3"/>
      </w:pPr>
      <w:r>
        <w:t xml:space="preserve">4. Aetiology and pathogenesis</w:t>
      </w:r>
    </w:p>
    <w:p>
      <w:pPr>
        <w:pStyle w:val="Compact"/>
        <w:numPr>
          <w:ilvl w:val="0"/>
          <w:numId w:val="2407"/>
        </w:numPr>
      </w:pPr>
      <w:r>
        <w:t xml:space="preserve">Medications: SSRI, SNRI, antipsychotics (D2 blockade, hyperprolactinemia), antihypertensive (beta-blocker, thiazide), opioids, 5-alpha reductase inhibitors (finasteride — suspected Post-Finasteride Syndrome), anticonvulsants.</w:t>
      </w:r>
    </w:p>
    <w:p>
      <w:pPr>
        <w:pStyle w:val="Compact"/>
        <w:numPr>
          <w:ilvl w:val="0"/>
          <w:numId w:val="2407"/>
        </w:numPr>
      </w:pPr>
      <w:r>
        <w:t xml:space="preserve">Substances: alcohol, opioids, chronic cannabis use, stimulants.</w:t>
      </w:r>
    </w:p>
    <w:p>
      <w:pPr>
        <w:pStyle w:val="Compact"/>
        <w:numPr>
          <w:ilvl w:val="0"/>
          <w:numId w:val="2407"/>
        </w:numPr>
      </w:pPr>
      <w:r>
        <w:t xml:space="preserve">Medical diseases: diabetes, cardiovascular, neurological (MS, Parkinson's disease, spinal trauma), endocrine (hypogonadism, hyperprolactinemia, thyroid), pelvic surgery and radiotherapy, chronic renal failure.</w:t>
      </w:r>
    </w:p>
    <w:p>
      <w:pPr>
        <w:pStyle w:val="Compact"/>
        <w:numPr>
          <w:ilvl w:val="0"/>
          <w:numId w:val="2407"/>
        </w:numPr>
      </w:pPr>
      <w:r>
        <w:t xml:space="preserve">Mental disorders: depression, anxiety, PTSD, schizophrenia.</w:t>
      </w:r>
    </w:p>
    <w:bookmarkEnd w:id="2785"/>
    <w:bookmarkStart w:id="2786" w:name="ha40-5-klinik"/>
    <w:p>
      <w:pPr>
        <w:pStyle w:val="Heading3"/>
      </w:pPr>
      <w:r>
        <w:t xml:space="preserve">5. Clinical features</w:t>
      </w:r>
    </w:p>
    <w:p>
      <w:pPr>
        <w:pStyle w:val="Compact"/>
        <w:numPr>
          <w:ilvl w:val="0"/>
          <w:numId w:val="2408"/>
        </w:numPr>
      </w:pPr>
      <w:r>
        <w:t xml:space="preserve">Decreased desire, excitement/erection dysfunction, anorgasmia, pain — etiology-dependent.</w:t>
      </w:r>
    </w:p>
    <w:p>
      <w:pPr>
        <w:pStyle w:val="Compact"/>
        <w:numPr>
          <w:ilvl w:val="0"/>
          <w:numId w:val="2408"/>
        </w:numPr>
      </w:pPr>
      <w:r>
        <w:t xml:space="preserve">Temporal relationship — onset with medication/substance.</w:t>
      </w:r>
    </w:p>
    <w:p>
      <w:pPr>
        <w:pStyle w:val="Compact"/>
        <w:numPr>
          <w:ilvl w:val="0"/>
          <w:numId w:val="2408"/>
        </w:numPr>
      </w:pPr>
      <w:r>
        <w:t xml:space="preserve">PSSD — persistent sexual dysfunction after SSRI discontinuation, genital numbness.</w:t>
      </w:r>
    </w:p>
    <w:bookmarkEnd w:id="2786"/>
    <w:bookmarkStart w:id="2791" w:name="ha40-6-diaqnoz"/>
    <w:p>
      <w:pPr>
        <w:pStyle w:val="Heading3"/>
      </w:pPr>
      <w:r>
        <w:t xml:space="preserve">6. Diagnosis</w:t>
      </w:r>
    </w:p>
    <w:bookmarkStart w:id="2787" w:name="unified-diagnostic-criteria-dsm-5-tr-2"/>
    <w:p>
      <w:pPr>
        <w:pStyle w:val="Heading4"/>
      </w:pPr>
      <w:r>
        <w:t xml:space="preserve">6.1 Unified diagnostic criteria (DSM-5-TR)</w:t>
      </w:r>
    </w:p>
    <w:p>
      <w:pPr>
        <w:pStyle w:val="FirstParagraph"/>
      </w:pPr>
      <w:r>
        <w:t xml:space="preserve">A. Clinically significant sexual dysfunction symptomatology.</w:t>
      </w:r>
    </w:p>
    <w:p>
      <w:pPr>
        <w:pStyle w:val="BodyText"/>
      </w:pPr>
      <w:r>
        <w:t xml:space="preserve">B. Evidence from history, physical examination, or laboratory results: symptoms are a direct consequence of medication, substance, or medical illness.</w:t>
      </w:r>
    </w:p>
    <w:p>
      <w:pPr>
        <w:pStyle w:val="BodyText"/>
      </w:pPr>
      <w:r>
        <w:t xml:space="preserve">C. Distress.</w:t>
      </w:r>
    </w:p>
    <w:bookmarkEnd w:id="2787"/>
    <w:bookmarkStart w:id="2788" w:name="differences-between-sources-181"/>
    <w:p>
      <w:pPr>
        <w:pStyle w:val="Heading4"/>
      </w:pPr>
      <w:r>
        <w:t xml:space="preserve">6.2 Differences between sources</w:t>
      </w:r>
    </w:p>
    <w:p>
      <w:pPr>
        <w:pStyle w:val="Compact"/>
        <w:numPr>
          <w:ilvl w:val="0"/>
          <w:numId w:val="2409"/>
        </w:numPr>
      </w:pPr>
      <w:r>
        <w:t xml:space="preserve">Montejo A.L. et al. — SSRI-induced dysfunction.</w:t>
      </w:r>
    </w:p>
    <w:p>
      <w:pPr>
        <w:pStyle w:val="Compact"/>
        <w:numPr>
          <w:ilvl w:val="0"/>
          <w:numId w:val="2409"/>
        </w:numPr>
      </w:pPr>
      <w:r>
        <w:t xml:space="preserve">EMA (2019) — included PSSD in SSRI label.</w:t>
      </w:r>
    </w:p>
    <w:bookmarkEnd w:id="2788"/>
    <w:bookmarkStart w:id="2789" w:name="diagnostic-algorithm-101"/>
    <w:p>
      <w:pPr>
        <w:pStyle w:val="Heading4"/>
      </w:pPr>
      <w:r>
        <w:t xml:space="preserve">6.3 Diagnostic algorithm</w:t>
      </w:r>
    </w:p>
    <w:p>
      <w:pPr>
        <w:pStyle w:val="Compact"/>
        <w:numPr>
          <w:ilvl w:val="0"/>
          <w:numId w:val="2410"/>
        </w:numPr>
      </w:pPr>
      <w:r>
        <w:t xml:space="preserve">Full medication and substance history.</w:t>
      </w:r>
    </w:p>
    <w:p>
      <w:pPr>
        <w:pStyle w:val="Compact"/>
        <w:numPr>
          <w:ilvl w:val="0"/>
          <w:numId w:val="2410"/>
        </w:numPr>
      </w:pPr>
      <w:r>
        <w:t xml:space="preserve">Medical and endocrine assessment (testosterone, prolactin, glucose, HbA1c, lipids, thyroid).</w:t>
      </w:r>
    </w:p>
    <w:p>
      <w:pPr>
        <w:pStyle w:val="Compact"/>
        <w:numPr>
          <w:ilvl w:val="0"/>
          <w:numId w:val="2410"/>
        </w:numPr>
      </w:pPr>
      <w:r>
        <w:t xml:space="preserve">Sexual function scales (FSFI, IIEF, ASEX).</w:t>
      </w:r>
    </w:p>
    <w:p>
      <w:pPr>
        <w:pStyle w:val="Compact"/>
        <w:numPr>
          <w:ilvl w:val="0"/>
          <w:numId w:val="2410"/>
        </w:numPr>
      </w:pPr>
      <w:r>
        <w:t xml:space="preserve">Mental comorbidity screening.</w:t>
      </w:r>
    </w:p>
    <w:p>
      <w:pPr>
        <w:pStyle w:val="Compact"/>
        <w:numPr>
          <w:ilvl w:val="0"/>
          <w:numId w:val="2410"/>
        </w:numPr>
      </w:pPr>
      <w:r>
        <w:t xml:space="preserve">Pelvic examination (in women).</w:t>
      </w:r>
    </w:p>
    <w:bookmarkEnd w:id="2789"/>
    <w:bookmarkStart w:id="2790" w:name="differential-diagnosis-102"/>
    <w:p>
      <w:pPr>
        <w:pStyle w:val="Heading4"/>
      </w:pPr>
      <w:r>
        <w:t xml:space="preserve">6.4 Differential diagnosis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Condition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Distinguishing feature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Primary HSDD/ED/Anorgasmia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There is no medical or pharmacological evidence.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Depressive disorder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Anhedonia, mood symptoms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Sexual dysfunction persisting after SSRI discontinuation.</w:t>
            </w:r>
          </w:p>
        </w:tc>
      </w:tr>
    </w:tbl>
    <w:bookmarkEnd w:id="2790"/>
    <w:bookmarkEnd w:id="2791"/>
    <w:bookmarkStart w:id="2792" w:name="ha40-7-muayine"/>
    <w:p>
      <w:pPr>
        <w:pStyle w:val="Heading3"/>
      </w:pPr>
      <w:r>
        <w:t xml:space="preserve">7. Examination and assessment</w:t>
      </w:r>
    </w:p>
    <w:p>
      <w:pPr>
        <w:pStyle w:val="Compact"/>
        <w:numPr>
          <w:ilvl w:val="0"/>
          <w:numId w:val="2411"/>
        </w:numPr>
      </w:pPr>
      <w:r>
        <w:t xml:space="preserve">Hormonal panel, glucose, lipids.</w:t>
      </w:r>
    </w:p>
    <w:p>
      <w:pPr>
        <w:pStyle w:val="Compact"/>
        <w:numPr>
          <w:ilvl w:val="0"/>
          <w:numId w:val="2411"/>
        </w:numPr>
      </w:pPr>
      <w:r>
        <w:t xml:space="preserve">FSFI, IIEF, ASEX (Arizona Sexual Experience Scale).</w:t>
      </w:r>
    </w:p>
    <w:p>
      <w:pPr>
        <w:pStyle w:val="Compact"/>
        <w:numPr>
          <w:ilvl w:val="0"/>
          <w:numId w:val="2411"/>
        </w:numPr>
      </w:pPr>
      <w:r>
        <w:t xml:space="preserve">Pelvic or urological examination when indicated.</w:t>
      </w:r>
    </w:p>
    <w:bookmarkEnd w:id="2792"/>
    <w:bookmarkStart w:id="2795" w:name="ha40-8-mualice"/>
    <w:p>
      <w:pPr>
        <w:pStyle w:val="Heading3"/>
      </w:pPr>
      <w:r>
        <w:t xml:space="preserve">8. Treatment</w:t>
      </w:r>
    </w:p>
    <w:p>
      <w:pPr>
        <w:pStyle w:val="Compact"/>
        <w:numPr>
          <w:ilvl w:val="0"/>
          <w:numId w:val="2412"/>
        </w:numPr>
      </w:pPr>
      <w:r>
        <w:t xml:space="preserve">Etiological approach — first-line:</w:t>
      </w:r>
    </w:p>
    <w:p>
      <w:pPr>
        <w:pStyle w:val="Compact"/>
        <w:numPr>
          <w:ilvl w:val="1"/>
          <w:numId w:val="2413"/>
        </w:numPr>
      </w:pPr>
      <w:r>
        <w:t xml:space="preserve">Medication-related — dose reduction, medication switch (bupropion, mirtazapine, vortioxetine, aripiprazole — in antidepressant or antipsychotic strategies);</w:t>
      </w:r>
    </w:p>
    <w:p>
      <w:pPr>
        <w:pStyle w:val="Compact"/>
        <w:numPr>
          <w:ilvl w:val="1"/>
          <w:numId w:val="2413"/>
        </w:numPr>
      </w:pPr>
      <w:r>
        <w:t xml:space="preserve">Medical condition management (diabetes, hypertension, hypogonadism).</w:t>
      </w:r>
    </w:p>
    <w:p>
      <w:pPr>
        <w:pStyle w:val="Compact"/>
        <w:numPr>
          <w:ilvl w:val="0"/>
          <w:numId w:val="2412"/>
        </w:numPr>
      </w:pPr>
      <w:r>
        <w:t xml:space="preserve">Adjunct pharmacotherapy — sildenafil (PDE5) in ED and SSRI-induced female dysfunction (Nurnberg JAMA 2008); bupropion adjunct.</w:t>
      </w:r>
    </w:p>
    <w:p>
      <w:pPr>
        <w:pStyle w:val="Compact"/>
        <w:numPr>
          <w:ilvl w:val="0"/>
          <w:numId w:val="2412"/>
        </w:numPr>
      </w:pPr>
      <w:r>
        <w:t xml:space="preserve">In hyperprolactinemia — antipsychotic switch (aripiprazole, quetiapine) or dose modification; dopamine agonist only with endocrine assistance.</w:t>
      </w:r>
    </w:p>
    <w:p>
      <w:pPr>
        <w:pStyle w:val="Compact"/>
        <w:numPr>
          <w:ilvl w:val="0"/>
          <w:numId w:val="2412"/>
        </w:numPr>
      </w:pPr>
      <w:r>
        <w:t xml:space="preserve">Psychotherapy and couple therapy — in psychogenic component.</w:t>
      </w:r>
    </w:p>
    <w:p>
      <w:pPr>
        <w:pStyle w:val="Compact"/>
        <w:numPr>
          <w:ilvl w:val="0"/>
          <w:numId w:val="2412"/>
        </w:numPr>
      </w:pPr>
      <w:r>
        <w:t xml:space="preserve">Patient education and informed consent — prior to initiating antidepressants and antipsychotics, it is important to provide information about sexual side effects.</w:t>
      </w:r>
    </w:p>
    <w:p>
      <w:pPr>
        <w:pStyle w:val="Compact"/>
        <w:numPr>
          <w:ilvl w:val="0"/>
          <w:numId w:val="2412"/>
        </w:numPr>
      </w:pPr>
      <w:r>
        <w:t xml:space="preserve">PSSD — no specific validated treatment exists; clinical support and monitoring; research ongoing.</w:t>
      </w:r>
    </w:p>
    <w:bookmarkStart w:id="2793" w:name="treatment-methods-99"/>
    <w:p>
      <w:pPr>
        <w:pStyle w:val="Heading4"/>
      </w:pPr>
      <w:r>
        <w:t xml:space="preserve">8.1 Treatment methods</w:t>
      </w:r>
    </w:p>
    <w:p>
      <w:pPr>
        <w:pStyle w:val="Compact"/>
        <w:numPr>
          <w:ilvl w:val="0"/>
          <w:numId w:val="2414"/>
        </w:numPr>
      </w:pPr>
      <w:r>
        <w:t xml:space="preserve">Medication Switch — SSRI → bupropion/mirtazapine/vortioxetine; risperidone → aripiprazole.</w:t>
      </w:r>
    </w:p>
    <w:p>
      <w:pPr>
        <w:pStyle w:val="Compact"/>
        <w:numPr>
          <w:ilvl w:val="0"/>
          <w:numId w:val="2414"/>
        </w:numPr>
      </w:pPr>
      <w:r>
        <w:t xml:space="preserve">Sildenafil Adjunct — SSRI-induced dysfunction (male and female); Nurnberg JAMA RCT.</w:t>
      </w:r>
    </w:p>
    <w:p>
      <w:pPr>
        <w:pStyle w:val="Compact"/>
        <w:numPr>
          <w:ilvl w:val="0"/>
          <w:numId w:val="2414"/>
        </w:numPr>
      </w:pPr>
      <w:r>
        <w:t xml:space="preserve">Bupropion Adjunct — In desire and orgasm disorders.</w:t>
      </w:r>
    </w:p>
    <w:p>
      <w:pPr>
        <w:pStyle w:val="Compact"/>
        <w:numPr>
          <w:ilvl w:val="0"/>
          <w:numId w:val="2414"/>
        </w:numPr>
      </w:pPr>
      <w:r>
        <w:t xml:space="preserve">Antipsychotic Switch (aripiprazole) — In case of hyperprolactinemia.</w:t>
      </w:r>
    </w:p>
    <w:p>
      <w:pPr>
        <w:pStyle w:val="Compact"/>
        <w:numPr>
          <w:ilvl w:val="0"/>
          <w:numId w:val="2414"/>
        </w:numPr>
      </w:pPr>
      <w:r>
        <w:t xml:space="preserve">Patient Education — Informed consent; discussing long-term risk.</w:t>
      </w:r>
    </w:p>
    <w:bookmarkEnd w:id="2793"/>
    <w:bookmarkStart w:id="2794" w:name="differences-between-sources-182"/>
    <w:p>
      <w:pPr>
        <w:pStyle w:val="Heading4"/>
      </w:pPr>
      <w:r>
        <w:t xml:space="preserve">8.2 Differences between sources</w:t>
      </w:r>
    </w:p>
    <w:p>
      <w:pPr>
        <w:pStyle w:val="Compact"/>
        <w:numPr>
          <w:ilvl w:val="0"/>
          <w:numId w:val="2415"/>
        </w:numPr>
      </w:pPr>
      <w:r>
        <w:t xml:space="preserve">Montejo A.L. et al. — antidepressant sexual side effect algorithms.</w:t>
      </w:r>
    </w:p>
    <w:p>
      <w:pPr>
        <w:pStyle w:val="Compact"/>
        <w:numPr>
          <w:ilvl w:val="0"/>
          <w:numId w:val="2415"/>
        </w:numPr>
      </w:pPr>
      <w:r>
        <w:t xml:space="preserve">EMA 2019 — PSSD risk information.</w:t>
      </w:r>
    </w:p>
    <w:p>
      <w:pPr>
        <w:pStyle w:val="Compact"/>
        <w:numPr>
          <w:ilvl w:val="0"/>
          <w:numId w:val="2415"/>
        </w:numPr>
      </w:pPr>
      <w:r>
        <w:t xml:space="preserve">NICE and APA guidelines — management of antidepressant sexual side effects.</w:t>
      </w:r>
    </w:p>
    <w:bookmarkEnd w:id="2794"/>
    <w:bookmarkEnd w:id="2795"/>
    <w:bookmarkStart w:id="2796" w:name="ha40-9-proqnoz"/>
    <w:p>
      <w:pPr>
        <w:pStyle w:val="Heading3"/>
      </w:pPr>
      <w:r>
        <w:t xml:space="preserve">9. Prognosis</w:t>
      </w:r>
    </w:p>
    <w:p>
      <w:pPr>
        <w:pStyle w:val="FirstParagraph"/>
      </w:pPr>
      <w:r>
        <w:t xml:space="preserve">Most cases improve with etiological management and medication switch; PSSD may rarely persist.</w:t>
      </w:r>
    </w:p>
    <w:bookmarkEnd w:id="2796"/>
    <w:bookmarkStart w:id="2802" w:name="ha40-10-mifler"/>
    <w:p>
      <w:pPr>
        <w:pStyle w:val="Heading3"/>
      </w:pPr>
      <w:r>
        <w:t xml:space="preserve">10. Myths and misconceptions</w:t>
      </w:r>
    </w:p>
    <w:bookmarkStart w:id="2797" w:name="Xae225355f89d9e6536039d668ab74bba1e5ed9d"/>
    <w:p>
      <w:pPr>
        <w:pStyle w:val="Heading5"/>
      </w:pPr>
      <w:r>
        <w:t xml:space="preserve">Myth 1: “Antidepressant sexual side effects are ‘temporary’ and require no intervention”</w:t>
      </w:r>
    </w:p>
    <w:p>
      <w:pPr>
        <w:pStyle w:val="FirstParagraph"/>
      </w:pPr>
      <w:r>
        <w:t xml:space="preserve">Evidence: Montejo studies — side effects are persistent (30–70%); require active management.</w:t>
      </w:r>
    </w:p>
    <w:bookmarkEnd w:id="2797"/>
    <w:bookmarkStart w:id="2798" w:name="myth-2-pssd-is-not-a-clinical-entity"/>
    <w:p>
      <w:pPr>
        <w:pStyle w:val="Heading5"/>
      </w:pPr>
      <w:r>
        <w:t xml:space="preserve">Myth 2: “PSSD is not a clinical entity”</w:t>
      </w:r>
    </w:p>
    <w:p>
      <w:pPr>
        <w:pStyle w:val="FirstParagraph"/>
      </w:pPr>
      <w:r>
        <w:t xml:space="preserve">Evidence: EMA 2019 — PSSD risk included in SSRI label; clinically recognized entity.</w:t>
      </w:r>
    </w:p>
    <w:bookmarkEnd w:id="2798"/>
    <w:bookmarkStart w:id="2799" w:name="X13b99657885969a66c99ace3adafd2bbd5ac0f9"/>
    <w:p>
      <w:pPr>
        <w:pStyle w:val="Heading5"/>
      </w:pPr>
      <w:r>
        <w:t xml:space="preserve">Myth 3: “Antipsychotic sexual dysfunction is the same for everyone”</w:t>
      </w:r>
    </w:p>
    <w:p>
      <w:pPr>
        <w:pStyle w:val="FirstParagraph"/>
      </w:pPr>
      <w:r>
        <w:t xml:space="preserve">Evidence: risperidone and paliperidone high hyperprolactinemia risk; aripiprazole and quetiapine less; switching is effective.</w:t>
      </w:r>
    </w:p>
    <w:bookmarkEnd w:id="2799"/>
    <w:bookmarkStart w:id="2800" w:name="Xaad6f13f7c108ab28f39506b589062413628e67"/>
    <w:p>
      <w:pPr>
        <w:pStyle w:val="Heading5"/>
      </w:pPr>
      <w:r>
        <w:t xml:space="preserve">Myth 4: “Sexual dysfunction due to a medical illness is only a consequence of the illness, no intervention exists”</w:t>
      </w:r>
    </w:p>
    <w:p>
      <w:pPr>
        <w:pStyle w:val="FirstParagraph"/>
      </w:pPr>
      <w:r>
        <w:t xml:space="preserve">Evidence: In diabetic ED, PDE5 inhibitors are effective; sexual function improves with cardiovascular rehabilitation; active intervention is important.</w:t>
      </w:r>
    </w:p>
    <w:bookmarkEnd w:id="2800"/>
    <w:bookmarkStart w:id="2801" w:name="Xf134ea4b8144a20462276d3ecc173d07a4e1404"/>
    <w:p>
      <w:pPr>
        <w:pStyle w:val="Heading5"/>
      </w:pPr>
      <w:r>
        <w:t xml:space="preserve">Myth 5: “It is not necessary to discuss sexual side effects before starting an antidepressant”</w:t>
      </w:r>
    </w:p>
    <w:p>
      <w:pPr>
        <w:pStyle w:val="FirstParagraph"/>
      </w:pPr>
      <w:r>
        <w:t xml:space="preserve">Evidence: informed consent is ethical and clinical requirement; later emerging side effects lead to patient distrust and reduced treatment adherence.</w:t>
      </w:r>
    </w:p>
    <w:bookmarkEnd w:id="2801"/>
    <w:bookmarkEnd w:id="2802"/>
    <w:bookmarkStart w:id="2803" w:name="ha40-11-menbeler"/>
    <w:p>
      <w:pPr>
        <w:pStyle w:val="Heading3"/>
      </w:pPr>
      <w:r>
        <w:t xml:space="preserve">11. Sources</w:t>
      </w:r>
    </w:p>
    <w:p>
      <w:pPr>
        <w:pStyle w:val="Compact"/>
        <w:numPr>
          <w:ilvl w:val="0"/>
          <w:numId w:val="2416"/>
        </w:numPr>
      </w:pPr>
      <w:r>
        <w:t xml:space="preserve">WHO. ICD-11. HA40 Aetiological considerations in sexual dysfunctions and sexual pain disorders. 2024.</w:t>
      </w:r>
    </w:p>
    <w:p>
      <w:pPr>
        <w:pStyle w:val="Compact"/>
        <w:numPr>
          <w:ilvl w:val="0"/>
          <w:numId w:val="2416"/>
        </w:numPr>
      </w:pPr>
      <w:r>
        <w:t xml:space="preserve">APA. DSM-5-TR. 2022.</w:t>
      </w:r>
    </w:p>
    <w:p>
      <w:pPr>
        <w:pStyle w:val="Compact"/>
        <w:numPr>
          <w:ilvl w:val="0"/>
          <w:numId w:val="2416"/>
        </w:numPr>
      </w:pPr>
      <w:r>
        <w:t xml:space="preserve">Montejo A.L., Llorca G., Izquierdo J.A., Rico-Villademoros F. Incidence of sexual dysfunction associated with antidepressant agents: a prospective multicenter study of 1022 outpatients. J Clin Psychiatry 2001;62(Suppl 3):10–21.</w:t>
      </w:r>
    </w:p>
    <w:p>
      <w:pPr>
        <w:pStyle w:val="Compact"/>
        <w:numPr>
          <w:ilvl w:val="0"/>
          <w:numId w:val="2416"/>
        </w:numPr>
      </w:pPr>
      <w:r>
        <w:t xml:space="preserve">EMA. PRAC recommends new product information warnings on sexual dysfunction after SSRI/SNRI treatment. 2019.</w:t>
      </w:r>
    </w:p>
    <w:p>
      <w:pPr>
        <w:pStyle w:val="Compact"/>
        <w:numPr>
          <w:ilvl w:val="0"/>
          <w:numId w:val="2416"/>
        </w:numPr>
      </w:pPr>
      <w:r>
        <w:t xml:space="preserve">Nurnberg H.G. et al. Sildenafil treatment of women with antidepressant-associated sexual dysfunction. JAMA 2008;300(4):395–404.</w:t>
      </w:r>
    </w:p>
    <w:p>
      <w:pPr>
        <w:pStyle w:val="Compact"/>
        <w:numPr>
          <w:ilvl w:val="0"/>
          <w:numId w:val="2416"/>
        </w:numPr>
      </w:pPr>
      <w:r>
        <w:t xml:space="preserve">Bahrick A.S. Persistence of sexual dysfunction side effects after discontinuation of antidepressant medications. Open Psychol J 2008;1:42–50.</w:t>
      </w:r>
    </w:p>
    <w:bookmarkEnd w:id="2803"/>
    <w:bookmarkStart w:id="2804" w:name="əlavələr"/>
    <w:p>
      <w:pPr>
        <w:pageBreakBefore/>
        <w:pStyle w:val="Heading1"/>
      </w:pPr>
      <w:r>
        <w:t xml:space="preserve">APPENDICES</w:t>
      </w:r>
    </w:p>
    <w:p>
      <w:r>
        <w:pict>
          <v:rect style="width:0;height:1.5pt" o:hralign="center" o:hrstd="t" o:hr="t"/>
        </w:pict>
      </w:r>
    </w:p>
    <w:bookmarkEnd w:id="2804"/>
    <w:bookmarkStart w:id="2819" w:name="əlavə-a"/>
    <w:p>
      <w:pPr>
        <w:pageBreakBefore/>
        <w:pStyle w:val="Heading1"/>
      </w:pPr>
      <w:r>
        <w:t xml:space="preserve">APPENDIX A</w:t>
      </w:r>
    </w:p>
    <w:bookmarkStart w:id="2805" w:name="moni̇tori̇nq-və-müayi̇nə-standartlari"/>
    <w:p>
      <w:pPr>
        <w:pStyle w:val="Heading2"/>
      </w:pPr>
      <w:r>
        <w:t xml:space="preserve">MONITORING AND EXAMINATION STANDARDS</w:t>
      </w:r>
    </w:p>
    <w:p>
      <w:pPr>
        <w:pStyle w:val="FirstParagraph"/>
      </w:pPr>
      <w:r>
        <w:t xml:space="preserve">This appendix presents standard protocols for safety monitoring in the use of psychotropic medications and for monitoring the medical condition of psychiatric patients.</w:t>
      </w:r>
    </w:p>
    <w:bookmarkEnd w:id="2805"/>
    <w:bookmarkStart w:id="2810" w:name="X542ac41480d95ffe765c395112c1c8bd5f9df01"/>
    <w:p>
      <w:pPr>
        <w:pStyle w:val="Heading2"/>
      </w:pPr>
      <w:r>
        <w:t xml:space="preserve">A.1. Metabolic monitoring during antipsychotic therapy</w:t>
      </w:r>
    </w:p>
    <w:p>
      <w:pPr>
        <w:pStyle w:val="FirstParagraph"/>
      </w:pPr>
      <w:r>
        <w:t xml:space="preserve">Atypical antipsychotics – especially olanzapine, quetiapine, clozapine – Metabolic syndrome increases the risk. (weight gain, dyslipidemia, insulin resistance, diabetes).</w:t>
      </w:r>
    </w:p>
    <w:bookmarkStart w:id="2806" w:name="X73720e9d87ada9eba1ef9fee7e545f13d063609"/>
    <w:p>
      <w:pPr>
        <w:pStyle w:val="Heading3"/>
      </w:pPr>
      <w:r>
        <w:t xml:space="preserve">Monitoring chart (APA/ADA 2004, ADA/APA/AACE/NAASO consensus):</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Onset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weeks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Quarterly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Annual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Personal/Family history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Weight, waist circumference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Blood pressure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Fasting glucose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Fasting lipid profile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(every 2 years)</w:t>
            </w:r>
          </w:p>
        </w:tc>
      </w:tr>
    </w:tbl>
    <w:p>
      <w:pPr>
        <w:pStyle w:val="BodyText"/>
      </w:pPr>
      <w:r>
        <w:t xml:space="preserve">If abnormality is detected:</w:t>
      </w:r>
    </w:p>
    <w:p>
      <w:pPr>
        <w:pStyle w:val="Compact"/>
        <w:numPr>
          <w:ilvl w:val="0"/>
          <w:numId w:val="2417"/>
        </w:numPr>
      </w:pPr>
      <w:r>
        <w:t xml:space="preserve">Weight gain ≥7%: consider medication switch (aripiprazole, ziprasidone — metabolically neutral);</w:t>
      </w:r>
    </w:p>
    <w:p>
      <w:pPr>
        <w:pStyle w:val="Compact"/>
        <w:numPr>
          <w:ilvl w:val="0"/>
          <w:numId w:val="2417"/>
        </w:numPr>
      </w:pPr>
      <w:r>
        <w:t xml:space="preserve">HbA1c ≥6.5% or fasting glucose ≥7: Diabetes Consultation</w:t>
      </w:r>
    </w:p>
    <w:p>
      <w:pPr>
        <w:pStyle w:val="Compact"/>
        <w:numPr>
          <w:ilvl w:val="0"/>
          <w:numId w:val="2417"/>
        </w:numPr>
      </w:pPr>
      <w:r>
        <w:t xml:space="preserve">LDL ≥3.4 mmol/L: Diet, statin.</w:t>
      </w:r>
    </w:p>
    <w:bookmarkEnd w:id="2806"/>
    <w:bookmarkStart w:id="2807" w:name="X7dde378dca7a3114bf1784d6bda488cea7d3ac1"/>
    <w:p>
      <w:pPr>
        <w:pStyle w:val="Heading3"/>
      </w:pPr>
      <w:r>
        <w:t xml:space="preserve">Specific monitoring for clozapine (due to agranulocytosis):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Duration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Frequency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First 6 months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Weekly WBC and absolute neutrophil count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7–12 months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Every 2 weeks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months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Monthly</w:t>
            </w:r>
          </w:p>
        </w:tc>
      </w:tr>
    </w:tbl>
    <w:p>
      <w:pPr>
        <w:pStyle w:val="BodyText"/>
      </w:pPr>
      <w:r>
        <w:t xml:space="preserve">ANC indicators:</w:t>
      </w:r>
    </w:p>
    <w:p>
      <w:pPr>
        <w:pStyle w:val="Compact"/>
        <w:numPr>
          <w:ilvl w:val="0"/>
          <w:numId w:val="2418"/>
        </w:numPr>
      </w:pPr>
      <w:r>
        <w:t xml:space="preserve">≥2.0 × 10⁹/L Normal – continue treatment;</w:t>
      </w:r>
    </w:p>
    <w:p>
      <w:pPr>
        <w:pStyle w:val="Compact"/>
        <w:numPr>
          <w:ilvl w:val="0"/>
          <w:numId w:val="2418"/>
        </w:numPr>
      </w:pPr>
      <w:r>
        <w:t xml:space="preserve">1.5–2.0: weekly monitoring;</w:t>
      </w:r>
    </w:p>
    <w:p>
      <w:pPr>
        <w:pStyle w:val="Compact"/>
        <w:numPr>
          <w:ilvl w:val="0"/>
          <w:numId w:val="2418"/>
        </w:numPr>
      </w:pPr>
      <w:r>
        <w:t xml:space="preserve">1.0–1.5: Monitor every 2 days, hematology consultation;</w:t>
      </w:r>
    </w:p>
    <w:p>
      <w:pPr>
        <w:pStyle w:val="Compact"/>
        <w:numPr>
          <w:ilvl w:val="0"/>
          <w:numId w:val="2418"/>
        </w:numPr>
      </w:pPr>
      <w:r>
        <w:t xml:space="preserve">&lt;1.0: medication discontinued, hematologist intervention.</w:t>
      </w:r>
    </w:p>
    <w:bookmarkEnd w:id="2807"/>
    <w:bookmarkStart w:id="2808" w:name="antipsikotiklərdə-ekg-monitorinqi"/>
    <w:p>
      <w:pPr>
        <w:pStyle w:val="Heading3"/>
      </w:pPr>
      <w:r>
        <w:t xml:space="preserve">EKG monitoring with antipsychotics:</w:t>
      </w:r>
    </w:p>
    <w:p>
      <w:pPr>
        <w:pStyle w:val="Compact"/>
        <w:numPr>
          <w:ilvl w:val="0"/>
          <w:numId w:val="2419"/>
        </w:numPr>
      </w:pPr>
      <w:r>
        <w:t xml:space="preserve">QT interval prolongation risk: specifically ziprasidone, haloperidol IV, ondansetron combination;</w:t>
      </w:r>
    </w:p>
    <w:p>
      <w:pPr>
        <w:pStyle w:val="Compact"/>
        <w:numPr>
          <w:ilvl w:val="0"/>
          <w:numId w:val="2419"/>
        </w:numPr>
      </w:pPr>
      <w:r>
        <w:t xml:space="preserve">Baseline EKG in patients with risk factors (heart disease, electrolyte disturbance, &gt;65 years);</w:t>
      </w:r>
    </w:p>
    <w:p>
      <w:pPr>
        <w:pStyle w:val="Compact"/>
        <w:numPr>
          <w:ilvl w:val="0"/>
          <w:numId w:val="2419"/>
        </w:numPr>
      </w:pPr>
      <w:r>
        <w:t xml:space="preserve">QTc &gt;500 ms or &gt;60 ms increase from baseline — Medication change;</w:t>
      </w:r>
    </w:p>
    <w:p>
      <w:pPr>
        <w:pStyle w:val="Compact"/>
        <w:numPr>
          <w:ilvl w:val="0"/>
          <w:numId w:val="2419"/>
        </w:numPr>
      </w:pPr>
      <w:r>
        <w:t xml:space="preserve">Medications increasing risk: chlorpromazine, haloperidol (high), thioridazine.</w:t>
      </w:r>
    </w:p>
    <w:bookmarkEnd w:id="2808"/>
    <w:bookmarkStart w:id="2809" w:name="hiperprolaktinemiya"/>
    <w:p>
      <w:pPr>
        <w:pStyle w:val="Heading3"/>
      </w:pPr>
      <w:r>
        <w:t xml:space="preserve">Hyperprolactinemia:</w:t>
      </w:r>
    </w:p>
    <w:p>
      <w:pPr>
        <w:pStyle w:val="Compact"/>
        <w:numPr>
          <w:ilvl w:val="0"/>
          <w:numId w:val="2420"/>
        </w:numPr>
      </w:pPr>
      <w:r>
        <w:t xml:space="preserve">Risperidone, amisulpride, paliperidone — high risk;</w:t>
      </w:r>
    </w:p>
    <w:p>
      <w:pPr>
        <w:pStyle w:val="Compact"/>
        <w:numPr>
          <w:ilvl w:val="0"/>
          <w:numId w:val="2420"/>
        </w:numPr>
      </w:pPr>
      <w:r>
        <w:t xml:space="preserve">Symptoms: amenorrhea, galactorrhea, sexual dysfunction, osteoporosis.</w:t>
      </w:r>
    </w:p>
    <w:p>
      <w:pPr>
        <w:pStyle w:val="Compact"/>
        <w:numPr>
          <w:ilvl w:val="0"/>
          <w:numId w:val="2420"/>
        </w:numPr>
      </w:pPr>
      <w:r>
        <w:t xml:space="preserve">Basal prolactin; with recurrent symptom.</w:t>
      </w:r>
    </w:p>
    <w:bookmarkEnd w:id="2809"/>
    <w:bookmarkEnd w:id="2810"/>
    <w:bookmarkStart w:id="2811" w:name="a2-litium-monitorinqi"/>
    <w:p>
      <w:pPr>
        <w:pStyle w:val="Heading2"/>
      </w:pPr>
      <w:r>
        <w:t xml:space="preserve">A.2. Lithium monitoring</w:t>
      </w:r>
    </w:p>
    <w:p>
      <w:pPr>
        <w:pStyle w:val="FirstParagraph"/>
      </w:pPr>
      <w:r>
        <w:t xml:space="preserve">Narrow therapeutic window — level 0.6–1.2 mEq/L, &gt;1.5 toxic.</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Onset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Every 6 months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Annual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Lithium level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Weekly for the 1st month, then every 6 months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Creatinine,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Electrolytes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Calcium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 (50+ years old)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Pregnancy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Female of childbearing age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Signs of lithium intoxication:</w:t>
      </w:r>
    </w:p>
    <w:p>
      <w:pPr>
        <w:pStyle w:val="Compact"/>
        <w:numPr>
          <w:ilvl w:val="0"/>
          <w:numId w:val="2421"/>
        </w:numPr>
      </w:pPr>
      <w:r>
        <w:t xml:space="preserve">Tremor (more severe);</w:t>
      </w:r>
    </w:p>
    <w:p>
      <w:pPr>
        <w:pStyle w:val="Compact"/>
        <w:numPr>
          <w:ilvl w:val="0"/>
          <w:numId w:val="2421"/>
        </w:numPr>
      </w:pPr>
      <w:r>
        <w:t xml:space="preserve">Tachycardia;</w:t>
      </w:r>
    </w:p>
    <w:p>
      <w:pPr>
        <w:pStyle w:val="Compact"/>
        <w:numPr>
          <w:ilvl w:val="0"/>
          <w:numId w:val="2421"/>
        </w:numPr>
      </w:pPr>
      <w:r>
        <w:t xml:space="preserve">Diarrhea, vomiting;</w:t>
      </w:r>
    </w:p>
    <w:p>
      <w:pPr>
        <w:pStyle w:val="Compact"/>
        <w:numPr>
          <w:ilvl w:val="0"/>
          <w:numId w:val="2421"/>
        </w:numPr>
      </w:pPr>
      <w:r>
        <w:t xml:space="preserve">Slow, confused speech;</w:t>
      </w:r>
    </w:p>
    <w:p>
      <w:pPr>
        <w:pStyle w:val="Compact"/>
        <w:numPr>
          <w:ilvl w:val="0"/>
          <w:numId w:val="2421"/>
        </w:numPr>
      </w:pPr>
      <w:r>
        <w:t xml:space="preserve">Ataxia;</w:t>
      </w:r>
    </w:p>
    <w:p>
      <w:pPr>
        <w:pStyle w:val="Compact"/>
        <w:numPr>
          <w:ilvl w:val="0"/>
          <w:numId w:val="2421"/>
        </w:numPr>
      </w:pPr>
      <w:r>
        <w:t xml:space="preserve">Convulsion – in severe conditions.</w:t>
      </w:r>
    </w:p>
    <w:p>
      <w:pPr>
        <w:pStyle w:val="FirstParagraph"/>
      </w:pPr>
      <w:r>
        <w:t xml:space="preserve">Check level in state change: dehydration, NSAID addition, ACE inhibitor addition, kidney function change.</w:t>
      </w:r>
    </w:p>
    <w:bookmarkEnd w:id="2811"/>
    <w:bookmarkStart w:id="2815" w:name="X7e212894c76c12ab051d540f7598a76aa6e8228"/>
    <w:p>
      <w:pPr>
        <w:pStyle w:val="Heading2"/>
      </w:pPr>
      <w:r>
        <w:t xml:space="preserve">A.3. Anticonvulsants (valproate, carbamazepine, lamotrigine)</w:t>
      </w:r>
    </w:p>
    <w:bookmarkStart w:id="2812" w:name="valproat"/>
    <w:p>
      <w:pPr>
        <w:pStyle w:val="Heading3"/>
      </w:pPr>
      <w:r>
        <w:t xml:space="preserve">Valproate: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Parameter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Onset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Every 6 months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CBC (thrombocytopenia)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Liver function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Valproate level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With symptom or suspicion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Monitoring signs of pancreatitis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Every visit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Pregnancy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ABSOLUTELY DEFINITE in elderly woman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Every quarter</w:t>
            </w:r>
          </w:p>
        </w:tc>
      </w:tr>
    </w:tbl>
    <w:p>
      <w:pPr>
        <w:pStyle w:val="BodyText"/>
      </w:pPr>
      <w:r>
        <w:t xml:space="preserve">Critical: valproate postpartum-aged women Due to neural tube defect and cause of cognitive impairment only with effective contraception, after other options have been evaluated first.</w:t>
      </w:r>
    </w:p>
    <w:bookmarkEnd w:id="2812"/>
    <w:bookmarkStart w:id="2813" w:name="karbamazepin"/>
    <w:p>
      <w:pPr>
        <w:pStyle w:val="Heading3"/>
      </w:pPr>
      <w:r>
        <w:t xml:space="preserve">Carbamazepine:</w:t>
      </w:r>
    </w:p>
    <w:p>
      <w:pPr>
        <w:pStyle w:val="Compact"/>
        <w:numPr>
          <w:ilvl w:val="0"/>
          <w:numId w:val="2422"/>
        </w:numPr>
      </w:pPr>
      <w:r>
        <w:t xml:space="preserve">CBC, liver – baseline, 1 month, quarterly;</w:t>
      </w:r>
    </w:p>
    <w:p>
      <w:pPr>
        <w:pStyle w:val="Compact"/>
        <w:numPr>
          <w:ilvl w:val="0"/>
          <w:numId w:val="2422"/>
        </w:numPr>
      </w:pPr>
      <w:r>
        <w:t xml:space="preserve">HLA-B*1502 test In patients of Asian origin (Stevens-Johnson risk);</w:t>
      </w:r>
    </w:p>
    <w:p>
      <w:pPr>
        <w:pStyle w:val="Compact"/>
        <w:numPr>
          <w:ilvl w:val="0"/>
          <w:numId w:val="2422"/>
        </w:numPr>
      </w:pPr>
      <w:r>
        <w:t xml:space="preserve">Level drop due to auto-induction in the first 4 weeks – check level.</w:t>
      </w:r>
    </w:p>
    <w:bookmarkEnd w:id="2813"/>
    <w:bookmarkStart w:id="2814" w:name="lamotrigin"/>
    <w:p>
      <w:pPr>
        <w:pStyle w:val="Heading3"/>
      </w:pPr>
      <w:r>
        <w:t xml:space="preserve">Lamotrigine:</w:t>
      </w:r>
    </w:p>
    <w:p>
      <w:pPr>
        <w:pStyle w:val="Compact"/>
        <w:numPr>
          <w:ilvl w:val="0"/>
          <w:numId w:val="2423"/>
        </w:numPr>
      </w:pPr>
      <w:r>
        <w:t xml:space="preserve">Slow titration — Stevens-Johnson syndrome risk;</w:t>
      </w:r>
    </w:p>
    <w:p>
      <w:pPr>
        <w:pStyle w:val="Compact"/>
        <w:numPr>
          <w:ilvl w:val="0"/>
          <w:numId w:val="2423"/>
        </w:numPr>
      </w:pPr>
      <w:r>
        <w:t xml:space="preserve">Starting 25 mg per week, to target dose within 4–8 weeks;</w:t>
      </w:r>
    </w:p>
    <w:p>
      <w:pPr>
        <w:pStyle w:val="Compact"/>
        <w:numPr>
          <w:ilvl w:val="0"/>
          <w:numId w:val="2423"/>
        </w:numPr>
      </w:pPr>
      <w:r>
        <w:t xml:space="preserve">Along with valproate: starting dose 12.5 mg — valproate slows lamotrigine metabolism;</w:t>
      </w:r>
    </w:p>
    <w:p>
      <w:pPr>
        <w:pStyle w:val="Compact"/>
        <w:numPr>
          <w:ilvl w:val="0"/>
          <w:numId w:val="2423"/>
        </w:numPr>
      </w:pPr>
      <w:r>
        <w:t xml:space="preserve">If a skin reaction occurs – immediately discontinue.</w:t>
      </w:r>
    </w:p>
    <w:bookmarkEnd w:id="2814"/>
    <w:bookmarkEnd w:id="2815"/>
    <w:bookmarkStart w:id="2816" w:name="a4-ssri̇-və-snri̇-monitorinqi"/>
    <w:p>
      <w:pPr>
        <w:pStyle w:val="Heading2"/>
      </w:pPr>
      <w:r>
        <w:t xml:space="preserve">A.4. Monitoring of SSRIs and SNRIs</w:t>
      </w:r>
    </w:p>
    <w:p>
      <w:pPr>
        <w:pStyle w:val="Compact"/>
        <w:numPr>
          <w:ilvl w:val="0"/>
          <w:numId w:val="2424"/>
        </w:numPr>
      </w:pPr>
      <w:r>
        <w:t xml:space="preserve">Hyponatremia risk — especially in elderly, in those using diuretics;</w:t>
      </w:r>
    </w:p>
    <w:p>
      <w:pPr>
        <w:pStyle w:val="Compact"/>
        <w:numPr>
          <w:ilvl w:val="0"/>
          <w:numId w:val="2424"/>
        </w:numPr>
      </w:pPr>
      <w:r>
        <w:t xml:space="preserve">Baseline Na, after 1 month, then with symptom;</w:t>
      </w:r>
    </w:p>
    <w:p>
      <w:pPr>
        <w:pStyle w:val="Compact"/>
        <w:numPr>
          <w:ilvl w:val="0"/>
          <w:numId w:val="2424"/>
        </w:numPr>
      </w:pPr>
      <w:r>
        <w:t xml:space="preserve">Increased suicidality especially with onset under 25 years — close monitoring during first 1-2 months;</w:t>
      </w:r>
    </w:p>
    <w:p>
      <w:pPr>
        <w:pStyle w:val="Compact"/>
        <w:numPr>
          <w:ilvl w:val="0"/>
          <w:numId w:val="2424"/>
        </w:numPr>
      </w:pPr>
      <w:r>
        <w:t xml:space="preserve">QTc prolongation — escitalopram, citalopram (at high doses);</w:t>
      </w:r>
    </w:p>
    <w:p>
      <w:pPr>
        <w:pStyle w:val="Compact"/>
        <w:numPr>
          <w:ilvl w:val="0"/>
          <w:numId w:val="2424"/>
        </w:numPr>
      </w:pPr>
      <w:r>
        <w:t xml:space="preserve">Serotonin syndrome (MAOI or triptan, etc., in combination) – symptom education.</w:t>
      </w:r>
    </w:p>
    <w:bookmarkEnd w:id="2816"/>
    <w:bookmarkStart w:id="2817" w:name="a5-benzodiazepin-istifadəsi"/>
    <w:p>
      <w:pPr>
        <w:pStyle w:val="Heading2"/>
      </w:pPr>
      <w:r>
        <w:t xml:space="preserve">A.5. Benzodiazepine use</w:t>
      </w:r>
    </w:p>
    <w:p>
      <w:pPr>
        <w:pStyle w:val="Compact"/>
        <w:numPr>
          <w:ilvl w:val="0"/>
          <w:numId w:val="2425"/>
        </w:numPr>
      </w:pPr>
      <w:r>
        <w:t xml:space="preserve">Maximum duration: 2–4 weeks;</w:t>
      </w:r>
    </w:p>
    <w:p>
      <w:pPr>
        <w:pStyle w:val="Compact"/>
        <w:numPr>
          <w:ilvl w:val="0"/>
          <w:numId w:val="2425"/>
        </w:numPr>
      </w:pPr>
      <w:r>
        <w:t xml:space="preserve">Long-term use inevitably leads to addiction;</w:t>
      </w:r>
    </w:p>
    <w:p>
      <w:pPr>
        <w:pStyle w:val="Compact"/>
        <w:numPr>
          <w:ilvl w:val="0"/>
          <w:numId w:val="2425"/>
        </w:numPr>
      </w:pPr>
      <w:r>
        <w:t xml:space="preserve">Reduction schedule (tapering): 25% every 2 weeks, sometimes slower;</w:t>
      </w:r>
    </w:p>
    <w:p>
      <w:pPr>
        <w:pStyle w:val="Compact"/>
        <w:numPr>
          <w:ilvl w:val="0"/>
          <w:numId w:val="2425"/>
        </w:numPr>
      </w:pPr>
      <w:r>
        <w:t xml:space="preserve">Re-experiencing symptoms. (rebound anxiety, insomnia, tremor) is normal and temporary.</w:t>
      </w:r>
    </w:p>
    <w:bookmarkEnd w:id="2817"/>
    <w:bookmarkStart w:id="2818" w:name="a6-psixoterapiya-monitorinqi"/>
    <w:p>
      <w:pPr>
        <w:pStyle w:val="Heading2"/>
      </w:pPr>
      <w:r>
        <w:t xml:space="preserve">A.6. Psychotherapy monitoring</w:t>
      </w:r>
    </w:p>
    <w:p>
      <w:pPr>
        <w:pStyle w:val="FirstParagraph"/>
      </w:pPr>
      <w:r>
        <w:t xml:space="preserve">Quality indicators:</w:t>
      </w:r>
    </w:p>
    <w:p>
      <w:pPr>
        <w:pStyle w:val="Compact"/>
        <w:numPr>
          <w:ilvl w:val="0"/>
          <w:numId w:val="2426"/>
        </w:numPr>
      </w:pPr>
      <w:r>
        <w:t xml:space="preserve">Session duration, frequency;</w:t>
      </w:r>
    </w:p>
    <w:p>
      <w:pPr>
        <w:pStyle w:val="Compact"/>
        <w:numPr>
          <w:ilvl w:val="0"/>
          <w:numId w:val="2426"/>
        </w:numPr>
      </w:pPr>
      <w:r>
        <w:t xml:space="preserve">Patient symptom scales (PHQ-9, GAD-7, etc.) every 4–6 weeks;</w:t>
      </w:r>
    </w:p>
    <w:p>
      <w:pPr>
        <w:pStyle w:val="Compact"/>
        <w:numPr>
          <w:ilvl w:val="0"/>
          <w:numId w:val="2426"/>
        </w:numPr>
      </w:pPr>
      <w:r>
        <w:t xml:space="preserve">Functional indicators;</w:t>
      </w:r>
    </w:p>
    <w:p>
      <w:pPr>
        <w:pStyle w:val="Compact"/>
        <w:numPr>
          <w:ilvl w:val="0"/>
          <w:numId w:val="2426"/>
        </w:numPr>
      </w:pPr>
      <w:r>
        <w:t xml:space="preserve">Assessment of therapeutic alliance (Working Alliance Inventory).</w:t>
      </w:r>
    </w:p>
    <w:p>
      <w:pPr>
        <w:pStyle w:val="Compact"/>
        <w:numPr>
          <w:ilvl w:val="0"/>
          <w:numId w:val="2426"/>
        </w:numPr>
      </w:pPr>
      <w:r>
        <w:t xml:space="preserve">Achieving external goals;</w:t>
      </w:r>
    </w:p>
    <w:p>
      <w:pPr>
        <w:pStyle w:val="Compact"/>
        <w:numPr>
          <w:ilvl w:val="0"/>
          <w:numId w:val="2426"/>
        </w:numPr>
      </w:pPr>
      <w:r>
        <w:t xml:space="preserve">Signs of relapse.</w:t>
      </w:r>
    </w:p>
    <w:p>
      <w:pPr>
        <w:pStyle w:val="FirstParagraph"/>
      </w:pPr>
      <w:r>
        <w:t xml:space="preserve">Supervision and peer consultation — in complex cases, and whenever the clinician asks for it.</w:t>
      </w:r>
    </w:p>
    <w:p>
      <w:r>
        <w:pict>
          <v:rect style="width:0;height:1.5pt" o:hralign="center" o:hrstd="t" o:hr="t"/>
        </w:pict>
      </w:r>
    </w:p>
    <w:bookmarkEnd w:id="2818"/>
    <w:bookmarkEnd w:id="2819"/>
    <w:bookmarkStart w:id="2845" w:name="əlavə-c"/>
    <w:p>
      <w:pPr>
        <w:pageBreakBefore/>
        <w:pStyle w:val="Heading1"/>
      </w:pPr>
      <w:r>
        <w:t xml:space="preserve">APPENDIX C</w:t>
      </w:r>
    </w:p>
    <w:bookmarkStart w:id="2820" w:name="psi̇xi̇atri̇k-təci̇li̇-vəzi̇yyətlər"/>
    <w:p>
      <w:pPr>
        <w:pStyle w:val="Heading2"/>
      </w:pPr>
      <w:r>
        <w:t xml:space="preserve">PSYCHIATRIC EMERGENCY SITUATIONS</w:t>
      </w:r>
    </w:p>
    <w:p>
      <w:pPr>
        <w:pStyle w:val="FirstParagraph"/>
      </w:pPr>
      <w:r>
        <w:t xml:space="preserve">In a psychiatric emergency, time is the scarcest resource. Decisions are measured in minutes and must almost always be made on incomplete information. This appendix is written for precisely those moments: it offers concise, sequenced action lists rather than extended discussion. These lists do not replace clinical judgement; they serve as a safeguard against the step most easily overlooked under pressure.</w:t>
      </w:r>
    </w:p>
    <w:bookmarkEnd w:id="2820"/>
    <w:bookmarkStart w:id="2825" w:name="c1-aktiv-intihar-riski"/>
    <w:p>
      <w:pPr>
        <w:pStyle w:val="Heading2"/>
      </w:pPr>
      <w:r>
        <w:t xml:space="preserve">C.1. Active suicide risk</w:t>
      </w:r>
    </w:p>
    <w:p>
      <w:pPr>
        <w:pStyle w:val="FirstParagraph"/>
      </w:pPr>
      <w:r>
        <w:t xml:space="preserve">Assessing suicide risk is a conversation, not a questionnaire. Ask directly: the question does not plant the idea — more often it gives the patient the first chance to say it out loud. What you are listening for above all is how far the intention has taken concrete shape.</w:t>
      </w:r>
    </w:p>
    <w:bookmarkStart w:id="2821" w:name="i̇lkin-qiymətləndirmə"/>
    <w:p>
      <w:pPr>
        <w:pStyle w:val="Heading3"/>
      </w:pPr>
      <w:r>
        <w:t xml:space="preserve">Primary assessment:</w:t>
      </w:r>
    </w:p>
    <w:p>
      <w:pPr>
        <w:pStyle w:val="Compact"/>
        <w:numPr>
          <w:ilvl w:val="0"/>
          <w:numId w:val="2427"/>
        </w:numPr>
      </w:pPr>
      <w:r>
        <w:t xml:space="preserve">Are there suicidal thoughts? Plans? Means?</w:t>
      </w:r>
    </w:p>
    <w:p>
      <w:pPr>
        <w:pStyle w:val="Compact"/>
        <w:numPr>
          <w:ilvl w:val="0"/>
          <w:numId w:val="2427"/>
        </w:numPr>
      </w:pPr>
      <w:r>
        <w:t xml:space="preserve">How concrete the plan is: when the patient names a time, a place and a means, the risk rises sharply; a general “sometimes I want to die” is a different order of thing;</w:t>
      </w:r>
    </w:p>
    <w:p>
      <w:pPr>
        <w:pStyle w:val="Compact"/>
        <w:numPr>
          <w:ilvl w:val="0"/>
          <w:numId w:val="2427"/>
        </w:numPr>
      </w:pPr>
      <w:r>
        <w:t xml:space="preserve">Previous attempts — the strongest predictor;</w:t>
      </w:r>
    </w:p>
    <w:p>
      <w:pPr>
        <w:pStyle w:val="Compact"/>
        <w:numPr>
          <w:ilvl w:val="0"/>
          <w:numId w:val="2427"/>
        </w:numPr>
      </w:pPr>
      <w:r>
        <w:t xml:space="preserve">Substance intoxication — inhibition decreased;</w:t>
      </w:r>
    </w:p>
    <w:p>
      <w:pPr>
        <w:pStyle w:val="Compact"/>
        <w:numPr>
          <w:ilvl w:val="0"/>
          <w:numId w:val="2427"/>
        </w:numPr>
      </w:pPr>
      <w:r>
        <w:t xml:space="preserve">Protective factors — family, religious beliefs, future plans.</w:t>
      </w:r>
    </w:p>
    <w:bookmarkEnd w:id="2821"/>
    <w:bookmarkStart w:id="2822" w:name="yüksək-risk-əlamətləri"/>
    <w:p>
      <w:pPr>
        <w:pStyle w:val="Heading3"/>
      </w:pPr>
      <w:r>
        <w:t xml:space="preserve">High risk signs:</w:t>
      </w:r>
    </w:p>
    <w:p>
      <w:pPr>
        <w:pStyle w:val="Compact"/>
        <w:numPr>
          <w:ilvl w:val="0"/>
          <w:numId w:val="2428"/>
        </w:numPr>
      </w:pPr>
      <w:r>
        <w:t xml:space="preserve">A concrete plan and easy access to the means;</w:t>
      </w:r>
    </w:p>
    <w:p>
      <w:pPr>
        <w:pStyle w:val="Compact"/>
        <w:numPr>
          <w:ilvl w:val="0"/>
          <w:numId w:val="2428"/>
        </w:numPr>
      </w:pPr>
      <w:r>
        <w:t xml:space="preserve">Recent situational change (loss, severe illness);</w:t>
      </w:r>
    </w:p>
    <w:p>
      <w:pPr>
        <w:pStyle w:val="Compact"/>
        <w:numPr>
          <w:ilvl w:val="0"/>
          <w:numId w:val="2428"/>
        </w:numPr>
      </w:pPr>
      <w:r>
        <w:t xml:space="preserve">Loneliness and chronic pain;</w:t>
      </w:r>
    </w:p>
    <w:p>
      <w:pPr>
        <w:pStyle w:val="Compact"/>
        <w:numPr>
          <w:ilvl w:val="0"/>
          <w:numId w:val="2428"/>
        </w:numPr>
      </w:pPr>
      <w:r>
        <w:t xml:space="preserve">Psychosis or severe depression;</w:t>
      </w:r>
    </w:p>
    <w:p>
      <w:pPr>
        <w:pStyle w:val="Compact"/>
        <w:numPr>
          <w:ilvl w:val="0"/>
          <w:numId w:val="2428"/>
        </w:numPr>
      </w:pPr>
      <w:r>
        <w:t xml:space="preserve">The early phase of recovery from depression — energy returns while mood is still low;</w:t>
      </w:r>
    </w:p>
    <w:p>
      <w:pPr>
        <w:pStyle w:val="Compact"/>
        <w:numPr>
          <w:ilvl w:val="0"/>
          <w:numId w:val="2428"/>
        </w:numPr>
      </w:pPr>
      <w:r>
        <w:t xml:space="preserve">Adult male, disability, alcohol.</w:t>
      </w:r>
    </w:p>
    <w:bookmarkEnd w:id="2822"/>
    <w:bookmarkStart w:id="2823" w:name="i̇darəetmə"/>
    <w:p>
      <w:pPr>
        <w:pStyle w:val="Heading3"/>
      </w:pPr>
      <w:r>
        <w:t xml:space="preserve">Management:</w:t>
      </w:r>
    </w:p>
    <w:p>
      <w:pPr>
        <w:pStyle w:val="FirstParagraph"/>
      </w:pPr>
      <w:r>
        <w:t xml:space="preserve">Low-moderate risk:</w:t>
      </w:r>
    </w:p>
    <w:p>
      <w:pPr>
        <w:pStyle w:val="Compact"/>
        <w:numPr>
          <w:ilvl w:val="0"/>
          <w:numId w:val="2429"/>
        </w:numPr>
      </w:pPr>
      <w:r>
        <w:t xml:space="preserve">Safety plan — written;</w:t>
      </w:r>
    </w:p>
    <w:p>
      <w:pPr>
        <w:pStyle w:val="Compact"/>
        <w:numPr>
          <w:ilvl w:val="0"/>
          <w:numId w:val="2429"/>
        </w:numPr>
      </w:pPr>
      <w:r>
        <w:t xml:space="preserve">Reducing access to means (gun removal, medication in small quantities)</w:t>
      </w:r>
    </w:p>
    <w:p>
      <w:pPr>
        <w:pStyle w:val="Compact"/>
        <w:numPr>
          <w:ilvl w:val="0"/>
          <w:numId w:val="2429"/>
        </w:numPr>
      </w:pPr>
      <w:r>
        <w:t xml:space="preserve">Close outpatient follow-up (a repeat visit within 24–48 hours);</w:t>
      </w:r>
    </w:p>
    <w:p>
      <w:pPr>
        <w:pStyle w:val="Compact"/>
        <w:numPr>
          <w:ilvl w:val="0"/>
          <w:numId w:val="2429"/>
        </w:numPr>
      </w:pPr>
      <w:r>
        <w:t xml:space="preserve">The crisis line number;</w:t>
      </w:r>
    </w:p>
    <w:p>
      <w:pPr>
        <w:pStyle w:val="Compact"/>
        <w:numPr>
          <w:ilvl w:val="0"/>
          <w:numId w:val="2429"/>
        </w:numPr>
      </w:pPr>
      <w:r>
        <w:t xml:space="preserve">Family involvement (with consent).</w:t>
      </w:r>
    </w:p>
    <w:p>
      <w:pPr>
        <w:pStyle w:val="FirstParagraph"/>
      </w:pPr>
      <w:r>
        <w:t xml:space="preserve">High risk:</w:t>
      </w:r>
    </w:p>
    <w:p>
      <w:pPr>
        <w:pStyle w:val="Compact"/>
        <w:numPr>
          <w:ilvl w:val="0"/>
          <w:numId w:val="2430"/>
        </w:numPr>
      </w:pPr>
      <w:r>
        <w:t xml:space="preserve">Hospitalization (voluntary or involuntary);</w:t>
      </w:r>
    </w:p>
    <w:p>
      <w:pPr>
        <w:pStyle w:val="Compact"/>
        <w:numPr>
          <w:ilvl w:val="0"/>
          <w:numId w:val="2430"/>
        </w:numPr>
      </w:pPr>
      <w:r>
        <w:t xml:space="preserve">Close observation — one-to-one if the risk is very high;</w:t>
      </w:r>
    </w:p>
    <w:p>
      <w:pPr>
        <w:pStyle w:val="Compact"/>
        <w:numPr>
          <w:ilvl w:val="0"/>
          <w:numId w:val="2430"/>
        </w:numPr>
      </w:pPr>
      <w:r>
        <w:t xml:space="preserve">Removal of dangerous means (sharp objects, rope, access to windows);</w:t>
      </w:r>
    </w:p>
    <w:p>
      <w:pPr>
        <w:pStyle w:val="Compact"/>
        <w:numPr>
          <w:ilvl w:val="0"/>
          <w:numId w:val="2430"/>
        </w:numPr>
      </w:pPr>
      <w:r>
        <w:t xml:space="preserve">Controlled medication intake.</w:t>
      </w:r>
    </w:p>
    <w:bookmarkEnd w:id="2823"/>
    <w:bookmarkStart w:id="2824" w:name="X5ef237ad28609ffa0fc1c6859ad34b94df62c32"/>
    <w:p>
      <w:pPr>
        <w:pStyle w:val="Heading3"/>
      </w:pPr>
      <w:r>
        <w:t xml:space="preserve">Involuntary hospitalization within the Azerbaijani framework:</w:t>
      </w:r>
    </w:p>
    <w:p>
      <w:pPr>
        <w:pStyle w:val="Compact"/>
        <w:numPr>
          <w:ilvl w:val="0"/>
          <w:numId w:val="2431"/>
        </w:numPr>
      </w:pPr>
      <w:r>
        <w:t xml:space="preserve">“On psychiatric assistance” Law of the Republic of Azerbaijan;</w:t>
      </w:r>
    </w:p>
    <w:p>
      <w:pPr>
        <w:pStyle w:val="Compact"/>
        <w:numPr>
          <w:ilvl w:val="0"/>
          <w:numId w:val="2431"/>
        </w:numPr>
      </w:pPr>
      <w:r>
        <w:t xml:space="preserve">For involuntary hospitalization decision by two psychiatrists and legal procedure;</w:t>
      </w:r>
    </w:p>
    <w:p>
      <w:pPr>
        <w:pStyle w:val="Compact"/>
        <w:numPr>
          <w:ilvl w:val="0"/>
          <w:numId w:val="2431"/>
        </w:numPr>
      </w:pPr>
      <w:r>
        <w:t xml:space="preserve">72-hour emergency observation followed by a court order.</w:t>
      </w:r>
    </w:p>
    <w:bookmarkEnd w:id="2824"/>
    <w:bookmarkEnd w:id="2825"/>
    <w:bookmarkStart w:id="2829" w:name="c2-delirium-tremens-və-alkogol-kəsilməsi"/>
    <w:p>
      <w:pPr>
        <w:pStyle w:val="Heading2"/>
      </w:pPr>
      <w:r>
        <w:t xml:space="preserve">C.2. Delirium tremens and alcohol withdrawal</w:t>
      </w:r>
    </w:p>
    <w:bookmarkStart w:id="2826" w:name="simptomlar"/>
    <w:p>
      <w:pPr>
        <w:pStyle w:val="Heading3"/>
      </w:pPr>
      <w:r>
        <w:t xml:space="preserve">Symptoms:</w:t>
      </w:r>
    </w:p>
    <w:p>
      <w:pPr>
        <w:pStyle w:val="Compact"/>
        <w:numPr>
          <w:ilvl w:val="0"/>
          <w:numId w:val="2432"/>
        </w:numPr>
      </w:pPr>
      <w:r>
        <w:t xml:space="preserve">Tremor — hands, then general;</w:t>
      </w:r>
    </w:p>
    <w:p>
      <w:pPr>
        <w:pStyle w:val="Compact"/>
        <w:numPr>
          <w:ilvl w:val="0"/>
          <w:numId w:val="2432"/>
        </w:numPr>
      </w:pPr>
      <w:r>
        <w:t xml:space="preserve">Anxiety, agitation;</w:t>
      </w:r>
    </w:p>
    <w:p>
      <w:pPr>
        <w:pStyle w:val="Compact"/>
        <w:numPr>
          <w:ilvl w:val="0"/>
          <w:numId w:val="2432"/>
        </w:numPr>
      </w:pPr>
      <w:r>
        <w:t xml:space="preserve">Hallucinations — visual and tactile (“insects under the skin”);</w:t>
      </w:r>
    </w:p>
    <w:p>
      <w:pPr>
        <w:pStyle w:val="Compact"/>
        <w:numPr>
          <w:ilvl w:val="0"/>
          <w:numId w:val="2432"/>
        </w:numPr>
      </w:pPr>
      <w:r>
        <w:t xml:space="preserve">Disorientation;</w:t>
      </w:r>
    </w:p>
    <w:p>
      <w:pPr>
        <w:pStyle w:val="Compact"/>
        <w:numPr>
          <w:ilvl w:val="0"/>
          <w:numId w:val="2432"/>
        </w:numPr>
      </w:pPr>
      <w:r>
        <w:t xml:space="preserve">Autonomic hyperactivity — tachycardia, pressure, sweating, heating;</w:t>
      </w:r>
    </w:p>
    <w:p>
      <w:pPr>
        <w:pStyle w:val="Compact"/>
        <w:numPr>
          <w:ilvl w:val="0"/>
          <w:numId w:val="2432"/>
        </w:numPr>
      </w:pPr>
      <w:r>
        <w:t xml:space="preserve">Seizures (~5-10%).</w:t>
      </w:r>
    </w:p>
    <w:bookmarkEnd w:id="2826"/>
    <w:bookmarkStart w:id="2827" w:name="müalicə-icu-və-ya-imu-şəraitində"/>
    <w:p>
      <w:pPr>
        <w:pStyle w:val="Heading3"/>
      </w:pPr>
      <w:r>
        <w:t xml:space="preserve">Treatment (in ICU or IMU setting):</w:t>
      </w:r>
    </w:p>
    <w:p>
      <w:pPr>
        <w:pStyle w:val="Compact"/>
        <w:numPr>
          <w:ilvl w:val="0"/>
          <w:numId w:val="2433"/>
        </w:numPr>
      </w:pPr>
      <w:r>
        <w:t xml:space="preserve">Benzodiazepine — diazepam 10–20 mg IV/IM every 15–20 min until sedation is achieved; then maintenance regimen;</w:t>
      </w:r>
    </w:p>
    <w:p>
      <w:pPr>
        <w:pStyle w:val="Compact"/>
        <w:numPr>
          <w:ilvl w:val="0"/>
          <w:numId w:val="2433"/>
        </w:numPr>
      </w:pPr>
      <w:r>
        <w:t xml:space="preserve">Alternative: lorazepam (in those with hepatic dysfunction);</w:t>
      </w:r>
    </w:p>
    <w:p>
      <w:pPr>
        <w:pStyle w:val="Compact"/>
        <w:numPr>
          <w:ilvl w:val="0"/>
          <w:numId w:val="2433"/>
        </w:numPr>
      </w:pPr>
      <w:r>
        <w:t xml:space="preserve">Thiamine 100-300 mg IV — Prevention of Wernicke's encephalopathy. Before glucose administration.</w:t>
      </w:r>
    </w:p>
    <w:p>
      <w:pPr>
        <w:pStyle w:val="Compact"/>
        <w:numPr>
          <w:ilvl w:val="0"/>
          <w:numId w:val="2433"/>
        </w:numPr>
      </w:pPr>
      <w:r>
        <w:t xml:space="preserve">Fluids and electrolytes Recovery;</w:t>
      </w:r>
    </w:p>
    <w:p>
      <w:pPr>
        <w:pStyle w:val="Compact"/>
        <w:numPr>
          <w:ilvl w:val="0"/>
          <w:numId w:val="2433"/>
        </w:numPr>
      </w:pPr>
      <w:r>
        <w:t xml:space="preserve">Magnesium sulfate, potassium – often low;</w:t>
      </w:r>
    </w:p>
    <w:p>
      <w:pPr>
        <w:pStyle w:val="Compact"/>
        <w:numPr>
          <w:ilvl w:val="0"/>
          <w:numId w:val="2433"/>
        </w:numPr>
      </w:pPr>
      <w:r>
        <w:t xml:space="preserve">Mortality: untreated 15-20%, with adequate treatment &lt;1%.</w:t>
      </w:r>
    </w:p>
    <w:bookmarkEnd w:id="2827"/>
    <w:bookmarkStart w:id="2828" w:name="ciwa-ar-shkalası-monitorinqdə"/>
    <w:p>
      <w:pPr>
        <w:pStyle w:val="Heading3"/>
      </w:pPr>
      <w:r>
        <w:t xml:space="preserve">CIWA-Ar scale — for monitoring.</w:t>
      </w:r>
    </w:p>
    <w:bookmarkEnd w:id="2828"/>
    <w:bookmarkEnd w:id="2829"/>
    <w:bookmarkStart w:id="2832" w:name="c3-serotonin-sindromu"/>
    <w:p>
      <w:pPr>
        <w:pStyle w:val="Heading2"/>
      </w:pPr>
      <w:r>
        <w:t xml:space="preserve">C.3. Serotonin syndrome</w:t>
      </w:r>
    </w:p>
    <w:p>
      <w:pPr>
        <w:pStyle w:val="FirstParagraph"/>
      </w:pPr>
      <w:r>
        <w:t xml:space="preserve">Cause SSRI + MAOI, SSRI + triptan, SSRI + tramadol, SSRI + linezolid, SSRI + methylene blue, etc.</w:t>
      </w:r>
    </w:p>
    <w:bookmarkStart w:id="2830" w:name="simptomlar"/>
    <w:p>
      <w:pPr>
        <w:pStyle w:val="Heading3"/>
      </w:pPr>
      <w:r>
        <w:t xml:space="preserve">Symptoms:</w:t>
      </w:r>
    </w:p>
    <w:p>
      <w:pPr>
        <w:pStyle w:val="Compact"/>
        <w:numPr>
          <w:ilvl w:val="0"/>
          <w:numId w:val="2434"/>
        </w:numPr>
      </w:pPr>
      <w:r>
        <w:t xml:space="preserve">Mental change — agitation, confusion;</w:t>
      </w:r>
    </w:p>
    <w:p>
      <w:pPr>
        <w:pStyle w:val="Compact"/>
        <w:numPr>
          <w:ilvl w:val="0"/>
          <w:numId w:val="2434"/>
        </w:numPr>
      </w:pPr>
      <w:r>
        <w:t xml:space="preserve">Autonomic — tachycardia, hypertension, hyperthermia, sweating;</w:t>
      </w:r>
    </w:p>
    <w:p>
      <w:pPr>
        <w:pStyle w:val="Compact"/>
        <w:numPr>
          <w:ilvl w:val="0"/>
          <w:numId w:val="2434"/>
        </w:numPr>
      </w:pPr>
      <w:r>
        <w:t xml:space="preserve">Neuromuscular — tremor, hyperreflexia, clonus (lower extremity – specific sign).</w:t>
      </w:r>
    </w:p>
    <w:bookmarkEnd w:id="2830"/>
    <w:bookmarkStart w:id="2831" w:name="müalicə"/>
    <w:p>
      <w:pPr>
        <w:pStyle w:val="Heading3"/>
      </w:pPr>
      <w:r>
        <w:t xml:space="preserve">Treatment:</w:t>
      </w:r>
    </w:p>
    <w:p>
      <w:pPr>
        <w:pStyle w:val="Compact"/>
        <w:numPr>
          <w:ilvl w:val="0"/>
          <w:numId w:val="2435"/>
        </w:numPr>
      </w:pPr>
      <w:r>
        <w:t xml:space="preserve">Immediate discontinuation of causative medication</w:t>
      </w:r>
    </w:p>
    <w:p>
      <w:pPr>
        <w:pStyle w:val="Compact"/>
        <w:numPr>
          <w:ilvl w:val="0"/>
          <w:numId w:val="2435"/>
        </w:numPr>
      </w:pPr>
      <w:r>
        <w:t xml:space="preserve">Support — fluids, electrolytes, cooling;</w:t>
      </w:r>
    </w:p>
    <w:p>
      <w:pPr>
        <w:pStyle w:val="Compact"/>
        <w:numPr>
          <w:ilvl w:val="0"/>
          <w:numId w:val="2435"/>
        </w:numPr>
      </w:pPr>
      <w:r>
        <w:t xml:space="preserve">In severe cases cyproheptadine 12 mg initial, 2 mg every hour maximum 32 mg/day;</w:t>
      </w:r>
    </w:p>
    <w:p>
      <w:pPr>
        <w:pStyle w:val="Compact"/>
        <w:numPr>
          <w:ilvl w:val="0"/>
          <w:numId w:val="2435"/>
        </w:numPr>
      </w:pPr>
      <w:r>
        <w:t xml:space="preserve">Invasive intervention (intubation) in severe hyperthermia.</w:t>
      </w:r>
    </w:p>
    <w:bookmarkEnd w:id="2831"/>
    <w:bookmarkEnd w:id="2832"/>
    <w:bookmarkStart w:id="2835" w:name="c4-antipsixotik-malign-sindrom-nms"/>
    <w:p>
      <w:pPr>
        <w:pStyle w:val="Heading2"/>
      </w:pPr>
      <w:r>
        <w:t xml:space="preserve">C.4. Antipsychotic Malignant Syndrome (NMS)</w:t>
      </w:r>
    </w:p>
    <w:p>
      <w:pPr>
        <w:pStyle w:val="FirstParagraph"/>
      </w:pPr>
      <w:r>
        <w:t xml:space="preserve">Cause Antipsychotics (especially high potency, haloperidol), acute initiation or dose increase.</w:t>
      </w:r>
    </w:p>
    <w:bookmarkStart w:id="2833" w:name="simptomlar-4-əsas"/>
    <w:p>
      <w:pPr>
        <w:pStyle w:val="Heading3"/>
      </w:pPr>
      <w:r>
        <w:t xml:space="preserve">Symptoms (4 main):</w:t>
      </w:r>
    </w:p>
    <w:p>
      <w:pPr>
        <w:pStyle w:val="Compact"/>
        <w:numPr>
          <w:ilvl w:val="0"/>
          <w:numId w:val="2436"/>
        </w:numPr>
      </w:pPr>
      <w:r>
        <w:t xml:space="preserve">Muscle stiffness (“lead pipe”);</w:t>
      </w:r>
    </w:p>
    <w:p>
      <w:pPr>
        <w:pStyle w:val="Compact"/>
        <w:numPr>
          <w:ilvl w:val="0"/>
          <w:numId w:val="2436"/>
        </w:numPr>
      </w:pPr>
      <w:r>
        <w:t xml:space="preserve">Hyperthermia (38–42°C);</w:t>
      </w:r>
    </w:p>
    <w:p>
      <w:pPr>
        <w:pStyle w:val="Compact"/>
        <w:numPr>
          <w:ilvl w:val="0"/>
          <w:numId w:val="2436"/>
        </w:numPr>
      </w:pPr>
      <w:r>
        <w:t xml:space="preserve">Autonomic lability (high blood pressure, tachycardia, sweating);</w:t>
      </w:r>
    </w:p>
    <w:p>
      <w:pPr>
        <w:pStyle w:val="Compact"/>
        <w:numPr>
          <w:ilvl w:val="0"/>
          <w:numId w:val="2436"/>
        </w:numPr>
      </w:pPr>
      <w:r>
        <w:t xml:space="preserve">Mental state change (confusion → stupor → coma).</w:t>
      </w:r>
    </w:p>
    <w:p>
      <w:pPr>
        <w:pStyle w:val="FirstParagraph"/>
      </w:pPr>
      <w:r>
        <w:t xml:space="preserve">Laboratory: CPK acutely elevated. (&gt;1000), myoglobinuria, leukocytosis, ALT/AST elevated.</w:t>
      </w:r>
    </w:p>
    <w:bookmarkEnd w:id="2833"/>
    <w:bookmarkStart w:id="2834" w:name="müalicə-icu"/>
    <w:p>
      <w:pPr>
        <w:pStyle w:val="Heading3"/>
      </w:pPr>
      <w:r>
        <w:t xml:space="preserve">Treatment (ICU):</w:t>
      </w:r>
    </w:p>
    <w:p>
      <w:pPr>
        <w:pStyle w:val="Compact"/>
        <w:numPr>
          <w:ilvl w:val="0"/>
          <w:numId w:val="2437"/>
        </w:numPr>
      </w:pPr>
      <w:r>
        <w:t xml:space="preserve">Immediate discontinuation of antipsychotics</w:t>
      </w:r>
    </w:p>
    <w:p>
      <w:pPr>
        <w:pStyle w:val="Compact"/>
        <w:numPr>
          <w:ilvl w:val="0"/>
          <w:numId w:val="2437"/>
        </w:numPr>
      </w:pPr>
      <w:r>
        <w:t xml:space="preserve">Cooling.</w:t>
      </w:r>
    </w:p>
    <w:p>
      <w:pPr>
        <w:pStyle w:val="Compact"/>
        <w:numPr>
          <w:ilvl w:val="0"/>
          <w:numId w:val="2437"/>
        </w:numPr>
      </w:pPr>
      <w:r>
        <w:t xml:space="preserve">Fluids (risk of rhabdomyolysis and acute kidney failure);</w:t>
      </w:r>
    </w:p>
    <w:p>
      <w:pPr>
        <w:pStyle w:val="Compact"/>
        <w:numPr>
          <w:ilvl w:val="0"/>
          <w:numId w:val="2437"/>
        </w:numPr>
      </w:pPr>
      <w:r>
        <w:t xml:space="preserve">Dantrolene 1-2.5 mg/kg IV – reduces muscle rigidity;</w:t>
      </w:r>
    </w:p>
    <w:p>
      <w:pPr>
        <w:pStyle w:val="Compact"/>
        <w:numPr>
          <w:ilvl w:val="0"/>
          <w:numId w:val="2437"/>
        </w:numPr>
      </w:pPr>
      <w:r>
        <w:t xml:space="preserve">Bromocriptine 2.5-5 mg every 8 hours – dopamine agonist;</w:t>
      </w:r>
    </w:p>
    <w:p>
      <w:pPr>
        <w:pStyle w:val="Compact"/>
        <w:numPr>
          <w:ilvl w:val="0"/>
          <w:numId w:val="2437"/>
        </w:numPr>
      </w:pPr>
      <w:r>
        <w:t xml:space="preserve">ECT in non-responsive cases.</w:t>
      </w:r>
    </w:p>
    <w:p>
      <w:pPr>
        <w:pStyle w:val="FirstParagraph"/>
      </w:pPr>
      <w:r>
        <w:t xml:space="preserve">Deathfulness: 5-20% with adequate treatment.</w:t>
      </w:r>
    </w:p>
    <w:bookmarkEnd w:id="2834"/>
    <w:bookmarkEnd w:id="2835"/>
    <w:bookmarkStart w:id="2838" w:name="c5-kəskin-distoniya"/>
    <w:p>
      <w:pPr>
        <w:pStyle w:val="Heading2"/>
      </w:pPr>
      <w:r>
        <w:t xml:space="preserve">C.5. Acute dystonia</w:t>
      </w:r>
    </w:p>
    <w:p>
      <w:pPr>
        <w:pStyle w:val="FirstParagraph"/>
      </w:pPr>
      <w:r>
        <w:t xml:space="preserve">Cause Antipsychotic initiation, especially potent D2 antagonists.</w:t>
      </w:r>
    </w:p>
    <w:bookmarkStart w:id="2836" w:name="simptomlar"/>
    <w:p>
      <w:pPr>
        <w:pStyle w:val="Heading3"/>
      </w:pPr>
      <w:r>
        <w:t xml:space="preserve">Symptoms:</w:t>
      </w:r>
    </w:p>
    <w:p>
      <w:pPr>
        <w:pStyle w:val="Compact"/>
        <w:numPr>
          <w:ilvl w:val="0"/>
          <w:numId w:val="2438"/>
        </w:numPr>
      </w:pPr>
      <w:r>
        <w:t xml:space="preserve">Acute muscle spasms – neck (torticollis), tongue, eyes (oculogyric crisis), certain esophageal spasm;</w:t>
      </w:r>
    </w:p>
    <w:p>
      <w:pPr>
        <w:pStyle w:val="Compact"/>
        <w:numPr>
          <w:ilvl w:val="0"/>
          <w:numId w:val="2438"/>
        </w:numPr>
      </w:pPr>
      <w:r>
        <w:t xml:space="preserve">Life-threatening – laryngeal spasm.</w:t>
      </w:r>
    </w:p>
    <w:bookmarkEnd w:id="2836"/>
    <w:bookmarkStart w:id="2837" w:name="müalicə"/>
    <w:p>
      <w:pPr>
        <w:pStyle w:val="Heading3"/>
      </w:pPr>
      <w:r>
        <w:t xml:space="preserve">Treatment:</w:t>
      </w:r>
    </w:p>
    <w:p>
      <w:pPr>
        <w:pStyle w:val="Compact"/>
        <w:numPr>
          <w:ilvl w:val="0"/>
          <w:numId w:val="2439"/>
        </w:numPr>
      </w:pPr>
      <w:r>
        <w:t xml:space="preserve">Diphenhydramine 50 mg IM/IV – relief within 15 minutes;</w:t>
      </w:r>
    </w:p>
    <w:p>
      <w:pPr>
        <w:pStyle w:val="Compact"/>
        <w:numPr>
          <w:ilvl w:val="0"/>
          <w:numId w:val="2439"/>
        </w:numPr>
      </w:pPr>
      <w:r>
        <w:t xml:space="preserve">Benztropine 1-2 mg IM/IV;</w:t>
      </w:r>
    </w:p>
    <w:p>
      <w:pPr>
        <w:pStyle w:val="Compact"/>
        <w:numPr>
          <w:ilvl w:val="0"/>
          <w:numId w:val="2439"/>
        </w:numPr>
      </w:pPr>
      <w:r>
        <w:t xml:space="preserve">Reducing or changing the dose of antipsychotics</w:t>
      </w:r>
    </w:p>
    <w:p>
      <w:pPr>
        <w:pStyle w:val="Compact"/>
        <w:numPr>
          <w:ilvl w:val="0"/>
          <w:numId w:val="2439"/>
        </w:numPr>
      </w:pPr>
      <w:r>
        <w:t xml:space="preserve">Prophylactic anticholinergic in high-risk patients.</w:t>
      </w:r>
    </w:p>
    <w:bookmarkEnd w:id="2837"/>
    <w:bookmarkEnd w:id="2838"/>
    <w:bookmarkStart w:id="2840" w:name="c6-kəskin-mania-və-psixomotor-aqitasiya"/>
    <w:p>
      <w:pPr>
        <w:pStyle w:val="Heading2"/>
      </w:pPr>
      <w:r>
        <w:t xml:space="preserve">C.6. Acute mania and psychomotor agitation</w:t>
      </w:r>
    </w:p>
    <w:bookmarkStart w:id="2839" w:name="i̇darəetmə"/>
    <w:p>
      <w:pPr>
        <w:pStyle w:val="Heading3"/>
      </w:pPr>
      <w:r>
        <w:t xml:space="preserve">Management:</w:t>
      </w:r>
    </w:p>
    <w:p>
      <w:pPr>
        <w:pStyle w:val="FirstParagraph"/>
      </w:pPr>
      <w:r>
        <w:t xml:space="preserve">- Oral preferred: haloperidol 2-5 mg + lorazepam 1-2 mg;</w:t>
      </w:r>
    </w:p>
    <w:p>
      <w:pPr>
        <w:pStyle w:val="BodyText"/>
      </w:pPr>
      <w:r>
        <w:t xml:space="preserve">- IM regimen: haloperidol 5 mg + lorazepam 2 mg (50/50 syringe) or olanzapine IM 10 mg;</w:t>
      </w:r>
    </w:p>
    <w:p>
      <w:pPr>
        <w:pStyle w:val="Compact"/>
        <w:numPr>
          <w:ilvl w:val="0"/>
          <w:numId w:val="2440"/>
        </w:numPr>
      </w:pPr>
      <w:r>
        <w:t xml:space="preserve">Safe environment — quiet, free from stimuli;</w:t>
      </w:r>
    </w:p>
    <w:p>
      <w:pPr>
        <w:pStyle w:val="Compact"/>
        <w:numPr>
          <w:ilvl w:val="0"/>
          <w:numId w:val="2440"/>
        </w:numPr>
      </w:pPr>
      <w:r>
        <w:t xml:space="preserve">Verbal de-escalation first step;</w:t>
      </w:r>
    </w:p>
    <w:p>
      <w:pPr>
        <w:pStyle w:val="Compact"/>
        <w:numPr>
          <w:ilvl w:val="0"/>
          <w:numId w:val="2440"/>
        </w:numPr>
      </w:pPr>
      <w:r>
        <w:t xml:space="preserve">Medication:</w:t>
      </w:r>
    </w:p>
    <w:p>
      <w:pPr>
        <w:pStyle w:val="Compact"/>
        <w:numPr>
          <w:ilvl w:val="0"/>
          <w:numId w:val="2440"/>
        </w:numPr>
      </w:pPr>
      <w:r>
        <w:t xml:space="preserve">Involuntary hospitalization By instruction;</w:t>
      </w:r>
    </w:p>
    <w:p>
      <w:pPr>
        <w:pStyle w:val="Compact"/>
        <w:numPr>
          <w:ilvl w:val="0"/>
          <w:numId w:val="2440"/>
        </w:numPr>
      </w:pPr>
      <w:r>
        <w:t xml:space="preserve">Physical restraint — only as a last resort, when life is at risk, and only briefly.</w:t>
      </w:r>
    </w:p>
    <w:bookmarkEnd w:id="2839"/>
    <w:bookmarkEnd w:id="2840"/>
    <w:bookmarkStart w:id="2841" w:name="c7-kəskin-psixoz"/>
    <w:p>
      <w:pPr>
        <w:pStyle w:val="Heading2"/>
      </w:pPr>
      <w:r>
        <w:t xml:space="preserve">C.7. Acute psychosis</w:t>
      </w:r>
    </w:p>
    <w:p>
      <w:pPr>
        <w:pStyle w:val="FirstParagraph"/>
      </w:pPr>
      <w:r>
        <w:t xml:space="preserve">Similar protocol as above. Differential: organic causes, substance intoxication, postpartum psychosis, NMS.</w:t>
      </w:r>
    </w:p>
    <w:bookmarkEnd w:id="2841"/>
    <w:bookmarkStart w:id="2844" w:name="c8-katatoniya"/>
    <w:p>
      <w:pPr>
        <w:pStyle w:val="Heading2"/>
      </w:pPr>
      <w:r>
        <w:t xml:space="preserve">C.8. Catatonia</w:t>
      </w:r>
    </w:p>
    <w:bookmarkStart w:id="2842" w:name="simptomlar"/>
    <w:p>
      <w:pPr>
        <w:pStyle w:val="Heading3"/>
      </w:pPr>
      <w:r>
        <w:t xml:space="preserve">Symptoms:</w:t>
      </w:r>
    </w:p>
    <w:p>
      <w:pPr>
        <w:pStyle w:val="Compact"/>
        <w:numPr>
          <w:ilvl w:val="0"/>
          <w:numId w:val="2441"/>
        </w:numPr>
      </w:pPr>
      <w:r>
        <w:t xml:space="preserve">Stupor, mutism;</w:t>
      </w:r>
    </w:p>
    <w:p>
      <w:pPr>
        <w:pStyle w:val="Compact"/>
        <w:numPr>
          <w:ilvl w:val="0"/>
          <w:numId w:val="2441"/>
        </w:numPr>
      </w:pPr>
      <w:r>
        <w:t xml:space="preserve">Catalepsy (‘waxy flexibility’);</w:t>
      </w:r>
    </w:p>
    <w:p>
      <w:pPr>
        <w:pStyle w:val="Compact"/>
        <w:numPr>
          <w:ilvl w:val="0"/>
          <w:numId w:val="2441"/>
        </w:numPr>
      </w:pPr>
      <w:r>
        <w:t xml:space="preserve">Negativism;</w:t>
      </w:r>
    </w:p>
    <w:p>
      <w:pPr>
        <w:pStyle w:val="Compact"/>
        <w:numPr>
          <w:ilvl w:val="0"/>
          <w:numId w:val="2441"/>
        </w:numPr>
      </w:pPr>
      <w:r>
        <w:t xml:space="preserve">Mannerisms, stereotypies;</w:t>
      </w:r>
    </w:p>
    <w:p>
      <w:pPr>
        <w:pStyle w:val="Compact"/>
        <w:numPr>
          <w:ilvl w:val="0"/>
          <w:numId w:val="2441"/>
        </w:numPr>
      </w:pPr>
      <w:r>
        <w:t xml:space="preserve">Echolalia, echopraxia.</w:t>
      </w:r>
    </w:p>
    <w:bookmarkEnd w:id="2842"/>
    <w:bookmarkStart w:id="2843" w:name="birinci-sıra-müalicə"/>
    <w:p>
      <w:pPr>
        <w:pStyle w:val="Heading3"/>
      </w:pPr>
      <w:r>
        <w:t xml:space="preserve">First-line treatment:</w:t>
      </w:r>
    </w:p>
    <w:p>
      <w:pPr>
        <w:pStyle w:val="Compact"/>
        <w:numPr>
          <w:ilvl w:val="0"/>
          <w:numId w:val="2442"/>
        </w:numPr>
      </w:pPr>
      <w:r>
        <w:t xml:space="preserve">Lorazepam 1-2 mg IV/IM test — Significant response within 1-2 hours → diagnosis and treatment of catatonia;</w:t>
      </w:r>
    </w:p>
    <w:p>
      <w:pPr>
        <w:pStyle w:val="Compact"/>
        <w:numPr>
          <w:ilvl w:val="0"/>
          <w:numId w:val="2442"/>
        </w:numPr>
      </w:pPr>
      <w:r>
        <w:t xml:space="preserve">If response is obtained — increase to a dose of 4–24 mg/day;</w:t>
      </w:r>
    </w:p>
    <w:p>
      <w:pPr>
        <w:pStyle w:val="Compact"/>
        <w:numPr>
          <w:ilvl w:val="0"/>
          <w:numId w:val="2442"/>
        </w:numPr>
      </w:pPr>
      <w:r>
        <w:t xml:space="preserve">No answer – ECT Second-line, highly effective;</w:t>
      </w:r>
    </w:p>
    <w:p>
      <w:pPr>
        <w:pStyle w:val="Compact"/>
        <w:numPr>
          <w:ilvl w:val="0"/>
          <w:numId w:val="2442"/>
        </w:numPr>
      </w:pPr>
      <w:r>
        <w:t xml:space="preserve">Avoiding antipsychotics During acute phase – NMS administration may be provocative.</w:t>
      </w:r>
    </w:p>
    <w:p>
      <w:pPr>
        <w:pStyle w:val="FirstParagraph"/>
      </w:pPr>
      <w:r>
        <w:t xml:space="preserve">Search for cause organic (encephalitis, epilepsy), mood disorders, schizophrenia, autism, certain substances.</w:t>
      </w:r>
    </w:p>
    <w:p>
      <w:r>
        <w:pict>
          <v:rect style="width:0;height:1.5pt" o:hralign="center" o:hrstd="t" o:hr="t"/>
        </w:pict>
      </w:r>
    </w:p>
    <w:bookmarkEnd w:id="2843"/>
    <w:bookmarkEnd w:id="2844"/>
    <w:bookmarkEnd w:id="2845"/>
    <w:bookmarkStart w:id="2857" w:name="əlavə-d"/>
    <w:p>
      <w:pPr>
        <w:pageBreakBefore/>
        <w:pStyle w:val="Heading1"/>
      </w:pPr>
      <w:r>
        <w:t xml:space="preserve">APPENDIX D</w:t>
      </w:r>
    </w:p>
    <w:bookmarkStart w:id="2846" w:name="hərbi̇-ti̇bbi̇-eksperti̇za-azərbaycanda"/>
    <w:p>
      <w:pPr>
        <w:pStyle w:val="Heading2"/>
      </w:pPr>
      <w:r>
        <w:t xml:space="preserve">MILITARY-MEDICAL EXPERTISE (IN AZERBAIJAN)</w:t>
      </w:r>
    </w:p>
    <w:p>
      <w:pPr>
        <w:pStyle w:val="FirstParagraph"/>
      </w:pPr>
      <w:r>
        <w:t xml:space="preserve">This appendix provides practical guidance on psychiatric aspects for assessing fitness for military service in the Republic of Azerbaijan.</w:t>
      </w:r>
    </w:p>
    <w:bookmarkEnd w:id="2846"/>
    <w:bookmarkStart w:id="2847" w:name="d1-hüquqi-əsas"/>
    <w:p>
      <w:pPr>
        <w:pStyle w:val="Heading2"/>
      </w:pPr>
      <w:r>
        <w:t xml:space="preserve">D.1. Legal basis</w:t>
      </w:r>
    </w:p>
    <w:p>
      <w:pPr>
        <w:pStyle w:val="Compact"/>
        <w:numPr>
          <w:ilvl w:val="0"/>
          <w:numId w:val="2443"/>
        </w:numPr>
      </w:pPr>
      <w:r>
        <w:t xml:space="preserve">“On military service call-up” Law of the Republic of Azerbaijan;</w:t>
      </w:r>
    </w:p>
    <w:p>
      <w:pPr>
        <w:pStyle w:val="Compact"/>
        <w:numPr>
          <w:ilvl w:val="0"/>
          <w:numId w:val="2443"/>
        </w:numPr>
      </w:pPr>
      <w:r>
        <w:t xml:space="preserve">Regulation on military-medical expertise;</w:t>
      </w:r>
    </w:p>
    <w:p>
      <w:pPr>
        <w:pStyle w:val="Compact"/>
        <w:numPr>
          <w:ilvl w:val="0"/>
          <w:numId w:val="2443"/>
        </w:numPr>
      </w:pPr>
      <w:r>
        <w:t xml:space="preserve">Ministry of Defense Normative acts;</w:t>
      </w:r>
    </w:p>
    <w:p>
      <w:pPr>
        <w:pStyle w:val="Compact"/>
        <w:numPr>
          <w:ilvl w:val="0"/>
          <w:numId w:val="2443"/>
        </w:numPr>
      </w:pPr>
      <w:r>
        <w:t xml:space="preserve">Table of diseases — divided into halves: mild/severe degrees, groups A–D.</w:t>
      </w:r>
    </w:p>
    <w:bookmarkEnd w:id="2847"/>
    <w:bookmarkStart w:id="2850" w:name="d2-psixiatrik-qiymətləndirmə-strukturu"/>
    <w:p>
      <w:pPr>
        <w:pStyle w:val="Heading2"/>
      </w:pPr>
      <w:r>
        <w:t xml:space="preserve">D.2. Psychiatric assessment structure</w:t>
      </w:r>
    </w:p>
    <w:bookmarkStart w:id="2848" w:name="əsas-ekspertiza"/>
    <w:p>
      <w:pPr>
        <w:pStyle w:val="Heading3"/>
      </w:pPr>
      <w:r>
        <w:t xml:space="preserve">Main expert examination:</w:t>
      </w:r>
    </w:p>
    <w:p>
      <w:pPr>
        <w:pStyle w:val="Compact"/>
        <w:numPr>
          <w:ilvl w:val="0"/>
          <w:numId w:val="2444"/>
        </w:numPr>
      </w:pPr>
      <w:r>
        <w:t xml:space="preserve">Complaints and history (patient and close relatives);</w:t>
      </w:r>
    </w:p>
    <w:p>
      <w:pPr>
        <w:pStyle w:val="Compact"/>
        <w:numPr>
          <w:ilvl w:val="0"/>
          <w:numId w:val="2444"/>
        </w:numPr>
      </w:pPr>
      <w:r>
        <w:t xml:space="preserve">Previous medical records;</w:t>
      </w:r>
    </w:p>
    <w:p>
      <w:pPr>
        <w:pStyle w:val="Compact"/>
        <w:numPr>
          <w:ilvl w:val="0"/>
          <w:numId w:val="2444"/>
        </w:numPr>
      </w:pPr>
      <w:r>
        <w:t xml:space="preserve">Clinical interview and mental status examination;</w:t>
      </w:r>
    </w:p>
    <w:p>
      <w:pPr>
        <w:pStyle w:val="Compact"/>
        <w:numPr>
          <w:ilvl w:val="0"/>
          <w:numId w:val="2444"/>
        </w:numPr>
      </w:pPr>
      <w:r>
        <w:t xml:space="preserve">Experimental-Psychological Examination (EPM) – by psychologist;</w:t>
      </w:r>
    </w:p>
    <w:p>
      <w:pPr>
        <w:pStyle w:val="Compact"/>
        <w:numPr>
          <w:ilvl w:val="0"/>
          <w:numId w:val="2444"/>
        </w:numPr>
      </w:pPr>
      <w:r>
        <w:t xml:space="preserve">Laboratory and instrumental examinations when necessary;</w:t>
      </w:r>
    </w:p>
    <w:p>
      <w:pPr>
        <w:pStyle w:val="Compact"/>
        <w:numPr>
          <w:ilvl w:val="0"/>
          <w:numId w:val="2444"/>
        </w:numPr>
      </w:pPr>
      <w:r>
        <w:t xml:space="preserve">Differential, diagnosis, and assessment of disease severity;</w:t>
      </w:r>
    </w:p>
    <w:p>
      <w:pPr>
        <w:pStyle w:val="Compact"/>
        <w:numPr>
          <w:ilvl w:val="0"/>
          <w:numId w:val="2444"/>
        </w:numPr>
      </w:pPr>
      <w:r>
        <w:t xml:space="preserve">Conclusion.</w:t>
      </w:r>
    </w:p>
    <w:bookmarkEnd w:id="2848"/>
    <w:bookmarkStart w:id="2849" w:name="tipik-psixoloji-testlər-epm"/>
    <w:p>
      <w:pPr>
        <w:pStyle w:val="Heading3"/>
      </w:pPr>
      <w:r>
        <w:t xml:space="preserve">Typical psychological tests (EPM):</w:t>
      </w:r>
    </w:p>
    <w:p>
      <w:pPr>
        <w:pStyle w:val="Compact"/>
        <w:numPr>
          <w:ilvl w:val="0"/>
          <w:numId w:val="2445"/>
        </w:numPr>
      </w:pPr>
      <w:r>
        <w:t xml:space="preserve">MMPI-2 (Minnesota Multiphasic Personality Inventory-2) – personality profile;</w:t>
      </w:r>
    </w:p>
    <w:p>
      <w:pPr>
        <w:pStyle w:val="Compact"/>
        <w:numPr>
          <w:ilvl w:val="0"/>
          <w:numId w:val="2445"/>
        </w:numPr>
      </w:pPr>
      <w:r>
        <w:t xml:space="preserve">Raven Progressive Matrices — intellect;</w:t>
      </w:r>
    </w:p>
    <w:p>
      <w:pPr>
        <w:pStyle w:val="Compact"/>
        <w:numPr>
          <w:ilvl w:val="0"/>
          <w:numId w:val="2445"/>
        </w:numPr>
      </w:pPr>
      <w:r>
        <w:t xml:space="preserve">Luria tests — memory, attention;</w:t>
      </w:r>
    </w:p>
    <w:p>
      <w:pPr>
        <w:pStyle w:val="Compact"/>
        <w:numPr>
          <w:ilvl w:val="0"/>
          <w:numId w:val="2445"/>
        </w:numPr>
      </w:pPr>
      <w:r>
        <w:t xml:space="preserve">Wechsler IQ scale (WAIS);</w:t>
      </w:r>
    </w:p>
    <w:p>
      <w:pPr>
        <w:pStyle w:val="Compact"/>
        <w:numPr>
          <w:ilvl w:val="0"/>
          <w:numId w:val="2445"/>
        </w:numPr>
      </w:pPr>
      <w:r>
        <w:t xml:space="preserve">Rorschach test — a projective method (its contemporary reliability is contested);</w:t>
      </w:r>
    </w:p>
    <w:p>
      <w:pPr>
        <w:pStyle w:val="Compact"/>
        <w:numPr>
          <w:ilvl w:val="0"/>
          <w:numId w:val="2445"/>
        </w:numPr>
      </w:pPr>
      <w:r>
        <w:t xml:space="preserve">Beck, Hamilton scales — mood.</w:t>
      </w:r>
    </w:p>
    <w:bookmarkEnd w:id="2849"/>
    <w:bookmarkEnd w:id="2850"/>
    <w:bookmarkStart w:id="2855" w:name="Xd3fc330a8f28e8d9b875881be8aff0035bba15b"/>
    <w:p>
      <w:pPr>
        <w:pStyle w:val="Heading2"/>
      </w:pPr>
      <w:r>
        <w:t xml:space="preserve">D.3. Psychiatric disorders and military fitness assessment</w:t>
      </w:r>
    </w:p>
    <w:p>
      <w:pPr>
        <w:pStyle w:val="FirstParagraph"/>
      </w:pPr>
      <w:r>
        <w:t xml:space="preserve">Classification by group (adaptation – based on local normative acts):</w:t>
      </w:r>
    </w:p>
    <w:bookmarkStart w:id="2851" w:name="a-qrupu-xidmətə-tam-yararlı"/>
    <w:p>
      <w:pPr>
        <w:pStyle w:val="Heading3"/>
      </w:pPr>
      <w:r>
        <w:t xml:space="preserve">Group A – fully fit for service</w:t>
      </w:r>
    </w:p>
    <w:p>
      <w:pPr>
        <w:pStyle w:val="FirstParagraph"/>
      </w:pPr>
      <w:r>
        <w:t xml:space="preserve">No psychiatric history or minor transient issues.</w:t>
      </w:r>
    </w:p>
    <w:bookmarkEnd w:id="2851"/>
    <w:bookmarkStart w:id="2852" w:name="b-qrupu-məhdudiyyətlə-yararlı"/>
    <w:p>
      <w:pPr>
        <w:pStyle w:val="Heading3"/>
      </w:pPr>
      <w:r>
        <w:t xml:space="preserve">Group B – useful with limitations</w:t>
      </w:r>
    </w:p>
    <w:p>
      <w:pPr>
        <w:pStyle w:val="Compact"/>
        <w:numPr>
          <w:ilvl w:val="0"/>
          <w:numId w:val="2446"/>
        </w:numPr>
      </w:pPr>
      <w:r>
        <w:t xml:space="preserve">Mild personality traits (below impairment threshold);</w:t>
      </w:r>
    </w:p>
    <w:p>
      <w:pPr>
        <w:pStyle w:val="Compact"/>
        <w:numPr>
          <w:ilvl w:val="0"/>
          <w:numId w:val="2446"/>
        </w:numPr>
      </w:pPr>
      <w:r>
        <w:t xml:space="preserve">Transient adjustment disorders;</w:t>
      </w:r>
    </w:p>
    <w:p>
      <w:pPr>
        <w:pStyle w:val="Compact"/>
        <w:numPr>
          <w:ilvl w:val="0"/>
          <w:numId w:val="2446"/>
        </w:numPr>
      </w:pPr>
      <w:r>
        <w:t xml:space="preserve">Mild sleep disturbances;</w:t>
      </w:r>
    </w:p>
    <w:p>
      <w:pPr>
        <w:pStyle w:val="Compact"/>
        <w:numPr>
          <w:ilvl w:val="0"/>
          <w:numId w:val="2446"/>
        </w:numPr>
      </w:pPr>
      <w:r>
        <w:t xml:space="preserve">Neurotic disorders in remission state.</w:t>
      </w:r>
    </w:p>
    <w:bookmarkEnd w:id="2852"/>
    <w:bookmarkStart w:id="2853" w:name="v-qrupu-xidmət-zamanı-məhdud"/>
    <w:p>
      <w:pPr>
        <w:pStyle w:val="Heading3"/>
      </w:pPr>
      <w:r>
        <w:t xml:space="preserve">Group V — limited during service</w:t>
      </w:r>
    </w:p>
    <w:p>
      <w:pPr>
        <w:pStyle w:val="Compact"/>
        <w:numPr>
          <w:ilvl w:val="0"/>
          <w:numId w:val="2447"/>
        </w:numPr>
      </w:pPr>
      <w:r>
        <w:t xml:space="preserve">Moderate psychiatric disturbances in partial remission state;</w:t>
      </w:r>
    </w:p>
    <w:p>
      <w:pPr>
        <w:pStyle w:val="Compact"/>
        <w:numPr>
          <w:ilvl w:val="0"/>
          <w:numId w:val="2447"/>
        </w:numPr>
      </w:pPr>
      <w:r>
        <w:t xml:space="preserve">Specific personality disorders;</w:t>
      </w:r>
    </w:p>
    <w:p>
      <w:pPr>
        <w:pStyle w:val="Compact"/>
        <w:numPr>
          <w:ilvl w:val="0"/>
          <w:numId w:val="2447"/>
        </w:numPr>
      </w:pPr>
      <w:r>
        <w:t xml:space="preserve">Past PTSD, compensated;</w:t>
      </w:r>
    </w:p>
    <w:p>
      <w:pPr>
        <w:pStyle w:val="Compact"/>
        <w:numPr>
          <w:ilvl w:val="0"/>
          <w:numId w:val="2447"/>
        </w:numPr>
      </w:pPr>
      <w:r>
        <w:t xml:space="preserve">Moderate neurocognitive dysfunction.</w:t>
      </w:r>
    </w:p>
    <w:bookmarkEnd w:id="2853"/>
    <w:bookmarkStart w:id="2854" w:name="q-qrupu-xidmətə-yararsız"/>
    <w:p>
      <w:pPr>
        <w:pStyle w:val="Heading3"/>
      </w:pPr>
      <w:r>
        <w:t xml:space="preserve">Group Q – Unfit for Service</w:t>
      </w:r>
    </w:p>
    <w:p>
      <w:pPr>
        <w:pStyle w:val="Compact"/>
        <w:numPr>
          <w:ilvl w:val="0"/>
          <w:numId w:val="2448"/>
        </w:numPr>
      </w:pPr>
      <w:r>
        <w:t xml:space="preserve">Schizophrenia spectrum;</w:t>
      </w:r>
    </w:p>
    <w:p>
      <w:pPr>
        <w:pStyle w:val="Compact"/>
        <w:numPr>
          <w:ilvl w:val="0"/>
          <w:numId w:val="2448"/>
        </w:numPr>
      </w:pPr>
      <w:r>
        <w:t xml:space="preserve">Bipolar disorder;</w:t>
      </w:r>
    </w:p>
    <w:p>
      <w:pPr>
        <w:pStyle w:val="Compact"/>
        <w:numPr>
          <w:ilvl w:val="0"/>
          <w:numId w:val="2448"/>
        </w:numPr>
      </w:pPr>
      <w:r>
        <w:t xml:space="preserve">Severe depression;</w:t>
      </w:r>
    </w:p>
    <w:p>
      <w:pPr>
        <w:pStyle w:val="Compact"/>
        <w:numPr>
          <w:ilvl w:val="0"/>
          <w:numId w:val="2448"/>
        </w:numPr>
      </w:pPr>
      <w:r>
        <w:t xml:space="preserve">Active PTSD/complex PTSD (Karabakh war veterans – separate treatment program);</w:t>
      </w:r>
    </w:p>
    <w:p>
      <w:pPr>
        <w:pStyle w:val="Compact"/>
        <w:numPr>
          <w:ilvl w:val="0"/>
          <w:numId w:val="2448"/>
        </w:numPr>
      </w:pPr>
      <w:r>
        <w:t xml:space="preserve">Substance use disorders;</w:t>
      </w:r>
    </w:p>
    <w:p>
      <w:pPr>
        <w:pStyle w:val="Compact"/>
        <w:numPr>
          <w:ilvl w:val="0"/>
          <w:numId w:val="2448"/>
        </w:numPr>
      </w:pPr>
      <w:r>
        <w:t xml:space="preserve">Severe personality disorders;</w:t>
      </w:r>
    </w:p>
    <w:p>
      <w:pPr>
        <w:pStyle w:val="Compact"/>
        <w:numPr>
          <w:ilvl w:val="0"/>
          <w:numId w:val="2448"/>
        </w:numPr>
      </w:pPr>
      <w:r>
        <w:t xml:space="preserve">Mental retardation;</w:t>
      </w:r>
    </w:p>
    <w:p>
      <w:pPr>
        <w:pStyle w:val="Compact"/>
        <w:numPr>
          <w:ilvl w:val="0"/>
          <w:numId w:val="2448"/>
        </w:numPr>
      </w:pPr>
      <w:r>
        <w:t xml:space="preserve">Severe forms of autism spectrum;</w:t>
      </w:r>
    </w:p>
    <w:p>
      <w:pPr>
        <w:pStyle w:val="Compact"/>
        <w:numPr>
          <w:ilvl w:val="0"/>
          <w:numId w:val="2448"/>
        </w:numPr>
      </w:pPr>
      <w:r>
        <w:t xml:space="preserve">Disorders with active suicide risk;</w:t>
      </w:r>
    </w:p>
    <w:p>
      <w:pPr>
        <w:pStyle w:val="Compact"/>
        <w:numPr>
          <w:ilvl w:val="0"/>
          <w:numId w:val="2448"/>
        </w:numPr>
      </w:pPr>
      <w:r>
        <w:t xml:space="preserve">Paraphilic disorders (severe, active).</w:t>
      </w:r>
    </w:p>
    <w:bookmarkEnd w:id="2854"/>
    <w:bookmarkEnd w:id="2855"/>
    <w:bookmarkStart w:id="2856" w:name="X27a1b6400be202cda1b14b668943ac545f6274c"/>
    <w:p>
      <w:pPr>
        <w:pStyle w:val="Heading2"/>
      </w:pPr>
      <w:r>
        <w:t xml:space="preserve">D.4. Postpartum trauma and veteran assessment</w:t>
      </w:r>
    </w:p>
    <w:p>
      <w:pPr>
        <w:pStyle w:val="FirstParagraph"/>
      </w:pPr>
      <w:r>
        <w:t xml:space="preserve">In veterans of the Karabakh war:</w:t>
      </w:r>
    </w:p>
    <w:p>
      <w:pPr>
        <w:pStyle w:val="Compact"/>
        <w:numPr>
          <w:ilvl w:val="0"/>
          <w:numId w:val="2449"/>
        </w:numPr>
      </w:pPr>
      <w:r>
        <w:t xml:space="preserve">Complex PTSD high prevalence — trauma-focused intervention;</w:t>
      </w:r>
    </w:p>
    <w:p>
      <w:pPr>
        <w:pStyle w:val="Compact"/>
        <w:numPr>
          <w:ilvl w:val="0"/>
          <w:numId w:val="2449"/>
        </w:numPr>
      </w:pPr>
      <w:r>
        <w:t xml:space="preserve">Alcohol and substance use Comorbid;</w:t>
      </w:r>
    </w:p>
    <w:p>
      <w:pPr>
        <w:pStyle w:val="Compact"/>
        <w:numPr>
          <w:ilvl w:val="0"/>
          <w:numId w:val="2449"/>
        </w:numPr>
      </w:pPr>
      <w:r>
        <w:t xml:space="preserve">Depression, suicide risk;</w:t>
      </w:r>
    </w:p>
    <w:p>
      <w:pPr>
        <w:pStyle w:val="Compact"/>
        <w:numPr>
          <w:ilvl w:val="0"/>
          <w:numId w:val="2449"/>
        </w:numPr>
      </w:pPr>
      <w:r>
        <w:t xml:space="preserve">Family dysfunction;</w:t>
      </w:r>
    </w:p>
    <w:p>
      <w:pPr>
        <w:pStyle w:val="Compact"/>
        <w:numPr>
          <w:ilvl w:val="0"/>
          <w:numId w:val="2449"/>
        </w:numPr>
      </w:pPr>
      <w:r>
        <w:t xml:space="preserve">Moral injury — ethical conflict during war (killing, witnessing);</w:t>
      </w:r>
    </w:p>
    <w:p>
      <w:pPr>
        <w:pStyle w:val="Compact"/>
        <w:numPr>
          <w:ilvl w:val="0"/>
          <w:numId w:val="2449"/>
        </w:numPr>
      </w:pPr>
      <w:r>
        <w:t xml:space="preserve">Burning and re-traumatization risk factors.</w:t>
      </w:r>
    </w:p>
    <w:p>
      <w:pPr>
        <w:pStyle w:val="FirstParagraph"/>
      </w:pPr>
      <w:r>
        <w:t xml:space="preserve">Specific rehabilitation programs:</w:t>
      </w:r>
    </w:p>
    <w:p>
      <w:pPr>
        <w:pStyle w:val="Compact"/>
        <w:numPr>
          <w:ilvl w:val="0"/>
          <w:numId w:val="2450"/>
        </w:numPr>
      </w:pPr>
      <w:r>
        <w:t xml:space="preserve">Evidence-based trauma therapies (PE, CPT, EMDR);</w:t>
      </w:r>
    </w:p>
    <w:p>
      <w:pPr>
        <w:pStyle w:val="Compact"/>
        <w:numPr>
          <w:ilvl w:val="0"/>
          <w:numId w:val="2450"/>
        </w:numPr>
      </w:pPr>
      <w:r>
        <w:t xml:space="preserve">Group therapy for veterans;</w:t>
      </w:r>
    </w:p>
    <w:p>
      <w:pPr>
        <w:pStyle w:val="Compact"/>
        <w:numPr>
          <w:ilvl w:val="0"/>
          <w:numId w:val="2450"/>
        </w:numPr>
      </w:pPr>
      <w:r>
        <w:t xml:space="preserve">Family therapy;</w:t>
      </w:r>
    </w:p>
    <w:p>
      <w:pPr>
        <w:pStyle w:val="Compact"/>
        <w:numPr>
          <w:ilvl w:val="0"/>
          <w:numId w:val="2450"/>
        </w:numPr>
      </w:pPr>
      <w:r>
        <w:t xml:space="preserve">Medication (SSRI/SNRI);</w:t>
      </w:r>
    </w:p>
    <w:p>
      <w:pPr>
        <w:pStyle w:val="Compact"/>
        <w:numPr>
          <w:ilvl w:val="0"/>
          <w:numId w:val="2450"/>
        </w:numPr>
      </w:pPr>
      <w:r>
        <w:t xml:space="preserve">Social rehabilitation (work, education).</w:t>
      </w:r>
    </w:p>
    <w:p>
      <w:r>
        <w:pict>
          <v:rect style="width:0;height:1.5pt" o:hralign="center" o:hrstd="t" o:hr="t"/>
        </w:pict>
      </w:r>
    </w:p>
    <w:bookmarkEnd w:id="2856"/>
    <w:bookmarkEnd w:id="2857"/>
    <w:bookmarkStart w:id="2871" w:name="əlavə-e"/>
    <w:p>
      <w:pPr>
        <w:pageBreakBefore/>
        <w:pStyle w:val="Heading1"/>
      </w:pPr>
      <w:r>
        <w:t xml:space="preserve">APPENDIX E</w:t>
      </w:r>
    </w:p>
    <w:bookmarkStart w:id="2858" w:name="əlaqəli̇-neyroloji̇-şərtlər"/>
    <w:p>
      <w:pPr>
        <w:pStyle w:val="Heading2"/>
      </w:pPr>
      <w:r>
        <w:t xml:space="preserve">RELATED NEUROLOGICAL CONDITIONS</w:t>
      </w:r>
    </w:p>
    <w:p>
      <w:pPr>
        <w:pStyle w:val="FirstParagraph"/>
      </w:pPr>
      <w:r>
        <w:t xml:space="preserve">Brief description of neurological diseases important for clinical practice in areas intersecting psychiatry and neurology.</w:t>
      </w:r>
    </w:p>
    <w:bookmarkEnd w:id="2858"/>
    <w:bookmarkStart w:id="2862" w:name="X21bc0b569755bf612166ef8d6f3f0ec815dd64a"/>
    <w:p>
      <w:pPr>
        <w:pStyle w:val="Heading2"/>
      </w:pPr>
      <w:r>
        <w:t xml:space="preserve">E.1. Epilepsy (G40) and psychiatric manifestations</w:t>
      </w:r>
    </w:p>
    <w:bookmarkStart w:id="2859" w:name="epileptik-sindromlar-və-psixiatriya"/>
    <w:p>
      <w:pPr>
        <w:pStyle w:val="Heading3"/>
      </w:pPr>
      <w:r>
        <w:t xml:space="preserve">Epileptic syndromes and psychiatry:</w:t>
      </w:r>
    </w:p>
    <w:p>
      <w:pPr>
        <w:pStyle w:val="FirstParagraph"/>
      </w:pPr>
      <w:r>
        <w:t xml:space="preserve">- Interictal personality changes (Geschwind syndrome – hyper religiosity, hypergraphia, “viscosity”);</w:t>
      </w:r>
    </w:p>
    <w:p>
      <w:pPr>
        <w:pStyle w:val="BodyText"/>
      </w:pPr>
      <w:r>
        <w:t xml:space="preserve">- Inter-ictal psychosis – long-standing TLE;</w:t>
      </w:r>
    </w:p>
    <w:p>
      <w:pPr>
        <w:pStyle w:val="BodyText"/>
      </w:pPr>
      <w:r>
        <w:t xml:space="preserve">- Post-ictal psychosis – psychotic episodes within 24-72 hours after a seizure;</w:t>
      </w:r>
    </w:p>
    <w:p>
      <w:pPr>
        <w:pStyle w:val="BodyText"/>
      </w:pPr>
      <w:r>
        <w:t xml:space="preserve">- Ictal anxiety and dissociative experiences;</w:t>
      </w:r>
    </w:p>
    <w:p>
      <w:pPr>
        <w:pStyle w:val="Compact"/>
        <w:numPr>
          <w:ilvl w:val="0"/>
          <w:numId w:val="2451"/>
        </w:numPr>
      </w:pPr>
      <w:r>
        <w:t xml:space="preserve">Temporal lobe epilepsy (TLE) — psychiatric comorbidity most common:</w:t>
      </w:r>
    </w:p>
    <w:p>
      <w:pPr>
        <w:pStyle w:val="Compact"/>
        <w:numPr>
          <w:ilvl w:val="0"/>
          <w:numId w:val="2451"/>
        </w:numPr>
      </w:pPr>
      <w:r>
        <w:t xml:space="preserve">Absence epilepsy — attention problems, differential with ADHD;</w:t>
      </w:r>
    </w:p>
    <w:p>
      <w:pPr>
        <w:pStyle w:val="Compact"/>
        <w:numPr>
          <w:ilvl w:val="0"/>
          <w:numId w:val="2451"/>
        </w:numPr>
      </w:pPr>
      <w:r>
        <w:t xml:space="preserve">Juvenile myoclonic epilepsy — high comorbid anxiety, impulsivity.</w:t>
      </w:r>
    </w:p>
    <w:bookmarkEnd w:id="2859"/>
    <w:bookmarkStart w:id="2860" w:name="X026a155ce10b6a83f1b41e5a7cc6d424197fb3c"/>
    <w:p>
      <w:pPr>
        <w:pStyle w:val="Heading3"/>
      </w:pPr>
      <w:r>
        <w:t xml:space="preserve">Psychogenic (non-epileptic) seizures (PNES) – dissociative neurological symptom disorder (</w:t>
      </w:r>
      <w:r>
        <w:t xml:space="preserve">6B64.4</w:t>
      </w:r>
      <w:r>
        <w:t xml:space="preserve">):</w:t>
      </w:r>
    </w:p>
    <w:p>
      <w:pPr>
        <w:pStyle w:val="Compact"/>
        <w:numPr>
          <w:ilvl w:val="0"/>
          <w:numId w:val="2452"/>
        </w:numPr>
      </w:pPr>
      <w:r>
        <w:t xml:space="preserve">Video-EEG — gold standard differential;</w:t>
      </w:r>
    </w:p>
    <w:p>
      <w:pPr>
        <w:pStyle w:val="Compact"/>
        <w:numPr>
          <w:ilvl w:val="0"/>
          <w:numId w:val="2452"/>
        </w:numPr>
      </w:pPr>
      <w:r>
        <w:t xml:space="preserve">PNES frequently comorbid with epilepsy, 10-30%;</w:t>
      </w:r>
    </w:p>
    <w:p>
      <w:pPr>
        <w:pStyle w:val="Compact"/>
        <w:numPr>
          <w:ilvl w:val="0"/>
          <w:numId w:val="2452"/>
        </w:numPr>
      </w:pPr>
      <w:r>
        <w:t xml:space="preserve">Treatment: CBT-PNES, slow tapering of anticonvulsants.</w:t>
      </w:r>
    </w:p>
    <w:bookmarkEnd w:id="2860"/>
    <w:bookmarkStart w:id="2861" w:name="X914461517a19cbd3f539cb611a73a8346665292"/>
    <w:p>
      <w:pPr>
        <w:pStyle w:val="Heading3"/>
      </w:pPr>
      <w:r>
        <w:t xml:space="preserve">Psychiatric side effects of antiepileptics:</w:t>
      </w:r>
    </w:p>
    <w:p>
      <w:pPr>
        <w:pStyle w:val="Compact"/>
        <w:numPr>
          <w:ilvl w:val="0"/>
          <w:numId w:val="2453"/>
        </w:numPr>
      </w:pPr>
      <w:r>
        <w:t xml:space="preserve">Levetiracetam: Aggression, irritability, depression;</w:t>
      </w:r>
    </w:p>
    <w:p>
      <w:pPr>
        <w:pStyle w:val="Compact"/>
        <w:numPr>
          <w:ilvl w:val="0"/>
          <w:numId w:val="2453"/>
        </w:numPr>
      </w:pPr>
      <w:r>
        <w:t xml:space="preserve">Phenobarbital, primidone: depression, cognitive slowing;</w:t>
      </w:r>
    </w:p>
    <w:p>
      <w:pPr>
        <w:pStyle w:val="Compact"/>
        <w:numPr>
          <w:ilvl w:val="0"/>
          <w:numId w:val="2453"/>
        </w:numPr>
      </w:pPr>
      <w:r>
        <w:t xml:space="preserve">Topiramate: cognitive dysfunction, depression;</w:t>
      </w:r>
    </w:p>
    <w:p>
      <w:pPr>
        <w:pStyle w:val="Compact"/>
        <w:numPr>
          <w:ilvl w:val="0"/>
          <w:numId w:val="2453"/>
        </w:numPr>
      </w:pPr>
      <w:r>
        <w:t xml:space="preserve">Lamotrigine: Gene stabilizes mood.</w:t>
      </w:r>
    </w:p>
    <w:bookmarkEnd w:id="2861"/>
    <w:bookmarkEnd w:id="2862"/>
    <w:bookmarkStart w:id="2864" w:name="e2-baş-ağrısı-və-psixiatrik-komorbidlik"/>
    <w:p>
      <w:pPr>
        <w:pStyle w:val="Heading2"/>
      </w:pPr>
      <w:r>
        <w:t xml:space="preserve">E.2. Headache and psychiatric comorbidity</w:t>
      </w:r>
    </w:p>
    <w:p>
      <w:pPr>
        <w:pStyle w:val="Compact"/>
        <w:numPr>
          <w:ilvl w:val="0"/>
          <w:numId w:val="2454"/>
        </w:numPr>
      </w:pPr>
      <w:r>
        <w:t xml:space="preserve">Migraine — depression risk 2-4× higher; anxiety disorders;</w:t>
      </w:r>
    </w:p>
    <w:p>
      <w:pPr>
        <w:pStyle w:val="Compact"/>
        <w:numPr>
          <w:ilvl w:val="0"/>
          <w:numId w:val="2454"/>
        </w:numPr>
      </w:pPr>
      <w:r>
        <w:t xml:space="preserve">Cluster headache — depression, suicide risk;</w:t>
      </w:r>
    </w:p>
    <w:p>
      <w:pPr>
        <w:pStyle w:val="Compact"/>
        <w:numPr>
          <w:ilvl w:val="0"/>
          <w:numId w:val="2454"/>
        </w:numPr>
      </w:pPr>
      <w:r>
        <w:t xml:space="preserve">Chronic daily headache — analgesic overuse (medication overuse headache – MOH) – mood disorder comorbid frequently;</w:t>
      </w:r>
    </w:p>
    <w:p>
      <w:pPr>
        <w:pStyle w:val="Compact"/>
        <w:numPr>
          <w:ilvl w:val="0"/>
          <w:numId w:val="2454"/>
        </w:numPr>
      </w:pPr>
      <w:r>
        <w:t xml:space="preserve">Recurrent tension headache — associated with intense stress, anxiety.</w:t>
      </w:r>
    </w:p>
    <w:bookmarkStart w:id="2863" w:name="i̇darəetmə"/>
    <w:p>
      <w:pPr>
        <w:pStyle w:val="Heading3"/>
      </w:pPr>
      <w:r>
        <w:t xml:space="preserve">Management:</w:t>
      </w:r>
    </w:p>
    <w:p>
      <w:pPr>
        <w:pStyle w:val="Compact"/>
        <w:numPr>
          <w:ilvl w:val="0"/>
          <w:numId w:val="2455"/>
        </w:numPr>
      </w:pPr>
      <w:r>
        <w:t xml:space="preserve">SSRI/SNRI improves many types of headache;</w:t>
      </w:r>
    </w:p>
    <w:p>
      <w:pPr>
        <w:pStyle w:val="Compact"/>
        <w:numPr>
          <w:ilvl w:val="0"/>
          <w:numId w:val="2455"/>
        </w:numPr>
      </w:pPr>
      <w:r>
        <w:t xml:space="preserve">TCA (amitriptiline) historical standard for migraine prophylaxis</w:t>
      </w:r>
    </w:p>
    <w:p>
      <w:pPr>
        <w:pStyle w:val="Compact"/>
        <w:numPr>
          <w:ilvl w:val="0"/>
          <w:numId w:val="2455"/>
        </w:numPr>
      </w:pPr>
      <w:r>
        <w:t xml:space="preserve">Topiramate, valproate prophylactic;</w:t>
      </w:r>
    </w:p>
    <w:p>
      <w:pPr>
        <w:pStyle w:val="Compact"/>
        <w:numPr>
          <w:ilvl w:val="0"/>
          <w:numId w:val="2455"/>
        </w:numPr>
      </w:pPr>
      <w:r>
        <w:t xml:space="preserve">CBT is effective for chronic headache;</w:t>
      </w:r>
    </w:p>
    <w:p>
      <w:pPr>
        <w:pStyle w:val="Compact"/>
        <w:numPr>
          <w:ilvl w:val="0"/>
          <w:numId w:val="2455"/>
        </w:numPr>
      </w:pPr>
      <w:r>
        <w:t xml:space="preserve">Avoidance of opioids and excessive analgesic use.</w:t>
      </w:r>
    </w:p>
    <w:bookmarkEnd w:id="2863"/>
    <w:bookmarkEnd w:id="2864"/>
    <w:bookmarkStart w:id="2865" w:name="e3-beyin-qan-damar-xəstəlikləri-insult"/>
    <w:p>
      <w:pPr>
        <w:pStyle w:val="Heading2"/>
      </w:pPr>
      <w:r>
        <w:t xml:space="preserve">E.3. Cerebrovascular diseases (stroke)</w:t>
      </w:r>
    </w:p>
    <w:p>
      <w:pPr>
        <w:pStyle w:val="Compact"/>
        <w:numPr>
          <w:ilvl w:val="0"/>
          <w:numId w:val="2456"/>
        </w:numPr>
      </w:pPr>
      <w:r>
        <w:t xml:space="preserve">Post-stroke depression: 30-40% first year;</w:t>
      </w:r>
    </w:p>
    <w:p>
      <w:pPr>
        <w:pStyle w:val="Compact"/>
        <w:numPr>
          <w:ilvl w:val="0"/>
          <w:numId w:val="2456"/>
        </w:numPr>
      </w:pPr>
      <w:r>
        <w:t xml:space="preserve">Post-stroke mania: Rare, in right frontal or thalamic lesions;</w:t>
      </w:r>
    </w:p>
    <w:p>
      <w:pPr>
        <w:pStyle w:val="Compact"/>
        <w:numPr>
          <w:ilvl w:val="0"/>
          <w:numId w:val="2456"/>
        </w:numPr>
      </w:pPr>
      <w:r>
        <w:t xml:space="preserve">Pseudobulbar affect (pathological laughing/crying): dextromethorphan-quinidine combination confirmatory treatment is;</w:t>
      </w:r>
    </w:p>
    <w:p>
      <w:pPr>
        <w:pStyle w:val="Compact"/>
        <w:numPr>
          <w:ilvl w:val="0"/>
          <w:numId w:val="2456"/>
        </w:numPr>
      </w:pPr>
      <w:r>
        <w:t xml:space="preserve">Vascular cognitive disorder/dementia: classified under</w:t>
      </w:r>
      <w:r>
        <w:t xml:space="preserve"> </w:t>
      </w:r>
      <w:r>
        <w:t xml:space="preserve">6D81</w:t>
      </w:r>
      <w:r>
        <w:t xml:space="preserve">;</w:t>
      </w:r>
    </w:p>
    <w:p>
      <w:pPr>
        <w:pStyle w:val="Compact"/>
        <w:numPr>
          <w:ilvl w:val="0"/>
          <w:numId w:val="2456"/>
        </w:numPr>
      </w:pPr>
      <w:r>
        <w:t xml:space="preserve">Rehabilitation: Multidisciplinary, psychiatric support plays a central role.</w:t>
      </w:r>
    </w:p>
    <w:bookmarkEnd w:id="2865"/>
    <w:bookmarkStart w:id="2866" w:name="e4-parkinson-xəstəliyi"/>
    <w:p>
      <w:pPr>
        <w:pStyle w:val="Heading2"/>
      </w:pPr>
      <w:r>
        <w:t xml:space="preserve">E.4. Parkinson's disease</w:t>
      </w:r>
    </w:p>
    <w:p>
      <w:pPr>
        <w:pStyle w:val="Compact"/>
        <w:numPr>
          <w:ilvl w:val="0"/>
          <w:numId w:val="2457"/>
        </w:numPr>
      </w:pPr>
      <w:r>
        <w:t xml:space="preserve">Depression: 30-50%;</w:t>
      </w:r>
    </w:p>
    <w:p>
      <w:pPr>
        <w:pStyle w:val="Compact"/>
        <w:numPr>
          <w:ilvl w:val="0"/>
          <w:numId w:val="2457"/>
        </w:numPr>
      </w:pPr>
      <w:r>
        <w:t xml:space="preserve">Anxiety: 30-40%;</w:t>
      </w:r>
    </w:p>
    <w:p>
      <w:pPr>
        <w:pStyle w:val="Compact"/>
        <w:numPr>
          <w:ilvl w:val="0"/>
          <w:numId w:val="2457"/>
        </w:numPr>
      </w:pPr>
      <w:r>
        <w:t xml:space="preserve">Dopamine agonist-induced impulse control disorder: 13-36%;</w:t>
      </w:r>
    </w:p>
    <w:p>
      <w:pPr>
        <w:pStyle w:val="Compact"/>
        <w:numPr>
          <w:ilvl w:val="0"/>
          <w:numId w:val="2457"/>
        </w:numPr>
      </w:pPr>
      <w:r>
        <w:t xml:space="preserve">Psychosis in Parkinson's disease: Mainly visual hallucinations; levodopa-induced;</w:t>
      </w:r>
    </w:p>
    <w:p>
      <w:pPr>
        <w:pStyle w:val="Compact"/>
        <w:numPr>
          <w:ilvl w:val="0"/>
          <w:numId w:val="2457"/>
        </w:numPr>
      </w:pPr>
      <w:r>
        <w:t xml:space="preserve">Dementia in Parkinson's disease:</w:t>
      </w:r>
      <w:r>
        <w:t xml:space="preserve"> </w:t>
      </w:r>
      <w:r>
        <w:t xml:space="preserve">6D85</w:t>
      </w:r>
      <w:r>
        <w:t xml:space="preserve">;</w:t>
      </w:r>
    </w:p>
    <w:p>
      <w:pPr>
        <w:pStyle w:val="Compact"/>
        <w:numPr>
          <w:ilvl w:val="0"/>
          <w:numId w:val="2457"/>
        </w:numPr>
      </w:pPr>
      <w:r>
        <w:t xml:space="preserve">REM sleep behavior disorder Early marker for Parkinson's disease.</w:t>
      </w:r>
    </w:p>
    <w:p>
      <w:pPr>
        <w:pStyle w:val="FirstParagraph"/>
      </w:pPr>
      <w:r>
        <w:t xml:space="preserve">Treatment characteristics:</w:t>
      </w:r>
    </w:p>
    <w:p>
      <w:pPr>
        <w:pStyle w:val="Compact"/>
        <w:numPr>
          <w:ilvl w:val="0"/>
          <w:numId w:val="2458"/>
        </w:numPr>
      </w:pPr>
      <w:r>
        <w:t xml:space="preserve">Use of antipsychotics in Parkinson's disease: quetiapine, clozapine (D2 minimal blockade);</w:t>
      </w:r>
    </w:p>
    <w:p>
      <w:pPr>
        <w:pStyle w:val="Compact"/>
        <w:numPr>
          <w:ilvl w:val="0"/>
          <w:numId w:val="2458"/>
        </w:numPr>
      </w:pPr>
      <w:r>
        <w:t xml:space="preserve">Haloperidol, risperidone — worsens motor symptoms;</w:t>
      </w:r>
    </w:p>
    <w:p>
      <w:pPr>
        <w:pStyle w:val="Compact"/>
        <w:numPr>
          <w:ilvl w:val="0"/>
          <w:numId w:val="2458"/>
        </w:numPr>
      </w:pPr>
      <w:r>
        <w:t xml:space="preserve">SSRIs depression;</w:t>
      </w:r>
    </w:p>
    <w:p>
      <w:pPr>
        <w:pStyle w:val="Compact"/>
        <w:numPr>
          <w:ilvl w:val="0"/>
          <w:numId w:val="2458"/>
        </w:numPr>
      </w:pPr>
      <w:r>
        <w:t xml:space="preserve">Pimavanserin — Confirmed for Parkinson psychosis in the USA.</w:t>
      </w:r>
    </w:p>
    <w:bookmarkEnd w:id="2866"/>
    <w:bookmarkStart w:id="2867" w:name="e5-multipl-skleroz-ms"/>
    <w:p>
      <w:pPr>
        <w:pStyle w:val="Heading2"/>
      </w:pPr>
      <w:r>
        <w:t xml:space="preserve">E.5. Multiple sclerosis (MS)</w:t>
      </w:r>
    </w:p>
    <w:p>
      <w:pPr>
        <w:pStyle w:val="Compact"/>
        <w:numPr>
          <w:ilvl w:val="0"/>
          <w:numId w:val="2459"/>
        </w:numPr>
      </w:pPr>
      <w:r>
        <w:t xml:space="preserve">Depression: 30-50%;</w:t>
      </w:r>
    </w:p>
    <w:p>
      <w:pPr>
        <w:pStyle w:val="Compact"/>
        <w:numPr>
          <w:ilvl w:val="0"/>
          <w:numId w:val="2459"/>
        </w:numPr>
      </w:pPr>
      <w:r>
        <w:t xml:space="preserve">Anxiety: 30%;</w:t>
      </w:r>
    </w:p>
    <w:p>
      <w:pPr>
        <w:pStyle w:val="Compact"/>
        <w:numPr>
          <w:ilvl w:val="0"/>
          <w:numId w:val="2459"/>
        </w:numPr>
      </w:pPr>
      <w:r>
        <w:t xml:space="preserve">Bipolar-like symptoms: 5-10%;</w:t>
      </w:r>
    </w:p>
    <w:p>
      <w:pPr>
        <w:pStyle w:val="Compact"/>
        <w:numPr>
          <w:ilvl w:val="0"/>
          <w:numId w:val="2459"/>
        </w:numPr>
      </w:pPr>
      <w:r>
        <w:t xml:space="preserve">Pseudobulbar affect;</w:t>
      </w:r>
    </w:p>
    <w:p>
      <w:pPr>
        <w:pStyle w:val="Compact"/>
        <w:numPr>
          <w:ilvl w:val="0"/>
          <w:numId w:val="2459"/>
        </w:numPr>
      </w:pPr>
      <w:r>
        <w:t xml:space="preserve">Cognitive dysfunction — in most illnesses;</w:t>
      </w:r>
    </w:p>
    <w:p>
      <w:pPr>
        <w:pStyle w:val="Compact"/>
        <w:numPr>
          <w:ilvl w:val="0"/>
          <w:numId w:val="2459"/>
        </w:numPr>
      </w:pPr>
      <w:r>
        <w:t xml:space="preserve">Lethargy and fatigue — closely associated with depression, differential diagnosis difficult.</w:t>
      </w:r>
    </w:p>
    <w:p>
      <w:pPr>
        <w:pStyle w:val="FirstParagraph"/>
      </w:pPr>
      <w:r>
        <w:t xml:space="preserve">Interferon-beta therapy Depression worsens – active monitoring.</w:t>
      </w:r>
    </w:p>
    <w:bookmarkEnd w:id="2867"/>
    <w:bookmarkStart w:id="2868" w:name="e6-travmatik-beyin-zədəsi-tbz"/>
    <w:p>
      <w:pPr>
        <w:pStyle w:val="Heading2"/>
      </w:pPr>
      <w:r>
        <w:t xml:space="preserve">E.6. Traumatic brain injury (TBI)</w:t>
      </w:r>
    </w:p>
    <w:p>
      <w:pPr>
        <w:pStyle w:val="Compact"/>
        <w:numPr>
          <w:ilvl w:val="0"/>
          <w:numId w:val="2460"/>
        </w:numPr>
      </w:pPr>
      <w:r>
        <w:t xml:space="preserve">Post-concussion syndrome: headache, dizziness, memory issues, mood changes;</w:t>
      </w:r>
    </w:p>
    <w:p>
      <w:pPr>
        <w:pStyle w:val="Compact"/>
        <w:numPr>
          <w:ilvl w:val="0"/>
          <w:numId w:val="2460"/>
        </w:numPr>
      </w:pPr>
      <w:r>
        <w:t xml:space="preserve">Chronic traumatic encephalopathy (CTE): repeated injuries, sports (boxing, American football);</w:t>
      </w:r>
    </w:p>
    <w:p>
      <w:pPr>
        <w:pStyle w:val="Compact"/>
        <w:numPr>
          <w:ilvl w:val="0"/>
          <w:numId w:val="2460"/>
        </w:numPr>
      </w:pPr>
      <w:r>
        <w:t xml:space="preserve">PTSD + TBZ — very frequently comorbid;</w:t>
      </w:r>
    </w:p>
    <w:p>
      <w:pPr>
        <w:pStyle w:val="Compact"/>
        <w:numPr>
          <w:ilvl w:val="0"/>
          <w:numId w:val="2460"/>
        </w:numPr>
      </w:pPr>
      <w:r>
        <w:t xml:space="preserve">Personality change (</w:t>
      </w:r>
      <w:r>
        <w:t xml:space="preserve">6E68</w:t>
      </w:r>
      <w:r>
        <w:t xml:space="preserve">) – in frontal lesions.</w:t>
      </w:r>
    </w:p>
    <w:bookmarkEnd w:id="2868"/>
    <w:bookmarkStart w:id="2869" w:name="e7-demensiya-ətraflı-bölmə-17-də"/>
    <w:p>
      <w:pPr>
        <w:pStyle w:val="Heading2"/>
      </w:pPr>
      <w:r>
        <w:t xml:space="preserve">E.7. Dementia (detailed in Section 17)</w:t>
      </w:r>
    </w:p>
    <w:p>
      <w:pPr>
        <w:pStyle w:val="Compact"/>
        <w:numPr>
          <w:ilvl w:val="0"/>
          <w:numId w:val="2461"/>
        </w:numPr>
      </w:pPr>
      <w:r>
        <w:t xml:space="preserve">6D80</w:t>
      </w:r>
      <w:r>
        <w:t xml:space="preserve"> </w:t>
      </w:r>
      <w:r>
        <w:t xml:space="preserve">Alzheimer's;</w:t>
      </w:r>
    </w:p>
    <w:p>
      <w:pPr>
        <w:pStyle w:val="Compact"/>
        <w:numPr>
          <w:ilvl w:val="0"/>
          <w:numId w:val="2461"/>
        </w:numPr>
      </w:pPr>
      <w:r>
        <w:t xml:space="preserve">6D81</w:t>
      </w:r>
      <w:r>
        <w:t xml:space="preserve"> </w:t>
      </w:r>
      <w:r>
        <w:t xml:space="preserve">Vascular</w:t>
      </w:r>
    </w:p>
    <w:p>
      <w:pPr>
        <w:pStyle w:val="Compact"/>
        <w:numPr>
          <w:ilvl w:val="0"/>
          <w:numId w:val="2461"/>
        </w:numPr>
      </w:pPr>
      <w:r>
        <w:t xml:space="preserve">6D82</w:t>
      </w:r>
      <w:r>
        <w:t xml:space="preserve"> </w:t>
      </w:r>
      <w:r>
        <w:t xml:space="preserve">Lewy body;</w:t>
      </w:r>
    </w:p>
    <w:p>
      <w:pPr>
        <w:pStyle w:val="Compact"/>
        <w:numPr>
          <w:ilvl w:val="0"/>
          <w:numId w:val="2461"/>
        </w:numPr>
      </w:pPr>
      <w:r>
        <w:t xml:space="preserve">6D83</w:t>
      </w:r>
      <w:r>
        <w:t xml:space="preserve"> </w:t>
      </w:r>
      <w:r>
        <w:t xml:space="preserve">Frontotemporal;</w:t>
      </w:r>
    </w:p>
    <w:p>
      <w:pPr>
        <w:pStyle w:val="Compact"/>
        <w:numPr>
          <w:ilvl w:val="0"/>
          <w:numId w:val="2461"/>
        </w:numPr>
      </w:pPr>
      <w:r>
        <w:t xml:space="preserve">6D84</w:t>
      </w:r>
      <w:r>
        <w:t xml:space="preserve"> </w:t>
      </w:r>
      <w:r>
        <w:t xml:space="preserve">Substance-related;</w:t>
      </w:r>
    </w:p>
    <w:p>
      <w:pPr>
        <w:pStyle w:val="Compact"/>
        <w:numPr>
          <w:ilvl w:val="0"/>
          <w:numId w:val="2461"/>
        </w:numPr>
      </w:pPr>
      <w:r>
        <w:t xml:space="preserve">6D85</w:t>
      </w:r>
      <w:r>
        <w:t xml:space="preserve"> </w:t>
      </w:r>
      <w:r>
        <w:t xml:space="preserve">With Parkinson's disease;</w:t>
      </w:r>
    </w:p>
    <w:p>
      <w:pPr>
        <w:pStyle w:val="Compact"/>
        <w:numPr>
          <w:ilvl w:val="0"/>
          <w:numId w:val="2461"/>
        </w:numPr>
      </w:pPr>
      <w:r>
        <w:t xml:space="preserve">6D86</w:t>
      </w:r>
      <w:r>
        <w:t xml:space="preserve"> </w:t>
      </w:r>
      <w:r>
        <w:t xml:space="preserve">Behavioral/psychological disturbances in dementia (BPSD)</w:t>
      </w:r>
    </w:p>
    <w:bookmarkEnd w:id="2869"/>
    <w:bookmarkStart w:id="2870" w:name="X3b39bc80ab5d51c4b70ac45142832e2b5ab420f"/>
    <w:p>
      <w:pPr>
        <w:pStyle w:val="Heading2"/>
      </w:pPr>
      <w:r>
        <w:t xml:space="preserve">E.8. Seizures, movement disorders, and psychiatry</w:t>
      </w:r>
    </w:p>
    <w:p>
      <w:pPr>
        <w:pStyle w:val="Compact"/>
        <w:numPr>
          <w:ilvl w:val="0"/>
          <w:numId w:val="2462"/>
        </w:numPr>
      </w:pPr>
      <w:r>
        <w:t xml:space="preserve">Tourette syndrome (8A05.00) — In ICD-11, under neurological disorders section, but highly comorbid with ADHD, OCD.</w:t>
      </w:r>
    </w:p>
    <w:p>
      <w:pPr>
        <w:pStyle w:val="Compact"/>
        <w:numPr>
          <w:ilvl w:val="0"/>
          <w:numId w:val="2462"/>
        </w:numPr>
      </w:pPr>
      <w:r>
        <w:t xml:space="preserve">Wilson's disease — genetic disorder of copper metabolism; psychiatric presentation (depression, psychosis) frequent; investigation – ceruloplasmin, 24-hour urinary copper;</w:t>
      </w:r>
    </w:p>
    <w:p>
      <w:pPr>
        <w:pStyle w:val="Compact"/>
        <w:numPr>
          <w:ilvl w:val="0"/>
          <w:numId w:val="2462"/>
        </w:numPr>
      </w:pPr>
      <w:r>
        <w:t xml:space="preserve">Huntington's disease — mood disorders, OCD, psychosis, motor chorea.</w:t>
      </w:r>
    </w:p>
    <w:p>
      <w:r>
        <w:pict>
          <v:rect style="width:0;height:1.5pt" o:hralign="center" o:hrstd="t" o:hr="t"/>
        </w:pict>
      </w:r>
    </w:p>
    <w:bookmarkEnd w:id="2870"/>
    <w:bookmarkEnd w:id="2871"/>
    <w:bookmarkStart w:id="2878" w:name="ümumi̇-mənbələr-və-ədəbi̇yyat"/>
    <w:p>
      <w:pPr>
        <w:pageBreakBefore/>
        <w:pStyle w:val="Heading1"/>
      </w:pPr>
      <w:r>
        <w:t xml:space="preserve">GENERAL SOURCES AND REFERENCES</w:t>
      </w:r>
    </w:p>
    <w:bookmarkStart w:id="2872" w:name="əsas-xbt-11-və-dsm-5-mənbələri"/>
    <w:p>
      <w:pPr>
        <w:pStyle w:val="Heading2"/>
      </w:pPr>
      <w:r>
        <w:t xml:space="preserve">Main ICD-11 and DSM-5 sources</w:t>
      </w:r>
    </w:p>
    <w:p>
      <w:pPr>
        <w:pStyle w:val="Compact"/>
        <w:numPr>
          <w:ilvl w:val="0"/>
          <w:numId w:val="2463"/>
        </w:numPr>
      </w:pPr>
      <w:r>
        <w:t xml:space="preserve">WHO. Clinical Descriptions and Diagnostic Requirements for ICD-11 Mental, Behavioural and Neurodevelopmental Disorders (CDDR). Geneva: World Health Organization; 2024. ISBN: 9789240077263.</w:t>
      </w:r>
    </w:p>
    <w:p>
      <w:pPr>
        <w:pStyle w:val="Compact"/>
        <w:numPr>
          <w:ilvl w:val="0"/>
          <w:numId w:val="2463"/>
        </w:numPr>
      </w:pPr>
      <w:r>
        <w:t xml:space="preserve">APA. Diagnostic and Statistical Manual of Mental Disorders, 5th Edition, Text Revision (DSM-5-TR). APA Publishing; 2022.</w:t>
      </w:r>
    </w:p>
    <w:p>
      <w:pPr>
        <w:pStyle w:val="Compact"/>
        <w:numPr>
          <w:ilvl w:val="0"/>
          <w:numId w:val="2463"/>
        </w:numPr>
      </w:pPr>
      <w:r>
        <w:t xml:space="preserve">First MB, Reed GM, Hyman SE, Saxena S. The development of the ICD-11 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463"/>
        </w:numPr>
      </w:pPr>
      <w:r>
        <w:t xml:space="preserve">Reed GM, et al. Innovations and changes in the ICD-11 classification of mental, behavioural and neurodevelopmental disorders.</w:t>
      </w:r>
      <w:r>
        <w:t xml:space="preserve"> </w:t>
      </w:r>
      <w:r>
        <w:rPr>
          <w:i/>
          <w:iCs/>
        </w:rPr>
        <w:t xml:space="preserve">World Psychiatry</w:t>
      </w:r>
      <w:r>
        <w:t xml:space="preserve">, 2019; 18: 3–19.</w:t>
      </w:r>
    </w:p>
    <w:bookmarkEnd w:id="2872"/>
    <w:bookmarkStart w:id="2873" w:name="klinik-psixiatriya-dərslikləri"/>
    <w:p>
      <w:pPr>
        <w:pStyle w:val="Heading2"/>
      </w:pPr>
      <w:r>
        <w:t xml:space="preserve">Clinical psychiatry textbooks</w:t>
      </w:r>
    </w:p>
    <w:p>
      <w:pPr>
        <w:pStyle w:val="Compact"/>
        <w:numPr>
          <w:ilvl w:val="0"/>
          <w:numId w:val="2464"/>
        </w:numPr>
      </w:pPr>
      <w:r>
        <w:t xml:space="preserve">Popov Yu.V., Vid V.D. Modern clinical psychiatry. (Modern Clinical Psychiatry) 2nd edition. St. Petersburg: Rech, 2006.</w:t>
      </w:r>
    </w:p>
    <w:p>
      <w:pPr>
        <w:pStyle w:val="Compact"/>
        <w:numPr>
          <w:ilvl w:val="0"/>
          <w:numId w:val="2464"/>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464"/>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464"/>
        </w:numPr>
      </w:pPr>
      <w:r>
        <w:t xml:space="preserve">Cowen P, Harrison P, Burns T.</w:t>
      </w:r>
      <w:r>
        <w:t xml:space="preserve"> </w:t>
      </w:r>
      <w:r>
        <w:rPr>
          <w:i/>
          <w:iCs/>
        </w:rPr>
        <w:t xml:space="preserve">Shorter Oxford Textbook of Psychiatry.</w:t>
      </w:r>
      <w:r>
        <w:t xml:space="preserve"> </w:t>
      </w:r>
      <w:r>
        <w:t xml:space="preserve">7th ed. Oxford UP; 2018.</w:t>
      </w:r>
    </w:p>
    <w:bookmarkEnd w:id="2873"/>
    <w:bookmarkStart w:id="2874" w:name="azərbaycan-dilində-mənbələr"/>
    <w:p>
      <w:pPr>
        <w:pStyle w:val="Heading2"/>
      </w:pPr>
      <w:r>
        <w:t xml:space="preserve">Sources in Azerbaijani language</w:t>
      </w:r>
    </w:p>
    <w:p>
      <w:pPr>
        <w:pStyle w:val="Compact"/>
        <w:numPr>
          <w:ilvl w:val="0"/>
          <w:numId w:val="2465"/>
        </w:numPr>
      </w:pPr>
      <w:r>
        <w:t xml:space="preserve">Ministry of Health of the Republic of Azerbaijan. “Regulatory documents on examination and treatment of mental patients”.</w:t>
      </w:r>
    </w:p>
    <w:p>
      <w:pPr>
        <w:pStyle w:val="Compact"/>
        <w:numPr>
          <w:ilvl w:val="0"/>
          <w:numId w:val="2465"/>
        </w:numPr>
      </w:pPr>
      <w:r>
        <w:t xml:space="preserve">“On psychiatric assistance” Law of the Republic of Azerbaijan (2001, with amendments).</w:t>
      </w:r>
    </w:p>
    <w:bookmarkEnd w:id="2874"/>
    <w:bookmarkStart w:id="2875" w:name="praktik-klinik-qaydalar-guidelines"/>
    <w:p>
      <w:pPr>
        <w:pStyle w:val="Heading2"/>
      </w:pPr>
      <w:r>
        <w:t xml:space="preserve">Practical clinical guidelines</w:t>
      </w:r>
    </w:p>
    <w:p>
      <w:pPr>
        <w:pStyle w:val="Compact"/>
        <w:numPr>
          <w:ilvl w:val="0"/>
          <w:numId w:val="2466"/>
        </w:numPr>
      </w:pPr>
      <w:r>
        <w:t xml:space="preserve">NICE (UK) Clinical Guidelines – psychiatric conditions: CG31 OCD, CG78 BPD, CG90 Depression, CG113 GAD, CG115 Alcohol, CG158 Conduct disorders, NG69 Eating disorders, NG116 PTSD, CG111 Enuresis.</w:t>
      </w:r>
    </w:p>
    <w:p>
      <w:pPr>
        <w:pStyle w:val="Compact"/>
        <w:numPr>
          <w:ilvl w:val="0"/>
          <w:numId w:val="2466"/>
        </w:numPr>
      </w:pPr>
      <w:r>
        <w:t xml:space="preserve">APA Practice Guidelines – schizophrenia, BPD, MDD, eating disorders, Alzheimer's.</w:t>
      </w:r>
    </w:p>
    <w:p>
      <w:pPr>
        <w:pStyle w:val="Compact"/>
        <w:numPr>
          <w:ilvl w:val="0"/>
          <w:numId w:val="2466"/>
        </w:numPr>
      </w:pPr>
      <w:r>
        <w:t xml:space="preserve">WFSBP Guidelines – bipolar, schizophrenia, OCD, PTSD, paraphilic disorders.</w:t>
      </w:r>
    </w:p>
    <w:p>
      <w:pPr>
        <w:pStyle w:val="Compact"/>
        <w:numPr>
          <w:ilvl w:val="0"/>
          <w:numId w:val="2466"/>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466"/>
        </w:numPr>
      </w:pPr>
      <w:r>
        <w:t xml:space="preserve">CANMAT/ISBD. Canadian Network for Mood and Anxiety Treatments / International Society for Bipolar Disorders Treatment Guidelines. 2018, 2023.</w:t>
      </w:r>
    </w:p>
    <w:p>
      <w:pPr>
        <w:pStyle w:val="Compact"/>
        <w:numPr>
          <w:ilvl w:val="0"/>
          <w:numId w:val="2466"/>
        </w:numPr>
      </w:pPr>
      <w:r>
        <w:t xml:space="preserve">AACAP Practice Parameters – child and adolescent psychiatric disorders.</w:t>
      </w:r>
    </w:p>
    <w:bookmarkEnd w:id="2875"/>
    <w:bookmarkStart w:id="2876" w:name="əsas-peer-review-jurnalları"/>
    <w:p>
      <w:pPr>
        <w:pStyle w:val="Heading2"/>
      </w:pPr>
      <w:r>
        <w:t xml:space="preserve">Main peer-reviewed journals</w:t>
      </w:r>
    </w:p>
    <w:p>
      <w:pPr>
        <w:pStyle w:val="Compact"/>
        <w:numPr>
          <w:ilvl w:val="0"/>
          <w:numId w:val="2467"/>
        </w:numPr>
      </w:pPr>
      <w:r>
        <w:rPr>
          <w:i/>
          <w:iCs/>
        </w:rPr>
        <w:t xml:space="preserve">American Journal of Psychiatry</w:t>
      </w:r>
      <w:r>
        <w:t xml:space="preserve"> </w:t>
      </w:r>
      <w:r>
        <w:t xml:space="preserve">(APA)</w:t>
      </w:r>
    </w:p>
    <w:p>
      <w:pPr>
        <w:pStyle w:val="Compact"/>
        <w:numPr>
          <w:ilvl w:val="0"/>
          <w:numId w:val="2467"/>
        </w:numPr>
      </w:pPr>
      <w:r>
        <w:rPr>
          <w:i/>
          <w:iCs/>
        </w:rPr>
        <w:t xml:space="preserve">World Psychiatry</w:t>
      </w:r>
      <w:r>
        <w:t xml:space="preserve"> </w:t>
      </w:r>
      <w:r>
        <w:t xml:space="preserve">(WPA)</w:t>
      </w:r>
    </w:p>
    <w:p>
      <w:pPr>
        <w:pStyle w:val="Compact"/>
        <w:numPr>
          <w:ilvl w:val="0"/>
          <w:numId w:val="2467"/>
        </w:numPr>
      </w:pPr>
      <w:r>
        <w:rPr>
          <w:i/>
          <w:iCs/>
        </w:rPr>
        <w:t xml:space="preserve">Lancet Psychiatry</w:t>
      </w:r>
    </w:p>
    <w:p>
      <w:pPr>
        <w:pStyle w:val="Compact"/>
        <w:numPr>
          <w:ilvl w:val="0"/>
          <w:numId w:val="2467"/>
        </w:numPr>
      </w:pPr>
      <w:r>
        <w:rPr>
          <w:i/>
          <w:iCs/>
        </w:rPr>
        <w:t xml:space="preserve">JAMA Psychiatry</w:t>
      </w:r>
    </w:p>
    <w:p>
      <w:pPr>
        <w:pStyle w:val="Compact"/>
        <w:numPr>
          <w:ilvl w:val="0"/>
          <w:numId w:val="2467"/>
        </w:numPr>
      </w:pPr>
      <w:r>
        <w:rPr>
          <w:i/>
          <w:iCs/>
        </w:rPr>
        <w:t xml:space="preserve">British Journal of Psychiatry</w:t>
      </w:r>
    </w:p>
    <w:p>
      <w:pPr>
        <w:pStyle w:val="Compact"/>
        <w:numPr>
          <w:ilvl w:val="0"/>
          <w:numId w:val="2467"/>
        </w:numPr>
      </w:pPr>
      <w:r>
        <w:rPr>
          <w:i/>
          <w:iCs/>
        </w:rPr>
        <w:t xml:space="preserve">Psychological Medicine</w:t>
      </w:r>
    </w:p>
    <w:p>
      <w:pPr>
        <w:pStyle w:val="Compact"/>
        <w:numPr>
          <w:ilvl w:val="0"/>
          <w:numId w:val="2467"/>
        </w:numPr>
      </w:pPr>
      <w:r>
        <w:rPr>
          <w:i/>
          <w:iCs/>
        </w:rPr>
        <w:t xml:space="preserve">Journal of Clinical Psychiatry</w:t>
      </w:r>
    </w:p>
    <w:p>
      <w:pPr>
        <w:pStyle w:val="Compact"/>
        <w:numPr>
          <w:ilvl w:val="0"/>
          <w:numId w:val="2467"/>
        </w:numPr>
      </w:pPr>
      <w:r>
        <w:rPr>
          <w:i/>
          <w:iCs/>
        </w:rPr>
        <w:t xml:space="preserve">European Psychiatry</w:t>
      </w:r>
    </w:p>
    <w:bookmarkEnd w:id="2876"/>
    <w:bookmarkStart w:id="2877" w:name="onlayn-resurslar"/>
    <w:p>
      <w:pPr>
        <w:pStyle w:val="Heading2"/>
      </w:pPr>
      <w:r>
        <w:t xml:space="preserve">Online resources</w:t>
      </w:r>
    </w:p>
    <w:p>
      <w:pPr>
        <w:pStyle w:val="Compact"/>
        <w:numPr>
          <w:ilvl w:val="0"/>
          <w:numId w:val="2468"/>
        </w:numPr>
      </w:pPr>
      <w:r>
        <w:t xml:space="preserve">ICD-11: https://icd.who.int</w:t>
      </w:r>
    </w:p>
    <w:p>
      <w:pPr>
        <w:pStyle w:val="Compact"/>
        <w:numPr>
          <w:ilvl w:val="0"/>
          <w:numId w:val="2468"/>
        </w:numPr>
      </w:pPr>
      <w:r>
        <w:t xml:space="preserve">MGH Center for Women's Mental Health: https://womensmentalhealth.org</w:t>
      </w:r>
    </w:p>
    <w:p>
      <w:pPr>
        <w:pStyle w:val="Compact"/>
        <w:numPr>
          <w:ilvl w:val="0"/>
          <w:numId w:val="2468"/>
        </w:numPr>
      </w:pPr>
      <w:r>
        <w:t xml:space="preserve">Cochrane Library: psychiatric systematic reviews</w:t>
      </w:r>
    </w:p>
    <w:p>
      <w:pPr>
        <w:pStyle w:val="Compact"/>
        <w:numPr>
          <w:ilvl w:val="0"/>
          <w:numId w:val="2468"/>
        </w:numPr>
      </w:pPr>
      <w:r>
        <w:t xml:space="preserve">UpToDate Psychiatry — a clinical reference resource</w:t>
      </w:r>
    </w:p>
    <w:p>
      <w:pPr>
        <w:pStyle w:val="Compact"/>
        <w:numPr>
          <w:ilvl w:val="0"/>
          <w:numId w:val="2468"/>
        </w:numPr>
      </w:pPr>
      <w:r>
        <w:t xml:space="preserve">Psychiatry Online (APA Publishing) — textbooks, guidelines</w:t>
      </w:r>
    </w:p>
    <w:p>
      <w:pPr>
        <w:pStyle w:val="Compact"/>
        <w:numPr>
          <w:ilvl w:val="0"/>
          <w:numId w:val="2468"/>
        </w:numPr>
      </w:pPr>
      <w:r>
        <w:t xml:space="preserve">Columbia Suicide Severity Rating Scale: https://cssrs.columbia.edu</w:t>
      </w:r>
    </w:p>
    <w:p>
      <w:r>
        <w:pict>
          <v:rect style="width:0;height:1.5pt" o:hralign="center" o:hrstd="t" o:hr="t"/>
        </w:pict>
      </w:r>
    </w:p>
    <w:p>
      <w:pPr>
        <w:pStyle w:val="FirstParagraph"/>
      </w:pPr>
      <w:r>
        <w:rPr>
          <w:i/>
          <w:iCs/>
        </w:rPr>
        <w:t xml:space="preserve">Kenan Rahimov</w:t>
      </w:r>
    </w:p>
    <w:p>
      <w:pPr>
        <w:pStyle w:val="BodyText"/>
      </w:pPr>
      <w:r>
        <w:rPr>
          <w:i/>
          <w:iCs/>
        </w:rPr>
        <w:t xml:space="preserve">Baku, 2026</w:t>
      </w:r>
    </w:p>
    <w:p>
      <w:pPr>
        <w:pStyle w:val="BodyText"/>
      </w:pPr>
      <w:r>
        <w:rPr>
          <w:i/>
          <w:iCs/>
        </w:rPr>
        <w:t xml:space="preserve">ragimoff.org</w:t>
      </w:r>
    </w:p>
    <w:bookmarkEnd w:id="2877"/>
    <w:bookmarkEnd w:id="2878"/>
    <w:bookmarkStart w:id="2908" w:name="əlavə-b"/>
    <w:p>
      <w:pPr>
        <w:pageBreakBefore/>
        <w:pStyle w:val="Heading1"/>
      </w:pPr>
      <w:r>
        <w:t xml:space="preserve">APPENDIX B</w:t>
      </w:r>
    </w:p>
    <w:bookmarkStart w:id="2879" w:name="X2a475cb1d18a75595e63798099d20c0ebce885f"/>
    <w:p>
      <w:pPr>
        <w:pStyle w:val="Heading2"/>
      </w:pPr>
      <w:r>
        <w:t xml:space="preserve">SCREENING SCALES FOR NEURODEVELOPMENTAL DISORDERS</w:t>
      </w:r>
    </w:p>
    <w:p>
      <w:pPr>
        <w:pStyle w:val="FirstParagraph"/>
      </w:pPr>
      <w:r>
        <w:t xml:space="preserve">Usage guidelines: These scales are not diagnostic — they are screening tools. A positive result is an indication for specialized clinical assessment, not a diagnosis. A definitive diagnosis is established through clinical interview, comprehensive assessment, and (when necessary) standardized diagnostic tools (ADOS-2, ADI-R, WISC-V, etc.).</w:t>
      </w:r>
    </w:p>
    <w:p>
      <w:pPr>
        <w:pStyle w:val="BodyText"/>
      </w:pPr>
      <w:r>
        <w:t xml:space="preserve">Licence status and disclaimer. The screening scales reproduced in full in this appendix (M-CHAT-R, AQ-10, ASRS v1.1, SNAP-IV) are instruments that their developers have made freely available for research and clinical use. This volume is a clinical guide, not a compendium of diagnostic tests. Licensed instruments referenced elsewhere in the text (WISC-V, ADOS-2, Vineland-3, and others; see Appendix B.5) are not reproduced here. Obtaining and administering them requires a valid licence from the rights holder (Pearson, WPS, MHS, or equivalent) and appropriate professional qualification.</w:t>
      </w:r>
    </w:p>
    <w:p>
      <w:r>
        <w:pict>
          <v:rect style="width:0;height:1.5pt" o:hralign="center" o:hrstd="t" o:hr="t"/>
        </w:pict>
      </w:r>
    </w:p>
    <w:bookmarkEnd w:id="2879"/>
    <w:bookmarkStart w:id="2884" w:name="X0f2babcbe1de72f194302b40959fc9cef0a0671"/>
    <w:p>
      <w:pPr>
        <w:pStyle w:val="Heading2"/>
      </w:pPr>
      <w:r>
        <w:t xml:space="preserve">B.1. M-CHAT-R: Modified Checklist for Autism in Toddlers, Revised (16–30 months)</w:t>
      </w:r>
    </w:p>
    <w:p>
      <w:pPr>
        <w:pStyle w:val="FirstParagraph"/>
      </w:pPr>
      <w:r>
        <w:t xml:space="preserve">Original authors: Diana L. Robins, Deborah Fein, Marianne Barton, 2009.</w:t>
      </w:r>
    </w:p>
    <w:p>
      <w:pPr>
        <w:pStyle w:val="BodyText"/>
      </w:pPr>
      <w:r>
        <w:t xml:space="preserve">Original reference: Robins DL, Fein D, Barton M. M-CHAT-R/F. Self-published, 2009; Pediatrics, 2014; 133: 37–45.</w:t>
      </w:r>
    </w:p>
    <w:bookmarkStart w:id="2880" w:name="təlimat"/>
    <w:p>
      <w:pPr>
        <w:pStyle w:val="Heading3"/>
      </w:pPr>
      <w:r>
        <w:t xml:space="preserve">Instruction</w:t>
      </w:r>
    </w:p>
    <w:p>
      <w:pPr>
        <w:pStyle w:val="FirstParagraph"/>
      </w:pPr>
      <w:r>
        <w:t xml:space="preserve">This questionnaire consists of 20 questions about your child's daily behavior. To be completed by parent or primary caregiver. Answer each question YES or NO — based on how your child typically behaves. If you've seen the behavior once or twice, but the child generally does not do it, answer NO.</w:t>
      </w:r>
    </w:p>
    <w:bookmarkEnd w:id="2880"/>
    <w:bookmarkStart w:id="2881" w:name="suallar"/>
    <w:p>
      <w:pPr>
        <w:pStyle w:val="Heading3"/>
      </w:pPr>
      <w:r>
        <w:t xml:space="preserve">Questions</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YES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No</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 you look at something on the other side of the room, does your child also look there? (For example, at a flying plane, a large animal, or a toy)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Have you ever thought your child might be deaf?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play pretend games? (For example, drinking from empty cup, talking on phone, feeding doll)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like climbing objects? (Furniture, stairs, tree)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make unusual movements with palms, fingers or other parts of body in front of eyes?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point to something they want? (For example, a toy far away in buffet)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point to attract your attention to something interesting? (For example, airplane in sky or big car)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show interest in other children? (For example, looks at children in playground, tries to join them)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share with you by showing or placing something before you (not for help, but for sharing)?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respond when their name is called?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When you smile to your child, do they smile back to you?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get bothered by everyday sounds? (For example, vacuum cleaner, loud music)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walk?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look into your eyes when you are with them, dressing them or playing?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imitate what you do? (For example, when you make activity on your face, they do same)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look at you when they hear something to see what happened?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try to get your attention? (e.g., looking at you, for praise, saying ‘look!’)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respond to understood words? (e.g., ‘give me the ball’ or ‘take the book’)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If something new or strange happens, does your child look at your face to see your reaction?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Does your child enjoy active games? (For example, bouncing in air, hopping on knees)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81"/>
    <w:bookmarkStart w:id="2882" w:name="hesablama"/>
    <w:p>
      <w:pPr>
        <w:pStyle w:val="Heading3"/>
      </w:pPr>
      <w:r>
        <w:t xml:space="preserve">Scoring</w:t>
      </w:r>
    </w:p>
    <w:p>
      <w:pPr>
        <w:pStyle w:val="FirstParagraph"/>
      </w:pPr>
      <w:r>
        <w:t xml:space="preserve">Risk score = number of YES responses, exception: for items 2, 5, and 12 answer NO — risk indicator (YES answer on these three items considered risk).</w:t>
      </w:r>
    </w:p>
    <w:p>
      <w:pPr>
        <w:pStyle w:val="BodyText"/>
      </w:pPr>
      <w:r>
        <w:t xml:space="preserve">That is:</w:t>
      </w:r>
    </w:p>
    <w:p>
      <w:pPr>
        <w:pStyle w:val="Compact"/>
        <w:numPr>
          <w:ilvl w:val="0"/>
          <w:numId w:val="2469"/>
        </w:numPr>
      </w:pPr>
      <w:r>
        <w:t xml:space="preserve">1, 3, 4, 6, 7, 8, 9, 10, 11, 13, 14, 15, 16, 17, 18, 19, 20-ci suallarda NO response considered a risk indicator.</w:t>
      </w:r>
    </w:p>
    <w:p>
      <w:pPr>
        <w:pStyle w:val="Compact"/>
        <w:numPr>
          <w:ilvl w:val="0"/>
          <w:numId w:val="2469"/>
        </w:numPr>
      </w:pPr>
      <w:r>
        <w:t xml:space="preserve">2, 5, 12-ci suallarda YES answer considered a risk indicator.</w:t>
      </w:r>
    </w:p>
    <w:bookmarkEnd w:id="2882"/>
    <w:bookmarkStart w:id="2883" w:name="nəticələrin-şərhi"/>
    <w:p>
      <w:pPr>
        <w:pStyle w:val="Heading3"/>
      </w:pPr>
      <w:r>
        <w:t xml:space="preserve">Interpretation of results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Risk level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Recommendation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Low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Additional assessment is not required (if no other risk factors); rescreening recommended up to 24 months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Moderate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M-CHAT-R/F (Follow-up) required</w:t>
            </w:r>
            <w:r>
              <w:t xml:space="preserve"> </w:t>
            </w:r>
            <w:r>
              <w:t xml:space="preserve">— structured follow-up interview; conducted by medical staff</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High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Urgent ASD diagnostic assessment and referral to an early intervention program is required</w:t>
            </w:r>
          </w:p>
        </w:tc>
      </w:tr>
    </w:tbl>
    <w:p>
      <w:pPr>
        <w:pStyle w:val="BodyText"/>
      </w:pPr>
      <w:r>
        <w:t xml:space="preserve">Note: M-CHAT-R – used in various clinics in Azerbaijani, but official validation in the Azerbaijani population is limited. The above translation is for clinical practice; original official translation should be used in scientific research (for official translations: https://mchatscreen.com).</w:t>
      </w:r>
    </w:p>
    <w:p>
      <w:r>
        <w:pict>
          <v:rect style="width:0;height:1.5pt" o:hralign="center" o:hrstd="t" o:hr="t"/>
        </w:pict>
      </w:r>
    </w:p>
    <w:bookmarkEnd w:id="2883"/>
    <w:bookmarkEnd w:id="2884"/>
    <w:bookmarkStart w:id="2889" w:name="X9a14ad81663e97f16516457173cfe06be97eb21"/>
    <w:p>
      <w:pPr>
        <w:pStyle w:val="Heading2"/>
      </w:pPr>
      <w:r>
        <w:t xml:space="preserve">B.2. AQ-10: Short Autism Spectrum Quotient (16 years+)</w:t>
      </w:r>
    </w:p>
    <w:p>
      <w:pPr>
        <w:pStyle w:val="FirstParagraph"/>
      </w:pPr>
      <w:r>
        <w:t xml:space="preserve">Original authors: Carrie Allison, Bonnie Auyeung, Simon Baron-Cohen, 2012.</w:t>
      </w:r>
    </w:p>
    <w:p>
      <w:pPr>
        <w:pStyle w:val="BodyText"/>
      </w:pPr>
      <w:r>
        <w:t xml:space="preserve">Original reference: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2885" w:name="təlimat"/>
    <w:p>
      <w:pPr>
        <w:pStyle w:val="Heading3"/>
      </w:pPr>
      <w:r>
        <w:t xml:space="preserve">Instruction</w:t>
      </w:r>
    </w:p>
    <w:p>
      <w:pPr>
        <w:pStyle w:val="FirstParagraph"/>
      </w:pPr>
      <w:r>
        <w:t xml:space="preserve">What do you think about the following 10 statements? For each statement Strongly agree, Somewhat agree, Somewhat disagree, Strongly disagree select one of the variants.</w:t>
      </w:r>
    </w:p>
    <w:bookmarkEnd w:id="2885"/>
    <w:bookmarkStart w:id="2886" w:name="suallar"/>
    <w:p>
      <w:pPr>
        <w:pStyle w:val="Heading3"/>
      </w:pPr>
      <w:r>
        <w:t xml:space="preserve">Questions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Statement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often notice small sounds that others do not notice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usually pay more attention to the overall picture rather than small details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have difficulty following a conversation among several people in a social situation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often focus so much on one topic or activity that I lose track of other things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easily understand what someone is thinking or feeling when they say something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am good at reading people's intentions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have difficulty understanding what characters are thinking when reading a story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like to collect detailed information about activities I have done before (e.g., car models, birds, trains)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have difficulty understanding what a person is thinking or feeling when I look at them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 have difficulty knowing how to behave in social situations</w:t>
            </w:r>
          </w:p>
        </w:tc>
      </w:tr>
    </w:tbl>
    <w:bookmarkEnd w:id="2886"/>
    <w:bookmarkStart w:id="2887" w:name="hesablama"/>
    <w:p>
      <w:pPr>
        <w:pStyle w:val="Heading3"/>
      </w:pPr>
      <w:r>
        <w:t xml:space="preserve">Scoring</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“Absolutely agree / Partially agree” – 1 point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“Absolutely not agree / Partially not agree” – 1 point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Total score = out of 10</w:t>
      </w:r>
    </w:p>
    <w:bookmarkEnd w:id="2887"/>
    <w:bookmarkStart w:id="2888" w:name="nəticələrin-şərhi"/>
    <w:p>
      <w:pPr>
        <w:pStyle w:val="Heading3"/>
      </w:pPr>
      <w:r>
        <w:t xml:space="preserve">Interpretation of results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Score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Recommendation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ASD diagnostic assessment probability is low</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Detailed ASD clinical assessment is recommended</w:t>
            </w:r>
          </w:p>
        </w:tc>
      </w:tr>
    </w:tbl>
    <w:p>
      <w:pPr>
        <w:pStyle w:val="BodyText"/>
      </w:pPr>
      <w:r>
        <w:t xml:space="preserve">Note: AQ-10 is a short version of the classic AQ-50. It is officially recommended by NICE CG142 (UK) for adult ASD screening in primary care. Sensitivity ~77%, specificity 36–41%. AQ-10 is particularly reliable in “self screening” and should be used together with clinician's initial interview.</w:t>
      </w:r>
    </w:p>
    <w:p>
      <w:r>
        <w:pict>
          <v:rect style="width:0;height:1.5pt" o:hralign="center" o:hrstd="t" o:hr="t"/>
        </w:pict>
      </w:r>
    </w:p>
    <w:bookmarkEnd w:id="2888"/>
    <w:bookmarkEnd w:id="2889"/>
    <w:bookmarkStart w:id="2895" w:name="Xff498dcde834db126dbe3e21d1fac9cef5e5277"/>
    <w:p>
      <w:pPr>
        <w:pStyle w:val="Heading2"/>
      </w:pPr>
      <w:r>
        <w:t xml:space="preserve">B.3. ASRS v1.1: Adult ADHD Self-Report Scale</w:t>
      </w:r>
    </w:p>
    <w:p>
      <w:pPr>
        <w:pStyle w:val="FirstParagraph"/>
      </w:pPr>
      <w:r>
        <w:t xml:space="preserve">Original authors: WHO, Ronald C. Kessler and colleagues, Harvard Medical School, 2005.</w:t>
      </w:r>
    </w:p>
    <w:p>
      <w:pPr>
        <w:pStyle w:val="BodyText"/>
      </w:pPr>
      <w:r>
        <w:t xml:space="preserve">Original reference: Kessler RC, Adler L, Ames M, et al. The World Health Organization Adult ADHD Self-Report Scale (ASRS).</w:t>
      </w:r>
      <w:r>
        <w:t xml:space="preserve"> </w:t>
      </w:r>
      <w:r>
        <w:rPr>
          <w:i/>
          <w:iCs/>
        </w:rPr>
        <w:t xml:space="preserve">Psychological Medicine</w:t>
      </w:r>
      <w:r>
        <w:t xml:space="preserve">, 2005; 35: 245–256.</w:t>
      </w:r>
    </w:p>
    <w:bookmarkStart w:id="2890" w:name="təlimat"/>
    <w:p>
      <w:pPr>
        <w:pStyle w:val="Heading3"/>
      </w:pPr>
      <w:r>
        <w:t xml:space="preserve">Instruction</w:t>
      </w:r>
    </w:p>
    <w:p>
      <w:pPr>
        <w:pStyle w:val="FirstParagraph"/>
      </w:pPr>
      <w:r>
        <w:t xml:space="preserve">This scale is for screening HDHD symptoms in adults. The following 6 questions – within the last 6 months Answer based on how you felt. For each question Never, Rarely, Sometimes, Often, Very often select one of the variants.</w:t>
      </w:r>
    </w:p>
    <w:bookmarkEnd w:id="2890"/>
    <w:bookmarkStart w:id="2891" w:name="hissə-a-birincili-skrininq-6-sual"/>
    <w:p>
      <w:pPr>
        <w:pStyle w:val="Heading3"/>
      </w:pPr>
      <w:r>
        <w:t xml:space="preserve">Part A – Primary screening (6 questions)</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Never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Rarely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Sometimes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Very often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How often do you have difficulty finishing the final details after a difficult part of a project is completed?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How often do you have difficulty prioritizing tasks when organizing a demanding job?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How often do you have trouble remembering appointments or obligations?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When you have a task that requires a lot of thinking, how often do you hesitate to start or procrastinate?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How often do you move or fidget your hands and feet when you have to sit for a long time?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How often do you feel ‘motor-driven’ hyperactive or compelled to do something?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1"/>
    <w:bookmarkStart w:id="2892" w:name="hesablama-hissə-a-üçün"/>
    <w:p>
      <w:pPr>
        <w:pStyle w:val="Heading3"/>
      </w:pPr>
      <w:r>
        <w:t xml:space="preserve">Calculation (for Part A)</w:t>
      </w:r>
    </w:p>
    <w:p>
      <w:pPr>
        <w:pStyle w:val="FirstParagraph"/>
      </w:pPr>
      <w:r>
        <w:t xml:space="preserve">Responses in the bold cells of the table — a positive sign.</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Question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Responses counted as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Sometimes, Often, Very often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Sometimes, Often, Very often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Sometimes, Often, Very often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Often, Very often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Often, Very often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Often, Very often</w:t>
            </w:r>
          </w:p>
        </w:tc>
      </w:tr>
    </w:tbl>
    <w:p>
      <w:pPr>
        <w:pStyle w:val="BodyText"/>
      </w:pPr>
      <w:r>
        <w:t xml:space="preserve">Total positive symptom count = _____ / 6</w:t>
      </w:r>
    </w:p>
    <w:bookmarkEnd w:id="2892"/>
    <w:bookmarkStart w:id="2893" w:name="nəticələrin-şərhi"/>
    <w:p>
      <w:pPr>
        <w:pStyle w:val="Heading3"/>
      </w:pPr>
      <w:r>
        <w:t xml:space="preserve">Interpretation of results</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Number of positive signs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Comment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Symptoms not typical for adult ADHD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Symptoms highly consistent with adult ADHD. Medical evaluation recommended.</w:t>
            </w:r>
          </w:p>
        </w:tc>
      </w:tr>
    </w:tbl>
    <w:bookmarkEnd w:id="2893"/>
    <w:bookmarkStart w:id="2894" w:name="X54878366a34cb482f14335f3185be74ab113f57"/>
    <w:p>
      <w:pPr>
        <w:pStyle w:val="Heading3"/>
      </w:pPr>
      <w:r>
        <w:t xml:space="preserve">Part B – Extended questionnaire (12 additional questions)</w:t>
      </w:r>
    </w:p>
    <w:p>
      <w:pPr>
        <w:pStyle w:val="FirstParagraph"/>
      </w:pPr>
      <w:r>
        <w:t xml:space="preserve">When Part A is positive, Part B questions (12 additional questions) are used in conjunction with clinical assessment. The full version of Part B can be obtained from the developers' official website: https://www.hcp.med.harvard.edu/ncs/asrs.php</w:t>
      </w:r>
    </w:p>
    <w:p>
      <w:pPr>
        <w:pStyle w:val="BodyText"/>
      </w:pPr>
      <w:r>
        <w:t xml:space="preserve">Note: ASRS v1.1 – Developed by WHO, the most widely used adult ADHD screening scale in the world. By Kessler et al. worldwide ASRS-5 (APA, 2013 — according to DSM-5 criteria, 2017) Processed — a shorter 5-question version. Both versions are suitable for screening; ASRS v1.1 remains widely used.</w:t>
      </w:r>
    </w:p>
    <w:p>
      <w:r>
        <w:pict>
          <v:rect style="width:0;height:1.5pt" o:hralign="center" o:hrstd="t" o:hr="t"/>
        </w:pict>
      </w:r>
    </w:p>
    <w:bookmarkEnd w:id="2894"/>
    <w:bookmarkEnd w:id="2895"/>
    <w:bookmarkStart w:id="2901" w:name="X04bdcbba622f0f0854f7240270f719e666a115b"/>
    <w:p>
      <w:pPr>
        <w:pStyle w:val="Heading2"/>
      </w:pPr>
      <w:r>
        <w:t xml:space="preserve">B.4. SNAP-IV: Swanson, Nolan, and Pelham Rating Scale (child ADHD)</w:t>
      </w:r>
    </w:p>
    <w:p>
      <w:pPr>
        <w:pStyle w:val="FirstParagraph"/>
      </w:pPr>
      <w:r>
        <w:t xml:space="preserve">Original authors: James M. Swanson, 1983.</w:t>
      </w:r>
    </w:p>
    <w:p>
      <w:pPr>
        <w:pStyle w:val="BodyText"/>
      </w:pPr>
      <w:r>
        <w:t xml:space="preserve">Original reference: Swanson JM. School-based assessments and interventions for ADD students. Irvine, CA: KC Publishing, 1992.</w:t>
      </w:r>
    </w:p>
    <w:bookmarkStart w:id="2896" w:name="təlimat"/>
    <w:p>
      <w:pPr>
        <w:pStyle w:val="Heading3"/>
      </w:pPr>
      <w:r>
        <w:t xml:space="preserve">Instruction</w:t>
      </w:r>
    </w:p>
    <w:p>
      <w:pPr>
        <w:pStyle w:val="FirstParagraph"/>
      </w:pPr>
      <w:r>
        <w:t xml:space="preserve">SNAP-IV – the assessment of ADHD symptoms in children based on DSM-IV/APA, 1994 criteria, DSM-IV/APA, 2013 – DSM-5 criteria. To be completed by parent or teacher. How is each symptom observed in your child over the past 1 month: None (0), Mild (1), Moderate (2), Severe (3).</w:t>
      </w:r>
    </w:p>
    <w:bookmarkEnd w:id="2896"/>
    <w:bookmarkStart w:id="2897" w:name="suallar-snap-iv-qısa-versiya-26-sual"/>
    <w:p>
      <w:pPr>
        <w:pStyle w:val="Heading3"/>
      </w:pPr>
      <w:r>
        <w:t xml:space="preserve">Questions (SNAP-IV short version – 26 questions)</w:t>
      </w:r>
    </w:p>
    <w:p>
      <w:pPr>
        <w:pStyle w:val="FirstParagraph"/>
      </w:pPr>
      <w:r>
        <w:t xml:space="preserve">Inattention subscale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Statement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makes careless mistakes in schoolwork or other activities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has difficulty sustaining attention in tasks or play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appears not to listen when spoken to directly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fails to follow instructions and to finish schoolwork or daily chores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has difficulty organizing tasks and activities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avoids, dislikes, or reluctantly performs tasks requiring sustained mental effort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loses necessary items for tasks or activities (school materials, pencils, books)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easily distracted by extraneous stimuli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forgetful in daily activities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Hyperactivity-Impulsivity Subscale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Statement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fidgets with hands or feet or squirms in seat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leaves seat in room when remaining seated is required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runs about or climbs excessively in inappropriate situations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has difficulty playing quietly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behaves as ‘motor-driven’ or ‘hyperactive’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talks excessively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blurts out answers before questions are completed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unable to wait for his/her turn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interrupts others' activities (conversation, game)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p>
      <w:pPr>
        <w:pStyle w:val="BodyText"/>
      </w:pPr>
      <w:r>
        <w:t xml:space="preserve">Oppositional-defiant behavior subscale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Statement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loses temper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argues with adults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defies adult requests or rules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deliberately annoys others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blames others for his/her mistakes or misbehavior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easily irritated by others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irritable and quick-tempered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Often behaves vindictively or spitefully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p>
        </w:tc>
      </w:tr>
    </w:tbl>
    <w:bookmarkEnd w:id="2897"/>
    <w:bookmarkStart w:id="2898" w:name="hesablama"/>
    <w:p>
      <w:pPr>
        <w:pStyle w:val="Heading3"/>
      </w:pPr>
      <w:r>
        <w:t xml:space="preserve">Scoring</w:t>
      </w:r>
    </w:p>
    <w:p>
      <w:pPr>
        <w:pStyle w:val="FirstParagraph"/>
      </w:pPr>
      <w:r>
        <w:t xml:space="preserve">Mean of each subscale:</w:t>
      </w:r>
    </w:p>
    <w:p>
      <w:pPr>
        <w:pStyle w:val="Compact"/>
        <w:numPr>
          <w:ilvl w:val="0"/>
          <w:numId w:val="2470"/>
        </w:numPr>
      </w:pPr>
      <w:r>
        <w:t xml:space="preserve">Inattention subscale (1–9): sum ÷ 9 = ____</w:t>
      </w:r>
    </w:p>
    <w:p>
      <w:pPr>
        <w:pStyle w:val="Compact"/>
        <w:numPr>
          <w:ilvl w:val="0"/>
          <w:numId w:val="2470"/>
        </w:numPr>
      </w:pPr>
      <w:r>
        <w:t xml:space="preserve">Hyperactivity-Impulsivity Subscale (10–18): sum ÷ 9 = _____</w:t>
      </w:r>
    </w:p>
    <w:p>
      <w:pPr>
        <w:pStyle w:val="Compact"/>
        <w:numPr>
          <w:ilvl w:val="0"/>
          <w:numId w:val="2470"/>
        </w:numPr>
      </w:pPr>
      <w:r>
        <w:t xml:space="preserve">Oppositional-defiant subscale (19–26): sum ÷ 8 = _______</w:t>
      </w:r>
    </w:p>
    <w:bookmarkEnd w:id="2898"/>
    <w:bookmarkStart w:id="2899" w:name="nəticələrin-şərhi-orta-səviyyələr"/>
    <w:p>
      <w:pPr>
        <w:pStyle w:val="Heading3"/>
      </w:pPr>
      <w:r>
        <w:t xml:space="preserve">Interpretation of results (moderate levels)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Subscale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Parent: positive boundary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Teacher: positive boundary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Inattention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Hyperactivity-impulsivity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Oppositional-defiant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≥2.00</w:t>
            </w:r>
          </w:p>
        </w:tc>
      </w:tr>
    </w:tbl>
    <w:p>
      <w:pPr>
        <w:pStyle w:val="BodyText"/>
      </w:pPr>
      <w:r>
        <w:rPr>
          <w:i/>
          <w:iCs/>
        </w:rPr>
        <w:t xml:space="preserve">These cutoffs are based on data from Bussing et al., 2008 and are for the US population. No specific validation has been conducted in the Azerbaijani population – results should be interpreted in a clinical context.</w:t>
      </w:r>
    </w:p>
    <w:bookmarkEnd w:id="2899"/>
    <w:bookmarkStart w:id="2900" w:name="diaqnostik-şərh"/>
    <w:p>
      <w:pPr>
        <w:pStyle w:val="Heading3"/>
      </w:pPr>
      <w:r>
        <w:t xml:space="preserve">Diagnostic interpretation</w:t>
      </w:r>
    </w:p>
    <w:p>
      <w:pPr>
        <w:pStyle w:val="FirstParagraph"/>
      </w:pPr>
      <w:r>
        <w:t xml:space="preserve">Presentation type of ADHD according to DSM criteria:</w:t>
      </w:r>
    </w:p>
    <w:p>
      <w:pPr>
        <w:pStyle w:val="Compact"/>
        <w:numPr>
          <w:ilvl w:val="0"/>
          <w:numId w:val="2471"/>
        </w:numPr>
      </w:pPr>
      <w:r>
        <w:t xml:space="preserve">Primarily inattentive: Only inattentiveness subscale positive;</w:t>
      </w:r>
    </w:p>
    <w:p>
      <w:pPr>
        <w:pStyle w:val="Compact"/>
        <w:numPr>
          <w:ilvl w:val="0"/>
          <w:numId w:val="2471"/>
        </w:numPr>
      </w:pPr>
      <w:r>
        <w:t xml:space="preserve">Primarily hyperactive-impulsive: Only hyperactivity subscale positive;</w:t>
      </w:r>
    </w:p>
    <w:p>
      <w:pPr>
        <w:pStyle w:val="Compact"/>
        <w:numPr>
          <w:ilvl w:val="0"/>
          <w:numId w:val="2471"/>
        </w:numPr>
      </w:pPr>
      <w:r>
        <w:t xml:space="preserve">Combined: Both subscales positive.</w:t>
      </w:r>
    </w:p>
    <w:p>
      <w:pPr>
        <w:pStyle w:val="FirstParagraph"/>
      </w:pPr>
      <w:r>
        <w:t xml:space="preserve">A positive result on the oppositional-defiant subscale indicates the likelihood of comorbid oppositional-defiant disorder (ODD, ICD-11</w:t>
      </w:r>
      <w:r>
        <w:t xml:space="preserve"> </w:t>
      </w:r>
      <w:r>
        <w:t xml:space="preserve">6C90</w:t>
      </w:r>
      <w:r>
        <w:t xml:space="preserve">).</w:t>
      </w:r>
    </w:p>
    <w:p>
      <w:pPr>
        <w:pStyle w:val="BodyText"/>
      </w:pPr>
      <w:r>
        <w:t xml:space="preserve">Note: SNAP-IV is freely available for research and clinical use. The full 90-item version, the short 26-item version, and teacher versions can be downloaded from the official website of Prof. Swanson: http://www.shared-care.ca/files/Scoring_for_SNAP_IV_Guide_26-item.pdf</w:t>
      </w:r>
    </w:p>
    <w:p>
      <w:r>
        <w:pict>
          <v:rect style="width:0;height:1.5pt" o:hralign="center" o:hrstd="t" o:hr="t"/>
        </w:pict>
      </w:r>
    </w:p>
    <w:bookmarkEnd w:id="2900"/>
    <w:bookmarkEnd w:id="2901"/>
    <w:bookmarkStart w:id="2906" w:name="X7e0bee9ee924f249e3ad928366513869860afe4"/>
    <w:p>
      <w:pPr>
        <w:pStyle w:val="Heading2"/>
      </w:pPr>
      <w:r>
        <w:t xml:space="preserve">B.5. Key Instruments for Intellectual and Adaptive Assessment (Data Table)</w:t>
      </w:r>
    </w:p>
    <w:p>
      <w:pPr>
        <w:pStyle w:val="FirstParagraph"/>
      </w:pPr>
      <w:r>
        <w:t xml:space="preserve">The following tools are licensed psychological instruments and cannot be fully provided within the text. Clinical psychologist or specialized expert required for their acquisition and use.</w:t>
      </w:r>
    </w:p>
    <w:bookmarkStart w:id="2902" w:name="b51-i̇ntellektual-qiymətləndirmə"/>
    <w:p>
      <w:pPr>
        <w:pStyle w:val="Heading3"/>
      </w:pPr>
      <w:r>
        <w:t xml:space="preserve">B.5.1. Intellectual Assessment</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 group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Publisher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Typical time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years 6 months – 7 years 7 months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6–16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16–90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60–90 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45–75 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Leiter-3</w:t>
            </w:r>
            <w:r>
              <w:t xml:space="preserve"> </w:t>
            </w:r>
            <w:r>
              <w:t xml:space="preserve">(non-verbal)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3–75+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25–40 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20–40 min</w:t>
            </w:r>
          </w:p>
        </w:tc>
      </w:tr>
    </w:tbl>
    <w:bookmarkEnd w:id="2902"/>
    <w:bookmarkStart w:id="2903" w:name="b52-adaptiv-davranış"/>
    <w:p>
      <w:pPr>
        <w:pStyle w:val="Heading3"/>
      </w:pPr>
      <w:r>
        <w:t xml:space="preserve">B.5.2. Adaptive behavior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 range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Publisher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Format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Birth to 90+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Semi-structured parent/caregiver interview</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Birth to 89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Parent/teacher rating form</w:t>
            </w:r>
          </w:p>
        </w:tc>
      </w:tr>
    </w:tbl>
    <w:bookmarkEnd w:id="2903"/>
    <w:bookmarkStart w:id="2904" w:name="b53-autizm-diaqnostik-alətləri"/>
    <w:p>
      <w:pPr>
        <w:pStyle w:val="Heading3"/>
      </w:pPr>
      <w:r>
        <w:t xml:space="preserve">B.5.3. Autism diagnostic tools</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 group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Publisher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Typical time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12 months – adult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40–60 min (5 modules)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years – adult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90–150 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15–30 min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2.5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15–20 min</w:t>
            </w:r>
          </w:p>
        </w:tc>
      </w:tr>
    </w:tbl>
    <w:bookmarkEnd w:id="2904"/>
    <w:bookmarkStart w:id="2905" w:name="b54-ddhp-ətraflı-qiymətləndirmə"/>
    <w:p>
      <w:pPr>
        <w:pStyle w:val="Heading3"/>
      </w:pPr>
      <w:r>
        <w:t xml:space="preserve">B.5.4. Detailed assessment of ADHD</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Instrument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 group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Publisher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6–18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CAARS</w:t>
            </w:r>
            <w:r>
              <w:t xml:space="preserve"> </w:t>
            </w:r>
            <w:r>
              <w:t xml:space="preserve">(Conners Adult ADHD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18+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5–18 years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Age 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pPr>
            <w:r>
              <w:t xml:space="preserve">MHS</w:t>
            </w:r>
          </w:p>
        </w:tc>
      </w:tr>
    </w:tbl>
    <w:p>
      <w:r>
        <w:pict>
          <v:rect style="width:0;height:1.5pt" o:hralign="center" o:hrstd="t" o:hr="t"/>
        </w:pict>
      </w:r>
    </w:p>
    <w:bookmarkEnd w:id="2905"/>
    <w:bookmarkEnd w:id="2906"/>
    <w:bookmarkStart w:id="2907" w:name="müəllifin-qeydi"/>
    <w:p>
      <w:pPr>
        <w:pStyle w:val="Heading2"/>
      </w:pPr>
      <w:r>
        <w:t xml:space="preserve">Author's note</w:t>
      </w:r>
    </w:p>
    <w:p>
      <w:pPr>
        <w:pStyle w:val="FirstParagraph"/>
      </w:pPr>
      <w:r>
        <w:t xml:space="preserve">The screening scales presented in Appendix B (M-CHAT-R, AQ-10, ASRS v1.1, SNAP-IV) are ready for immediate use in clinical practice. The authors and their affiliated institutions — the World Health Organization, Harvard Medical School, Professor Simon Baron-Cohen and colleagues, Diana Robins, Deborah Fein, Marianne Barton, and James Swanson — are gratefully acknowledged for their substantial contributions to modern psychiatry.</w:t>
      </w:r>
    </w:p>
    <w:p>
      <w:pPr>
        <w:pStyle w:val="BodyText"/>
      </w:pPr>
      <w:r>
        <w:t xml:space="preserve">Licensed diagnostic instruments (ADOS-2, WISC-V, Vineland-3, and others) cannot be reproduced in full within this volume. Their administration requires specialised training and an officially purchased licence. Clinicians should obtain these instruments directly through the authorised publishers (Pearson, WPS, MHS, or equivalent distributors in their jurisdiction).</w:t>
      </w:r>
    </w:p>
    <w:p>
      <w:pPr>
        <w:pStyle w:val="BodyText"/>
      </w:pPr>
      <w:r>
        <w:t xml:space="preserve">Note on translation and local validation. The Azerbaijani-language translations provided in this volume represent a working clinical version. They have not yet undergone formal psychometric validation for the Azerbaijani population. For use in scientific publications or validation research, clinicians should consult the official publishers to obtain authorised translations. The development of population-specific normative data for Azerbaijan remains an important priority for future work.</w:t>
      </w:r>
    </w:p>
    <w:p>
      <w:r>
        <w:pict>
          <v:rect style="width:0;height:1.5pt" o:hralign="center" o:hrstd="t" o:hr="t"/>
        </w:pict>
      </w:r>
    </w:p>
    <w:bookmarkEnd w:id="2907"/>
    <w:bookmarkEnd w:id="2908"/>
    <w:bookmarkStart w:id="2921" w:name="yekun-tövsiyələr"/>
    <w:p>
      <w:pPr>
        <w:pageBreakBefore/>
        <w:pStyle w:val="Heading1"/>
      </w:pPr>
      <w:r>
        <w:t xml:space="preserve">FINAL RECOMMENDATIONS</w:t>
      </w:r>
    </w:p>
    <w:p>
      <w:pPr>
        <w:pStyle w:val="FirstParagraph"/>
      </w:pPr>
      <w:r>
        <w:t xml:space="preserve">A practical synthesis for clinicians.</w:t>
      </w:r>
    </w:p>
    <w:p>
      <w:pPr>
        <w:pStyle w:val="BodyText"/>
      </w:pPr>
      <w:r>
        <w:t xml:space="preserve">Key clinical lessons drawn from all chapters of this volume:</w:t>
      </w:r>
    </w:p>
    <w:bookmarkStart w:id="2909" w:name="X16db3ef07b5ca545bfd284a1ddd1b5654dd238a"/>
    <w:p>
      <w:pPr>
        <w:pStyle w:val="Heading2"/>
      </w:pPr>
      <w:r>
        <w:t xml:space="preserve">Diagnosis is always the second step, not the first</w:t>
      </w:r>
    </w:p>
    <w:p>
      <w:pPr>
        <w:pStyle w:val="FirstParagraph"/>
      </w:pPr>
      <w:r>
        <w:t xml:space="preserve">Before diagnosing a mental disorder, always:</w:t>
      </w:r>
    </w:p>
    <w:p>
      <w:pPr>
        <w:pStyle w:val="Compact"/>
        <w:numPr>
          <w:ilvl w:val="0"/>
          <w:numId w:val="2472"/>
        </w:numPr>
      </w:pPr>
      <w:r>
        <w:t xml:space="preserve">Exclude medical causes — particularly new onset after age 40–50, acute presentation, atypical profile, somatic symptoms, hormonal period changes;</w:t>
      </w:r>
    </w:p>
    <w:p>
      <w:pPr>
        <w:pStyle w:val="Compact"/>
        <w:numPr>
          <w:ilvl w:val="0"/>
          <w:numId w:val="2472"/>
        </w:numPr>
      </w:pPr>
      <w:r>
        <w:t xml:space="preserve">Check substance use — covert substance component in 30% of each case;</w:t>
      </w:r>
    </w:p>
    <w:p>
      <w:pPr>
        <w:pStyle w:val="Compact"/>
        <w:numPr>
          <w:ilvl w:val="0"/>
          <w:numId w:val="2472"/>
        </w:numPr>
      </w:pPr>
      <w:r>
        <w:t xml:space="preserve">Ask trauma history with open questions — complex PTSD and personality disorders are often the result of trauma, but trauma history does not emerge without screening.</w:t>
      </w:r>
    </w:p>
    <w:p>
      <w:pPr>
        <w:pStyle w:val="FirstParagraph"/>
      </w:pPr>
      <w:r>
        <w:t xml:space="preserve">ICD-11 ‘primary vs secondary’ principle — the main framework for clinicians.</w:t>
      </w:r>
    </w:p>
    <w:bookmarkEnd w:id="2909"/>
    <w:bookmarkStart w:id="2910" w:name="X3bb2032f5de736da7c6cf4b39eb095f1aeb0f1c"/>
    <w:p>
      <w:pPr>
        <w:pStyle w:val="Heading2"/>
      </w:pPr>
      <w:r>
        <w:t xml:space="preserve">Psychotherapy – first choice in most cases</w:t>
      </w:r>
    </w:p>
    <w:p>
      <w:pPr>
        <w:pStyle w:val="FirstParagraph"/>
      </w:pPr>
      <w:r>
        <w:t xml:space="preserve">Central message of the ICD-11 era: Psychotherapy effectiveness is confirmed, at least equal to pharmacotherapy, superior in many disorders:</w:t>
      </w:r>
    </w:p>
    <w:p>
      <w:pPr>
        <w:pStyle w:val="Compact"/>
        <w:numPr>
          <w:ilvl w:val="0"/>
          <w:numId w:val="2473"/>
        </w:numPr>
      </w:pPr>
      <w:r>
        <w:t xml:space="preserve">Mild-moderate depression — CBT, IPT equivalent to SSRIs;</w:t>
      </w:r>
    </w:p>
    <w:p>
      <w:pPr>
        <w:pStyle w:val="Compact"/>
        <w:numPr>
          <w:ilvl w:val="0"/>
          <w:numId w:val="2473"/>
        </w:numPr>
      </w:pPr>
      <w:r>
        <w:t xml:space="preserve">In anxiety disorders — CBT first-line;</w:t>
      </w:r>
    </w:p>
    <w:p>
      <w:pPr>
        <w:pStyle w:val="Compact"/>
        <w:numPr>
          <w:ilvl w:val="0"/>
          <w:numId w:val="2473"/>
        </w:numPr>
      </w:pPr>
      <w:r>
        <w:t xml:space="preserve">In OCD — ERP is essential; SSRIs adjunctive;</w:t>
      </w:r>
    </w:p>
    <w:p>
      <w:pPr>
        <w:pStyle w:val="Compact"/>
        <w:numPr>
          <w:ilvl w:val="0"/>
          <w:numId w:val="2473"/>
        </w:numPr>
      </w:pPr>
      <w:r>
        <w:t xml:space="preserve">In PTSD — TF-CBT, EMDR first-line;</w:t>
      </w:r>
    </w:p>
    <w:p>
      <w:pPr>
        <w:pStyle w:val="Compact"/>
        <w:numPr>
          <w:ilvl w:val="0"/>
          <w:numId w:val="2473"/>
        </w:numPr>
      </w:pPr>
      <w:r>
        <w:t xml:space="preserve">Personality Disorders — DBT, MBT, TFP – more effective than pharmacotherapy;</w:t>
      </w:r>
    </w:p>
    <w:p>
      <w:pPr>
        <w:pStyle w:val="Compact"/>
        <w:numPr>
          <w:ilvl w:val="0"/>
          <w:numId w:val="2473"/>
        </w:numPr>
      </w:pPr>
      <w:r>
        <w:t xml:space="preserve">In eating disorders — CBT-E, FBT;</w:t>
      </w:r>
    </w:p>
    <w:p>
      <w:pPr>
        <w:pStyle w:val="Compact"/>
        <w:numPr>
          <w:ilvl w:val="0"/>
          <w:numId w:val="2473"/>
        </w:numPr>
      </w:pPr>
      <w:r>
        <w:t xml:space="preserve">In childhood behavioral disorders — parent education programs.</w:t>
      </w:r>
    </w:p>
    <w:p>
      <w:pPr>
        <w:pStyle w:val="FirstParagraph"/>
      </w:pPr>
      <w:r>
        <w:t xml:space="preserve">Pharmacotherapy is in many cases an adjunct — it helps the patient to gain and to keep the effect of psychotherapy.</w:t>
      </w:r>
    </w:p>
    <w:bookmarkEnd w:id="2910"/>
    <w:bookmarkStart w:id="2911" w:name="dozanın-minimum-effektivliyi-prinsipi"/>
    <w:p>
      <w:pPr>
        <w:pStyle w:val="Heading2"/>
      </w:pPr>
      <w:r>
        <w:t xml:space="preserve">Principle of minimum effective dose</w:t>
      </w:r>
    </w:p>
    <w:p>
      <w:pPr>
        <w:pStyle w:val="Compact"/>
        <w:numPr>
          <w:ilvl w:val="0"/>
          <w:numId w:val="2474"/>
        </w:numPr>
      </w:pPr>
      <w:r>
        <w:t xml:space="preserve">Start low, increase slowly;</w:t>
      </w:r>
    </w:p>
    <w:p>
      <w:pPr>
        <w:pStyle w:val="Compact"/>
        <w:numPr>
          <w:ilvl w:val="0"/>
          <w:numId w:val="2474"/>
        </w:numPr>
      </w:pPr>
      <w:r>
        <w:t xml:space="preserve">Reaching the lowest effective dose and staying on it;</w:t>
      </w:r>
    </w:p>
    <w:p>
      <w:pPr>
        <w:pStyle w:val="Compact"/>
        <w:numPr>
          <w:ilvl w:val="0"/>
          <w:numId w:val="2474"/>
        </w:numPr>
      </w:pPr>
      <w:r>
        <w:t xml:space="preserve">Avoid excessive polypharmacy — especially in elderly, in comorbidity, in personality disorders;</w:t>
      </w:r>
    </w:p>
    <w:p>
      <w:pPr>
        <w:pStyle w:val="Compact"/>
        <w:numPr>
          <w:ilvl w:val="0"/>
          <w:numId w:val="2474"/>
        </w:numPr>
      </w:pPr>
      <w:r>
        <w:t xml:space="preserve">Discontinuation or dose reduction also takes knowledge — SSRIs must not be stopped abruptly; benzodiazepines should be gradually tapered.</w:t>
      </w:r>
    </w:p>
    <w:bookmarkEnd w:id="2911"/>
    <w:bookmarkStart w:id="2912" w:name="medeniyyet-ve-kontekstle-is"/>
    <w:p>
      <w:pPr>
        <w:pStyle w:val="Heading2"/>
      </w:pPr>
      <w:r>
        <w:t xml:space="preserve">Working with culture and context</w:t>
      </w:r>
    </w:p>
    <w:p>
      <w:pPr>
        <w:pStyle w:val="FirstParagraph"/>
      </w:pPr>
      <w:r>
        <w:t xml:space="preserve">In the Azerbaijani context:</w:t>
      </w:r>
    </w:p>
    <w:p>
      <w:pPr>
        <w:pStyle w:val="Compact"/>
        <w:numPr>
          <w:ilvl w:val="0"/>
          <w:numId w:val="2475"/>
        </w:numPr>
      </w:pPr>
      <w:r>
        <w:t xml:space="preserve">Somatic presentation is widespread — depression and anxiety call for active screening in primary care;</w:t>
      </w:r>
    </w:p>
    <w:p>
      <w:pPr>
        <w:pStyle w:val="Compact"/>
        <w:numPr>
          <w:ilvl w:val="0"/>
          <w:numId w:val="2475"/>
        </w:numPr>
      </w:pPr>
      <w:r>
        <w:t xml:space="preserve">Stigma and privacy — a visit to the psychiatrist is concealed; working in primary care or internal medicine base is effective;</w:t>
      </w:r>
    </w:p>
    <w:p>
      <w:pPr>
        <w:pStyle w:val="Compact"/>
        <w:numPr>
          <w:ilvl w:val="0"/>
          <w:numId w:val="2475"/>
        </w:numPr>
      </w:pPr>
      <w:r>
        <w:t xml:space="preserve">Family system is strong — family involvement in treatment is a major resource;</w:t>
      </w:r>
    </w:p>
    <w:p>
      <w:pPr>
        <w:pStyle w:val="Compact"/>
        <w:numPr>
          <w:ilvl w:val="0"/>
          <w:numId w:val="2475"/>
        </w:numPr>
      </w:pPr>
      <w:r>
        <w:t xml:space="preserve">Religious and cultural beliefs — should be taken into account, but not turned into pathology;</w:t>
      </w:r>
    </w:p>
    <w:p>
      <w:pPr>
        <w:pStyle w:val="Compact"/>
        <w:numPr>
          <w:ilvl w:val="0"/>
          <w:numId w:val="2475"/>
        </w:numPr>
      </w:pPr>
      <w:r>
        <w:t xml:space="preserve">Karabakh War veterans — PTSD, cPTSD, high need for trauma-focused intervention.</w:t>
      </w:r>
    </w:p>
    <w:bookmarkEnd w:id="2912"/>
    <w:bookmarkStart w:id="2913" w:name="X5568520436ebf95c075f7fe1075f8502703f192"/>
    <w:p>
      <w:pPr>
        <w:pStyle w:val="Heading2"/>
      </w:pPr>
      <w:r>
        <w:t xml:space="preserve">Screening should be standard in primary care</w:t>
      </w:r>
    </w:p>
    <w:p>
      <w:pPr>
        <w:pStyle w:val="FirstParagraph"/>
      </w:pPr>
      <w:r>
        <w:t xml:space="preserve">The main screening tools should be routinely applied in primary care:</w:t>
      </w:r>
    </w:p>
    <w:p>
      <w:pPr>
        <w:pStyle w:val="Compact"/>
        <w:numPr>
          <w:ilvl w:val="0"/>
          <w:numId w:val="2476"/>
        </w:numPr>
      </w:pPr>
      <w:r>
        <w:t xml:space="preserve">PHQ-9 — depression (at every medical visit);</w:t>
      </w:r>
    </w:p>
    <w:p>
      <w:pPr>
        <w:pStyle w:val="Compact"/>
        <w:numPr>
          <w:ilvl w:val="0"/>
          <w:numId w:val="2476"/>
        </w:numPr>
      </w:pPr>
      <w:r>
        <w:t xml:space="preserve">GAD-7 — anxiety;</w:t>
      </w:r>
    </w:p>
    <w:p>
      <w:pPr>
        <w:pStyle w:val="Compact"/>
        <w:numPr>
          <w:ilvl w:val="0"/>
          <w:numId w:val="2476"/>
        </w:numPr>
      </w:pPr>
      <w:r>
        <w:t xml:space="preserve">AUDIT — alcohol use;</w:t>
      </w:r>
    </w:p>
    <w:p>
      <w:pPr>
        <w:pStyle w:val="Compact"/>
        <w:numPr>
          <w:ilvl w:val="0"/>
          <w:numId w:val="2476"/>
        </w:numPr>
      </w:pPr>
      <w:r>
        <w:t xml:space="preserve">EPDS — perinatal women;</w:t>
      </w:r>
    </w:p>
    <w:p>
      <w:pPr>
        <w:pStyle w:val="Compact"/>
        <w:numPr>
          <w:ilvl w:val="0"/>
          <w:numId w:val="2476"/>
        </w:numPr>
      </w:pPr>
      <w:r>
        <w:t xml:space="preserve">C-SSRS — suicide risk.</w:t>
      </w:r>
    </w:p>
    <w:p>
      <w:pPr>
        <w:pStyle w:val="FirstParagraph"/>
      </w:pPr>
      <w:r>
        <w:t xml:space="preserve">Investments should be made in tools translated and validated into Azerbaijani.</w:t>
      </w:r>
    </w:p>
    <w:bookmarkEnd w:id="2913"/>
    <w:bookmarkStart w:id="2914" w:name="i̇ntihar-riskinin-qiymətləndirilməsi"/>
    <w:p>
      <w:pPr>
        <w:pStyle w:val="Heading2"/>
      </w:pPr>
      <w:r>
        <w:t xml:space="preserve">Assessment of suicide risk</w:t>
      </w:r>
    </w:p>
    <w:p>
      <w:pPr>
        <w:pStyle w:val="FirstParagraph"/>
      </w:pPr>
      <w:r>
        <w:t xml:space="preserve">Active inquiry at every psychiatric interview:</w:t>
      </w:r>
    </w:p>
    <w:p>
      <w:pPr>
        <w:pStyle w:val="Compact"/>
        <w:numPr>
          <w:ilvl w:val="0"/>
          <w:numId w:val="2477"/>
        </w:numPr>
      </w:pPr>
      <w:r>
        <w:t xml:space="preserve">Have you had thoughts about death or ending your life recently?</w:t>
      </w:r>
    </w:p>
    <w:p>
      <w:pPr>
        <w:pStyle w:val="Compact"/>
        <w:numPr>
          <w:ilvl w:val="0"/>
          <w:numId w:val="2477"/>
        </w:numPr>
      </w:pPr>
      <w:r>
        <w:t xml:space="preserve">Concrete plan, means?</w:t>
      </w:r>
    </w:p>
    <w:p>
      <w:pPr>
        <w:pStyle w:val="Compact"/>
        <w:numPr>
          <w:ilvl w:val="0"/>
          <w:numId w:val="2477"/>
        </w:numPr>
      </w:pPr>
      <w:r>
        <w:t xml:space="preserve">Previous attempts?</w:t>
      </w:r>
    </w:p>
    <w:p>
      <w:pPr>
        <w:pStyle w:val="FirstParagraph"/>
      </w:pPr>
      <w:r>
        <w:t xml:space="preserve">Risk factors:</w:t>
      </w:r>
    </w:p>
    <w:p>
      <w:pPr>
        <w:pStyle w:val="Compact"/>
        <w:numPr>
          <w:ilvl w:val="0"/>
          <w:numId w:val="2478"/>
        </w:numPr>
      </w:pPr>
      <w:r>
        <w:t xml:space="preserve">Previous attempts (strongest predictor);</w:t>
      </w:r>
    </w:p>
    <w:p>
      <w:pPr>
        <w:pStyle w:val="Compact"/>
        <w:numPr>
          <w:ilvl w:val="0"/>
          <w:numId w:val="2478"/>
        </w:numPr>
      </w:pPr>
      <w:r>
        <w:t xml:space="preserve">History of suicide in the family;</w:t>
      </w:r>
    </w:p>
    <w:p>
      <w:pPr>
        <w:pStyle w:val="Compact"/>
        <w:numPr>
          <w:ilvl w:val="0"/>
          <w:numId w:val="2478"/>
        </w:numPr>
      </w:pPr>
      <w:r>
        <w:t xml:space="preserve">How near the plan is and how specific;</w:t>
      </w:r>
    </w:p>
    <w:p>
      <w:pPr>
        <w:pStyle w:val="Compact"/>
        <w:numPr>
          <w:ilvl w:val="0"/>
          <w:numId w:val="2478"/>
        </w:numPr>
      </w:pPr>
      <w:r>
        <w:t xml:space="preserve">Access to means;</w:t>
      </w:r>
    </w:p>
    <w:p>
      <w:pPr>
        <w:pStyle w:val="Compact"/>
        <w:numPr>
          <w:ilvl w:val="0"/>
          <w:numId w:val="2478"/>
        </w:numPr>
      </w:pPr>
      <w:r>
        <w:t xml:space="preserve">Substance use, depression, BPD, psychosis;</w:t>
      </w:r>
    </w:p>
    <w:p>
      <w:pPr>
        <w:pStyle w:val="Compact"/>
        <w:numPr>
          <w:ilvl w:val="0"/>
          <w:numId w:val="2478"/>
        </w:numPr>
      </w:pPr>
      <w:r>
        <w:t xml:space="preserve">Acute stressor, loss.</w:t>
      </w:r>
    </w:p>
    <w:p>
      <w:pPr>
        <w:pStyle w:val="FirstParagraph"/>
      </w:pPr>
      <w:r>
        <w:t xml:space="preserve">Intervention:</w:t>
      </w:r>
    </w:p>
    <w:p>
      <w:pPr>
        <w:pStyle w:val="Compact"/>
        <w:numPr>
          <w:ilvl w:val="0"/>
          <w:numId w:val="2479"/>
        </w:numPr>
      </w:pPr>
      <w:r>
        <w:t xml:space="preserve">Safety plan;</w:t>
      </w:r>
    </w:p>
    <w:p>
      <w:pPr>
        <w:pStyle w:val="Compact"/>
        <w:numPr>
          <w:ilvl w:val="0"/>
          <w:numId w:val="2479"/>
        </w:numPr>
      </w:pPr>
      <w:r>
        <w:t xml:space="preserve">Reducing access to means;</w:t>
      </w:r>
    </w:p>
    <w:p>
      <w:pPr>
        <w:pStyle w:val="Compact"/>
        <w:numPr>
          <w:ilvl w:val="0"/>
          <w:numId w:val="2479"/>
        </w:numPr>
      </w:pPr>
      <w:r>
        <w:t xml:space="preserve">Close monitoring;</w:t>
      </w:r>
    </w:p>
    <w:p>
      <w:pPr>
        <w:pStyle w:val="Compact"/>
        <w:numPr>
          <w:ilvl w:val="0"/>
          <w:numId w:val="2479"/>
        </w:numPr>
      </w:pPr>
      <w:r>
        <w:t xml:space="preserve">Indications for hospitalization;</w:t>
      </w:r>
    </w:p>
    <w:p>
      <w:pPr>
        <w:pStyle w:val="Compact"/>
        <w:numPr>
          <w:ilvl w:val="0"/>
          <w:numId w:val="2479"/>
        </w:numPr>
      </w:pPr>
      <w:r>
        <w:t xml:space="preserve">Assessment structured with a scale such as the C-SSRS.</w:t>
      </w:r>
    </w:p>
    <w:bookmarkEnd w:id="2914"/>
    <w:bookmarkStart w:id="2915" w:name="komorbidlik-qayda-istisna-deyil"/>
    <w:p>
      <w:pPr>
        <w:pStyle w:val="Heading2"/>
      </w:pPr>
      <w:r>
        <w:t xml:space="preserve">Comorbidity is the rule, not the exception</w:t>
      </w:r>
    </w:p>
    <w:p>
      <w:pPr>
        <w:pStyle w:val="FirstParagraph"/>
      </w:pPr>
      <w:r>
        <w:t xml:space="preserve">In mental disorders comorbidity is the norm:</w:t>
      </w:r>
    </w:p>
    <w:p>
      <w:pPr>
        <w:pStyle w:val="Compact"/>
        <w:numPr>
          <w:ilvl w:val="0"/>
          <w:numId w:val="2480"/>
        </w:numPr>
      </w:pPr>
      <w:r>
        <w:t xml:space="preserve">Depression + anxiety — 60% comorbid;</w:t>
      </w:r>
    </w:p>
    <w:p>
      <w:pPr>
        <w:pStyle w:val="Compact"/>
        <w:numPr>
          <w:ilvl w:val="0"/>
          <w:numId w:val="2480"/>
        </w:numPr>
      </w:pPr>
      <w:r>
        <w:t xml:space="preserve">PTSD + depression — 50%+;</w:t>
      </w:r>
    </w:p>
    <w:p>
      <w:pPr>
        <w:pStyle w:val="Compact"/>
        <w:numPr>
          <w:ilvl w:val="0"/>
          <w:numId w:val="2480"/>
        </w:numPr>
      </w:pPr>
      <w:r>
        <w:t xml:space="preserve">Personality disorder + depression/anxiety/substance — 80%+;</w:t>
      </w:r>
    </w:p>
    <w:p>
      <w:pPr>
        <w:pStyle w:val="Compact"/>
        <w:numPr>
          <w:ilvl w:val="0"/>
          <w:numId w:val="2480"/>
        </w:numPr>
      </w:pPr>
      <w:r>
        <w:t xml:space="preserve">Autism + ADHD — 50%;</w:t>
      </w:r>
    </w:p>
    <w:p>
      <w:pPr>
        <w:pStyle w:val="Compact"/>
        <w:numPr>
          <w:ilvl w:val="0"/>
          <w:numId w:val="2480"/>
        </w:numPr>
      </w:pPr>
      <w:r>
        <w:t xml:space="preserve">Eating disorder + depression + trauma — typical triad.</w:t>
      </w:r>
    </w:p>
    <w:p>
      <w:pPr>
        <w:pStyle w:val="FirstParagraph"/>
      </w:pPr>
      <w:r>
        <w:t xml:space="preserve">The treatment plan must cover every comorbidity — treating the main disorder alone is often not enough.</w:t>
      </w:r>
    </w:p>
    <w:bookmarkEnd w:id="2915"/>
    <w:bookmarkStart w:id="2916" w:name="X4734271a2b395906270bc76b90eabb2f1229497"/>
    <w:p>
      <w:pPr>
        <w:pStyle w:val="Heading2"/>
      </w:pPr>
      <w:r>
        <w:t xml:space="preserve">Age and developmental stage must be considered.</w:t>
      </w:r>
    </w:p>
    <w:p>
      <w:pPr>
        <w:pStyle w:val="Compact"/>
        <w:numPr>
          <w:ilvl w:val="0"/>
          <w:numId w:val="2481"/>
        </w:numPr>
      </w:pPr>
      <w:r>
        <w:t xml:space="preserve">Mental disorder in child — parent and context are crucial; medications less, psychotherapy and family orientation more;</w:t>
      </w:r>
    </w:p>
    <w:p>
      <w:pPr>
        <w:pStyle w:val="Compact"/>
        <w:numPr>
          <w:ilvl w:val="0"/>
          <w:numId w:val="2481"/>
        </w:numPr>
      </w:pPr>
      <w:r>
        <w:t xml:space="preserve">Adolescent — identity development, early intervention critical;</w:t>
      </w:r>
    </w:p>
    <w:p>
      <w:pPr>
        <w:pStyle w:val="Compact"/>
        <w:numPr>
          <w:ilvl w:val="0"/>
          <w:numId w:val="2481"/>
        </w:numPr>
      </w:pPr>
      <w:r>
        <w:t xml:space="preserve">Adult — work, family, social function;</w:t>
      </w:r>
    </w:p>
    <w:p>
      <w:pPr>
        <w:pStyle w:val="Compact"/>
        <w:numPr>
          <w:ilvl w:val="0"/>
          <w:numId w:val="2481"/>
        </w:numPr>
      </w:pPr>
      <w:r>
        <w:t xml:space="preserve">Older adults — comorbid medical illnesses, polypharmacy, cognitive impairments; dementia vs depression special attention.</w:t>
      </w:r>
    </w:p>
    <w:bookmarkEnd w:id="2916"/>
    <w:bookmarkStart w:id="2917" w:name="X087ca2809006648a87e853a95cedee5de98102b"/>
    <w:p>
      <w:pPr>
        <w:pStyle w:val="Heading2"/>
      </w:pPr>
      <w:r>
        <w:t xml:space="preserve">Multidisciplinary team – the foundation of effective clinical work</w:t>
      </w:r>
    </w:p>
    <w:p>
      <w:pPr>
        <w:pStyle w:val="FirstParagraph"/>
      </w:pPr>
      <w:r>
        <w:t xml:space="preserve">In complex cases:</w:t>
      </w:r>
    </w:p>
    <w:p>
      <w:pPr>
        <w:pStyle w:val="Compact"/>
        <w:numPr>
          <w:ilvl w:val="0"/>
          <w:numId w:val="2482"/>
        </w:numPr>
      </w:pPr>
      <w:r>
        <w:t xml:space="preserve">Psychiatrist;</w:t>
      </w:r>
    </w:p>
    <w:p>
      <w:pPr>
        <w:pStyle w:val="Compact"/>
        <w:numPr>
          <w:ilvl w:val="0"/>
          <w:numId w:val="2482"/>
        </w:numPr>
      </w:pPr>
      <w:r>
        <w:t xml:space="preserve">Psychologist / psychotherapist;</w:t>
      </w:r>
    </w:p>
    <w:p>
      <w:pPr>
        <w:pStyle w:val="Compact"/>
        <w:numPr>
          <w:ilvl w:val="0"/>
          <w:numId w:val="2482"/>
        </w:numPr>
      </w:pPr>
      <w:r>
        <w:t xml:space="preserve">Social worker;</w:t>
      </w:r>
    </w:p>
    <w:p>
      <w:pPr>
        <w:pStyle w:val="Compact"/>
        <w:numPr>
          <w:ilvl w:val="0"/>
          <w:numId w:val="2482"/>
        </w:numPr>
      </w:pPr>
      <w:r>
        <w:t xml:space="preserve">Medical physician (comorbidities);</w:t>
      </w:r>
    </w:p>
    <w:p>
      <w:pPr>
        <w:pStyle w:val="Compact"/>
        <w:numPr>
          <w:ilvl w:val="0"/>
          <w:numId w:val="2482"/>
        </w:numPr>
      </w:pPr>
      <w:r>
        <w:t xml:space="preserve">Family members (with consent);</w:t>
      </w:r>
    </w:p>
    <w:p>
      <w:pPr>
        <w:pStyle w:val="Compact"/>
        <w:numPr>
          <w:ilvl w:val="0"/>
          <w:numId w:val="2482"/>
        </w:numPr>
      </w:pPr>
      <w:r>
        <w:t xml:space="preserve">People at school or at work (when the patient is a child).</w:t>
      </w:r>
    </w:p>
    <w:p>
      <w:pPr>
        <w:pStyle w:val="FirstParagraph"/>
      </w:pPr>
      <w:r>
        <w:t xml:space="preserve">Developing this structure in Azerbaijan – a strategic priority.</w:t>
      </w:r>
    </w:p>
    <w:bookmarkEnd w:id="2917"/>
    <w:bookmarkStart w:id="2918" w:name="etik-və-hüquqi-çərçivə"/>
    <w:p>
      <w:pPr>
        <w:pStyle w:val="Heading2"/>
      </w:pPr>
      <w:r>
        <w:t xml:space="preserve">Ethical and legal framework</w:t>
      </w:r>
    </w:p>
    <w:p>
      <w:pPr>
        <w:pStyle w:val="FirstParagraph"/>
      </w:pPr>
      <w:r>
        <w:t xml:space="preserve">Every clinician should know:</w:t>
      </w:r>
    </w:p>
    <w:p>
      <w:pPr>
        <w:pStyle w:val="Compact"/>
        <w:numPr>
          <w:ilvl w:val="0"/>
          <w:numId w:val="2483"/>
        </w:numPr>
      </w:pPr>
      <w:r>
        <w:t xml:space="preserve">Confidentiality and its limits (danger to others, child protection);</w:t>
      </w:r>
    </w:p>
    <w:p>
      <w:pPr>
        <w:pStyle w:val="Compact"/>
        <w:numPr>
          <w:ilvl w:val="0"/>
          <w:numId w:val="2483"/>
        </w:numPr>
      </w:pPr>
      <w:r>
        <w:t xml:space="preserve">Informed consent;</w:t>
      </w:r>
    </w:p>
    <w:p>
      <w:pPr>
        <w:pStyle w:val="Compact"/>
        <w:numPr>
          <w:ilvl w:val="0"/>
          <w:numId w:val="2483"/>
        </w:numPr>
      </w:pPr>
      <w:r>
        <w:t xml:space="preserve">Legal framework for involuntary hospitalization;</w:t>
      </w:r>
    </w:p>
    <w:p>
      <w:pPr>
        <w:pStyle w:val="Compact"/>
        <w:numPr>
          <w:ilvl w:val="0"/>
          <w:numId w:val="2483"/>
        </w:numPr>
      </w:pPr>
      <w:r>
        <w:t xml:space="preserve">Report of child/elder abuse;</w:t>
      </w:r>
    </w:p>
    <w:p>
      <w:pPr>
        <w:pStyle w:val="Compact"/>
        <w:numPr>
          <w:ilvl w:val="0"/>
          <w:numId w:val="2483"/>
        </w:numPr>
      </w:pPr>
      <w:r>
        <w:t xml:space="preserve">Forensic assessment basics;</w:t>
      </w:r>
    </w:p>
    <w:p>
      <w:pPr>
        <w:pStyle w:val="Compact"/>
        <w:numPr>
          <w:ilvl w:val="0"/>
          <w:numId w:val="2483"/>
        </w:numPr>
      </w:pPr>
      <w:r>
        <w:t xml:space="preserve">Importance of documentation</w:t>
      </w:r>
    </w:p>
    <w:bookmarkEnd w:id="2918"/>
    <w:bookmarkStart w:id="2919" w:name="öz-sağlamlığınıza-diqqət"/>
    <w:p>
      <w:pPr>
        <w:pStyle w:val="Heading2"/>
      </w:pPr>
      <w:r>
        <w:t xml:space="preserve">Attention to your own health</w:t>
      </w:r>
    </w:p>
    <w:p>
      <w:pPr>
        <w:pStyle w:val="FirstParagraph"/>
      </w:pPr>
      <w:r>
        <w:t xml:space="preserve">Psychiatric work carries a high emotional load; this is the nature of the profession. Burnout, secondary trauma, empathetic fatigue are real risks for the clinician.</w:t>
      </w:r>
    </w:p>
    <w:p>
      <w:pPr>
        <w:pStyle w:val="Compact"/>
        <w:numPr>
          <w:ilvl w:val="0"/>
          <w:numId w:val="2484"/>
        </w:numPr>
      </w:pPr>
      <w:r>
        <w:t xml:space="preserve">Supervision and collegial consultation;</w:t>
      </w:r>
    </w:p>
    <w:p>
      <w:pPr>
        <w:pStyle w:val="Compact"/>
        <w:numPr>
          <w:ilvl w:val="0"/>
          <w:numId w:val="2484"/>
        </w:numPr>
      </w:pPr>
      <w:r>
        <w:t xml:space="preserve">Individual psychotherapy;</w:t>
      </w:r>
    </w:p>
    <w:p>
      <w:pPr>
        <w:pStyle w:val="Compact"/>
        <w:numPr>
          <w:ilvl w:val="0"/>
          <w:numId w:val="2484"/>
        </w:numPr>
      </w:pPr>
      <w:r>
        <w:t xml:space="preserve">Healthy lifestyle;</w:t>
      </w:r>
    </w:p>
    <w:p>
      <w:pPr>
        <w:pStyle w:val="Compact"/>
        <w:numPr>
          <w:ilvl w:val="0"/>
          <w:numId w:val="2484"/>
        </w:numPr>
      </w:pPr>
      <w:r>
        <w:t xml:space="preserve">Knowing your limits – you cannot save all patients.</w:t>
      </w:r>
    </w:p>
    <w:bookmarkEnd w:id="2919"/>
    <w:bookmarkStart w:id="2920" w:name="davamlı-təhsil-və-inkişaf"/>
    <w:p>
      <w:pPr>
        <w:pStyle w:val="Heading2"/>
      </w:pPr>
      <w:r>
        <w:t xml:space="preserve">Continuing education and development</w:t>
      </w:r>
    </w:p>
    <w:p>
      <w:pPr>
        <w:pStyle w:val="FirstParagraph"/>
      </w:pPr>
      <w:r>
        <w:t xml:space="preserve">ICD-11 will remain stable for decades, but:</w:t>
      </w:r>
    </w:p>
    <w:p>
      <w:pPr>
        <w:pStyle w:val="Compact"/>
        <w:numPr>
          <w:ilvl w:val="0"/>
          <w:numId w:val="2485"/>
        </w:numPr>
      </w:pPr>
      <w:r>
        <w:t xml:space="preserve">Treatment standards are updated every 3–5 years;</w:t>
      </w:r>
    </w:p>
    <w:p>
      <w:pPr>
        <w:pStyle w:val="Compact"/>
        <w:numPr>
          <w:ilvl w:val="0"/>
          <w:numId w:val="2485"/>
        </w:numPr>
      </w:pPr>
      <w:r>
        <w:t xml:space="preserve">New medications, new psychotherapeutic protocols emerge;</w:t>
      </w:r>
    </w:p>
    <w:p>
      <w:pPr>
        <w:pStyle w:val="Compact"/>
        <w:numPr>
          <w:ilvl w:val="0"/>
          <w:numId w:val="2485"/>
        </w:numPr>
      </w:pPr>
      <w:r>
        <w:t xml:space="preserve">Regular monitoring of the guidelines of organizations such as AACAP, APA, NICE, WFSBP, ISTSS;</w:t>
      </w:r>
    </w:p>
    <w:p>
      <w:pPr>
        <w:pStyle w:val="Compact"/>
        <w:numPr>
          <w:ilvl w:val="0"/>
          <w:numId w:val="2485"/>
        </w:numPr>
      </w:pPr>
      <w:r>
        <w:t xml:space="preserve">Peer-reviewed journals: Lancet Psychiatry, JAMA Psychiatry, American Journal of Psychiatry, World Psychiatry.</w:t>
      </w:r>
    </w:p>
    <w:p>
      <w:r>
        <w:pict>
          <v:rect style="width:0;height:1.5pt" o:hralign="center" o:hrstd="t" o:hr="t"/>
        </w:pict>
      </w:r>
    </w:p>
    <w:p>
      <w:pPr>
        <w:pStyle w:val="FirstParagraph"/>
      </w:pPr>
      <w:r>
        <w:t xml:space="preserve">Purpose of the book: To contribute to the quality of psychiatric care in Azerbaijan, to patients and families, and to professional development. If the reader benefits from this book, the goal will be considered achieved.</w:t>
      </w:r>
    </w:p>
    <w:p>
      <w:pPr>
        <w:pStyle w:val="BodyText"/>
      </w:pPr>
      <w:r>
        <w:t xml:space="preserve">I wish you healthy treatment, professional advancement, and to be helpful to your patients.</w:t>
      </w:r>
    </w:p>
    <w:p>
      <w:pPr>
        <w:pStyle w:val="BodyText"/>
      </w:pPr>
      <w:r>
        <w:rPr>
          <w:i/>
          <w:iCs/>
        </w:rPr>
        <w:t xml:space="preserve">Kenan Rahimov</w:t>
      </w:r>
    </w:p>
    <w:p>
      <w:pPr>
        <w:pStyle w:val="BodyText"/>
      </w:pPr>
      <w:r>
        <w:rPr>
          <w:i/>
          <w:iCs/>
        </w:rPr>
        <w:t xml:space="preserve">Baku,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6838" w:w="11906"/>
      <w:pgMar w:left="1247" w:right="1134" w:top="1134"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8"/>
      </w:rPr>
    </w:r>
    <w:r>
      <w:rPr>
        <w:rFonts w:ascii="Times New Roman" w:hAnsi="Times New Roman"/>
        <w:sz w:val="18"/>
        <w:i/>
      </w:rPr>
      <w:fldChar w:fldCharType="begin"/>
    </w:r>
    <w:r>
      <w:rPr>
        <w:rFonts w:ascii="Times New Roman" w:hAnsi="Times New Roman"/>
        <w:sz w:val="18"/>
        <w:i/>
      </w:rP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CLINICAL PSYCHIATRY · Diagnostic and treatment standards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1">
    <w:abstractNumId w:val="991"/>
  </w:num>
  <w:num w:numId="1722">
    <w:abstractNumId w:val="991"/>
  </w:num>
  <w:num w:numId="1723">
    <w:abstractNumId w:val="991"/>
  </w:num>
  <w:num w:numId="1724">
    <w:abstractNumId w:val="991"/>
  </w:num>
  <w:num w:numId="17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2">
    <w:abstractNumId w:val="991"/>
  </w:num>
  <w:num w:numId="1803">
    <w:abstractNumId w:val="991"/>
  </w:num>
  <w:num w:numId="1804">
    <w:abstractNumId w:val="991"/>
  </w:num>
  <w:num w:numId="1805">
    <w:abstractNumId w:val="991"/>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1"/>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1"/>
  </w:num>
  <w:num w:numId="18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1"/>
  </w:num>
  <w:num w:numId="1834">
    <w:abstractNumId w:val="991"/>
  </w:num>
  <w:num w:numId="1835">
    <w:abstractNumId w:val="991"/>
  </w:num>
  <w:num w:numId="1836">
    <w:abstractNumId w:val="991"/>
  </w:num>
  <w:num w:numId="1837">
    <w:abstractNumId w:val="991"/>
  </w:num>
  <w:num w:numId="18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1"/>
  </w:num>
  <w:num w:numId="18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1">
    <w:abstractNumId w:val="991"/>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8">
    <w:abstractNumId w:val="991"/>
  </w:num>
  <w:num w:numId="1849">
    <w:abstractNumId w:val="991"/>
  </w:num>
  <w:num w:numId="1850">
    <w:abstractNumId w:val="991"/>
  </w:num>
  <w:num w:numId="1851">
    <w:abstractNumId w:val="991"/>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1"/>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9">
    <w:abstractNumId w:val="991"/>
  </w:num>
  <w:num w:numId="1870">
    <w:abstractNumId w:val="991"/>
  </w:num>
  <w:num w:numId="18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1"/>
  </w:num>
  <w:num w:numId="1873">
    <w:abstractNumId w:val="991"/>
  </w:num>
  <w:num w:numId="1874">
    <w:abstractNumId w:val="991"/>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1"/>
  </w:num>
  <w:num w:numId="1886">
    <w:abstractNumId w:val="991"/>
  </w:num>
  <w:num w:numId="1887">
    <w:abstractNumId w:val="991"/>
  </w:num>
  <w:num w:numId="1888">
    <w:abstractNumId w:val="991"/>
  </w:num>
  <w:num w:numId="1889">
    <w:abstractNumId w:val="991"/>
  </w:num>
  <w:num w:numId="18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1"/>
  </w:num>
  <w:num w:numId="18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8">
    <w:abstractNumId w:val="991"/>
  </w:num>
  <w:num w:numId="1899">
    <w:abstractNumId w:val="991"/>
  </w:num>
  <w:num w:numId="1900">
    <w:abstractNumId w:val="991"/>
  </w:num>
  <w:num w:numId="1901">
    <w:abstractNumId w:val="991"/>
  </w:num>
  <w:num w:numId="1902">
    <w:abstractNumId w:val="991"/>
  </w:num>
  <w:num w:numId="19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0">
    <w:abstractNumId w:val="991"/>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1"/>
  </w:num>
  <w:num w:numId="19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1"/>
  </w:num>
  <w:num w:numId="1921">
    <w:abstractNumId w:val="991"/>
  </w:num>
  <w:num w:numId="19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1"/>
  </w:num>
  <w:num w:numId="1924">
    <w:abstractNumId w:val="991"/>
  </w:num>
  <w:num w:numId="1925">
    <w:abstractNumId w:val="991"/>
  </w:num>
  <w:num w:numId="1926">
    <w:abstractNumId w:val="991"/>
  </w:num>
  <w:num w:numId="19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1"/>
  </w:num>
  <w:num w:numId="19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1"/>
  </w:num>
  <w:num w:numId="19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4">
    <w:abstractNumId w:val="991"/>
  </w:num>
  <w:num w:numId="19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1"/>
  </w:num>
  <w:num w:numId="19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1"/>
  </w:num>
  <w:num w:numId="1981">
    <w:abstractNumId w:val="991"/>
  </w:num>
  <w:num w:numId="1982">
    <w:abstractNumId w:val="991"/>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7">
    <w:abstractNumId w:val="991"/>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8">
    <w:abstractNumId w:val="991"/>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1"/>
  </w:num>
  <w:num w:numId="2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1"/>
  </w:num>
  <w:num w:numId="2042">
    <w:abstractNumId w:val="991"/>
  </w:num>
  <w:num w:numId="2043">
    <w:abstractNumId w:val="991"/>
  </w:num>
  <w:num w:numId="2044">
    <w:abstractNumId w:val="991"/>
  </w:num>
  <w:num w:numId="2045">
    <w:abstractNumId w:val="991"/>
  </w:num>
  <w:num w:numId="2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1"/>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1"/>
  </w:num>
  <w:num w:numId="2054">
    <w:abstractNumId w:val="991"/>
  </w:num>
  <w:num w:numId="2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0">
    <w:abstractNumId w:val="991"/>
  </w:num>
  <w:num w:numId="2061">
    <w:abstractNumId w:val="991"/>
  </w:num>
  <w:num w:numId="2062">
    <w:abstractNumId w:val="991"/>
  </w:num>
  <w:num w:numId="2063">
    <w:abstractNumId w:val="991"/>
  </w:num>
  <w:num w:numId="2064">
    <w:abstractNumId w:val="991"/>
  </w:num>
  <w:num w:numId="2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0">
    <w:abstractNumId w:val="991"/>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9">
    <w:abstractNumId w:val="991"/>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1"/>
  </w:num>
  <w:num w:numId="2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1"/>
  </w:num>
  <w:num w:numId="2130">
    <w:abstractNumId w:val="991"/>
  </w:num>
  <w:num w:numId="2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1"/>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1"/>
  </w:num>
  <w:num w:numId="2146">
    <w:abstractNumId w:val="991"/>
  </w:num>
  <w:num w:numId="2147">
    <w:abstractNumId w:val="991"/>
  </w:num>
  <w:num w:numId="2148">
    <w:abstractNumId w:val="991"/>
  </w:num>
  <w:num w:numId="21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1"/>
  </w:num>
  <w:num w:numId="2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1"/>
  </w:num>
  <w:num w:numId="2169">
    <w:abstractNumId w:val="991"/>
  </w:num>
  <w:num w:numId="2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1"/>
  </w:num>
  <w:num w:numId="2172">
    <w:abstractNumId w:val="991"/>
  </w:num>
  <w:num w:numId="2173">
    <w:abstractNumId w:val="991"/>
  </w:num>
  <w:num w:numId="2174">
    <w:abstractNumId w:val="991"/>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5">
    <w:abstractNumId w:val="991"/>
  </w:num>
  <w:num w:numId="2196">
    <w:abstractNumId w:val="991"/>
  </w:num>
  <w:num w:numId="2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1"/>
  </w:num>
  <w:num w:numId="2213">
    <w:abstractNumId w:val="991"/>
  </w:num>
  <w:num w:numId="2214">
    <w:abstractNumId w:val="991"/>
  </w:num>
  <w:num w:numId="2215">
    <w:abstractNumId w:val="991"/>
  </w:num>
  <w:num w:numId="2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1"/>
  </w:num>
  <w:num w:numId="2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9">
    <w:abstractNumId w:val="991"/>
  </w:num>
  <w:num w:numId="2220">
    <w:abstractNumId w:val="991"/>
  </w:num>
  <w:num w:numId="2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2">
    <w:abstractNumId w:val="991"/>
  </w:num>
  <w:num w:numId="2223">
    <w:abstractNumId w:val="991"/>
  </w:num>
  <w:num w:numId="22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1"/>
  </w:num>
  <w:num w:numId="2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1"/>
  </w:num>
  <w:num w:numId="2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5">
    <w:abstractNumId w:val="991"/>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4">
    <w:abstractNumId w:val="991"/>
  </w:num>
  <w:num w:numId="22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4">
    <w:abstractNumId w:val="991"/>
  </w:num>
  <w:num w:numId="2265">
    <w:abstractNumId w:val="991"/>
  </w:num>
  <w:num w:numId="2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7">
    <w:abstractNumId w:val="991"/>
  </w:num>
  <w:num w:numId="2278">
    <w:abstractNumId w:val="991"/>
  </w:num>
  <w:num w:numId="2279">
    <w:abstractNumId w:val="991"/>
  </w:num>
  <w:num w:numId="2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1">
    <w:abstractNumId w:val="991"/>
  </w:num>
  <w:num w:numId="2282">
    <w:abstractNumId w:val="991"/>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6">
    <w:abstractNumId w:val="991"/>
  </w:num>
  <w:num w:numId="2287">
    <w:abstractNumId w:val="991"/>
  </w:num>
  <w:num w:numId="2288">
    <w:abstractNumId w:val="991"/>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0">
    <w:abstractNumId w:val="991"/>
  </w:num>
  <w:num w:numId="2301">
    <w:abstractNumId w:val="991"/>
  </w:num>
  <w:num w:numId="2302">
    <w:abstractNumId w:val="991"/>
  </w:num>
  <w:num w:numId="2303">
    <w:abstractNumId w:val="991"/>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9">
    <w:abstractNumId w:val="991"/>
  </w:num>
  <w:num w:numId="2310">
    <w:abstractNumId w:val="991"/>
  </w:num>
  <w:num w:numId="2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2">
    <w:abstractNumId w:val="991"/>
  </w:num>
  <w:num w:numId="2313">
    <w:abstractNumId w:val="991"/>
  </w:num>
  <w:num w:numId="2314">
    <w:abstractNumId w:val="991"/>
  </w:num>
  <w:num w:numId="2315">
    <w:abstractNumId w:val="991"/>
  </w:num>
  <w:num w:numId="2316">
    <w:abstractNumId w:val="991"/>
  </w:num>
  <w:num w:numId="2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8">
    <w:abstractNumId w:val="991"/>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2">
    <w:abstractNumId w:val="991"/>
  </w:num>
  <w:num w:numId="2323">
    <w:abstractNumId w:val="991"/>
  </w:num>
  <w:num w:numId="2324">
    <w:abstractNumId w:val="991"/>
  </w:num>
  <w:num w:numId="2325">
    <w:abstractNumId w:val="991"/>
  </w:num>
  <w:num w:numId="2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7">
    <w:abstractNumId w:val="991"/>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0">
    <w:abstractNumId w:val="991"/>
  </w:num>
  <w:num w:numId="2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1"/>
  </w:num>
  <w:num w:numId="2333">
    <w:abstractNumId w:val="991"/>
  </w:num>
  <w:num w:numId="2334">
    <w:abstractNumId w:val="991"/>
  </w:num>
  <w:num w:numId="2335">
    <w:abstractNumId w:val="991"/>
  </w:num>
  <w:num w:numId="2336">
    <w:abstractNumId w:val="991"/>
  </w:num>
  <w:num w:numId="2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8">
    <w:abstractNumId w:val="991"/>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1">
    <w:abstractNumId w:val="991"/>
  </w:num>
  <w:num w:numId="2342">
    <w:abstractNumId w:val="991"/>
  </w:num>
  <w:num w:numId="2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4">
    <w:abstractNumId w:val="991"/>
  </w:num>
  <w:num w:numId="2345">
    <w:abstractNumId w:val="991"/>
  </w:num>
  <w:num w:numId="2346">
    <w:abstractNumId w:val="991"/>
  </w:num>
  <w:num w:numId="2347">
    <w:abstractNumId w:val="991"/>
  </w:num>
  <w:num w:numId="2348">
    <w:abstractNumId w:val="991"/>
  </w:num>
  <w:num w:numId="2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0">
    <w:abstractNumId w:val="991"/>
  </w:num>
  <w:num w:numId="23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1"/>
  </w:num>
  <w:num w:numId="23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3">
    <w:abstractNumId w:val="991"/>
  </w:num>
  <w:num w:numId="2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7">
    <w:abstractNumId w:val="991"/>
  </w:num>
  <w:num w:numId="2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9">
    <w:abstractNumId w:val="991"/>
  </w:num>
  <w:num w:numId="2370">
    <w:abstractNumId w:val="991"/>
  </w:num>
  <w:num w:numId="2371">
    <w:abstractNumId w:val="991"/>
  </w:num>
  <w:num w:numId="2372">
    <w:abstractNumId w:val="991"/>
  </w:num>
  <w:num w:numId="2373">
    <w:abstractNumId w:val="991"/>
  </w:num>
  <w:num w:numId="2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1"/>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3">
    <w:abstractNumId w:val="991"/>
  </w:num>
  <w:num w:numId="2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5">
    <w:abstractNumId w:val="991"/>
  </w:num>
  <w:num w:numId="2406">
    <w:abstractNumId w:val="991"/>
  </w:num>
  <w:num w:numId="2407">
    <w:abstractNumId w:val="991"/>
  </w:num>
  <w:num w:numId="2408">
    <w:abstractNumId w:val="991"/>
  </w:num>
  <w:num w:numId="2409">
    <w:abstractNumId w:val="991"/>
  </w:num>
  <w:num w:numId="24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5">
    <w:abstractNumId w:val="991"/>
  </w:num>
  <w:num w:numId="2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00" w:lineRule="auto"/>
      <w:ind w:firstLine="283"/>
      <w:jc w:val="both"/>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jc w:val="center"/>
      <w:outlineLvl w:val="0"/>
    </w:pPr>
    <w:rPr>
      <w:rFonts w:asciiTheme="majorHAnsi" w:cstheme="majorBidi" w:eastAsiaTheme="majorEastAsia" w:hAnsiTheme="majorHAnsi" w:ascii="Times New Roman" w:hAnsi="Times New Roman"/>
      <w:b/>
      <w:i w:val="0"/>
      <w:color w:val="000000"/>
      <w:sz w:val="56"/>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heme="majorHAnsi" w:cstheme="majorBidi" w:eastAsiaTheme="majorEastAsia" w:hAnsiTheme="majorHAnsi" w:ascii="Times New Roman" w:hAnsi="Times New Roman"/>
      <w:b/>
      <w:i w:val="0"/>
      <w:color w:val="000000"/>
      <w:sz w:val="40"/>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b/>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jc w:val="left"/>
      <w:outlineLvl w:val="3"/>
    </w:pPr>
    <w:rPr>
      <w:rFonts w:cstheme="majorBidi" w:eastAsiaTheme="majorEastAsia" w:ascii="Times New Roman"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240"/>
      <w:jc w:val="left"/>
      <w:outlineLvl w:val="4"/>
    </w:pPr>
    <w:rPr>
      <w:rFonts w:cstheme="majorBidi" w:eastAsiaTheme="majorEastAsia" w:ascii="Times New Roman" w:hAnsi="Times New Roman"/>
      <w:b/>
      <w:i/>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PSYCHIATRY</dc:title>
  <dc:creator/>
  <cp:keywords/>
  <dcterms:created xsi:type="dcterms:W3CDTF">2026-08-28T14:01:41Z</dcterms:created>
  <dcterms:modified xsi:type="dcterms:W3CDTF">2026-08-28T14:01:41Z</dcterms:modified>
</cp:coreProperties>
</file>

<file path=docProps/custom.xml><?xml version="1.0" encoding="utf-8"?>
<Properties xmlns="http://schemas.openxmlformats.org/officeDocument/2006/custom-properties" xmlns:vt="http://schemas.openxmlformats.org/officeDocument/2006/docPropsVTypes"/>
</file>