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9542" w14:textId="77777777" w:rsidR="003240B9" w:rsidRDefault="003240B9">
      <w:r>
        <w:t xml:space="preserve">Main goal is to compare the performance of FPGAs and CPUs for the purpose performing tag detection in genomic data. </w:t>
      </w:r>
    </w:p>
    <w:p w14:paraId="3305E722" w14:textId="77777777" w:rsidR="003240B9" w:rsidRDefault="003240B9"/>
    <w:p w14:paraId="0480DB3F" w14:textId="77777777" w:rsidR="003240B9" w:rsidRDefault="003240B9">
      <w:r>
        <w:t xml:space="preserve">Uses gigabit Ethernet for all communication. The plan is to replace this with PCIe </w:t>
      </w:r>
      <w:r w:rsidR="00BB2D96">
        <w:t xml:space="preserve">or FSB </w:t>
      </w:r>
      <w:r>
        <w:t>at a later point. Because of this intention, we did not fully implement the Ethernet communication. for instance, the returned header is hardcoded and there is no way to reset the board (other than reprogramming the device).</w:t>
      </w:r>
    </w:p>
    <w:p w14:paraId="5E67B5D5" w14:textId="77777777" w:rsidR="00BB2D96" w:rsidRDefault="00BB2D96"/>
    <w:p w14:paraId="4BB7A430" w14:textId="77777777" w:rsidR="00BB2D96" w:rsidRDefault="00BB2D96">
      <w:r>
        <w:t xml:space="preserve">We started with MP1 as the basis for our communication layer but ultimately removed the scanner and address swap layers. Working directly with the link layer FIFOs </w:t>
      </w:r>
      <w:r w:rsidR="000B645A">
        <w:t>gives us the control we need</w:t>
      </w:r>
      <w:r>
        <w:t>.</w:t>
      </w:r>
    </w:p>
    <w:p w14:paraId="5F22B049" w14:textId="77777777" w:rsidR="003240B9" w:rsidRDefault="00324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3087"/>
        <w:gridCol w:w="2720"/>
      </w:tblGrid>
      <w:tr w:rsidR="00093799" w14:paraId="4EACE16D" w14:textId="77777777" w:rsidTr="000254E0">
        <w:tc>
          <w:tcPr>
            <w:tcW w:w="3049" w:type="dxa"/>
            <w:shd w:val="clear" w:color="auto" w:fill="auto"/>
          </w:tcPr>
          <w:p w14:paraId="50D1BB1B" w14:textId="77777777" w:rsidR="00093799" w:rsidRDefault="00093799">
            <w:r>
              <w:t>Number of compare units</w:t>
            </w:r>
          </w:p>
        </w:tc>
        <w:tc>
          <w:tcPr>
            <w:tcW w:w="3087" w:type="dxa"/>
            <w:shd w:val="clear" w:color="auto" w:fill="auto"/>
          </w:tcPr>
          <w:p w14:paraId="1903EBCE" w14:textId="77777777" w:rsidR="00093799" w:rsidRDefault="00093799">
            <w:r>
              <w:t>Occupied slices</w:t>
            </w:r>
          </w:p>
        </w:tc>
        <w:tc>
          <w:tcPr>
            <w:tcW w:w="2720" w:type="dxa"/>
            <w:shd w:val="clear" w:color="auto" w:fill="auto"/>
          </w:tcPr>
          <w:p w14:paraId="4679EE04" w14:textId="77777777" w:rsidR="00093799" w:rsidRDefault="00093799">
            <w:r>
              <w:t>Percentage of chip</w:t>
            </w:r>
          </w:p>
        </w:tc>
      </w:tr>
      <w:tr w:rsidR="00093799" w14:paraId="0C439C30" w14:textId="77777777" w:rsidTr="000254E0">
        <w:tc>
          <w:tcPr>
            <w:tcW w:w="3049" w:type="dxa"/>
            <w:shd w:val="clear" w:color="auto" w:fill="auto"/>
          </w:tcPr>
          <w:p w14:paraId="5950E17F" w14:textId="77777777" w:rsidR="00093799" w:rsidRDefault="00093799" w:rsidP="000254E0">
            <w:pPr>
              <w:jc w:val="right"/>
            </w:pPr>
            <w:r>
              <w:t>2</w:t>
            </w:r>
          </w:p>
        </w:tc>
        <w:tc>
          <w:tcPr>
            <w:tcW w:w="3087" w:type="dxa"/>
            <w:shd w:val="clear" w:color="auto" w:fill="auto"/>
          </w:tcPr>
          <w:p w14:paraId="0EE7A93F" w14:textId="77777777" w:rsidR="00093799" w:rsidRDefault="00093799" w:rsidP="000254E0">
            <w:pPr>
              <w:jc w:val="right"/>
            </w:pPr>
            <w:r>
              <w:t>800</w:t>
            </w:r>
          </w:p>
        </w:tc>
        <w:tc>
          <w:tcPr>
            <w:tcW w:w="2720" w:type="dxa"/>
            <w:shd w:val="clear" w:color="auto" w:fill="auto"/>
            <w:vAlign w:val="bottom"/>
          </w:tcPr>
          <w:p w14:paraId="68547CC6" w14:textId="77777777" w:rsidR="00093799" w:rsidRDefault="00093799" w:rsidP="000254E0">
            <w:pPr>
              <w:jc w:val="right"/>
            </w:pPr>
            <w:r>
              <w:t>7.14%</w:t>
            </w:r>
          </w:p>
        </w:tc>
      </w:tr>
      <w:tr w:rsidR="00093799" w14:paraId="7F9983D1" w14:textId="77777777" w:rsidTr="000254E0">
        <w:tc>
          <w:tcPr>
            <w:tcW w:w="3049" w:type="dxa"/>
            <w:shd w:val="clear" w:color="auto" w:fill="auto"/>
          </w:tcPr>
          <w:p w14:paraId="18CB9244" w14:textId="77777777" w:rsidR="00093799" w:rsidRDefault="00093799" w:rsidP="000254E0">
            <w:pPr>
              <w:jc w:val="right"/>
            </w:pPr>
            <w:r>
              <w:t>4</w:t>
            </w:r>
          </w:p>
        </w:tc>
        <w:tc>
          <w:tcPr>
            <w:tcW w:w="3087" w:type="dxa"/>
            <w:shd w:val="clear" w:color="auto" w:fill="auto"/>
          </w:tcPr>
          <w:p w14:paraId="54B6F05A" w14:textId="77777777" w:rsidR="00093799" w:rsidRDefault="00093799" w:rsidP="000254E0">
            <w:pPr>
              <w:jc w:val="right"/>
            </w:pPr>
            <w:r>
              <w:t>851</w:t>
            </w:r>
          </w:p>
        </w:tc>
        <w:tc>
          <w:tcPr>
            <w:tcW w:w="2720" w:type="dxa"/>
            <w:shd w:val="clear" w:color="auto" w:fill="auto"/>
            <w:vAlign w:val="bottom"/>
          </w:tcPr>
          <w:p w14:paraId="092F88A3" w14:textId="77777777" w:rsidR="00093799" w:rsidRDefault="00093799" w:rsidP="000254E0">
            <w:pPr>
              <w:jc w:val="right"/>
            </w:pPr>
            <w:r>
              <w:t>7.60%</w:t>
            </w:r>
          </w:p>
        </w:tc>
      </w:tr>
      <w:tr w:rsidR="00093799" w14:paraId="58BBD91B" w14:textId="77777777" w:rsidTr="000254E0">
        <w:tc>
          <w:tcPr>
            <w:tcW w:w="3049" w:type="dxa"/>
            <w:shd w:val="clear" w:color="auto" w:fill="auto"/>
          </w:tcPr>
          <w:p w14:paraId="3F62E861" w14:textId="77777777" w:rsidR="00093799" w:rsidRDefault="00093799" w:rsidP="000254E0">
            <w:pPr>
              <w:jc w:val="right"/>
            </w:pPr>
            <w:r>
              <w:t>8</w:t>
            </w:r>
          </w:p>
        </w:tc>
        <w:tc>
          <w:tcPr>
            <w:tcW w:w="3087" w:type="dxa"/>
            <w:shd w:val="clear" w:color="auto" w:fill="auto"/>
          </w:tcPr>
          <w:p w14:paraId="5079AA07" w14:textId="77777777" w:rsidR="00093799" w:rsidRDefault="00093799" w:rsidP="000254E0">
            <w:pPr>
              <w:jc w:val="right"/>
            </w:pPr>
            <w:r>
              <w:t>1504</w:t>
            </w:r>
          </w:p>
        </w:tc>
        <w:tc>
          <w:tcPr>
            <w:tcW w:w="2720" w:type="dxa"/>
            <w:shd w:val="clear" w:color="auto" w:fill="auto"/>
            <w:vAlign w:val="bottom"/>
          </w:tcPr>
          <w:p w14:paraId="667CB1BF" w14:textId="77777777" w:rsidR="00093799" w:rsidRDefault="00093799" w:rsidP="000254E0">
            <w:pPr>
              <w:jc w:val="right"/>
            </w:pPr>
            <w:r>
              <w:t>13.43%</w:t>
            </w:r>
          </w:p>
        </w:tc>
      </w:tr>
      <w:tr w:rsidR="00093799" w14:paraId="78F67B08" w14:textId="77777777" w:rsidTr="000254E0">
        <w:tc>
          <w:tcPr>
            <w:tcW w:w="3049" w:type="dxa"/>
            <w:shd w:val="clear" w:color="auto" w:fill="auto"/>
          </w:tcPr>
          <w:p w14:paraId="3984D027" w14:textId="77777777" w:rsidR="00093799" w:rsidRDefault="00093799" w:rsidP="000254E0">
            <w:pPr>
              <w:jc w:val="right"/>
            </w:pPr>
            <w:r>
              <w:t>16</w:t>
            </w:r>
          </w:p>
        </w:tc>
        <w:tc>
          <w:tcPr>
            <w:tcW w:w="3087" w:type="dxa"/>
            <w:shd w:val="clear" w:color="auto" w:fill="auto"/>
          </w:tcPr>
          <w:p w14:paraId="37323EDC" w14:textId="77777777" w:rsidR="00093799" w:rsidRDefault="00093799" w:rsidP="000254E0">
            <w:pPr>
              <w:jc w:val="right"/>
            </w:pPr>
            <w:r>
              <w:t>2595</w:t>
            </w:r>
          </w:p>
        </w:tc>
        <w:tc>
          <w:tcPr>
            <w:tcW w:w="2720" w:type="dxa"/>
            <w:shd w:val="clear" w:color="auto" w:fill="auto"/>
            <w:vAlign w:val="bottom"/>
          </w:tcPr>
          <w:p w14:paraId="1DA25DD5" w14:textId="77777777" w:rsidR="00093799" w:rsidRDefault="00093799" w:rsidP="000254E0">
            <w:pPr>
              <w:jc w:val="right"/>
            </w:pPr>
            <w:r>
              <w:t>23.17%</w:t>
            </w:r>
          </w:p>
        </w:tc>
      </w:tr>
      <w:tr w:rsidR="00093799" w14:paraId="738C67BB" w14:textId="77777777" w:rsidTr="000254E0">
        <w:tc>
          <w:tcPr>
            <w:tcW w:w="3049" w:type="dxa"/>
            <w:shd w:val="clear" w:color="auto" w:fill="auto"/>
          </w:tcPr>
          <w:p w14:paraId="22DAED20" w14:textId="77777777" w:rsidR="00093799" w:rsidRDefault="00093799" w:rsidP="000254E0">
            <w:pPr>
              <w:jc w:val="right"/>
            </w:pPr>
            <w:r>
              <w:t>32</w:t>
            </w:r>
          </w:p>
        </w:tc>
        <w:tc>
          <w:tcPr>
            <w:tcW w:w="3087" w:type="dxa"/>
            <w:shd w:val="clear" w:color="auto" w:fill="auto"/>
          </w:tcPr>
          <w:p w14:paraId="43C7AAFC" w14:textId="77777777" w:rsidR="00093799" w:rsidRDefault="00093799" w:rsidP="000254E0">
            <w:pPr>
              <w:jc w:val="right"/>
            </w:pPr>
            <w:r>
              <w:t>3418</w:t>
            </w:r>
          </w:p>
        </w:tc>
        <w:tc>
          <w:tcPr>
            <w:tcW w:w="2720" w:type="dxa"/>
            <w:shd w:val="clear" w:color="auto" w:fill="auto"/>
            <w:vAlign w:val="bottom"/>
          </w:tcPr>
          <w:p w14:paraId="5DF74E87" w14:textId="77777777" w:rsidR="00093799" w:rsidRDefault="00093799" w:rsidP="000254E0">
            <w:pPr>
              <w:jc w:val="right"/>
            </w:pPr>
            <w:r>
              <w:t>30.52%</w:t>
            </w:r>
          </w:p>
        </w:tc>
      </w:tr>
      <w:tr w:rsidR="00093799" w14:paraId="5BD80994" w14:textId="77777777" w:rsidTr="000254E0">
        <w:tc>
          <w:tcPr>
            <w:tcW w:w="3049" w:type="dxa"/>
            <w:shd w:val="clear" w:color="auto" w:fill="auto"/>
          </w:tcPr>
          <w:p w14:paraId="6C747734" w14:textId="77777777" w:rsidR="00093799" w:rsidRDefault="00093799" w:rsidP="000254E0">
            <w:pPr>
              <w:jc w:val="right"/>
            </w:pPr>
            <w:r>
              <w:t>64</w:t>
            </w:r>
          </w:p>
        </w:tc>
        <w:tc>
          <w:tcPr>
            <w:tcW w:w="3087" w:type="dxa"/>
            <w:shd w:val="clear" w:color="auto" w:fill="auto"/>
          </w:tcPr>
          <w:p w14:paraId="4B0DF2E9" w14:textId="77777777" w:rsidR="00093799" w:rsidRDefault="00093799" w:rsidP="000254E0">
            <w:pPr>
              <w:jc w:val="right"/>
            </w:pPr>
            <w:r>
              <w:t>5969</w:t>
            </w:r>
          </w:p>
        </w:tc>
        <w:tc>
          <w:tcPr>
            <w:tcW w:w="2720" w:type="dxa"/>
            <w:shd w:val="clear" w:color="auto" w:fill="auto"/>
            <w:vAlign w:val="bottom"/>
          </w:tcPr>
          <w:p w14:paraId="712CB992" w14:textId="77777777" w:rsidR="00093799" w:rsidRDefault="00093799" w:rsidP="000254E0">
            <w:pPr>
              <w:jc w:val="right"/>
            </w:pPr>
            <w:r>
              <w:t>53.29%</w:t>
            </w:r>
          </w:p>
        </w:tc>
      </w:tr>
      <w:tr w:rsidR="00093799" w14:paraId="69DBDC6F" w14:textId="77777777" w:rsidTr="000254E0">
        <w:tc>
          <w:tcPr>
            <w:tcW w:w="3049" w:type="dxa"/>
            <w:shd w:val="clear" w:color="auto" w:fill="auto"/>
          </w:tcPr>
          <w:p w14:paraId="09F45034" w14:textId="77777777" w:rsidR="00093799" w:rsidRDefault="00093799" w:rsidP="000254E0">
            <w:pPr>
              <w:tabs>
                <w:tab w:val="left" w:pos="981"/>
              </w:tabs>
              <w:jc w:val="right"/>
            </w:pPr>
            <w:r>
              <w:t>96</w:t>
            </w:r>
          </w:p>
        </w:tc>
        <w:tc>
          <w:tcPr>
            <w:tcW w:w="3087" w:type="dxa"/>
            <w:shd w:val="clear" w:color="auto" w:fill="auto"/>
          </w:tcPr>
          <w:p w14:paraId="7CB5A1C5" w14:textId="77777777" w:rsidR="00093799" w:rsidRDefault="00093799" w:rsidP="000254E0">
            <w:pPr>
              <w:jc w:val="right"/>
            </w:pPr>
            <w:r>
              <w:t>9623</w:t>
            </w:r>
          </w:p>
        </w:tc>
        <w:tc>
          <w:tcPr>
            <w:tcW w:w="2720" w:type="dxa"/>
            <w:shd w:val="clear" w:color="auto" w:fill="auto"/>
            <w:vAlign w:val="bottom"/>
          </w:tcPr>
          <w:p w14:paraId="5F0BFC53" w14:textId="77777777" w:rsidR="00093799" w:rsidRDefault="00093799" w:rsidP="000254E0">
            <w:pPr>
              <w:jc w:val="right"/>
            </w:pPr>
            <w:r>
              <w:t>85.92%</w:t>
            </w:r>
          </w:p>
        </w:tc>
      </w:tr>
    </w:tbl>
    <w:p w14:paraId="32A477D3" w14:textId="77777777" w:rsidR="003240B9" w:rsidRDefault="003240B9"/>
    <w:p w14:paraId="6A95A9E6" w14:textId="77777777" w:rsidR="003240B9" w:rsidRDefault="003240B9"/>
    <w:p w14:paraId="0AA3CB01" w14:textId="77777777" w:rsidR="003240B9" w:rsidRDefault="003240B9">
      <w:r>
        <w:t>Limitations:</w:t>
      </w:r>
    </w:p>
    <w:p w14:paraId="48AF8ECC" w14:textId="77777777" w:rsidR="003240B9" w:rsidRDefault="003240B9">
      <w:r>
        <w:t>No way to restart other than reprogramming.</w:t>
      </w:r>
    </w:p>
    <w:p w14:paraId="1206131C" w14:textId="77777777" w:rsidR="003240B9" w:rsidRDefault="003240B9">
      <w:r>
        <w:t>Very finicky with initial programming and packets, can easily get into an unreliable state.</w:t>
      </w:r>
    </w:p>
    <w:p w14:paraId="0E17DB56" w14:textId="77777777" w:rsidR="003240B9" w:rsidRDefault="003240B9">
      <w:r>
        <w:t>Uses a fixed amount of return bandwidth, alternatively could report matching IDs.</w:t>
      </w:r>
    </w:p>
    <w:p w14:paraId="444634A1" w14:textId="77777777" w:rsidR="003240B9" w:rsidRDefault="003240B9">
      <w:r>
        <w:t>Requires software to find the actual IDs.</w:t>
      </w:r>
    </w:p>
    <w:p w14:paraId="545DDBC7" w14:textId="77777777" w:rsidR="003240B9" w:rsidRDefault="003240B9">
      <w:r>
        <w:t>Return UDP header is hardcoded.</w:t>
      </w:r>
    </w:p>
    <w:p w14:paraId="2FC55296" w14:textId="77777777" w:rsidR="003240B9" w:rsidRDefault="003240B9"/>
    <w:sectPr w:rsidR="003240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0C23" w14:textId="77777777" w:rsidR="000254E0" w:rsidRDefault="000254E0">
      <w:r>
        <w:separator/>
      </w:r>
    </w:p>
  </w:endnote>
  <w:endnote w:type="continuationSeparator" w:id="0">
    <w:p w14:paraId="3C907011" w14:textId="77777777" w:rsidR="000254E0" w:rsidRDefault="0002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0E72" w14:textId="77777777" w:rsidR="000254E0" w:rsidRDefault="000254E0">
      <w:r>
        <w:separator/>
      </w:r>
    </w:p>
  </w:footnote>
  <w:footnote w:type="continuationSeparator" w:id="0">
    <w:p w14:paraId="6110EE5D" w14:textId="77777777" w:rsidR="000254E0" w:rsidRDefault="000254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0B9"/>
    <w:rsid w:val="000254E0"/>
    <w:rsid w:val="00093799"/>
    <w:rsid w:val="000B6156"/>
    <w:rsid w:val="000B645A"/>
    <w:rsid w:val="003240B9"/>
    <w:rsid w:val="00856E2E"/>
    <w:rsid w:val="008F0EC8"/>
    <w:rsid w:val="00BB2D96"/>
    <w:rsid w:val="00D81F89"/>
    <w:rsid w:val="00D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87191"/>
  <w15:chartTrackingRefBased/>
  <w15:docId w15:val="{2530F953-7BBA-459E-892F-339E0E56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24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3799"/>
    <w:pPr>
      <w:tabs>
        <w:tab w:val="center" w:pos="4320"/>
        <w:tab w:val="right" w:pos="8640"/>
      </w:tabs>
    </w:pPr>
  </w:style>
  <w:style w:type="paragraph" w:styleId="Footer">
    <w:name w:val="footer"/>
    <w:basedOn w:val="Normal"/>
    <w:rsid w:val="0009379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Main goal is to compare the performance of FPGAs and CPUs for the purpose performing tag detection in genomic data</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goal is to compare the performance of FPGAs and CPUs for the purpose performing tag detection in genomic data</dc:title>
  <dc:subject/>
  <dc:creator>kent</dc:creator>
  <cp:keywords/>
  <dc:description/>
  <cp:lastModifiedBy>Kent VanderVelden</cp:lastModifiedBy>
  <cp:revision>2</cp:revision>
  <dcterms:created xsi:type="dcterms:W3CDTF">2022-02-11T21:35:00Z</dcterms:created>
  <dcterms:modified xsi:type="dcterms:W3CDTF">2022-02-11T21:35:00Z</dcterms:modified>
</cp:coreProperties>
</file>