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Yttrande</w:t>
      </w:r>
    </w:p>
    <w:p>
      <w:r>
        <w:rPr>
          <w:b/>
        </w:rPr>
        <w:t>Till</w:t>
      </w:r>
      <w:r>
        <w:rPr>
          <w:b w:val="0"/>
        </w:rPr>
        <w:t xml:space="preserve"> Mark- och miljödomstolen vid Växjö tingsrätt</w:t>
      </w:r>
      <w:r>
        <w:br/>
      </w:r>
      <w:r>
        <w:rPr>
          <w:b/>
        </w:rPr>
        <w:t>Mål nr</w:t>
      </w:r>
      <w:r>
        <w:rPr>
          <w:b w:val="0"/>
        </w:rPr>
        <w:t xml:space="preserve"> M 3289-25</w:t>
      </w:r>
      <w:r>
        <w:br/>
      </w:r>
      <w:r>
        <w:rPr>
          <w:b/>
        </w:rPr>
        <w:t>Från</w:t>
      </w:r>
      <w:r>
        <w:rPr>
          <w:b w:val="0"/>
        </w:rPr>
        <w:t xml:space="preserve"> Lunds Naturskyddsförening</w:t>
      </w:r>
      <w:r>
        <w:br/>
      </w:r>
      <w:r>
        <w:rPr>
          <w:b/>
        </w:rPr>
        <w:t>Ärende</w:t>
      </w:r>
      <w:r>
        <w:rPr>
          <w:b w:val="0"/>
        </w:rPr>
        <w:t xml:space="preserve"> Yttrande över VA SYDs bemötande av 2026-09-30, aktbilaga 320</w:t>
      </w:r>
    </w:p>
    <w:p>
      <w:pPr>
        <w:pStyle w:val="Heading2"/>
      </w:pPr>
      <w:r>
        <w:rPr>
          <w:b w:val="0"/>
        </w:rPr>
        <w:t>Yrkanden och sammanfattning</w:t>
      </w:r>
    </w:p>
    <w:p>
      <w:r>
        <w:rPr>
          <w:b w:val="0"/>
        </w:rPr>
        <w:t>LNF vidhåller sina yrkanden i aktbilaga 257 (LNF:s yttrande 2026-06-09):</w:t>
      </w:r>
    </w:p>
    <w:p>
      <w:pPr>
        <w:pStyle w:val="ListBullet"/>
      </w:pPr>
      <w:r>
        <w:rPr>
          <w:b w:val="0"/>
        </w:rPr>
        <w:t xml:space="preserve">att ansökan om MAXIMA avslås, </w:t>
      </w:r>
      <w:r>
        <w:rPr>
          <w:b w:val="0"/>
          <w:highlight w:val="yellow"/>
        </w:rPr>
        <w:t>bland annat av de skäl som anges i punkt 1–8 nedan</w:t>
      </w:r>
      <w:r>
        <w:rPr>
          <w:b w:val="0"/>
        </w:rPr>
        <w:t>,</w:t>
      </w:r>
    </w:p>
    <w:p>
      <w:pPr>
        <w:pStyle w:val="ListBullet"/>
      </w:pPr>
      <w:r>
        <w:rPr>
          <w:b w:val="0"/>
        </w:rPr>
        <w:t xml:space="preserve">att domstolen underkänner miljökonsekvensbeskrivningen (MKB), eftersom den är ofullständig och felaktig, </w:t>
      </w:r>
      <w:r>
        <w:rPr>
          <w:b w:val="0"/>
          <w:highlight w:val="yellow"/>
        </w:rPr>
        <w:t>bland annat på de punkter som anges i punkt 1–6 nedan och i Bilagan</w:t>
      </w:r>
      <w:r>
        <w:rPr>
          <w:b w:val="0"/>
        </w:rPr>
        <w:t>,</w:t>
      </w:r>
    </w:p>
    <w:p>
      <w:pPr>
        <w:pStyle w:val="ListBullet"/>
      </w:pPr>
      <w:r>
        <w:rPr>
          <w:b w:val="0"/>
        </w:rPr>
        <w:t xml:space="preserve">att verkställighetsförordnandet avslås, </w:t>
      </w:r>
      <w:r>
        <w:rPr>
          <w:b w:val="0"/>
          <w:highlight w:val="yellow"/>
        </w:rPr>
        <w:t>se punkt 10</w:t>
      </w:r>
      <w:r>
        <w:rPr>
          <w:b w:val="0"/>
        </w:rPr>
        <w:t>.</w:t>
      </w:r>
    </w:p>
    <w:p>
      <w:r>
        <w:rPr>
          <w:b w:val="0"/>
        </w:rPr>
        <w:t xml:space="preserve">I andra hand, om domstolen inte avslår ansökan eller underkänner MKB:n nu, yrkar LNF att VA SYD föreläggs att komplettera MKB:n med de uppgifter som anges i </w:t>
      </w:r>
      <w:r>
        <w:rPr>
          <w:b w:val="0"/>
          <w:highlight w:val="yellow"/>
        </w:rPr>
        <w:t>punkt 1–7 och i Bilagan</w:t>
      </w:r>
      <w:r>
        <w:rPr>
          <w:b w:val="0"/>
        </w:rPr>
        <w:t xml:space="preserve">. </w:t>
      </w:r>
      <w:r>
        <w:rPr>
          <w:b w:val="0"/>
          <w:highlight w:val="yellow"/>
        </w:rPr>
        <w:t>Varje punkt anger vilken fråga och vilket lagrum den gäller, och slutar med vad LNF begär att VA SYD redovisar.</w:t>
      </w:r>
    </w:p>
    <w:p>
      <w:r>
        <w:rPr>
          <w:b w:val="0"/>
        </w:rPr>
        <w:t>LNF vidhåller sina avslagskrav, eftersom VA SYDs bemötande i huvudsak hänvisar till tidigare handlingar och inte ger nya uppgifter om de frågor som tas upp nedan. LNF:s tidigare yttrande kvarstår och upprepas inte här.</w:t>
      </w:r>
    </w:p>
    <w:p>
      <w:r>
        <w:rPr>
          <w:b/>
        </w:rPr>
        <w:t>Sammanfattning.</w:t>
      </w:r>
      <w:r>
        <w:rPr>
          <w:b w:val="0"/>
        </w:rP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rPr>
          <w:b w:val="0"/>
        </w:rPr>
        <w:t>Tunnelns verkningar för Höje å</w:t>
      </w:r>
    </w:p>
    <w:p>
      <w:r>
        <w:rPr>
          <w:b/>
        </w:rPr>
        <w:t>1. Verkningarna ska redovisas.</w:t>
      </w:r>
      <w:r>
        <w:rPr>
          <w:b w:val="0"/>
        </w:rP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Pr>
          <w:b/>
        </w:rPr>
        <w:t>LNF begär</w:t>
      </w:r>
      <w:r>
        <w:rPr>
          <w:b w:val="0"/>
        </w:rPr>
        <w:t xml:space="preserve"> att VA SYD redovisar dessa effekter för Höjeådalens naturreservat, fridlysta och hotade arter och för kumulativa effekter.</w:t>
      </w:r>
    </w:p>
    <w:p>
      <w:r>
        <w:rPr>
          <w:b/>
        </w:rPr>
        <w:t>2. VA SYD medger själva att effekterna inte har beaktats.</w:t>
      </w:r>
      <w:r>
        <w:rPr>
          <w:b w:val="0"/>
        </w:rP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Beslutet binder inte domstolens prövning. </w:t>
      </w:r>
      <w:r>
        <w:rPr>
          <w:b/>
        </w:rPr>
        <w:t>LNF begär</w:t>
      </w:r>
      <w:r>
        <w:rPr>
          <w:b w:val="0"/>
        </w:rPr>
        <w:t xml:space="preserve"> att VA SYD förklarar hur effekter som används i bedömningen kan lämnas utanför redovisningen, och redovisar om nollalternativet förutsätter att Källby läggs ned, och i så fall på vilket underlag (6 kap. 35 § 3).</w:t>
      </w:r>
    </w:p>
    <w:p>
      <w:r>
        <w:rPr>
          <w:b/>
        </w:rPr>
        <w:t>3. Kumulativa effekter för Natura 2000-området Lommaområdet.</w:t>
      </w:r>
      <w:r>
        <w:rPr>
          <w:b w:val="0"/>
        </w:rP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Pr>
          <w:b/>
        </w:rPr>
        <w:t>LNF begär</w:t>
      </w:r>
      <w:r>
        <w:rPr>
          <w:b w:val="0"/>
        </w:rPr>
        <w:t xml:space="preserve"> att VA SYD redovisar de kumulativa effekterna för Lommaområdet och hur de har bedömts mot den måttstocken.</w:t>
      </w:r>
    </w:p>
    <w:p>
      <w:pPr>
        <w:pStyle w:val="Heading2"/>
      </w:pPr>
      <w:r>
        <w:rPr>
          <w:b w:val="0"/>
        </w:rPr>
        <w:t>Havsnivån</w:t>
      </w:r>
    </w:p>
    <w:p>
      <w:r>
        <w:rPr>
          <w:b/>
        </w:rPr>
        <w:t>4. Skyddsnivån vid Sjölunda.</w:t>
      </w:r>
      <w:r>
        <w:rPr>
          <w:b w:val="0"/>
        </w:rP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LNF:s beräkning mot år 2150 (aktbilaga 257, bilaga 8) bemöts inte i sak. </w:t>
      </w:r>
      <w:r>
        <w:rPr>
          <w:b/>
        </w:rPr>
        <w:t>LNF begär</w:t>
      </w:r>
      <w:r>
        <w:rPr>
          <w:b w:val="0"/>
        </w:rPr>
        <w:t xml:space="preserve"> att VA SYD anger när bygget avslutas, redovisar var i vägledningen nivån +3,5 m och år 2100 anges, och bemöter LNF:s beräkning.</w:t>
      </w:r>
    </w:p>
    <w:p>
      <w:r>
        <w:rPr>
          <w:b/>
        </w:rPr>
        <w:t>5. Anpassning över tid.</w:t>
      </w:r>
      <w:r>
        <w:rPr>
          <w:b w:val="0"/>
        </w:rPr>
        <w:t xml:space="preserve"> VA SYD redovisar inte hur skyddet kan byggas ut senare om nya underlag visar högre nivåer. Detta är en iakttagelse och ändrar inte LNF:s yrkande om avslag. </w:t>
      </w:r>
      <w:r>
        <w:rPr>
          <w:b/>
        </w:rPr>
        <w:t>LNF begär</w:t>
      </w:r>
      <w:r>
        <w:rPr>
          <w:b w:val="0"/>
        </w:rPr>
        <w:t xml:space="preserve"> att VA SYD redovisar hur skyddet kan anpassas över tid.</w:t>
      </w:r>
    </w:p>
    <w:p>
      <w:pPr>
        <w:pStyle w:val="Heading2"/>
      </w:pPr>
      <w:r>
        <w:rPr>
          <w:b w:val="0"/>
        </w:rPr>
        <w:t>Alternativ och bästa möjliga teknik</w:t>
      </w:r>
    </w:p>
    <w:p>
      <w:r>
        <w:rPr>
          <w:b/>
        </w:rPr>
        <w:t>6. Alternativet Källby har inte utretts.</w:t>
      </w:r>
      <w:r>
        <w:rPr>
          <w:b w:val="0"/>
        </w:rP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w:t>
      </w:r>
      <w:r>
        <w:rPr>
          <w:b/>
        </w:rPr>
        <w:t>LNF begär</w:t>
      </w:r>
      <w:r>
        <w:rPr>
          <w:b w:val="0"/>
        </w:rPr>
        <w:t xml:space="preserve"> att VA SYD anger bilaga, avsnitt och sida där alternativet Källby har utretts.</w:t>
      </w:r>
    </w:p>
    <w:p>
      <w:r>
        <w:rPr>
          <w:b/>
        </w:rPr>
        <w:t>7. Fjärde reningssteget.</w:t>
      </w:r>
      <w:r>
        <w:rPr>
          <w:b w:val="0"/>
        </w:rP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Pr>
          <w:b/>
        </w:rPr>
        <w:t>LNF begär</w:t>
      </w:r>
      <w:r>
        <w:rPr>
          <w:b w:val="0"/>
        </w:rPr>
        <w:t xml:space="preserve"> att frågan prövas i detta mål. Om domstolen ändå överväger ett utredningsvillkor yrkar LNF att det kopplas till ett konkret slutligt villkor, har en tidsgräns och beslutas av domstolen.</w:t>
      </w:r>
    </w:p>
    <w:p>
      <w:pPr>
        <w:pStyle w:val="Heading2"/>
      </w:pPr>
      <w:r>
        <w:rPr>
          <w:b w:val="0"/>
        </w:rPr>
        <w:t>Försämringsförbudet</w:t>
      </w:r>
    </w:p>
    <w:p>
      <w:r>
        <w:rPr>
          <w:b/>
        </w:rPr>
        <w:t>8. Försämringsförbudet gäller även vid nytt tillstånd.</w:t>
      </w:r>
      <w:r>
        <w:rPr>
          <w:b w:val="0"/>
        </w:rP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Pr>
          <w:b/>
        </w:rPr>
        <w:t>LNF begär</w:t>
      </w:r>
      <w:r>
        <w:rPr>
          <w:b w:val="0"/>
        </w:rPr>
        <w:t xml:space="preserve"> att VA SYD redovisar var Länsstyrelsen har uttalat sig och på vilken grund.</w:t>
      </w:r>
    </w:p>
    <w:p>
      <w:pPr>
        <w:pStyle w:val="Heading2"/>
      </w:pPr>
      <w:r>
        <w:rPr>
          <w:b w:val="0"/>
        </w:rPr>
        <w:t>Villkor och verkställighet</w:t>
      </w:r>
    </w:p>
    <w:p>
      <w:r>
        <w:rPr>
          <w:b/>
        </w:rPr>
        <w:t>9. Villkor i andra hand.</w:t>
      </w:r>
      <w:r>
        <w:rPr>
          <w:b w:val="0"/>
        </w:rP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Pr>
          <w:b/>
        </w:rPr>
        <w:t>10. Verkställighetsförordnandet.</w:t>
      </w:r>
      <w:r>
        <w:rPr>
          <w:b w:val="0"/>
        </w:rP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w:t>
      </w:r>
      <w:r>
        <w:rPr>
          <w:b/>
        </w:rPr>
        <w:t>LNF begär</w:t>
      </w:r>
      <w:r>
        <w:rPr>
          <w:b w:val="0"/>
        </w:rPr>
        <w:t xml:space="preserve"> att VA SYD anger vilka arbeten det gäller och varför de inte kan vänta. Om domstolen ändå meddelar ett förordnande yrkar LNF att det begränsas till namngivna arbeten och förenas med säkerhet. Om VA SYD tecknar avtal om framtida arbeten under handläggningstiden sker det på egen risk.</w:t>
      </w:r>
    </w:p>
    <w:p>
      <w:pPr>
        <w:pStyle w:val="Heading2"/>
      </w:pPr>
      <w:r>
        <w:rPr>
          <w:b w:val="0"/>
        </w:rPr>
        <w:t>Reservation</w:t>
      </w:r>
    </w:p>
    <w:p>
      <w:r>
        <w:rPr>
          <w:b/>
        </w:rPr>
        <w:t>11.</w:t>
      </w:r>
      <w:r>
        <w:rPr>
          <w:b w:val="0"/>
        </w:rPr>
        <w:t xml:space="preserve"> VA SYD har meddelat att de återkommer med sin inställning till kvartär rening vecka 50 2026 (sid. 13, 47–48) och att de behöver mer tid för att bemöta Vattenmyndighetens yttranden (sid. 7). </w:t>
      </w:r>
      <w:r>
        <w:rPr>
          <w:b/>
        </w:rPr>
        <w:t>LNF reserverar sig</w:t>
      </w:r>
      <w:r>
        <w:rPr>
          <w:b w:val="0"/>
        </w:rPr>
        <w:t xml:space="preserve"> för att få yttra sig över dessa besked och över VA SYDs uppdaterade sammanställning av yrkanden och villkorsförslag.</w:t>
      </w:r>
    </w:p>
    <w:p>
      <w:pPr>
        <w:pStyle w:val="Heading1"/>
      </w:pPr>
      <w:r>
        <w:rPr>
          <w:b w:val="0"/>
        </w:rPr>
        <w:t>Bilaga: övriga frågor som VA SYD inte har besvarat</w:t>
      </w:r>
    </w:p>
    <w:p>
      <w:r>
        <w:rPr>
          <w:b w:val="0"/>
        </w:rPr>
        <w:t>LNF begär att VA SYD besvarar följande punkter, eller pekar ut var i ansökan de besvaras.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8EFE4"/>
          </w:tcPr>
          <w:p>
            <w:pPr>
              <w:spacing w:after="40"/>
            </w:pPr>
            <w:r/>
            <w:r>
              <w:rPr>
                <w:b/>
                <w:sz w:val="19"/>
              </w:rPr>
              <w:t>VA SYDs nummer</w:t>
            </w:r>
          </w:p>
        </w:tc>
        <w:tc>
          <w:tcPr>
            <w:tcW w:type="dxa" w:w="2353"/>
            <w:shd w:val="clear" w:color="auto" w:fill="E8EFE4"/>
          </w:tcPr>
          <w:p>
            <w:pPr>
              <w:spacing w:after="40"/>
            </w:pPr>
            <w:r/>
            <w:r>
              <w:rPr>
                <w:b/>
                <w:sz w:val="19"/>
              </w:rPr>
              <w:t>Ämne</w:t>
            </w:r>
          </w:p>
        </w:tc>
        <w:tc>
          <w:tcPr>
            <w:tcW w:type="dxa" w:w="2353"/>
            <w:shd w:val="clear" w:color="auto" w:fill="E8EFE4"/>
          </w:tcPr>
          <w:p>
            <w:pPr>
              <w:spacing w:after="40"/>
            </w:pPr>
            <w:r/>
            <w:r>
              <w:rPr>
                <w:b/>
                <w:sz w:val="19"/>
              </w:rPr>
              <w:t>VA SYDs svar (sid.)</w:t>
            </w:r>
          </w:p>
        </w:tc>
        <w:tc>
          <w:tcPr>
            <w:tcW w:type="dxa" w:w="2353"/>
            <w:shd w:val="clear" w:color="auto" w:fill="E8EFE4"/>
          </w:tcPr>
          <w:p>
            <w:pPr>
              <w:spacing w:after="40"/>
            </w:pPr>
            <w:r/>
            <w:r>
              <w:rPr>
                <w:b/>
                <w:sz w:val="19"/>
              </w:rPr>
              <w:t>LNF begär att VA SYD</w:t>
            </w:r>
          </w:p>
        </w:tc>
      </w:tr>
      <w:tr>
        <w:tc>
          <w:tcPr>
            <w:tcW w:type="dxa" w:w="2353"/>
          </w:tcPr>
          <w:p>
            <w:pPr>
              <w:spacing w:after="40"/>
            </w:pPr>
            <w:r/>
            <w:r>
              <w:rPr>
                <w:b w:val="0"/>
                <w:sz w:val="19"/>
              </w:rPr>
              <w:t>3d</w:t>
            </w:r>
          </w:p>
        </w:tc>
        <w:tc>
          <w:tcPr>
            <w:tcW w:type="dxa" w:w="2353"/>
          </w:tcPr>
          <w:p>
            <w:pPr>
              <w:spacing w:after="40"/>
            </w:pPr>
            <w:r/>
            <w:r>
              <w:rPr>
                <w:b w:val="0"/>
                <w:sz w:val="19"/>
              </w:rPr>
              <w:t>Bräddning vid Källby</w:t>
            </w:r>
          </w:p>
        </w:tc>
        <w:tc>
          <w:tcPr>
            <w:tcW w:type="dxa" w:w="2353"/>
          </w:tcPr>
          <w:p>
            <w:pPr>
              <w:spacing w:after="40"/>
            </w:pPr>
            <w:r/>
            <w:r>
              <w:rPr>
                <w:b w:val="0"/>
                <w:sz w:val="19"/>
              </w:rPr>
              <w:t>Inget svar (89)</w:t>
            </w:r>
          </w:p>
        </w:tc>
        <w:tc>
          <w:tcPr>
            <w:tcW w:type="dxa" w:w="2353"/>
          </w:tcPr>
          <w:p>
            <w:pPr>
              <w:spacing w:after="40"/>
            </w:pPr>
            <w:r/>
            <w:r>
              <w:rPr>
                <w:b w:val="0"/>
                <w:sz w:val="19"/>
              </w:rPr>
              <w:t>redovisar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353"/>
          </w:tcPr>
          <w:p>
            <w:pPr>
              <w:spacing w:after="40"/>
            </w:pPr>
            <w:r/>
            <w:r>
              <w:rPr>
                <w:b w:val="0"/>
                <w:sz w:val="19"/>
              </w:rPr>
              <w:t>3e</w:t>
            </w:r>
          </w:p>
        </w:tc>
        <w:tc>
          <w:tcPr>
            <w:tcW w:type="dxa" w:w="2353"/>
          </w:tcPr>
          <w:p>
            <w:pPr>
              <w:spacing w:after="40"/>
            </w:pPr>
            <w:r/>
            <w:r>
              <w:rPr>
                <w:b w:val="0"/>
                <w:sz w:val="19"/>
              </w:rPr>
              <w:t>Källbys tillståndstak</w:t>
            </w:r>
          </w:p>
        </w:tc>
        <w:tc>
          <w:tcPr>
            <w:tcW w:type="dxa" w:w="2353"/>
          </w:tcPr>
          <w:p>
            <w:pPr>
              <w:spacing w:after="40"/>
            </w:pPr>
            <w:r/>
            <w:r>
              <w:rPr>
                <w:b w:val="0"/>
                <w:sz w:val="19"/>
              </w:rPr>
              <w:t>Inget svar (90)</w:t>
            </w:r>
          </w:p>
        </w:tc>
        <w:tc>
          <w:tcPr>
            <w:tcW w:type="dxa" w:w="2353"/>
          </w:tcPr>
          <w:p>
            <w:pPr>
              <w:spacing w:after="40"/>
            </w:pPr>
            <w:r/>
            <w:r>
              <w:rPr>
                <w:b w:val="0"/>
                <w:sz w:val="19"/>
              </w:rPr>
              <w:t>redovisar hur Lunds avloppsvatten renas om taket nås före omkopplingen 2035 (sid. 42)</w:t>
            </w:r>
          </w:p>
        </w:tc>
      </w:tr>
      <w:tr>
        <w:tc>
          <w:tcPr>
            <w:tcW w:type="dxa" w:w="2353"/>
          </w:tcPr>
          <w:p>
            <w:pPr>
              <w:spacing w:after="40"/>
            </w:pPr>
            <w:r/>
            <w:r>
              <w:rPr>
                <w:b w:val="0"/>
                <w:sz w:val="19"/>
              </w:rPr>
              <w:t>3f</w:t>
            </w:r>
          </w:p>
        </w:tc>
        <w:tc>
          <w:tcPr>
            <w:tcW w:type="dxa" w:w="2353"/>
          </w:tcPr>
          <w:p>
            <w:pPr>
              <w:spacing w:after="40"/>
            </w:pPr>
            <w:r/>
            <w:r>
              <w:rPr>
                <w:b w:val="0"/>
                <w:sz w:val="19"/>
              </w:rPr>
              <w:t>CO₂ vid rivning</w:t>
            </w:r>
          </w:p>
        </w:tc>
        <w:tc>
          <w:tcPr>
            <w:tcW w:type="dxa" w:w="2353"/>
          </w:tcPr>
          <w:p>
            <w:pPr>
              <w:spacing w:after="40"/>
            </w:pPr>
            <w:r/>
            <w:r>
              <w:rPr>
                <w:b w:val="0"/>
                <w:sz w:val="19"/>
              </w:rPr>
              <w:t>Inget svar (90)</w:t>
            </w:r>
          </w:p>
        </w:tc>
        <w:tc>
          <w:tcPr>
            <w:tcW w:type="dxa" w:w="2353"/>
          </w:tcPr>
          <w:p>
            <w:pPr>
              <w:spacing w:after="40"/>
            </w:pPr>
            <w:r/>
            <w:r>
              <w:rPr>
                <w:b w:val="0"/>
                <w:sz w:val="19"/>
              </w:rPr>
              <w:t>kompletterar beräkningen med rivning av Borgeby och Källby, eller anger varför den inte ingår</w:t>
            </w:r>
          </w:p>
        </w:tc>
      </w:tr>
      <w:tr>
        <w:tc>
          <w:tcPr>
            <w:tcW w:type="dxa" w:w="2353"/>
          </w:tcPr>
          <w:p>
            <w:pPr>
              <w:spacing w:after="40"/>
            </w:pPr>
            <w:r/>
            <w:r>
              <w:rPr>
                <w:b w:val="0"/>
                <w:sz w:val="19"/>
              </w:rPr>
              <w:t>5c</w:t>
            </w:r>
          </w:p>
        </w:tc>
        <w:tc>
          <w:tcPr>
            <w:tcW w:type="dxa" w:w="2353"/>
          </w:tcPr>
          <w:p>
            <w:pPr>
              <w:spacing w:after="40"/>
            </w:pPr>
            <w:r/>
            <w:r>
              <w:rPr>
                <w:b w:val="0"/>
                <w:sz w:val="19"/>
              </w:rPr>
              <w:t>Fel vattenförekomst</w:t>
            </w:r>
          </w:p>
        </w:tc>
        <w:tc>
          <w:tcPr>
            <w:tcW w:type="dxa" w:w="2353"/>
          </w:tcPr>
          <w:p>
            <w:pPr>
              <w:spacing w:after="40"/>
            </w:pPr>
            <w:r/>
            <w:r>
              <w:rPr>
                <w:b w:val="0"/>
                <w:sz w:val="19"/>
              </w:rPr>
              <w:t>Inget svar (92)</w:t>
            </w:r>
          </w:p>
        </w:tc>
        <w:tc>
          <w:tcPr>
            <w:tcW w:type="dxa" w:w="2353"/>
          </w:tcPr>
          <w:p>
            <w:pPr>
              <w:spacing w:after="40"/>
            </w:pPr>
            <w:r/>
            <w:r>
              <w:rPr>
                <w:b w:val="0"/>
                <w:sz w:val="19"/>
              </w:rPr>
              <w:t>rättar eller förklarar uppgiften om recipient för Källby</w:t>
            </w:r>
          </w:p>
        </w:tc>
      </w:tr>
      <w:tr>
        <w:tc>
          <w:tcPr>
            <w:tcW w:type="dxa" w:w="2353"/>
          </w:tcPr>
          <w:p>
            <w:pPr>
              <w:spacing w:after="40"/>
            </w:pPr>
            <w:r/>
            <w:r>
              <w:rPr>
                <w:b w:val="0"/>
                <w:sz w:val="19"/>
              </w:rPr>
              <w:t>7a–7b</w:t>
            </w:r>
          </w:p>
        </w:tc>
        <w:tc>
          <w:tcPr>
            <w:tcW w:type="dxa" w:w="2353"/>
          </w:tcPr>
          <w:p>
            <w:pPr>
              <w:spacing w:after="40"/>
            </w:pPr>
            <w:r/>
            <w:r>
              <w:rPr>
                <w:b w:val="0"/>
                <w:sz w:val="19"/>
              </w:rPr>
              <w:t>Centralisering och riskhantering</w:t>
            </w:r>
          </w:p>
        </w:tc>
        <w:tc>
          <w:tcPr>
            <w:tcW w:type="dxa" w:w="2353"/>
          </w:tcPr>
          <w:p>
            <w:pPr>
              <w:spacing w:after="40"/>
            </w:pPr>
            <w:r/>
            <w:r>
              <w:rPr>
                <w:b w:val="0"/>
                <w:sz w:val="19"/>
              </w:rPr>
              <w:t>Krisrisker prövas ej (94)</w:t>
            </w:r>
          </w:p>
        </w:tc>
        <w:tc>
          <w:tcPr>
            <w:tcW w:type="dxa" w:w="2353"/>
          </w:tcPr>
          <w:p>
            <w:pPr>
              <w:spacing w:after="40"/>
            </w:pPr>
            <w:r/>
            <w:r>
              <w:rPr>
                <w:b w:val="0"/>
                <w:sz w:val="19"/>
              </w:rPr>
              <w:t>jämför ett enda kustnära verk med ett system där Källby bibehålls (6 kap. 35 § 4: miljöeffekter till följd av yttre händelser)</w:t>
            </w:r>
          </w:p>
        </w:tc>
      </w:tr>
      <w:tr>
        <w:tc>
          <w:tcPr>
            <w:tcW w:type="dxa" w:w="2353"/>
          </w:tcPr>
          <w:p>
            <w:pPr>
              <w:spacing w:after="40"/>
            </w:pPr>
            <w:r/>
            <w:r>
              <w:rPr>
                <w:b w:val="0"/>
                <w:sz w:val="19"/>
              </w:rPr>
              <w:t>7d–7e</w:t>
            </w:r>
          </w:p>
        </w:tc>
        <w:tc>
          <w:tcPr>
            <w:tcW w:type="dxa" w:w="2353"/>
          </w:tcPr>
          <w:p>
            <w:pPr>
              <w:spacing w:after="40"/>
            </w:pPr>
            <w:r/>
            <w:r>
              <w:rPr>
                <w:b w:val="0"/>
                <w:sz w:val="19"/>
              </w:rPr>
              <w:t>Alnarpsströmmen, PFAS</w:t>
            </w:r>
          </w:p>
        </w:tc>
        <w:tc>
          <w:tcPr>
            <w:tcW w:type="dxa" w:w="2353"/>
          </w:tcPr>
          <w:p>
            <w:pPr>
              <w:spacing w:after="40"/>
            </w:pPr>
            <w:r/>
            <w:r>
              <w:rPr>
                <w:b w:val="0"/>
                <w:sz w:val="19"/>
              </w:rPr>
              <w:t>Samlat svar (94)</w:t>
            </w:r>
          </w:p>
        </w:tc>
        <w:tc>
          <w:tcPr>
            <w:tcW w:type="dxa" w:w="2353"/>
          </w:tcPr>
          <w:p>
            <w:pPr>
              <w:spacing w:after="40"/>
            </w:pPr>
            <w:r/>
            <w:r>
              <w:rPr>
                <w:b w:val="0"/>
                <w:sz w:val="19"/>
              </w:rPr>
              <w:t>pekar ut var tunnelns rörelse i höjdled vid Alnarpsströmmen och spridning av PFAS från marker norr om schakt S37 behandlas</w:t>
            </w:r>
          </w:p>
        </w:tc>
      </w:tr>
      <w:tr>
        <w:tc>
          <w:tcPr>
            <w:tcW w:type="dxa" w:w="2353"/>
          </w:tcPr>
          <w:p>
            <w:pPr>
              <w:spacing w:after="40"/>
            </w:pPr>
            <w:r/>
            <w:r>
              <w:rPr>
                <w:b w:val="0"/>
                <w:sz w:val="19"/>
              </w:rPr>
              <w:t>2, 8</w:t>
            </w:r>
          </w:p>
        </w:tc>
        <w:tc>
          <w:tcPr>
            <w:tcW w:type="dxa" w:w="2353"/>
          </w:tcPr>
          <w:p>
            <w:pPr>
              <w:spacing w:after="40"/>
            </w:pPr>
            <w:r/>
            <w:r>
              <w:rPr>
                <w:b w:val="0"/>
                <w:sz w:val="19"/>
              </w:rPr>
              <w:t>Ekonomi och elbehov</w:t>
            </w:r>
          </w:p>
        </w:tc>
        <w:tc>
          <w:tcPr>
            <w:tcW w:type="dxa" w:w="2353"/>
          </w:tcPr>
          <w:p>
            <w:pPr>
              <w:spacing w:after="40"/>
            </w:pPr>
            <w:r/>
            <w:r>
              <w:rPr>
                <w:b w:val="0"/>
                <w:sz w:val="19"/>
              </w:rPr>
              <w:t>Hänvisning till ansökan (88–89, 94)</w:t>
            </w:r>
          </w:p>
        </w:tc>
        <w:tc>
          <w:tcPr>
            <w:tcW w:type="dxa" w:w="2353"/>
          </w:tcPr>
          <w:p>
            <w:pPr>
              <w:spacing w:after="40"/>
            </w:pPr>
            <w:r/>
            <w:r>
              <w:rPr>
                <w:b w:val="0"/>
                <w:sz w:val="19"/>
              </w:rPr>
              <w:t>redovisar kostnaden för alternativet Källby och det totala elbehovet för pumpning (2 kap. 5 och 7 §§). LNF har anfört att kostnaden för ett utbyggt Källby var upp till 2 miljarder kronor lägre (aktbilaga 257, bilaga 1)</w:t>
            </w:r>
          </w:p>
        </w:tc>
      </w:tr>
    </w:tbl>
    <w:p>
      <w:pPr>
        <w:spacing w:after="40"/>
      </w:pPr>
    </w:p>
    <w:p>
      <w:r>
        <w:rPr>
          <w:b w:val="0"/>
        </w:rPr>
        <w:t>Lund den        november 2026</w:t>
      </w:r>
    </w:p>
    <w:p>
      <w:r>
        <w:rPr>
          <w:b w:val="0"/>
        </w:rPr>
        <w:t>Lunds Naturskyddsförening</w:t>
      </w:r>
    </w:p>
    <w:p>
      <w:r>
        <w:rPr>
          <w:b w:val="0"/>
        </w:rPr>
        <w:t>(undertecknare)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2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2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Utkast KL_261021</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