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Utkast KL_261026</w:t>
      </w:r>
    </w:p>
    <w:p>
      <w:pPr>
        <w:ind w:left="360"/>
      </w:pPr>
      <w:r/>
      <w:r>
        <w:rPr>
          <w:b/>
        </w:rPr>
        <w:t>Om den här texten.</w:t>
      </w:r>
      <w:r>
        <w:t xml:space="preserve"> Utkast av Kent Lundgren till fortsatt diskussion, inte beslutat av någon förening och inte kvalitetssäkrat. Siffror och hänvisningar är hämtade ur angivna källor och ska kontrolleras mot källan. Det här är en kortversion med bara texten. Tidigare utkast är </w:t>
      </w:r>
      <w:r>
        <w:t>KL_261019</w:t>
      </w:r>
      <w:r>
        <w:t xml:space="preserve"> (19 punkter), </w:t>
      </w:r>
      <w:r>
        <w:t>KL_261020</w:t>
      </w:r>
      <w:r>
        <w:t xml:space="preserve"> (9 punkter i huvudtexten och 8 rader i en bilaga) och </w:t>
      </w:r>
      <w:r>
        <w:t>KL_261021</w:t>
      </w:r>
      <w:r>
        <w:t xml:space="preserve"> (11 punkter och 7 rader). Det här utkastet bygger på KL_261021 och har tagit in synpunkter som kommit efter den: en ny textversion från en av medlemmarna, och synpunkter på EU:s förordningar om återanvändning av vatten och om restaurering av natur. Utkastet har därefter reviderats efter ytterligare en synpunkt: punkterna anger nu vad som saknas i ansökan, i stället för att begära komplettering, eftersom det är domstolens sak att förelägga om komplettering om ansökan inte avslås. Punkt 10 har fått en mening om att ett förordnande inte kan meddelas för icke specificerade arbeten, och rad 5a hänvisar till att förordningen redan tagits upp. Övriga ändringar är: punkt 2 (VA SYDs egna uppgifter om fullmäktigebeslutet), andrahandsyrkandet i inledningen (22 kap. 2 §), punkt 4 (år 2150), punkt 6 (decentraliserade alternativ) och en ny rad i bilagan (EU-förordningarna). Juridiska bedömningar är läsningar av lagtext och inte granskade av jurist. </w:t>
      </w:r>
      <w:r>
        <w:rPr>
          <w:b w:val="0"/>
          <w:highlight w:val="yellow"/>
        </w:rPr>
        <w:t>Gulmarkerat</w:t>
      </w:r>
      <w:r>
        <w:t xml:space="preserve"> är den text som anger skälen för yrkandena. Markeringen är bara till granskning.</w:t>
      </w:r>
    </w:p>
    <w:p>
      <w:pPr>
        <w:pStyle w:val="Heading1"/>
      </w:pPr>
      <w:r>
        <w:t>Yttrande</w:t>
      </w:r>
    </w:p>
    <w:p>
      <w:r/>
      <w:r>
        <w:rPr>
          <w:b/>
        </w:rPr>
        <w:t>Till</w:t>
      </w:r>
      <w:r>
        <w:t xml:space="preserve"> Mark- och miljödomstolen vid Växjö tingsrätt</w:t>
      </w:r>
    </w:p>
    <w:p>
      <w:r/>
      <w:r>
        <w:rPr>
          <w:b/>
        </w:rPr>
        <w:t>Mål nr</w:t>
      </w:r>
      <w:r>
        <w:t xml:space="preserve"> M 3289-25</w:t>
      </w:r>
    </w:p>
    <w:p>
      <w:r/>
      <w:r>
        <w:rPr>
          <w:b/>
        </w:rPr>
        <w:t>Från</w:t>
      </w:r>
      <w:r>
        <w:t xml:space="preserve"> Lunds Naturskyddsförening</w:t>
      </w:r>
    </w:p>
    <w:p>
      <w:r/>
      <w:r>
        <w:rPr>
          <w:b/>
        </w:rPr>
        <w:t>Ärende</w:t>
      </w:r>
      <w:r>
        <w:t xml:space="preserve"> Yttrande över VA SYDs bemötande av 2026-09-30, aktbilaga 320</w:t>
      </w:r>
    </w:p>
    <w:p>
      <w:pPr>
        <w:pStyle w:val="Heading2"/>
      </w:pPr>
      <w:r>
        <w:t>Yrkanden och sammanfattning</w:t>
      </w:r>
    </w:p>
    <w:p>
      <w:r>
        <w:t>LNF vidhåller sina yrkanden i aktbilaga 257 (LNF:s yttrande 2026-06-09):</w:t>
      </w:r>
    </w:p>
    <w:p>
      <w:pPr>
        <w:pStyle w:val="ListBullet"/>
      </w:pPr>
      <w:r>
        <w:t xml:space="preserve">att ansökan om MAXIMA avslås, </w:t>
      </w:r>
      <w:r>
        <w:rPr>
          <w:b w:val="0"/>
          <w:highlight w:val="yellow"/>
        </w:rPr>
        <w:t>bland annat av de skäl som anges i punkt 1–8 nedan</w:t>
      </w:r>
      <w:r>
        <w:t>,</w:t>
      </w:r>
    </w:p>
    <w:p>
      <w:pPr>
        <w:pStyle w:val="ListBullet"/>
      </w:pPr>
      <w:r>
        <w:t xml:space="preserve">att domstolen underkänner miljökonsekvensbeskrivningen (MKB), eftersom den är ofullständig och felaktig, </w:t>
      </w:r>
      <w:r>
        <w:rPr>
          <w:b w:val="0"/>
          <w:highlight w:val="yellow"/>
        </w:rPr>
        <w:t>bland annat på de punkter som anges i punkt 1–6 nedan och i Bilagan</w:t>
      </w:r>
      <w:r>
        <w:t>,</w:t>
      </w:r>
    </w:p>
    <w:p>
      <w:pPr>
        <w:pStyle w:val="ListBullet"/>
      </w:pPr>
      <w:r>
        <w:t xml:space="preserve">att verkställighetsförordnandet avslås, </w:t>
      </w:r>
      <w:r>
        <w:rPr>
          <w:b w:val="0"/>
          <w:highlight w:val="yellow"/>
        </w:rPr>
        <w:t>se punkt 10</w:t>
      </w:r>
      <w:r>
        <w:t>.</w:t>
      </w:r>
    </w:p>
    <w:p>
      <w:r>
        <w:t xml:space="preserve">I andra hand, om domstolen inte avslår ansökan eller underkänner MKB:n nu, yrkar LNF att VA SYD föreläggs att komplettera MKB:n med de uppgifter som anges i </w:t>
      </w:r>
      <w:r>
        <w:rPr>
          <w:b w:val="0"/>
          <w:highlight w:val="yellow"/>
        </w:rPr>
        <w:t>punkt 1–7 och i Bilagan</w:t>
      </w:r>
      <w:r>
        <w:t xml:space="preserve">, och att ansökan avvisas om bristerna inte avhjälps (22 kap. 2 §). </w:t>
      </w:r>
      <w:r>
        <w:rPr>
          <w:b w:val="0"/>
          <w:highlight w:val="yellow"/>
        </w:rPr>
        <w:t>Varje punkt anger vilken fråga och vilket lagrum den gäller, och slutar med vad som saknas i ansökan. Punkterna är skäl för avslag. Det är domstolens sak att avgöra om och vad VA SYD ska föreläggas att komplettera, om ansökan inte avslås.</w:t>
      </w:r>
    </w:p>
    <w:p>
      <w:r>
        <w:t xml:space="preserve">LNF vidhåller sina avslagskrav, eftersom VA SYDs bemötande i huvudsak hänvisar till tidigare handlingar och inte ger nya uppgifter om de frågor som tas upp nedan. LNF:s tidigare yttrande kvarstår och upprepas inte här. LNF vidhåller de begäranden om redovisning som framställts i </w:t>
      </w:r>
      <w:r>
        <w:t>aktbilaga 257 (https://github.com/kentlundgren/Codex/blob/main/Fritid/NF/Maxima/Yttrande/LNF_yttrande_MAXIMA_M3289-25_aktbilaga257_VA-SYDs-markerade-kopia.pdf)</w:t>
      </w:r>
      <w:r>
        <w:t>.</w:t>
      </w:r>
    </w:p>
    <w:p>
      <w:r/>
      <w:r>
        <w:rPr>
          <w:b/>
        </w:rPr>
        <w:t>Sammanfattning.</w:t>
      </w:r>
      <w:r>
        <w:t xml:space="preserve"> VA SYD medger att konsekvenserna för Höjeådalens naturreservat, fridlysta arter och kumulativa effekter till följd av nedläggningen av Källby "inte har beaktats" (sid. 91), trots att omkopplingen från Källby enligt ansökan sker 2035 (sid. 42). Alternativet att behålla och modernisera Källby valdes bort bland annat eftersom det "sannolikt" skulle kräva en annan recipient (sid. 92), vilket visar att alternativet har bedömts men inte utretts. Skyddet mot havsnivåhöjning vid Sjölunda är dimensionerat för år 2100 (sid. 93), medan Länsstyrelsens vägledning anger att kustnära reningsverk bör ta höjd för värsta scenario och räkna 100 år efter färdigställande (vägledningen s. 17).</w:t>
      </w:r>
    </w:p>
    <w:p>
      <w:pPr>
        <w:pStyle w:val="Heading2"/>
      </w:pPr>
      <w:r>
        <w:t>Tunnelns verkningar för Höje å</w:t>
      </w:r>
    </w:p>
    <w:p>
      <w:r/>
      <w:r>
        <w:rPr>
          <w:b/>
        </w:rPr>
        <w:t>1. Verkningarna ska redovisas.</w:t>
      </w:r>
      <w:r>
        <w:t xml:space="preserve"> Enligt ansökan sker omkopplingen av avloppsvatten från Källby till Sjölunda 2035 (sid. 42). Avloppstunnel Norr kommer därefter att användas under resten av den tillståndstid som ansökan avser. Så fort tunneln tas i bruk upphör flödet av renat avloppsvatten till Höje å, och vattentemperaturen i reningsverksdammarna förändras. Därmed uppstår den påverkan på natur och miljö som LNF tidigare har beskrivit (aktbilaga 257). Det är miljöeffekter av den ansökta verksamheten, direkta eller indirekta, som ska identifieras och bedömas i MKB:n (6 kap. 2 och 35 §§ miljöbalken). </w:t>
      </w:r>
      <w:r/>
      <w:r>
        <w:rPr>
          <w:b/>
        </w:rPr>
        <w:t>Det som saknas</w:t>
      </w:r>
      <w:r>
        <w:t xml:space="preserve"> är en redovisning av dessa effekter för Höjeådalens naturreservat, fridlysta och hotade arter och för kumulativa effekter.</w:t>
      </w:r>
    </w:p>
    <w:p>
      <w:r/>
      <w:r>
        <w:rPr>
          <w:b/>
        </w:rPr>
        <w:t>2. VA SYD medger själva att effekterna inte har beaktats.</w:t>
      </w:r>
      <w:r>
        <w:t xml:space="preserve"> VA SYD uppger att konsekvenserna för Höjeådalens naturreservat, fridlysta arter och kumulativa effekter "inte har beaktats" (sid. 91). Samtidigt beskrivs nedläggningen i recipientbedömningen (sid. 75), och avvecklingen av Borgeby och Källby har inkluderats i bedömningen av vattenförekomsten (sid. 78). VA SYD anger att nedläggningen är ett politiskt beslut i Lunds kommunfullmäktige våren/sommaren 2024, som har gett förutsättningarna för avgränsningen och som hanteras separat genom anmälan (sid. 75). Samtidigt uppger VA SYD, i svaret till Naturskyddsföreningen i Lomma-Bjärred, att beslutet fattades bland annat med beaktande av situationen för recipienten Höje å (sid. 97). De två uppgifterna går inte ihop. Beslutet binder inte domstolens prövning. </w:t>
      </w:r>
      <w:r/>
      <w:r>
        <w:rPr>
          <w:b/>
        </w:rPr>
        <w:t>Det som saknas</w:t>
      </w:r>
      <w:r>
        <w:t xml:space="preserve"> är en förklaring av hur effekter som används i bedömningen kan lämnas utanför redovisningen, en redovisning av vilket underlag om Höje å och naturmiljön som låg till grund för fullmäktiges beslut, och en redovisning av om nollalternativet förutsätter att Källby läggs ned, och i så fall på vilket underlag (6 kap. 35 § 3).</w:t>
      </w:r>
    </w:p>
    <w:p>
      <w:r/>
      <w:r>
        <w:rPr>
          <w:b/>
        </w:rPr>
        <w:t>3. Kumulativa effekter för Natura 2000-området Lommaområdet.</w:t>
      </w:r>
      <w:r>
        <w:t xml:space="preserve"> Länsstyrelsen bedömer att verksamheten är tillståndspliktig enligt 7 kap. 28 a § miljöbalken för Natura 2000-området Lommaområdet (SE0430173), bland annat på grund av grumling vid muddring och anläggande av utloppsledningarna. VA SYD vidhåller att tillstånd enligt 28 a § inte behövs (sid. 16). I en dom där LNF var part (Svea hovrätt, Mark- och miljööverdomstolen, dom 2024-12-03, mål M 899-23, s. 15–16) anger domstolen att prövningen av kumulativa konsekvenser ska beakta samtliga projekt som tillsammans med det sökta kan påverka området på ett betydande sätt, och att "en verksamhet får godkännas endast under förutsättning att behöriga myndigheter har försäkrat sig om att verksamheten inte kommer att ha en bestående skadlig inverkan på det berörda området. Så är fallet när det ur ett vetenskapligt perspektiv inte föreligger några rimliga tvivel om att verksamheten inte kan ha en sådan skadlig inverkan" (med hänvisning till EU-domstolens mål C-441/17, Białowieżaskogen, p. 117). </w:t>
      </w:r>
      <w:r/>
      <w:r>
        <w:rPr>
          <w:b/>
        </w:rPr>
        <w:t>Det som saknas</w:t>
      </w:r>
      <w:r>
        <w:t xml:space="preserve"> är en redovisning av de kumulativa effekterna för Lommaområdet och av hur de har bedömts mot den måttstocken.</w:t>
      </w:r>
    </w:p>
    <w:p>
      <w:pPr>
        <w:pStyle w:val="Heading2"/>
      </w:pPr>
      <w:r>
        <w:t>Havsnivån</w:t>
      </w:r>
    </w:p>
    <w:p>
      <w:r/>
      <w:r>
        <w:rPr>
          <w:b/>
        </w:rPr>
        <w:t>4. Skyddsnivån vid Sjölunda.</w:t>
      </w:r>
      <w:r>
        <w:t xml:space="preserve"> VA SYD dimensionerar skyddet till +3,5 m (RH2000, det svenska höjdsystemet) för år 2100 och uppger att detta följer Länsstyrelsens vägledning (sid. 93). Vägledningen (Länsstyrelsen Skåne, rapport 2023:23) anger att nya anläggningar med viktiga samhällsfunktioner, såsom kustnära reningsverk, bör ta höjd för värsta scenario vid tillfälligt höga havsnivåer i kombination med storm, och att tidsperspektivet bör vara 100 år efter att anläggningen förväntas vara färdigställd (s. 17). Trafikverket räknar med 120–130 år för större anläggningar (s. 17). För Trelleborg år 2150 anger vägledningen summan 2,05 + 2,0 + 0,4 = 4,45 m (s. 18). Nivån +3,5 m och planeringsåret 2100 anges inte som krav i vägledningen. Sjölunda är en samhällsviktig anläggning, och LNF anser att den bör dimensioneras för scenarier för år 2150, på samma sätt som vägledningen tillämpar för Trelleborg. LNF:s beräkning mot år 2150 (aktbilaga 257, bilaga 8) bemöts inte i sak. </w:t>
      </w:r>
      <w:r/>
      <w:r>
        <w:rPr>
          <w:b/>
        </w:rPr>
        <w:t>Det som saknas</w:t>
      </w:r>
      <w:r>
        <w:t xml:space="preserve"> är uppgift om när bygget avslutas, en redovisning av var i vägledningen nivån +3,5 m och år 2100 anges, och ett bemötande av LNF:s beräkning.</w:t>
      </w:r>
    </w:p>
    <w:p>
      <w:r/>
      <w:r>
        <w:rPr>
          <w:b/>
        </w:rPr>
        <w:t>5. Anpassning över tid.</w:t>
      </w:r>
      <w:r>
        <w:t xml:space="preserve"> VA SYD redovisar inte hur skyddet kan byggas ut senare om nya underlag visar högre nivåer. Detta är en iakttagelse och ändrar inte LNF:s yrkande om avslag. </w:t>
      </w:r>
      <w:r/>
      <w:r>
        <w:rPr>
          <w:b/>
        </w:rPr>
        <w:t>Det som saknas</w:t>
      </w:r>
      <w:r>
        <w:t xml:space="preserve"> är en redovisning av hur skyddet kan anpassas över tid.</w:t>
      </w:r>
    </w:p>
    <w:p>
      <w:pPr>
        <w:pStyle w:val="Heading2"/>
      </w:pPr>
      <w:r>
        <w:t>Alternativ och bästa möjliga teknik</w:t>
      </w:r>
    </w:p>
    <w:p>
      <w:r/>
      <w:r>
        <w:rPr>
          <w:b/>
        </w:rPr>
        <w:t>6. Alternativet Källby har inte utretts.</w:t>
      </w:r>
      <w:r>
        <w:t xml:space="preserve"> VA SYD hänvisar till Bilaga M3 och till komplettering, och anger att sökanden avgränsar ansökan (sid. 89). Källbyalternativet valdes bort bland annat eftersom det "sannolikt" skulle kräva en annan recipient (sid. 92). Det visar att alternativet har bedömts, men inte att det har utretts (2 kap. 6 § och 6 kap. 35 § 2). Samma gäller alternativ med flera mindre, decentraliserade anläggningar i stället för ett enda kustnära verk. </w:t>
      </w:r>
      <w:r/>
      <w:r>
        <w:rPr>
          <w:b/>
        </w:rPr>
        <w:t>Det som saknas</w:t>
      </w:r>
      <w:r>
        <w:t xml:space="preserve"> är uppgift om bilaga, avsnitt och sida där alternativet Källby och decentraliserade alternativ har utretts.</w:t>
      </w:r>
    </w:p>
    <w:p>
      <w:r/>
      <w:r>
        <w:rPr>
          <w:b/>
        </w:rPr>
        <w:t>7. Fjärde reningssteget.</w:t>
      </w:r>
      <w:r>
        <w:t xml:space="preserve"> VA SYD överväger ett utredningsvillkor om kvartär rening (läkemedelsrester och liknande) och återkommer vecka 50 2026 (sid. 13, 47–48). Bästa möjliga teknik ska användas (2 kap. 3 § miljöbalken). Känd teknik hör till bedömningen nu. Ett utredningsvillkor som flyttar frågan till efter tillståndet förutsätter att verkningarna inte kan förutses med tillräcklig säkerhet (22 kap. 27 §). </w:t>
      </w:r>
      <w:r/>
      <w:r>
        <w:rPr>
          <w:b/>
        </w:rPr>
        <w:t>LNF anser</w:t>
      </w:r>
      <w:r>
        <w:t xml:space="preserve"> att frågan ska prövas i detta mål. Om domstolen ändå överväger ett utredningsvillkor yrkar LNF att det kopplas till ett konkret slutligt villkor, har en tidsgräns och beslutas av domstolen.</w:t>
      </w:r>
    </w:p>
    <w:p>
      <w:pPr>
        <w:pStyle w:val="Heading2"/>
      </w:pPr>
      <w:r>
        <w:t>Försämringsförbudet</w:t>
      </w:r>
    </w:p>
    <w:p>
      <w:r/>
      <w:r>
        <w:rPr>
          <w:b/>
        </w:rPr>
        <w:t>8. Försämringsförbudet gäller även vid nytt tillstånd.</w:t>
      </w:r>
      <w:r>
        <w:t xml:space="preserve"> EU-domstolen har slagit fast att medlemsstaterna inte får lämna tillstånd till ett projekt som kan orsaka en försämring av en ytvattenförekomsts status (mål C-461/13, Weser). VA SYD uppger att nytt tillstånd för Källby inte är möjligt med nuvarande utsläppspunkt, och att uppgiften kommer från Länsstyrelsen (sid. 92), men anger inget lagstöd. Försämringsförbudet i 5 kap. 4 § miljöbalken gäller även vid nytt tillstånd. </w:t>
      </w:r>
      <w:r/>
      <w:r>
        <w:rPr>
          <w:b/>
        </w:rPr>
        <w:t>Det som saknas</w:t>
      </w:r>
      <w:r>
        <w:t xml:space="preserve"> är en redovisning av var Länsstyrelsen har uttalat sig och på vilken grund.</w:t>
      </w:r>
    </w:p>
    <w:p>
      <w:pPr>
        <w:pStyle w:val="Heading2"/>
      </w:pPr>
      <w:r>
        <w:t>Villkor och verkställighet</w:t>
      </w:r>
    </w:p>
    <w:p>
      <w:r/>
      <w:r>
        <w:rPr>
          <w:b/>
        </w:rPr>
        <w:t>9. Villkor i andra hand.</w:t>
      </w:r>
      <w:r>
        <w:t xml:space="preserve"> Utan att frångå avslagsyrkandet, och endast om domstolen ändå meddelar tillstånd, yrkar LNF att tillståndet förenas med följande villkor: (a) kvartär rening enligt punkt 7, (b) ett program för mätning och uppföljning av flödet i Höje å, med mätvärden som redovisas till domstolen, (c) att skyddet mot havsnivåhöjning dimensioneras enligt Länsstyrelsens vägledning, se punkt 4.</w:t>
      </w:r>
    </w:p>
    <w:p>
      <w:r/>
      <w:r>
        <w:rPr>
          <w:b/>
        </w:rPr>
        <w:t>10. Verkställighetsförordnandet.</w:t>
      </w:r>
      <w:r>
        <w:t xml:space="preserve"> VA SYD uppger att upphandling av entreprenörer sker parallellt med tillståndsprövningen (sid. 7), och att verkställighetsförordnande fordras för samtliga schakt eftersom de är tekniskt beroende av varandra (sid. 95). Sjölunda anges vara tekniskt uttjänt och i behov av modernisering (sid. 94), men VA SYD redovisar inte vilka åtgärder som inte kan vänta till laga kraft eller varför de inte kan genomföras inom gällande tillstånd. Ett verkställighetsförordnande kräver att det finns skäl (22 kap. 28 §). </w:t>
      </w:r>
      <w:r/>
      <w:r>
        <w:rPr>
          <w:b/>
        </w:rPr>
        <w:t>Det som saknas</w:t>
      </w:r>
      <w:r>
        <w:t xml:space="preserve"> är uppgift om vilka arbeten det gäller och varför de inte kan vänta. Domstolen kan inte pröva om det finns skäl för ett förordnande för arbeten som inte har specificerats. Om domstolen ändå meddelar ett förordnande yrkar LNF att det begränsas till namngivna arbeten och förenas med säkerhet. Om VA SYD tecknar avtal om framtida arbeten under handläggningstiden sker det på egen risk.</w:t>
      </w:r>
    </w:p>
    <w:p>
      <w:pPr>
        <w:pStyle w:val="Heading2"/>
      </w:pPr>
      <w:r>
        <w:t>Reservation</w:t>
      </w:r>
    </w:p>
    <w:p>
      <w:r/>
      <w:r>
        <w:rPr>
          <w:b/>
        </w:rPr>
        <w:t>11.</w:t>
      </w:r>
      <w:r>
        <w:t xml:space="preserve"> VA SYD har meddelat att de återkommer med sin inställning till kvartär rening vecka 50 2026 (sid. 13, 47–48) och att de behöver mer tid för att bemöta Vattenmyndighetens yttranden (sid. 7). </w:t>
      </w:r>
      <w:r/>
      <w:r>
        <w:rPr>
          <w:b/>
        </w:rPr>
        <w:t>LNF reserverar sig</w:t>
      </w:r>
      <w:r>
        <w:t xml:space="preserve"> för att få yttra sig över dessa besked och över VA SYDs uppdaterade sammanställning av yrkanden och villkorsförslag.</w:t>
      </w:r>
    </w:p>
    <w:p>
      <w:pPr>
        <w:pStyle w:val="Heading1"/>
      </w:pPr>
      <w:r>
        <w:t>Bilaga: övriga frågor som VA SYD inte har besvarat</w:t>
      </w:r>
    </w:p>
    <w:p>
      <w:r>
        <w:t>Följande saknas i ansökan eller har inte besvarats i bemötandet. De är skäl för avslag på samma sätt som punkt 1–11.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VA SYDs nummer</w:t>
            </w:r>
          </w:p>
        </w:tc>
        <w:tc>
          <w:tcPr>
            <w:tcW w:type="dxa" w:w="2160"/>
          </w:tcPr>
          <w:p>
            <w:r>
              <w:rPr>
                <w:b/>
              </w:rPr>
            </w:r>
            <w:r>
              <w:rPr>
                <w:b/>
              </w:rPr>
              <w:t>Ämne</w:t>
            </w:r>
          </w:p>
        </w:tc>
        <w:tc>
          <w:tcPr>
            <w:tcW w:type="dxa" w:w="2160"/>
          </w:tcPr>
          <w:p>
            <w:r>
              <w:rPr>
                <w:b/>
              </w:rPr>
            </w:r>
            <w:r>
              <w:rPr>
                <w:b/>
              </w:rPr>
              <w:t>VA SYDs svar (sid.)</w:t>
            </w:r>
          </w:p>
        </w:tc>
        <w:tc>
          <w:tcPr>
            <w:tcW w:type="dxa" w:w="2160"/>
          </w:tcPr>
          <w:p>
            <w:r>
              <w:rPr>
                <w:b/>
              </w:rPr>
            </w:r>
            <w:r>
              <w:rPr>
                <w:b/>
              </w:rPr>
              <w:t>Det som saknas</w:t>
            </w:r>
          </w:p>
        </w:tc>
      </w:tr>
      <w:tr>
        <w:tc>
          <w:tcPr>
            <w:tcW w:type="dxa" w:w="2160"/>
          </w:tcPr>
          <w:p>
            <w:r/>
            <w:r>
              <w:t>3d</w:t>
            </w:r>
          </w:p>
        </w:tc>
        <w:tc>
          <w:tcPr>
            <w:tcW w:type="dxa" w:w="2160"/>
          </w:tcPr>
          <w:p>
            <w:r/>
            <w:r>
              <w:t>Bräddning vid Källby</w:t>
            </w:r>
          </w:p>
        </w:tc>
        <w:tc>
          <w:tcPr>
            <w:tcW w:type="dxa" w:w="2160"/>
          </w:tcPr>
          <w:p>
            <w:r/>
            <w:r>
              <w:t>Inget svar (89)</w:t>
            </w:r>
          </w:p>
        </w:tc>
        <w:tc>
          <w:tcPr>
            <w:tcW w:type="dxa" w:w="2160"/>
          </w:tcPr>
          <w:p>
            <w:r/>
            <w:r>
              <w:t>en redovisning av var och när bräddning har skett och vilka mätdata påståendet om ökad bräddning bygger på. LNF har anfört att verkets konstruktion inte tillåter bräddning och att miljörapporterna till och med 2023 inte redovisar någon (aktbilaga 257)</w:t>
            </w:r>
          </w:p>
        </w:tc>
      </w:tr>
      <w:tr>
        <w:tc>
          <w:tcPr>
            <w:tcW w:type="dxa" w:w="2160"/>
          </w:tcPr>
          <w:p>
            <w:r/>
            <w:r>
              <w:t>3e</w:t>
            </w:r>
          </w:p>
        </w:tc>
        <w:tc>
          <w:tcPr>
            <w:tcW w:type="dxa" w:w="2160"/>
          </w:tcPr>
          <w:p>
            <w:r/>
            <w:r>
              <w:t>Källbys tillståndstak</w:t>
            </w:r>
          </w:p>
        </w:tc>
        <w:tc>
          <w:tcPr>
            <w:tcW w:type="dxa" w:w="2160"/>
          </w:tcPr>
          <w:p>
            <w:r/>
            <w:r>
              <w:t>Inget svar (90)</w:t>
            </w:r>
          </w:p>
        </w:tc>
        <w:tc>
          <w:tcPr>
            <w:tcW w:type="dxa" w:w="2160"/>
          </w:tcPr>
          <w:p>
            <w:r/>
            <w:r>
              <w:t>en redovisning av hur Lunds avloppsvatten renas om taket nås före omkopplingen 2035 (sid. 42)</w:t>
            </w:r>
          </w:p>
        </w:tc>
      </w:tr>
      <w:tr>
        <w:tc>
          <w:tcPr>
            <w:tcW w:type="dxa" w:w="2160"/>
          </w:tcPr>
          <w:p>
            <w:r/>
            <w:r>
              <w:t>3f</w:t>
            </w:r>
          </w:p>
        </w:tc>
        <w:tc>
          <w:tcPr>
            <w:tcW w:type="dxa" w:w="2160"/>
          </w:tcPr>
          <w:p>
            <w:r/>
            <w:r>
              <w:t>CO₂ vid rivning</w:t>
            </w:r>
          </w:p>
        </w:tc>
        <w:tc>
          <w:tcPr>
            <w:tcW w:type="dxa" w:w="2160"/>
          </w:tcPr>
          <w:p>
            <w:r/>
            <w:r>
              <w:t>Inget svar (90)</w:t>
            </w:r>
          </w:p>
        </w:tc>
        <w:tc>
          <w:tcPr>
            <w:tcW w:type="dxa" w:w="2160"/>
          </w:tcPr>
          <w:p>
            <w:r/>
            <w:r>
              <w:t>en beräkning som omfattar rivning av Borgeby och Källby, eller uppgift om varför den inte ingår</w:t>
            </w:r>
          </w:p>
        </w:tc>
      </w:tr>
      <w:tr>
        <w:tc>
          <w:tcPr>
            <w:tcW w:type="dxa" w:w="2160"/>
          </w:tcPr>
          <w:p>
            <w:r/>
            <w:r>
              <w:t>5c</w:t>
            </w:r>
          </w:p>
        </w:tc>
        <w:tc>
          <w:tcPr>
            <w:tcW w:type="dxa" w:w="2160"/>
          </w:tcPr>
          <w:p>
            <w:r/>
            <w:r>
              <w:t>Fel vattenförekomst</w:t>
            </w:r>
          </w:p>
        </w:tc>
        <w:tc>
          <w:tcPr>
            <w:tcW w:type="dxa" w:w="2160"/>
          </w:tcPr>
          <w:p>
            <w:r/>
            <w:r>
              <w:t>Inget svar (92)</w:t>
            </w:r>
          </w:p>
        </w:tc>
        <w:tc>
          <w:tcPr>
            <w:tcW w:type="dxa" w:w="2160"/>
          </w:tcPr>
          <w:p>
            <w:r/>
            <w:r>
              <w:t>en rättelse eller förklaring av uppgiften om recipient för Källby</w:t>
            </w:r>
          </w:p>
        </w:tc>
      </w:tr>
      <w:tr>
        <w:tc>
          <w:tcPr>
            <w:tcW w:type="dxa" w:w="2160"/>
          </w:tcPr>
          <w:p>
            <w:r/>
            <w:r>
              <w:t>7a–7b</w:t>
            </w:r>
          </w:p>
        </w:tc>
        <w:tc>
          <w:tcPr>
            <w:tcW w:type="dxa" w:w="2160"/>
          </w:tcPr>
          <w:p>
            <w:r/>
            <w:r>
              <w:t>Centralisering och riskhantering</w:t>
            </w:r>
          </w:p>
        </w:tc>
        <w:tc>
          <w:tcPr>
            <w:tcW w:type="dxa" w:w="2160"/>
          </w:tcPr>
          <w:p>
            <w:r/>
            <w:r>
              <w:t>Krisrisker prövas ej (94)</w:t>
            </w:r>
          </w:p>
        </w:tc>
        <w:tc>
          <w:tcPr>
            <w:tcW w:type="dxa" w:w="2160"/>
          </w:tcPr>
          <w:p>
            <w:r/>
            <w:r>
              <w:t>en jämförelse mellan ett enda kustnära verk och ett system där Källby bibehålls (6 kap. 35 § 4: miljöeffekter till följd av yttre händelser)</w:t>
            </w:r>
          </w:p>
        </w:tc>
      </w:tr>
      <w:tr>
        <w:tc>
          <w:tcPr>
            <w:tcW w:type="dxa" w:w="2160"/>
          </w:tcPr>
          <w:p>
            <w:r/>
            <w:r>
              <w:t>7d–7e</w:t>
            </w:r>
          </w:p>
        </w:tc>
        <w:tc>
          <w:tcPr>
            <w:tcW w:type="dxa" w:w="2160"/>
          </w:tcPr>
          <w:p>
            <w:r/>
            <w:r>
              <w:t>Alnarpsströmmen, PFAS</w:t>
            </w:r>
          </w:p>
        </w:tc>
        <w:tc>
          <w:tcPr>
            <w:tcW w:type="dxa" w:w="2160"/>
          </w:tcPr>
          <w:p>
            <w:r/>
            <w:r>
              <w:t>Samlat svar (94)</w:t>
            </w:r>
          </w:p>
        </w:tc>
        <w:tc>
          <w:tcPr>
            <w:tcW w:type="dxa" w:w="2160"/>
          </w:tcPr>
          <w:p>
            <w:r/>
            <w:r>
              <w:t>uppgift om var tunnelns rörelse i höjdled vid Alnarpsströmmen och spridning av PFAS från marker norr om schakt S37 behandlas</w:t>
            </w:r>
          </w:p>
        </w:tc>
      </w:tr>
      <w:tr>
        <w:tc>
          <w:tcPr>
            <w:tcW w:type="dxa" w:w="2160"/>
          </w:tcPr>
          <w:p>
            <w:r/>
            <w:r>
              <w:t>5a</w:t>
            </w:r>
          </w:p>
        </w:tc>
        <w:tc>
          <w:tcPr>
            <w:tcW w:type="dxa" w:w="2160"/>
          </w:tcPr>
          <w:p>
            <w:r/>
            <w:r>
              <w:t>EU-förordningarna om återanvändning av vatten (2020/741) och restaurering av natur (2024/1991)</w:t>
            </w:r>
          </w:p>
        </w:tc>
        <w:tc>
          <w:tcPr>
            <w:tcW w:type="dxa" w:w="2160"/>
          </w:tcPr>
          <w:p>
            <w:r/>
            <w:r>
              <w:t>Inte nödvändigt att kommentera all lagstiftning, och förordning 2020/741 gäller bevattning som inte ingår i ansökan (91)</w:t>
            </w:r>
          </w:p>
        </w:tc>
        <w:tc>
          <w:tcPr>
            <w:tcW w:type="dxa" w:w="2160"/>
          </w:tcPr>
          <w:p>
            <w:r/>
            <w:r>
              <w:t>en redovisning av om återanvändning av renat avloppsvatten har bedömts som alternativ eller hushållningsåtgärd (2 kap. 5 §, 6 kap. 35 § 2), och av om berörda livsmiljötyper omfattas av förordning 2024/1991 om att livsmiljötyper i gott tillstånd inte får försämras avsevärt (artikel 4.11–12 och 5.9–10) och i så fall hur ansökan förhåller sig till kraven. LNF har tagit upp restaureringsförordningen i samrådssynpunkterna (s. 6) och i aktbilaga 257 (s. 3), men VA SYD svarar inte i sak</w:t>
            </w:r>
          </w:p>
        </w:tc>
      </w:tr>
      <w:tr>
        <w:tc>
          <w:tcPr>
            <w:tcW w:type="dxa" w:w="2160"/>
          </w:tcPr>
          <w:p>
            <w:r/>
            <w:r>
              <w:t>2, 8</w:t>
            </w:r>
          </w:p>
        </w:tc>
        <w:tc>
          <w:tcPr>
            <w:tcW w:type="dxa" w:w="2160"/>
          </w:tcPr>
          <w:p>
            <w:r/>
            <w:r>
              <w:t>Ekonomi och elbehov</w:t>
            </w:r>
          </w:p>
        </w:tc>
        <w:tc>
          <w:tcPr>
            <w:tcW w:type="dxa" w:w="2160"/>
          </w:tcPr>
          <w:p>
            <w:r/>
            <w:r>
              <w:t>Hänvisning till ansökan (88–89, 94)</w:t>
            </w:r>
          </w:p>
        </w:tc>
        <w:tc>
          <w:tcPr>
            <w:tcW w:type="dxa" w:w="2160"/>
          </w:tcPr>
          <w:p>
            <w:r/>
            <w:r>
              <w:t>en jämförbar kostnadsredovisning för alternativet Källby och MAXIMA (samma period, prisnivå och omfattning), och en redovisning av det totala elbehovet för pumpning (2 kap. 5 och 7 §§). Kostnadsskillnaden är osäker, se anmärkningen nedan</w:t>
            </w:r>
          </w:p>
        </w:tc>
      </w:tr>
    </w:tbl>
    <w:p>
      <w:r/>
      <w:r>
        <w:rPr>
          <w:b/>
        </w:rPr>
        <w:t>Anmärkning till rad 2, 8: kostnadsskillnaden.</w:t>
      </w:r>
      <w:r>
        <w:t xml:space="preserve"> LNF har anfört att kostnaden för ett utbyggt Källby var upp till 2 miljarder kronor lägre (aktbilaga 257, s. 1 och 6, bilaga 1). Underlaget kan läsas på olika sätt:</w:t>
      </w:r>
    </w:p>
    <w:p>
      <w:pPr>
        <w:pStyle w:val="ListBullet"/>
      </w:pPr>
      <w:r>
        <w:t xml:space="preserve">Slutrapporten </w:t>
      </w:r>
      <w:r>
        <w:rPr>
          <w:i/>
        </w:rPr>
        <w:t>Fortsatt drift eller nedläggning av Källby Avloppsreningsverk</w:t>
      </w:r>
      <w:r>
        <w:t xml:space="preserve"> (2020-09-07, s. 5) bedömer en utbyggnad av Källby till "i storleksordningen 300, maximalt 400, miljoner kronor", men anger att krav på läkemedelsrening kan driva kostnaden högre.</w:t>
      </w:r>
    </w:p>
    <w:p>
      <w:pPr>
        <w:pStyle w:val="ListBullet"/>
      </w:pPr>
      <w:r>
        <w:t xml:space="preserve">VA SYD (2021, </w:t>
      </w:r>
      <w:r>
        <w:rPr>
          <w:i/>
        </w:rPr>
        <w:t>Lunds framtida avloppsrening</w:t>
      </w:r>
      <w:r>
        <w:t>, tabell 3, s. 34) anger Lunds investering med Nya Sjölunda till 2 408 Mkr (system 3) och 2 670 Mkr (system 2). Jämfört med slutrapportens 300–400 Mkr blir skillnaden ca 2,0–2,4 miljarder. Det är så uppgiften "upp till 2 miljarder" kan härledas.</w:t>
      </w:r>
    </w:p>
    <w:p>
      <w:r>
        <w:t>Lund den        november 2026</w:t>
      </w:r>
    </w:p>
    <w:p>
      <w:r>
        <w:t>Lunds Naturskyddsförening</w:t>
      </w:r>
    </w:p>
    <w:p>
      <w:r>
        <w:t>(undertecknare)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Lundgren</dc:creator>
  <cp:keywords/>
  <dc:description>generated by python-docx</dc:description>
  <cp:lastModifiedBy/>
  <cp:revision>1</cp:revision>
  <dcterms:created xsi:type="dcterms:W3CDTF">2013-12-23T23:15:00Z</dcterms:created>
  <dcterms:modified xsi:type="dcterms:W3CDTF">2013-12-23T23:15:00Z</dcterms:modified>
  <cp:category/>
</cp:coreProperties>
</file>