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Yttrande</w:t>
      </w:r>
    </w:p>
    <w:p>
      <w:r>
        <w:rPr>
          <w:b/>
        </w:rPr>
        <w:t>Till</w:t>
      </w:r>
      <w:r>
        <w:rPr>
          <w:b w:val="0"/>
        </w:rPr>
        <w:t xml:space="preserve"> Mark- och miljödomstolen vid Växjö tingsrätt</w:t>
      </w:r>
      <w:r>
        <w:br/>
      </w:r>
      <w:r>
        <w:rPr>
          <w:b/>
        </w:rPr>
        <w:t>Mål nr</w:t>
      </w:r>
      <w:r>
        <w:rPr>
          <w:b w:val="0"/>
        </w:rPr>
        <w:t xml:space="preserve"> M 3289-25</w:t>
      </w:r>
      <w:r>
        <w:br/>
      </w:r>
      <w:r>
        <w:rPr>
          <w:b/>
        </w:rPr>
        <w:t>Från</w:t>
      </w:r>
      <w:r>
        <w:rPr>
          <w:b w:val="0"/>
        </w:rPr>
        <w:t xml:space="preserve"> Lunds Naturskyddsförening</w:t>
      </w:r>
      <w:r>
        <w:br/>
      </w:r>
      <w:r>
        <w:rPr>
          <w:b/>
        </w:rPr>
        <w:t>Ärende</w:t>
      </w:r>
      <w:r>
        <w:rPr>
          <w:b w:val="0"/>
        </w:rPr>
        <w:t xml:space="preserve"> Yttrande över VA SYDs bemötande av 2026-09-30, aktbilaga 320</w:t>
      </w:r>
    </w:p>
    <w:p>
      <w:pPr>
        <w:pStyle w:val="Heading2"/>
      </w:pPr>
      <w:r>
        <w:rPr>
          <w:b w:val="0"/>
        </w:rPr>
        <w:t>Yrkanden och sammanfattning</w:t>
      </w:r>
    </w:p>
    <w:p>
      <w:r>
        <w:rPr>
          <w:b w:val="0"/>
        </w:rPr>
        <w:t>LNF vidhåller sina yrkanden i aktbilaga 257 (LNF:s yttrande 2026-06-09):</w:t>
      </w:r>
    </w:p>
    <w:p>
      <w:pPr>
        <w:pStyle w:val="ListBullet"/>
      </w:pPr>
      <w:r>
        <w:rPr>
          <w:b w:val="0"/>
        </w:rPr>
        <w:t>att ansökan om MAXIMA avslås,</w:t>
      </w:r>
    </w:p>
    <w:p>
      <w:pPr>
        <w:pStyle w:val="ListBullet"/>
      </w:pPr>
      <w:r>
        <w:rPr>
          <w:b w:val="0"/>
        </w:rPr>
        <w:t>att domstolen underkänner miljökonsekvensbeskrivningen (MKB), eftersom den är ofullständig och felaktig,</w:t>
      </w:r>
    </w:p>
    <w:p>
      <w:pPr>
        <w:pStyle w:val="ListBullet"/>
      </w:pPr>
      <w:r>
        <w:rPr>
          <w:b w:val="0"/>
        </w:rPr>
        <w:t>att verkställighetsförordnandet avslås.</w:t>
      </w:r>
    </w:p>
    <w:p>
      <w:r>
        <w:rPr>
          <w:b w:val="0"/>
        </w:rPr>
        <w:t>I andra hand, om domstolen inte avslår ansökan eller underkänner MKB:n nu, yrkar LNF att VA SYD föreläggs att komplettera MKB:n med de uppgifter som anges nedan. Övriga frågor som VA SYD inte har besvarat redovisas i Bilagan.</w:t>
      </w:r>
    </w:p>
    <w:p>
      <w:r>
        <w:rPr>
          <w:b w:val="0"/>
        </w:rPr>
        <w:t>LNF vidhåller sina avslagskrav, eftersom VA SYDs bemötande i huvudsak hänvisar till tidigare handlingar och inte ger nya uppgifter om de frågor som tas upp nedan. LNF:s tidigare yttrande kvarstår och upprepas inte här.</w:t>
      </w:r>
    </w:p>
    <w:p>
      <w:r>
        <w:rPr>
          <w:b/>
        </w:rPr>
        <w:t>Sammanfattning.</w:t>
      </w:r>
      <w:r>
        <w:rPr>
          <w:b w:val="0"/>
        </w:rPr>
        <w:t xml:space="preserve"> VA SYD medger att konsekvenserna för Höjeådalens naturreservat, fridlysta arter och kumulativa effekter till följd av nedläggningen av Källby "inte har beaktats" (sid. 91), trots att omkopplingen från Källby enligt ansökan sker 2035 (sid. 42). Alternativet att behålla och modernisera Källby valdes bort bland annat eftersom det "sannolikt" skulle kräva en annan recipient (sid. 92), vilket visar att alternativet har bedömts men inte utretts. Skyddet mot havsnivåhöjning vid Sjölunda är dimensionerat för år 2100 (sid. 93), medan Länsstyrelsens vägledning anger att kustnära reningsverk bör ta höjd för värsta scenario och räkna 100 år efter färdigställande (vägledningen s. 17).</w:t>
      </w:r>
    </w:p>
    <w:p>
      <w:pPr>
        <w:pStyle w:val="Heading2"/>
      </w:pPr>
      <w:r>
        <w:rPr>
          <w:b w:val="0"/>
        </w:rPr>
        <w:t>Tunnelns verkningar för Höje å</w:t>
      </w:r>
    </w:p>
    <w:p>
      <w:r>
        <w:rPr>
          <w:b/>
        </w:rPr>
        <w:t>1. Verkningarna ska redovisas.</w:t>
      </w:r>
      <w:r>
        <w:rPr>
          <w:b w:val="0"/>
        </w:rPr>
        <w:t xml:space="preserve"> Enligt ansökan sker omkopplingen av avloppsvatten från Källby till Sjölunda 2035 (sid. 42). Avloppstunnel Norr kommer därefter att användas under resten av den tillståndstid som ansökan avser. Så fort tunneln tas i bruk upphör flödet av renat avloppsvatten till Höje å, och vattentemperaturen i reningsverksdammarna förändras. Därmed uppstår den påverkan på natur och miljö som LNF tidigare har beskrivit (aktbilaga 257). Det är miljöeffekter av den ansökta verksamheten, direkta eller indirekta, som ska identifieras och bedömas i MKB:n (6 kap. 2 och 35 §§ miljöbalken). </w:t>
      </w:r>
      <w:r>
        <w:rPr>
          <w:b/>
        </w:rPr>
        <w:t>LNF begär</w:t>
      </w:r>
      <w:r>
        <w:rPr>
          <w:b w:val="0"/>
        </w:rPr>
        <w:t xml:space="preserve"> att VA SYD redovisar dessa effekter för Höjeådalens naturreservat, fridlysta och hotade arter och för kumulativa effekter.</w:t>
      </w:r>
    </w:p>
    <w:p>
      <w:r>
        <w:rPr>
          <w:b/>
        </w:rPr>
        <w:t>2. VA SYD medger själva att effekterna inte har beaktats.</w:t>
      </w:r>
      <w:r>
        <w:rPr>
          <w:b w:val="0"/>
        </w:rPr>
        <w:t xml:space="preserve"> VA SYD uppger att konsekvenserna för Höjeådalens naturreservat, fridlysta arter och kumulativa effekter "inte har beaktats" (sid. 91). Samtidigt beskrivs nedläggningen i recipientbedömningen (sid. 75), och avvecklingen av Borgeby och Källby har inkluderats i bedömningen av vattenförekomsten (sid. 78). VA SYD anger att nedläggningen är ett politiskt beslut i Lunds kommunfullmäktige våren/sommaren 2024, som har gett förutsättningarna för avgränsningen och som hanteras separat genom anmälan (sid. 75). Beslutet binder inte domstolens prövning. </w:t>
      </w:r>
      <w:r>
        <w:rPr>
          <w:b/>
        </w:rPr>
        <w:t>LNF begär</w:t>
      </w:r>
      <w:r>
        <w:rPr>
          <w:b w:val="0"/>
        </w:rPr>
        <w:t xml:space="preserve"> att VA SYD förklarar hur effekter som används i bedömningen kan lämnas utanför redovisningen, och redovisar om nollalternativet förutsätter att Källby läggs ned, och i så fall på vilket underlag (6 kap. 35 § 3).</w:t>
      </w:r>
    </w:p>
    <w:p>
      <w:r>
        <w:rPr>
          <w:b/>
        </w:rPr>
        <w:t>3. Kumulativa effekter för Natura 2000-området Lommaområdet.</w:t>
      </w:r>
      <w:r>
        <w:rPr>
          <w:b w:val="0"/>
        </w:rPr>
        <w:t xml:space="preserve"> Länsstyrelsen bedömer att verksamheten är tillståndspliktig enligt 7 kap. 28 a § miljöbalken för Natura 2000-området Lommaområdet (SE0430173), bland annat på grund av grumling vid muddring och anläggande av utloppsledningarna. VA SYD vidhåller att tillstånd enligt 28 a § inte behövs (sid. 16). I en dom där LNF var part (Svea hovrätt, Mark- och miljööverdomstolen, dom 2024-12-03, mål M 899-23, s. 15–16) anger domstolen att prövningen av kumulativa konsekvenser ska beakta samtliga projekt som tillsammans med det sökta kan påverka området på ett betydande sätt, och att "en verksamhet får godkännas endast under förutsättning att behöriga myndigheter har försäkrat sig om att verksamheten inte kommer att ha en bestående skadlig inverkan på det berörda området. Så är fallet när det ur ett vetenskapligt perspektiv inte föreligger några rimliga tvivel om att verksamheten inte kan ha en sådan skadlig inverkan" (med hänvisning till EU-domstolens mål C-441/17, Białowieżaskogen, p. 117). </w:t>
      </w:r>
      <w:r>
        <w:rPr>
          <w:b/>
        </w:rPr>
        <w:t>LNF begär</w:t>
      </w:r>
      <w:r>
        <w:rPr>
          <w:b w:val="0"/>
        </w:rPr>
        <w:t xml:space="preserve"> att VA SYD redovisar de kumulativa effekterna för Lommaområdet och hur de har bedömts mot den måttstocken.</w:t>
      </w:r>
    </w:p>
    <w:p>
      <w:pPr>
        <w:pStyle w:val="Heading2"/>
      </w:pPr>
      <w:r>
        <w:rPr>
          <w:b w:val="0"/>
        </w:rPr>
        <w:t>Havsnivån</w:t>
      </w:r>
    </w:p>
    <w:p>
      <w:r>
        <w:rPr>
          <w:b/>
        </w:rPr>
        <w:t>4. Skyddsnivån vid Sjölunda.</w:t>
      </w:r>
      <w:r>
        <w:rPr>
          <w:b w:val="0"/>
        </w:rPr>
        <w:t xml:space="preserve"> VA SYD dimensionerar skyddet till +3,5 m (RH2000, det svenska höjdsystemet) för år 2100 och uppger att detta följer Länsstyrelsens vägledning (sid. 93). Vägledningen (Länsstyrelsen Skåne, rapport 2023:23) anger att nya anläggningar med viktiga samhällsfunktioner, såsom kustnära reningsverk, bör ta höjd för värsta scenario vid tillfälligt höga havsnivåer i kombination med storm, och att tidsperspektivet bör vara 100 år efter att anläggningen förväntas vara färdigställd (s. 17). Trafikverket räknar med 120–130 år för större anläggningar (s. 17). För Trelleborg år 2150 anger vägledningen summan 2,05 + 2,0 + 0,4 = 4,45 m (s. 18). Nivån +3,5 m och planeringsåret 2100 anges inte som krav i vägledningen. LNF:s beräkning mot år 2150 (aktbilaga 257, bilaga 8) bemöts inte i sak. </w:t>
      </w:r>
      <w:r>
        <w:rPr>
          <w:b/>
        </w:rPr>
        <w:t>LNF begär</w:t>
      </w:r>
      <w:r>
        <w:rPr>
          <w:b w:val="0"/>
        </w:rPr>
        <w:t xml:space="preserve"> att VA SYD anger när bygget avslutas, redovisar var i vägledningen nivån +3,5 m och år 2100 anges, och bemöter LNF:s beräkning.</w:t>
      </w:r>
    </w:p>
    <w:p>
      <w:r>
        <w:rPr>
          <w:b/>
        </w:rPr>
        <w:t>5. Anpassning över tid.</w:t>
      </w:r>
      <w:r>
        <w:rPr>
          <w:b w:val="0"/>
        </w:rPr>
        <w:t xml:space="preserve"> VA SYD redovisar inte hur skyddet kan byggas ut senare om nya underlag visar högre nivåer. Detta är en iakttagelse och ändrar inte LNF:s yrkande om avslag. </w:t>
      </w:r>
      <w:r>
        <w:rPr>
          <w:b/>
        </w:rPr>
        <w:t>LNF begär</w:t>
      </w:r>
      <w:r>
        <w:rPr>
          <w:b w:val="0"/>
        </w:rPr>
        <w:t xml:space="preserve"> att VA SYD redovisar hur skyddet kan anpassas över tid.</w:t>
      </w:r>
    </w:p>
    <w:p>
      <w:pPr>
        <w:pStyle w:val="Heading2"/>
      </w:pPr>
      <w:r>
        <w:rPr>
          <w:b w:val="0"/>
        </w:rPr>
        <w:t>Alternativ och bästa möjliga teknik</w:t>
      </w:r>
    </w:p>
    <w:p>
      <w:r>
        <w:rPr>
          <w:b/>
        </w:rPr>
        <w:t>6. Alternativet Källby har inte utretts.</w:t>
      </w:r>
      <w:r>
        <w:rPr>
          <w:b w:val="0"/>
        </w:rPr>
        <w:t xml:space="preserve"> VA SYD hänvisar till Bilaga M3 och till komplettering, och anger att sökanden avgränsar ansökan (sid. 89). Källbyalternativet valdes bort bland annat eftersom det "sannolikt" skulle kräva en annan recipient (sid. 92). Det visar att alternativet har bedömts, men inte att det har utretts (2 kap. 6 § och 6 kap. 35 § 2). </w:t>
      </w:r>
      <w:r>
        <w:rPr>
          <w:b/>
        </w:rPr>
        <w:t>LNF begär</w:t>
      </w:r>
      <w:r>
        <w:rPr>
          <w:b w:val="0"/>
        </w:rPr>
        <w:t xml:space="preserve"> att VA SYD anger bilaga, avsnitt och sida där alternativet Källby har utretts.</w:t>
      </w:r>
    </w:p>
    <w:p>
      <w:r>
        <w:rPr>
          <w:b/>
        </w:rPr>
        <w:t>7. Fjärde reningssteget.</w:t>
      </w:r>
      <w:r>
        <w:rPr>
          <w:b w:val="0"/>
        </w:rPr>
        <w:t xml:space="preserve"> VA SYD överväger ett utredningsvillkor om kvartär rening (läkemedelsrester och liknande) och återkommer vecka 50 2026 (sid. 13, 47–48). Bästa möjliga teknik ska användas (2 kap. 3 § miljöbalken). Känd teknik hör till bedömningen nu. Ett utredningsvillkor som flyttar frågan till efter tillståndet förutsätter att verkningarna inte kan förutses med tillräcklig säkerhet (22 kap. 27 §). </w:t>
      </w:r>
      <w:r>
        <w:rPr>
          <w:b/>
        </w:rPr>
        <w:t>LNF begär</w:t>
      </w:r>
      <w:r>
        <w:rPr>
          <w:b w:val="0"/>
        </w:rPr>
        <w:t xml:space="preserve"> att frågan prövas i detta mål. Om domstolen ändå överväger ett utredningsvillkor yrkar LNF att det kopplas till ett konkret slutligt villkor, har en tidsgräns och beslutas av domstolen.</w:t>
      </w:r>
    </w:p>
    <w:p>
      <w:pPr>
        <w:pStyle w:val="Heading2"/>
      </w:pPr>
      <w:r>
        <w:rPr>
          <w:b w:val="0"/>
        </w:rPr>
        <w:t>Försämringsförbudet</w:t>
      </w:r>
    </w:p>
    <w:p>
      <w:r>
        <w:rPr>
          <w:b/>
        </w:rPr>
        <w:t>8. Försämringsförbudet gäller även vid nytt tillstånd.</w:t>
      </w:r>
      <w:r>
        <w:rPr>
          <w:b w:val="0"/>
        </w:rPr>
        <w:t xml:space="preserve"> EU-domstolen har slagit fast att medlemsstaterna inte får lämna tillstånd till ett projekt som kan orsaka en försämring av en ytvattenförekomsts status (mål C-461/13, Weser). VA SYD uppger att nytt tillstånd för Källby inte är möjligt med nuvarande utsläppspunkt, och att uppgiften kommer från Länsstyrelsen (sid. 92), men anger inget lagstöd. Försämringsförbudet i 5 kap. 4 § miljöbalken gäller även vid nytt tillstånd. </w:t>
      </w:r>
      <w:r>
        <w:rPr>
          <w:b/>
        </w:rPr>
        <w:t>LNF begär</w:t>
      </w:r>
      <w:r>
        <w:rPr>
          <w:b w:val="0"/>
        </w:rPr>
        <w:t xml:space="preserve"> att VA SYD redovisar var Länsstyrelsen har uttalat sig och på vilken grund.</w:t>
      </w:r>
    </w:p>
    <w:p>
      <w:pPr>
        <w:pStyle w:val="Heading2"/>
      </w:pPr>
      <w:r>
        <w:rPr>
          <w:b w:val="0"/>
        </w:rPr>
        <w:t>Villkor och verkställighet</w:t>
      </w:r>
    </w:p>
    <w:p>
      <w:r>
        <w:rPr>
          <w:b/>
        </w:rPr>
        <w:t>9. Villkor i andra hand.</w:t>
      </w:r>
      <w:r>
        <w:rPr>
          <w:b w:val="0"/>
        </w:rPr>
        <w:t xml:space="preserve"> Utan att frångå avslagsyrkandet, och endast om domstolen ändå meddelar tillstånd, yrkar LNF att tillståndet förenas med följande villkor: (a) kvartär rening enligt punkt 7, (b) ett program för mätning och uppföljning av flödet i Höje å, med mätvärden som redovisas till domstolen, (c) att skyddet mot havsnivåhöjning dimensioneras enligt Länsstyrelsens vägledning, se punkt 4.</w:t>
      </w:r>
    </w:p>
    <w:p>
      <w:r>
        <w:rPr>
          <w:b/>
        </w:rPr>
        <w:t>10. Verkställighetsförordnandet.</w:t>
      </w:r>
      <w:r>
        <w:rPr>
          <w:b w:val="0"/>
        </w:rPr>
        <w:t xml:space="preserve"> VA SYD uppger att upphandling av entreprenörer sker parallellt med tillståndsprövningen (sid. 7), och att verkställighetsförordnande fordras för samtliga schakt eftersom de är tekniskt beroende av varandra (sid. 95). Sjölunda anges vara tekniskt uttjänt och i behov av modernisering (sid. 94), men VA SYD redovisar inte vilka åtgärder som inte kan vänta till laga kraft eller varför de inte kan genomföras inom gällande tillstånd. Ett verkställighetsförordnande kräver att det finns skäl (22 kap. 28 §). </w:t>
      </w:r>
      <w:r>
        <w:rPr>
          <w:b/>
        </w:rPr>
        <w:t>LNF begär</w:t>
      </w:r>
      <w:r>
        <w:rPr>
          <w:b w:val="0"/>
        </w:rPr>
        <w:t xml:space="preserve"> att VA SYD anger vilka arbeten det gäller och varför de inte kan vänta. Om domstolen ändå meddelar ett förordnande yrkar LNF att det begränsas till namngivna arbeten och förenas med säkerhet. Om VA SYD tecknar avtal om framtida arbeten under handläggningstiden sker det på egen risk.</w:t>
      </w:r>
    </w:p>
    <w:p>
      <w:pPr>
        <w:pStyle w:val="Heading2"/>
      </w:pPr>
      <w:r>
        <w:rPr>
          <w:b w:val="0"/>
        </w:rPr>
        <w:t>Reservation</w:t>
      </w:r>
    </w:p>
    <w:p>
      <w:r>
        <w:rPr>
          <w:b/>
        </w:rPr>
        <w:t>11.</w:t>
      </w:r>
      <w:r>
        <w:rPr>
          <w:b w:val="0"/>
        </w:rPr>
        <w:t xml:space="preserve"> VA SYD har meddelat att de återkommer med sin inställning till kvartär rening vecka 50 2026 (sid. 13, 47–48) och att de behöver mer tid för att bemöta Vattenmyndighetens yttranden (sid. 7). </w:t>
      </w:r>
      <w:r>
        <w:rPr>
          <w:b/>
        </w:rPr>
        <w:t>LNF reserverar sig</w:t>
      </w:r>
      <w:r>
        <w:rPr>
          <w:b w:val="0"/>
        </w:rPr>
        <w:t xml:space="preserve"> för att få yttra sig över dessa besked och över VA SYDs uppdaterade sammanställning av yrkanden och villkorsförslag.</w:t>
      </w:r>
    </w:p>
    <w:p>
      <w:pPr>
        <w:pStyle w:val="Heading1"/>
      </w:pPr>
      <w:r>
        <w:rPr>
          <w:b w:val="0"/>
        </w:rPr>
        <w:t>Bilaga: övriga frågor som VA SYD inte har besvarat</w:t>
      </w:r>
    </w:p>
    <w:p>
      <w:r>
        <w:rPr>
          <w:b w:val="0"/>
        </w:rPr>
        <w:t>LNF begär att VA SYD besvarar följande punkter, eller pekar ut var i ansökan de besvaras.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8EFE4"/>
          </w:tcPr>
          <w:p>
            <w:pPr>
              <w:spacing w:after="40"/>
            </w:pPr>
            <w:r/>
            <w:r>
              <w:rPr>
                <w:b/>
                <w:sz w:val="19"/>
              </w:rPr>
              <w:t>VA SYDs nummer</w:t>
            </w:r>
          </w:p>
        </w:tc>
        <w:tc>
          <w:tcPr>
            <w:tcW w:type="dxa" w:w="2353"/>
            <w:shd w:val="clear" w:color="auto" w:fill="E8EFE4"/>
          </w:tcPr>
          <w:p>
            <w:pPr>
              <w:spacing w:after="40"/>
            </w:pPr>
            <w:r/>
            <w:r>
              <w:rPr>
                <w:b/>
                <w:sz w:val="19"/>
              </w:rPr>
              <w:t>Ämne</w:t>
            </w:r>
          </w:p>
        </w:tc>
        <w:tc>
          <w:tcPr>
            <w:tcW w:type="dxa" w:w="2353"/>
            <w:shd w:val="clear" w:color="auto" w:fill="E8EFE4"/>
          </w:tcPr>
          <w:p>
            <w:pPr>
              <w:spacing w:after="40"/>
            </w:pPr>
            <w:r/>
            <w:r>
              <w:rPr>
                <w:b/>
                <w:sz w:val="19"/>
              </w:rPr>
              <w:t>VA SYDs svar (sid.)</w:t>
            </w:r>
          </w:p>
        </w:tc>
        <w:tc>
          <w:tcPr>
            <w:tcW w:type="dxa" w:w="2353"/>
            <w:shd w:val="clear" w:color="auto" w:fill="E8EFE4"/>
          </w:tcPr>
          <w:p>
            <w:pPr>
              <w:spacing w:after="40"/>
            </w:pPr>
            <w:r/>
            <w:r>
              <w:rPr>
                <w:b/>
                <w:sz w:val="19"/>
              </w:rPr>
              <w:t>LNF begär att VA SYD</w:t>
            </w:r>
          </w:p>
        </w:tc>
      </w:tr>
      <w:tr>
        <w:tc>
          <w:tcPr>
            <w:tcW w:type="dxa" w:w="2353"/>
          </w:tcPr>
          <w:p>
            <w:pPr>
              <w:spacing w:after="40"/>
            </w:pPr>
            <w:r/>
            <w:r>
              <w:rPr>
                <w:b w:val="0"/>
                <w:sz w:val="19"/>
              </w:rPr>
              <w:t>3d</w:t>
            </w:r>
          </w:p>
        </w:tc>
        <w:tc>
          <w:tcPr>
            <w:tcW w:type="dxa" w:w="2353"/>
          </w:tcPr>
          <w:p>
            <w:pPr>
              <w:spacing w:after="40"/>
            </w:pPr>
            <w:r/>
            <w:r>
              <w:rPr>
                <w:b w:val="0"/>
                <w:sz w:val="19"/>
              </w:rPr>
              <w:t>Bräddning vid Källby</w:t>
            </w:r>
          </w:p>
        </w:tc>
        <w:tc>
          <w:tcPr>
            <w:tcW w:type="dxa" w:w="2353"/>
          </w:tcPr>
          <w:p>
            <w:pPr>
              <w:spacing w:after="40"/>
            </w:pPr>
            <w:r/>
            <w:r>
              <w:rPr>
                <w:b w:val="0"/>
                <w:sz w:val="19"/>
              </w:rPr>
              <w:t>Inget svar (89)</w:t>
            </w:r>
          </w:p>
        </w:tc>
        <w:tc>
          <w:tcPr>
            <w:tcW w:type="dxa" w:w="2353"/>
          </w:tcPr>
          <w:p>
            <w:pPr>
              <w:spacing w:after="40"/>
            </w:pPr>
            <w:r/>
            <w:r>
              <w:rPr>
                <w:b w:val="0"/>
                <w:sz w:val="19"/>
              </w:rPr>
              <w:t>redovisar var och när bräddning har skett och vilka mätdata påståendet om ökad bräddning bygger på. LNF har anfört att verkets konstruktion inte tillåter bräddning och att miljörapporterna till och med 2023 inte redovisar någon (aktbilaga 257)</w:t>
            </w:r>
          </w:p>
        </w:tc>
      </w:tr>
      <w:tr>
        <w:tc>
          <w:tcPr>
            <w:tcW w:type="dxa" w:w="2353"/>
          </w:tcPr>
          <w:p>
            <w:pPr>
              <w:spacing w:after="40"/>
            </w:pPr>
            <w:r/>
            <w:r>
              <w:rPr>
                <w:b w:val="0"/>
                <w:sz w:val="19"/>
              </w:rPr>
              <w:t>3e</w:t>
            </w:r>
          </w:p>
        </w:tc>
        <w:tc>
          <w:tcPr>
            <w:tcW w:type="dxa" w:w="2353"/>
          </w:tcPr>
          <w:p>
            <w:pPr>
              <w:spacing w:after="40"/>
            </w:pPr>
            <w:r/>
            <w:r>
              <w:rPr>
                <w:b w:val="0"/>
                <w:sz w:val="19"/>
              </w:rPr>
              <w:t>Källbys tillståndstak</w:t>
            </w:r>
          </w:p>
        </w:tc>
        <w:tc>
          <w:tcPr>
            <w:tcW w:type="dxa" w:w="2353"/>
          </w:tcPr>
          <w:p>
            <w:pPr>
              <w:spacing w:after="40"/>
            </w:pPr>
            <w:r/>
            <w:r>
              <w:rPr>
                <w:b w:val="0"/>
                <w:sz w:val="19"/>
              </w:rPr>
              <w:t>Inget svar (90)</w:t>
            </w:r>
          </w:p>
        </w:tc>
        <w:tc>
          <w:tcPr>
            <w:tcW w:type="dxa" w:w="2353"/>
          </w:tcPr>
          <w:p>
            <w:pPr>
              <w:spacing w:after="40"/>
            </w:pPr>
            <w:r/>
            <w:r>
              <w:rPr>
                <w:b w:val="0"/>
                <w:sz w:val="19"/>
              </w:rPr>
              <w:t>redovisar hur Lunds avloppsvatten renas om taket nås före omkopplingen 2035 (sid. 42)</w:t>
            </w:r>
          </w:p>
        </w:tc>
      </w:tr>
      <w:tr>
        <w:tc>
          <w:tcPr>
            <w:tcW w:type="dxa" w:w="2353"/>
          </w:tcPr>
          <w:p>
            <w:pPr>
              <w:spacing w:after="40"/>
            </w:pPr>
            <w:r/>
            <w:r>
              <w:rPr>
                <w:b w:val="0"/>
                <w:sz w:val="19"/>
              </w:rPr>
              <w:t>3f</w:t>
            </w:r>
          </w:p>
        </w:tc>
        <w:tc>
          <w:tcPr>
            <w:tcW w:type="dxa" w:w="2353"/>
          </w:tcPr>
          <w:p>
            <w:pPr>
              <w:spacing w:after="40"/>
            </w:pPr>
            <w:r/>
            <w:r>
              <w:rPr>
                <w:b w:val="0"/>
                <w:sz w:val="19"/>
              </w:rPr>
              <w:t>CO₂ vid rivning</w:t>
            </w:r>
          </w:p>
        </w:tc>
        <w:tc>
          <w:tcPr>
            <w:tcW w:type="dxa" w:w="2353"/>
          </w:tcPr>
          <w:p>
            <w:pPr>
              <w:spacing w:after="40"/>
            </w:pPr>
            <w:r/>
            <w:r>
              <w:rPr>
                <w:b w:val="0"/>
                <w:sz w:val="19"/>
              </w:rPr>
              <w:t>Inget svar (90)</w:t>
            </w:r>
          </w:p>
        </w:tc>
        <w:tc>
          <w:tcPr>
            <w:tcW w:type="dxa" w:w="2353"/>
          </w:tcPr>
          <w:p>
            <w:pPr>
              <w:spacing w:after="40"/>
            </w:pPr>
            <w:r/>
            <w:r>
              <w:rPr>
                <w:b w:val="0"/>
                <w:sz w:val="19"/>
              </w:rPr>
              <w:t>kompletterar beräkningen med rivning av Borgeby och Källby, eller anger varför den inte ingår</w:t>
            </w:r>
          </w:p>
        </w:tc>
      </w:tr>
      <w:tr>
        <w:tc>
          <w:tcPr>
            <w:tcW w:type="dxa" w:w="2353"/>
          </w:tcPr>
          <w:p>
            <w:pPr>
              <w:spacing w:after="40"/>
            </w:pPr>
            <w:r/>
            <w:r>
              <w:rPr>
                <w:b w:val="0"/>
                <w:sz w:val="19"/>
              </w:rPr>
              <w:t>5c</w:t>
            </w:r>
          </w:p>
        </w:tc>
        <w:tc>
          <w:tcPr>
            <w:tcW w:type="dxa" w:w="2353"/>
          </w:tcPr>
          <w:p>
            <w:pPr>
              <w:spacing w:after="40"/>
            </w:pPr>
            <w:r/>
            <w:r>
              <w:rPr>
                <w:b w:val="0"/>
                <w:sz w:val="19"/>
              </w:rPr>
              <w:t>Fel vattenförekomst</w:t>
            </w:r>
          </w:p>
        </w:tc>
        <w:tc>
          <w:tcPr>
            <w:tcW w:type="dxa" w:w="2353"/>
          </w:tcPr>
          <w:p>
            <w:pPr>
              <w:spacing w:after="40"/>
            </w:pPr>
            <w:r/>
            <w:r>
              <w:rPr>
                <w:b w:val="0"/>
                <w:sz w:val="19"/>
              </w:rPr>
              <w:t>Inget svar (92)</w:t>
            </w:r>
          </w:p>
        </w:tc>
        <w:tc>
          <w:tcPr>
            <w:tcW w:type="dxa" w:w="2353"/>
          </w:tcPr>
          <w:p>
            <w:pPr>
              <w:spacing w:after="40"/>
            </w:pPr>
            <w:r/>
            <w:r>
              <w:rPr>
                <w:b w:val="0"/>
                <w:sz w:val="19"/>
              </w:rPr>
              <w:t>rättar eller förklarar uppgiften om recipient för Källby</w:t>
            </w:r>
          </w:p>
        </w:tc>
      </w:tr>
      <w:tr>
        <w:tc>
          <w:tcPr>
            <w:tcW w:type="dxa" w:w="2353"/>
          </w:tcPr>
          <w:p>
            <w:pPr>
              <w:spacing w:after="40"/>
            </w:pPr>
            <w:r/>
            <w:r>
              <w:rPr>
                <w:b w:val="0"/>
                <w:sz w:val="19"/>
              </w:rPr>
              <w:t>7a–7b</w:t>
            </w:r>
          </w:p>
        </w:tc>
        <w:tc>
          <w:tcPr>
            <w:tcW w:type="dxa" w:w="2353"/>
          </w:tcPr>
          <w:p>
            <w:pPr>
              <w:spacing w:after="40"/>
            </w:pPr>
            <w:r/>
            <w:r>
              <w:rPr>
                <w:b w:val="0"/>
                <w:sz w:val="19"/>
              </w:rPr>
              <w:t>Centralisering och riskhantering</w:t>
            </w:r>
          </w:p>
        </w:tc>
        <w:tc>
          <w:tcPr>
            <w:tcW w:type="dxa" w:w="2353"/>
          </w:tcPr>
          <w:p>
            <w:pPr>
              <w:spacing w:after="40"/>
            </w:pPr>
            <w:r/>
            <w:r>
              <w:rPr>
                <w:b w:val="0"/>
                <w:sz w:val="19"/>
              </w:rPr>
              <w:t>Krisrisker prövas ej (94)</w:t>
            </w:r>
          </w:p>
        </w:tc>
        <w:tc>
          <w:tcPr>
            <w:tcW w:type="dxa" w:w="2353"/>
          </w:tcPr>
          <w:p>
            <w:pPr>
              <w:spacing w:after="40"/>
            </w:pPr>
            <w:r/>
            <w:r>
              <w:rPr>
                <w:b w:val="0"/>
                <w:sz w:val="19"/>
              </w:rPr>
              <w:t>jämför ett enda kustnära verk med ett system där Källby bibehålls (6 kap. 35 § 4: miljöeffekter till följd av yttre händelser)</w:t>
            </w:r>
          </w:p>
        </w:tc>
      </w:tr>
      <w:tr>
        <w:tc>
          <w:tcPr>
            <w:tcW w:type="dxa" w:w="2353"/>
          </w:tcPr>
          <w:p>
            <w:pPr>
              <w:spacing w:after="40"/>
            </w:pPr>
            <w:r/>
            <w:r>
              <w:rPr>
                <w:b w:val="0"/>
                <w:sz w:val="19"/>
              </w:rPr>
              <w:t>7d–7e</w:t>
            </w:r>
          </w:p>
        </w:tc>
        <w:tc>
          <w:tcPr>
            <w:tcW w:type="dxa" w:w="2353"/>
          </w:tcPr>
          <w:p>
            <w:pPr>
              <w:spacing w:after="40"/>
            </w:pPr>
            <w:r/>
            <w:r>
              <w:rPr>
                <w:b w:val="0"/>
                <w:sz w:val="19"/>
              </w:rPr>
              <w:t>Alnarpsströmmen, PFAS</w:t>
            </w:r>
          </w:p>
        </w:tc>
        <w:tc>
          <w:tcPr>
            <w:tcW w:type="dxa" w:w="2353"/>
          </w:tcPr>
          <w:p>
            <w:pPr>
              <w:spacing w:after="40"/>
            </w:pPr>
            <w:r/>
            <w:r>
              <w:rPr>
                <w:b w:val="0"/>
                <w:sz w:val="19"/>
              </w:rPr>
              <w:t>Samlat svar (94)</w:t>
            </w:r>
          </w:p>
        </w:tc>
        <w:tc>
          <w:tcPr>
            <w:tcW w:type="dxa" w:w="2353"/>
          </w:tcPr>
          <w:p>
            <w:pPr>
              <w:spacing w:after="40"/>
            </w:pPr>
            <w:r/>
            <w:r>
              <w:rPr>
                <w:b w:val="0"/>
                <w:sz w:val="19"/>
              </w:rPr>
              <w:t>pekar ut var tunnelns rörelse i höjdled vid Alnarpsströmmen och spridning av PFAS från marker norr om schakt S37 behandlas</w:t>
            </w:r>
          </w:p>
        </w:tc>
      </w:tr>
      <w:tr>
        <w:tc>
          <w:tcPr>
            <w:tcW w:type="dxa" w:w="2353"/>
          </w:tcPr>
          <w:p>
            <w:pPr>
              <w:spacing w:after="40"/>
            </w:pPr>
            <w:r/>
            <w:r>
              <w:rPr>
                <w:b w:val="0"/>
                <w:sz w:val="19"/>
              </w:rPr>
              <w:t>2, 8</w:t>
            </w:r>
          </w:p>
        </w:tc>
        <w:tc>
          <w:tcPr>
            <w:tcW w:type="dxa" w:w="2353"/>
          </w:tcPr>
          <w:p>
            <w:pPr>
              <w:spacing w:after="40"/>
            </w:pPr>
            <w:r/>
            <w:r>
              <w:rPr>
                <w:b w:val="0"/>
                <w:sz w:val="19"/>
              </w:rPr>
              <w:t>Ekonomi och elbehov</w:t>
            </w:r>
          </w:p>
        </w:tc>
        <w:tc>
          <w:tcPr>
            <w:tcW w:type="dxa" w:w="2353"/>
          </w:tcPr>
          <w:p>
            <w:pPr>
              <w:spacing w:after="40"/>
            </w:pPr>
            <w:r/>
            <w:r>
              <w:rPr>
                <w:b w:val="0"/>
                <w:sz w:val="19"/>
              </w:rPr>
              <w:t>Hänvisning till ansökan (88–89, 94)</w:t>
            </w:r>
          </w:p>
        </w:tc>
        <w:tc>
          <w:tcPr>
            <w:tcW w:type="dxa" w:w="2353"/>
          </w:tcPr>
          <w:p>
            <w:pPr>
              <w:spacing w:after="40"/>
            </w:pPr>
            <w:r/>
            <w:r>
              <w:rPr>
                <w:b w:val="0"/>
                <w:sz w:val="19"/>
              </w:rPr>
              <w:t>redovisar kostnaden för alternativet Källby och det totala elbehovet för pumpning (2 kap. 5 och 7 §§). LNF har anfört att kostnaden för ett utbyggt Källby var upp till 2 miljarder kronor lägre (aktbilaga 257, bilaga 1)</w:t>
            </w:r>
          </w:p>
        </w:tc>
      </w:tr>
    </w:tbl>
    <w:p>
      <w:pPr>
        <w:spacing w:after="40"/>
      </w:pPr>
    </w:p>
    <w:p>
      <w:r>
        <w:rPr>
          <w:b w:val="0"/>
        </w:rPr>
        <w:t>Lund den        november 2026</w:t>
      </w:r>
    </w:p>
    <w:p>
      <w:r>
        <w:rPr>
          <w:b w:val="0"/>
        </w:rPr>
        <w:t>Lunds Naturskyddsförening</w:t>
      </w:r>
    </w:p>
    <w:p>
      <w:r>
        <w:rPr>
          <w:b w:val="0"/>
        </w:rPr>
        <w:t>(undertecknare)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2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Utkast KL_261021</dc:title>
  <dc:subject/>
  <dc:creator>Kent Lundgren</dc:creator>
  <cp:keywords/>
  <dc:description>generated by python-docx</dc:description>
  <cp:lastModifiedBy/>
  <cp:revision>1</cp:revision>
  <dcterms:created xsi:type="dcterms:W3CDTF">2013-12-23T23:15:00Z</dcterms:created>
  <dcterms:modified xsi:type="dcterms:W3CDTF">2013-12-23T23:15:00Z</dcterms:modified>
  <cp:category/>
</cp:coreProperties>
</file>