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Utkast KL_261026</w:t>
      </w:r>
    </w:p>
    <w:p>
      <w:pPr>
        <w:ind w:left="360"/>
      </w:pPr>
      <w:r/>
      <w:r>
        <w:rPr>
          <w:b/>
        </w:rPr>
        <w:t>Om den här texten.</w:t>
      </w:r>
      <w:r>
        <w:t xml:space="preserve"> Utkast av Kent Lundgren till fortsatt diskussion, inte beslutat av någon förening och inte kvalitetssäkrat. Siffror och hänvisningar är hämtade ur angivna källor och ska kontrolleras mot källan. Det här är en kortversion med bara texten. Tidigare utkast är </w:t>
      </w:r>
      <w:r>
        <w:t>KL_261019</w:t>
      </w:r>
      <w:r>
        <w:t xml:space="preserve"> (19 punkter), </w:t>
      </w:r>
      <w:r>
        <w:t>KL_261020</w:t>
      </w:r>
      <w:r>
        <w:t xml:space="preserve"> (9 punkter i huvudtexten och 8 rader i en bilaga) och </w:t>
      </w:r>
      <w:r>
        <w:t>KL_261021</w:t>
      </w:r>
      <w:r>
        <w:t xml:space="preserve"> (11 punkter och 7 rader). Det här utkastet bygger på KL_261021 och har tagit in synpunkter som kommit efter den: en ny textversion från en av medlemmarna, och synpunkter på EU:s förordningar om återanvändning av vatten och om restaurering av natur. Utkastet har därefter reviderats efter ytterligare en synpunkt: punkterna anger nu vad som saknas i ansökan, i stället för att begära komplettering, eftersom det är domstolens sak att förelägga om komplettering om ansökan inte avslås. Punkt 10 har fått en mening om att ett förordnande inte kan meddelas för icke specificerade arbeten, och rad 5a hänvisar till att förordningen redan tagits upp. Övriga ändringar är: punkt 2 (VA SYDs egna uppgifter om fullmäktigebeslutet), andrahandsyrkandet i inledningen (22 kap. 2 §), punkt 4 (år 2150), punkt 6 (decentraliserade alternativ) och en ny rad i bilagan (EU-förordningarna). Juridiska bedömningar är läsningar av lagtext och inte granskade av jurist. </w:t>
      </w:r>
      <w:r>
        <w:rPr>
          <w:b w:val="0"/>
          <w:highlight w:val="yellow"/>
        </w:rPr>
        <w:t>Gulmarkerat</w:t>
      </w:r>
      <w:r>
        <w:t xml:space="preserve"> är den text som anger skälen för yrkandena. Markeringen är bara till granskning.</w:t>
      </w:r>
    </w:p>
    <w:p>
      <w:pPr>
        <w:pStyle w:val="Heading1"/>
      </w:pPr>
      <w:r>
        <w:t>Yttrande</w:t>
      </w:r>
    </w:p>
    <w:p>
      <w:r/>
      <w:r>
        <w:rPr>
          <w:b/>
        </w:rPr>
        <w:t>Till</w:t>
      </w:r>
      <w:r>
        <w:t xml:space="preserve"> Mark- och miljödomstolen vid Växjö tingsrätt</w:t>
      </w:r>
    </w:p>
    <w:p>
      <w:r/>
      <w:r>
        <w:rPr>
          <w:b/>
        </w:rPr>
        <w:t>Mål nr</w:t>
      </w:r>
      <w:r>
        <w:t xml:space="preserve"> M 3289-25</w:t>
      </w:r>
    </w:p>
    <w:p>
      <w:r/>
      <w:r>
        <w:rPr>
          <w:b/>
        </w:rPr>
        <w:t>Från</w:t>
      </w:r>
      <w:r>
        <w:t xml:space="preserve"> Lunds Naturskyddsförening</w:t>
      </w:r>
    </w:p>
    <w:p>
      <w:r/>
      <w:r>
        <w:rPr>
          <w:b/>
        </w:rPr>
        <w:t>Ärende</w:t>
      </w:r>
      <w:r>
        <w:t xml:space="preserve"> Yttrande över VA SYDs bemötande av 2026-09-30, aktbilaga 320</w:t>
      </w:r>
    </w:p>
    <w:p>
      <w:pPr>
        <w:pStyle w:val="Heading2"/>
      </w:pPr>
      <w:r>
        <w:t>Yrkanden och sammanfattning</w:t>
      </w:r>
    </w:p>
    <w:p>
      <w:r>
        <w:t>LNF vidhåller sina yrkanden i aktbilaga 257 (LNF:s yttrande, inkom 2026-06-09):</w:t>
      </w:r>
    </w:p>
    <w:p>
      <w:pPr>
        <w:pStyle w:val="ListBullet"/>
      </w:pPr>
      <w:r>
        <w:t xml:space="preserve">att ansökan om MAXIMA avslås, </w:t>
      </w:r>
      <w:r>
        <w:rPr>
          <w:b w:val="0"/>
          <w:highlight w:val="yellow"/>
        </w:rPr>
        <w:t>bland annat av de skäl som anges i punkt 1–8 nedan</w:t>
      </w:r>
      <w:r>
        <w:t>,</w:t>
      </w:r>
    </w:p>
    <w:p>
      <w:pPr>
        <w:pStyle w:val="ListBullet"/>
      </w:pPr>
      <w:r>
        <w:t xml:space="preserve">att domstolen underkänner miljökonsekvensbeskrivningen (MKB), eftersom den är ofullständig och felaktig, </w:t>
      </w:r>
      <w:r>
        <w:rPr>
          <w:b w:val="0"/>
          <w:highlight w:val="yellow"/>
        </w:rPr>
        <w:t>bland annat på de punkter som anges i punkt 1–6 nedan och i Bilagan</w:t>
      </w:r>
      <w:r>
        <w:t>,</w:t>
      </w:r>
    </w:p>
    <w:p>
      <w:pPr>
        <w:pStyle w:val="ListBullet"/>
      </w:pPr>
      <w:r>
        <w:t xml:space="preserve">att verkställighetsförordnandet avslås, </w:t>
      </w:r>
      <w:r>
        <w:rPr>
          <w:b w:val="0"/>
          <w:highlight w:val="yellow"/>
        </w:rPr>
        <w:t>se punkt 10</w:t>
      </w:r>
      <w:r>
        <w:t>.</w:t>
      </w:r>
    </w:p>
    <w:p>
      <w:r>
        <w:t xml:space="preserve">I andra hand, om domstolen inte avslår ansökan eller underkänner MKB:n nu, yrkar LNF att VA SYD föreläggs att komplettera MKB:n med de uppgifter som anges i </w:t>
      </w:r>
      <w:r>
        <w:rPr>
          <w:b w:val="0"/>
          <w:highlight w:val="yellow"/>
        </w:rPr>
        <w:t>punkt 1–7 och i Bilagan</w:t>
      </w:r>
      <w:r>
        <w:t xml:space="preserve">, och att ansökan avvisas om bristerna inte avhjälps (22 kap. 2 §). </w:t>
      </w:r>
      <w:r>
        <w:rPr>
          <w:b w:val="0"/>
          <w:highlight w:val="yellow"/>
        </w:rPr>
        <w:t>Varje punkt anger vilken fråga och vilket lagrum den gäller, och slutar med vad som saknas i ansökan. Punkterna är skäl för avslag. Det är domstolens sak att avgöra om och vad VA SYD ska föreläggas att komplettera, om ansökan inte avslås.</w:t>
      </w:r>
    </w:p>
    <w:p>
      <w:r>
        <w:t xml:space="preserve">LNF vidhåller sina avslagskrav, eftersom VA SYDs bemötande i huvudsak hänvisar till tidigare handlingar och inte ger nya uppgifter om de frågor som tas upp nedan. LNF:s tidigare yttrande kvarstår och upprepas inte här. LNF vidhåller de begäranden om redovisning som framställts i </w:t>
      </w:r>
      <w:r>
        <w:t>aktbilaga 257 (https://github.com/kentlundgren/Codex/blob/main/Fritid/NF/Maxima/Yttrande/LNF_yttrande_MAXIMA_M3289-25_aktbilaga257_VA-SYDs-markerade-kopia.pdf)</w:t>
      </w:r>
      <w:r>
        <w:t>.</w:t>
      </w:r>
    </w:p>
    <w:p>
      <w:r/>
      <w:r>
        <w:rPr>
          <w:b/>
        </w:rPr>
        <w:t>Sammanfattning.</w:t>
      </w:r>
      <w: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t>Tunnelns verkningar för Höje å</w:t>
      </w:r>
    </w:p>
    <w:p>
      <w:r/>
      <w:r>
        <w:rPr>
          <w:b/>
        </w:rPr>
        <w:t>1. Verkningarna ska redovisas.</w:t>
      </w:r>
      <w: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
        <w:rPr>
          <w:b/>
        </w:rPr>
        <w:t>Det som saknas</w:t>
      </w:r>
      <w:r>
        <w:t xml:space="preserve"> är en redovisning av dessa effekter för Höjeådalens naturreservat, fridlysta och hotade arter och för kumulativa effekter.</w:t>
      </w:r>
    </w:p>
    <w:p>
      <w:r/>
      <w:r>
        <w:rPr>
          <w:b/>
        </w:rPr>
        <w:t>2. VA SYD medger själva att effekterna inte har beaktats.</w:t>
      </w:r>
      <w: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Samtidigt uppger VA SYD, i svaret till Naturskyddsföreningen i Lomma-Bjärred, att beslutet fattades bland annat med beaktande av situationen för recipienten Höje å (sid. 97). De två uppgifterna går inte ihop. Beslutet binder inte domstolens prövning. </w:t>
      </w:r>
      <w:r/>
      <w:r>
        <w:rPr>
          <w:b/>
        </w:rPr>
        <w:t>Det som saknas</w:t>
      </w:r>
      <w:r>
        <w:t xml:space="preserve"> är en förklaring av hur effekter som används i bedömningen kan lämnas utanför redovisningen, en redovisning av vilket underlag om Höje å och naturmiljön som låg till grund för fullmäktiges beslut, och en redovisning av om nollalternativet förutsätter att Källby läggs ned, och i så fall på vilket underlag (6 kap. 35 § 3).</w:t>
      </w:r>
    </w:p>
    <w:p>
      <w:r/>
      <w:r>
        <w:rPr>
          <w:b/>
        </w:rPr>
        <w:t>3. Kumulativa effekter för Natura 2000-området Lommaområdet.</w:t>
      </w:r>
      <w: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
        <w:rPr>
          <w:b/>
        </w:rPr>
        <w:t>Det som saknas</w:t>
      </w:r>
      <w:r>
        <w:t xml:space="preserve"> är en redovisning av de kumulativa effekterna för Lommaområdet och av hur de har bedömts mot den måttstocken.</w:t>
      </w:r>
    </w:p>
    <w:p>
      <w:pPr>
        <w:pStyle w:val="Heading2"/>
      </w:pPr>
      <w:r>
        <w:t>Havsnivån</w:t>
      </w:r>
    </w:p>
    <w:p>
      <w:r/>
      <w:r>
        <w:rPr>
          <w:b/>
        </w:rPr>
        <w:t>4. Skyddsnivån vid Sjölunda.</w:t>
      </w:r>
      <w: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Sjölunda är en samhällsviktig anläggning, och LNF anser att den bör dimensioneras för scenarier för år 2150, på samma sätt som vägledningen tillämpar för Trelleborg. LNF:s beräkning mot år 2150 (aktbilaga 257, bilaga 8) bemöts inte i sak. </w:t>
      </w:r>
      <w:r/>
      <w:r>
        <w:rPr>
          <w:b/>
        </w:rPr>
        <w:t>Det som saknas</w:t>
      </w:r>
      <w:r>
        <w:t xml:space="preserve"> är uppgift om när bygget avslutas, en redovisning av var i vägledningen nivån +3,5 m och år 2100 anges, och ett bemötande av LNF:s beräkning.</w:t>
      </w:r>
    </w:p>
    <w:p>
      <w:r/>
      <w:r>
        <w:rPr>
          <w:b/>
        </w:rPr>
        <w:t>5. Anpassning över tid.</w:t>
      </w:r>
      <w:r>
        <w:t xml:space="preserve"> VA SYD redovisar inte hur skyddet kan byggas ut senare om nya underlag visar högre nivåer. Detta är en iakttagelse och ändrar inte LNF:s yrkande om avslag. </w:t>
      </w:r>
      <w:r/>
      <w:r>
        <w:rPr>
          <w:b/>
        </w:rPr>
        <w:t>Det som saknas</w:t>
      </w:r>
      <w:r>
        <w:t xml:space="preserve"> är en redovisning av hur skyddet kan anpassas över tid.</w:t>
      </w:r>
    </w:p>
    <w:p>
      <w:pPr>
        <w:pStyle w:val="Heading2"/>
      </w:pPr>
      <w:r>
        <w:t>Alternativ och bästa möjliga teknik</w:t>
      </w:r>
    </w:p>
    <w:p>
      <w:r/>
      <w:r>
        <w:rPr>
          <w:b/>
        </w:rPr>
        <w:t>6. Alternativet Källby har inte utretts.</w:t>
      </w:r>
      <w: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Samma gäller alternativ med flera mindre, decentraliserade anläggningar i stället för ett enda kustnära verk. </w:t>
      </w:r>
      <w:r/>
      <w:r>
        <w:rPr>
          <w:b/>
        </w:rPr>
        <w:t>Det som saknas</w:t>
      </w:r>
      <w:r>
        <w:t xml:space="preserve"> är uppgift om bilaga, avsnitt och sida där alternativet Källby och decentraliserade alternativ har utretts.</w:t>
      </w:r>
    </w:p>
    <w:p>
      <w:r/>
      <w:r>
        <w:rPr>
          <w:b/>
        </w:rPr>
        <w:t>7. Fjärde reningssteget.</w:t>
      </w:r>
      <w: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
        <w:rPr>
          <w:b/>
        </w:rPr>
        <w:t>LNF anser</w:t>
      </w:r>
      <w:r>
        <w:t xml:space="preserve"> att frågan ska prövas i detta mål. Om domstolen ändå överväger ett utredningsvillkor yrkar LNF att det kopplas till ett konkret slutligt villkor, har en tidsgräns och beslutas av domstolen.</w:t>
      </w:r>
    </w:p>
    <w:p>
      <w:pPr>
        <w:pStyle w:val="Heading2"/>
      </w:pPr>
      <w:r>
        <w:t>Försämringsförbudet</w:t>
      </w:r>
    </w:p>
    <w:p>
      <w:r/>
      <w:r>
        <w:rPr>
          <w:b/>
        </w:rPr>
        <w:t>8. Försämringsförbudet gäller även vid nytt tillstånd.</w:t>
      </w:r>
      <w: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
        <w:rPr>
          <w:b/>
        </w:rPr>
        <w:t>Det som saknas</w:t>
      </w:r>
      <w:r>
        <w:t xml:space="preserve"> är en redovisning av var Länsstyrelsen har uttalat sig och på vilken grund.</w:t>
      </w:r>
    </w:p>
    <w:p>
      <w:pPr>
        <w:pStyle w:val="Heading2"/>
      </w:pPr>
      <w:r>
        <w:t>Villkor och verkställighet</w:t>
      </w:r>
    </w:p>
    <w:p>
      <w:r/>
      <w:r>
        <w:rPr>
          <w:b/>
        </w:rPr>
        <w:t>9. Villkor i andra hand.</w:t>
      </w:r>
      <w: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
        <w:rPr>
          <w:b/>
        </w:rPr>
        <w:t>10. Verkställighetsförordnandet.</w:t>
      </w:r>
      <w: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och VA SYD har inte visat några. </w:t>
      </w:r>
      <w:r/>
      <w:r>
        <w:rPr>
          <w:b/>
        </w:rPr>
        <w:t>LNF yrkar</w:t>
      </w:r>
      <w:r>
        <w:t xml:space="preserve"> att yrkandet om verkställighetsförordnande avslås. </w:t>
      </w:r>
      <w:r/>
      <w:r>
        <w:rPr>
          <w:b/>
        </w:rPr>
        <w:t>Det som saknas</w:t>
      </w:r>
      <w:r>
        <w:t xml:space="preserve"> är uppgift om vilka arbeten det gäller och varför de inte kan vänta. Domstolen kan inte pröva om det finns skäl för ett förordnande för arbeten som inte har specificerats. Utan att frångå avslagsyrkandet yrkar LNF i andra hand, om domstolen ändå meddelar ett förordnande, att det begränsas till namngivna arbeten och förenas med säkerhet. Om VA SYD tecknar avtal om framtida arbeten under handläggningstiden sker det på egen risk. Skulle VA SYD senare ange vilka arbeten det gäller får LNF återkomma.</w:t>
      </w:r>
    </w:p>
    <w:p>
      <w:pPr>
        <w:pStyle w:val="Heading2"/>
      </w:pPr>
      <w:r>
        <w:t>Reservation</w:t>
      </w:r>
    </w:p>
    <w:p>
      <w:r/>
      <w:r>
        <w:rPr>
          <w:b/>
        </w:rPr>
        <w:t>11.</w:t>
      </w:r>
      <w:r>
        <w:t xml:space="preserve"> VA SYD har meddelat att de återkommer med sin inställning till kvartär rening vecka 50 2026 (sid. 13, 47–48) och att de behöver mer tid för att bemöta Vattenmyndighetens yttranden (sid. 7). </w:t>
      </w:r>
      <w:r/>
      <w:r>
        <w:rPr>
          <w:b/>
        </w:rPr>
        <w:t>LNF reserverar sig</w:t>
      </w:r>
      <w:r>
        <w:t xml:space="preserve"> för att få yttra sig över dessa besked och över VA SYDs uppdaterade sammanställning av yrkanden och villkorsförslag.</w:t>
      </w:r>
    </w:p>
    <w:p>
      <w:pPr>
        <w:pStyle w:val="Heading1"/>
      </w:pPr>
      <w:r>
        <w:t>Bilaga: övriga frågor som VA SYD inte har besvarat</w:t>
      </w:r>
    </w:p>
    <w:p>
      <w:r>
        <w:t>Följande saknas i ansökan eller har inte besvarats i bemötandet. De är skäl för avslag på samma sätt som punkt 1–11.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VA SYDs nummer</w:t>
            </w:r>
          </w:p>
        </w:tc>
        <w:tc>
          <w:tcPr>
            <w:tcW w:type="dxa" w:w="2160"/>
          </w:tcPr>
          <w:p>
            <w:r>
              <w:rPr>
                <w:b/>
              </w:rPr>
            </w:r>
            <w:r>
              <w:rPr>
                <w:b/>
              </w:rPr>
              <w:t>Ämne</w:t>
            </w:r>
          </w:p>
        </w:tc>
        <w:tc>
          <w:tcPr>
            <w:tcW w:type="dxa" w:w="2160"/>
          </w:tcPr>
          <w:p>
            <w:r>
              <w:rPr>
                <w:b/>
              </w:rPr>
            </w:r>
            <w:r>
              <w:rPr>
                <w:b/>
              </w:rPr>
              <w:t>VA SYDs svar (sid.)</w:t>
            </w:r>
          </w:p>
        </w:tc>
        <w:tc>
          <w:tcPr>
            <w:tcW w:type="dxa" w:w="2160"/>
          </w:tcPr>
          <w:p>
            <w:r>
              <w:rPr>
                <w:b/>
              </w:rPr>
            </w:r>
            <w:r>
              <w:rPr>
                <w:b/>
              </w:rPr>
              <w:t>Det som saknas</w:t>
            </w:r>
          </w:p>
        </w:tc>
      </w:tr>
      <w:tr>
        <w:tc>
          <w:tcPr>
            <w:tcW w:type="dxa" w:w="2160"/>
          </w:tcPr>
          <w:p>
            <w:r/>
            <w:r>
              <w:t>3d</w:t>
            </w:r>
          </w:p>
        </w:tc>
        <w:tc>
          <w:tcPr>
            <w:tcW w:type="dxa" w:w="2160"/>
          </w:tcPr>
          <w:p>
            <w:r/>
            <w:r>
              <w:t>Bräddning vid Källby</w:t>
            </w:r>
          </w:p>
        </w:tc>
        <w:tc>
          <w:tcPr>
            <w:tcW w:type="dxa" w:w="2160"/>
          </w:tcPr>
          <w:p>
            <w:r/>
            <w:r>
              <w:t>Inget svar (89)</w:t>
            </w:r>
          </w:p>
        </w:tc>
        <w:tc>
          <w:tcPr>
            <w:tcW w:type="dxa" w:w="2160"/>
          </w:tcPr>
          <w:p>
            <w:r/>
            <w:r>
              <w:t>en redovisning av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160"/>
          </w:tcPr>
          <w:p>
            <w:r/>
            <w:r>
              <w:t>3e</w:t>
            </w:r>
          </w:p>
        </w:tc>
        <w:tc>
          <w:tcPr>
            <w:tcW w:type="dxa" w:w="2160"/>
          </w:tcPr>
          <w:p>
            <w:r/>
            <w:r>
              <w:t>Källbys tillståndstak</w:t>
            </w:r>
          </w:p>
        </w:tc>
        <w:tc>
          <w:tcPr>
            <w:tcW w:type="dxa" w:w="2160"/>
          </w:tcPr>
          <w:p>
            <w:r/>
            <w:r>
              <w:t>Inget svar (90)</w:t>
            </w:r>
          </w:p>
        </w:tc>
        <w:tc>
          <w:tcPr>
            <w:tcW w:type="dxa" w:w="2160"/>
          </w:tcPr>
          <w:p>
            <w:r/>
            <w:r>
              <w:t>en redovisning av hur Lunds avloppsvatten renas om taket nås före omkopplingen 2035 (sid. 42)</w:t>
            </w:r>
          </w:p>
        </w:tc>
      </w:tr>
      <w:tr>
        <w:tc>
          <w:tcPr>
            <w:tcW w:type="dxa" w:w="2160"/>
          </w:tcPr>
          <w:p>
            <w:r/>
            <w:r>
              <w:t>3f</w:t>
            </w:r>
          </w:p>
        </w:tc>
        <w:tc>
          <w:tcPr>
            <w:tcW w:type="dxa" w:w="2160"/>
          </w:tcPr>
          <w:p>
            <w:r/>
            <w:r>
              <w:t>CO₂ vid rivning</w:t>
            </w:r>
          </w:p>
        </w:tc>
        <w:tc>
          <w:tcPr>
            <w:tcW w:type="dxa" w:w="2160"/>
          </w:tcPr>
          <w:p>
            <w:r/>
            <w:r>
              <w:t>Inget svar (90)</w:t>
            </w:r>
          </w:p>
        </w:tc>
        <w:tc>
          <w:tcPr>
            <w:tcW w:type="dxa" w:w="2160"/>
          </w:tcPr>
          <w:p>
            <w:r/>
            <w:r>
              <w:t>en beräkning som omfattar rivning av Borgeby och Källby, eller uppgift om varför den inte ingår</w:t>
            </w:r>
          </w:p>
        </w:tc>
      </w:tr>
      <w:tr>
        <w:tc>
          <w:tcPr>
            <w:tcW w:type="dxa" w:w="2160"/>
          </w:tcPr>
          <w:p>
            <w:r/>
            <w:r>
              <w:t>5c</w:t>
            </w:r>
          </w:p>
        </w:tc>
        <w:tc>
          <w:tcPr>
            <w:tcW w:type="dxa" w:w="2160"/>
          </w:tcPr>
          <w:p>
            <w:r/>
            <w:r>
              <w:t>Fel vattenförekomst</w:t>
            </w:r>
          </w:p>
        </w:tc>
        <w:tc>
          <w:tcPr>
            <w:tcW w:type="dxa" w:w="2160"/>
          </w:tcPr>
          <w:p>
            <w:r/>
            <w:r>
              <w:t>Inget svar (92)</w:t>
            </w:r>
          </w:p>
        </w:tc>
        <w:tc>
          <w:tcPr>
            <w:tcW w:type="dxa" w:w="2160"/>
          </w:tcPr>
          <w:p>
            <w:r/>
            <w:r>
              <w:t>en rättelse eller förklaring av uppgiften om recipient för Källby</w:t>
            </w:r>
          </w:p>
        </w:tc>
      </w:tr>
      <w:tr>
        <w:tc>
          <w:tcPr>
            <w:tcW w:type="dxa" w:w="2160"/>
          </w:tcPr>
          <w:p>
            <w:r/>
            <w:r>
              <w:t>7a–7b</w:t>
            </w:r>
          </w:p>
        </w:tc>
        <w:tc>
          <w:tcPr>
            <w:tcW w:type="dxa" w:w="2160"/>
          </w:tcPr>
          <w:p>
            <w:r/>
            <w:r>
              <w:t>Centralisering och riskhantering</w:t>
            </w:r>
          </w:p>
        </w:tc>
        <w:tc>
          <w:tcPr>
            <w:tcW w:type="dxa" w:w="2160"/>
          </w:tcPr>
          <w:p>
            <w:r/>
            <w:r>
              <w:t>Krisrisker prövas ej (94)</w:t>
            </w:r>
          </w:p>
        </w:tc>
        <w:tc>
          <w:tcPr>
            <w:tcW w:type="dxa" w:w="2160"/>
          </w:tcPr>
          <w:p>
            <w:r/>
            <w:r>
              <w:t>en jämförelse mellan ett enda kustnära verk och ett system där Källby bibehålls (6 kap. 35 § 4: miljöeffekter till följd av yttre händelser)</w:t>
            </w:r>
          </w:p>
        </w:tc>
      </w:tr>
      <w:tr>
        <w:tc>
          <w:tcPr>
            <w:tcW w:type="dxa" w:w="2160"/>
          </w:tcPr>
          <w:p>
            <w:r/>
            <w:r>
              <w:t>7d–7e</w:t>
            </w:r>
          </w:p>
        </w:tc>
        <w:tc>
          <w:tcPr>
            <w:tcW w:type="dxa" w:w="2160"/>
          </w:tcPr>
          <w:p>
            <w:r/>
            <w:r>
              <w:t>Alnarpsströmmen, PFAS</w:t>
            </w:r>
          </w:p>
        </w:tc>
        <w:tc>
          <w:tcPr>
            <w:tcW w:type="dxa" w:w="2160"/>
          </w:tcPr>
          <w:p>
            <w:r/>
            <w:r>
              <w:t>Samlat svar (94)</w:t>
            </w:r>
          </w:p>
        </w:tc>
        <w:tc>
          <w:tcPr>
            <w:tcW w:type="dxa" w:w="2160"/>
          </w:tcPr>
          <w:p>
            <w:r/>
            <w:r>
              <w:t>uppgift om var tunnelns rörelse i höjdled vid Alnarpsströmmen och spridning av PFAS från marker norr om schakt S37 behandlas</w:t>
            </w:r>
          </w:p>
        </w:tc>
      </w:tr>
      <w:tr>
        <w:tc>
          <w:tcPr>
            <w:tcW w:type="dxa" w:w="2160"/>
          </w:tcPr>
          <w:p>
            <w:r/>
            <w:r>
              <w:t>5a</w:t>
            </w:r>
          </w:p>
        </w:tc>
        <w:tc>
          <w:tcPr>
            <w:tcW w:type="dxa" w:w="2160"/>
          </w:tcPr>
          <w:p>
            <w:r/>
            <w:r>
              <w:t>EU-förordningarna om återanvändning av vatten (2020/741) och restaurering av natur (2024/1991)</w:t>
            </w:r>
          </w:p>
        </w:tc>
        <w:tc>
          <w:tcPr>
            <w:tcW w:type="dxa" w:w="2160"/>
          </w:tcPr>
          <w:p>
            <w:r/>
            <w:r>
              <w:t>Inte nödvändigt att kommentera all lagstiftning, och förordning 2020/741 gäller bevattning som inte ingår i ansökan (91)</w:t>
            </w:r>
          </w:p>
        </w:tc>
        <w:tc>
          <w:tcPr>
            <w:tcW w:type="dxa" w:w="2160"/>
          </w:tcPr>
          <w:p>
            <w:r/>
            <w:r>
              <w:t>en redovisning av om återanvändning av renat avloppsvatten har bedömts som alternativ eller hushållningsåtgärd (2 kap. 5 §, 6 kap. 35 § 2), och av om berörda livsmiljötyper omfattas av förordning 2024/1991 om att livsmiljötyper i gott tillstånd inte får försämras avsevärt (artikel 4.11–12 och 5.9–10) och i så fall hur ansökan förhåller sig till kraven. LNF har tagit upp restaureringsförordningen i samrådssynpunkterna (s. 6) och i aktbilaga 257 (s. 3), men VA SYD svarar inte i sak</w:t>
            </w:r>
          </w:p>
        </w:tc>
      </w:tr>
      <w:tr>
        <w:tc>
          <w:tcPr>
            <w:tcW w:type="dxa" w:w="2160"/>
          </w:tcPr>
          <w:p>
            <w:r/>
            <w:r>
              <w:t>2, 8</w:t>
            </w:r>
          </w:p>
        </w:tc>
        <w:tc>
          <w:tcPr>
            <w:tcW w:type="dxa" w:w="2160"/>
          </w:tcPr>
          <w:p>
            <w:r/>
            <w:r>
              <w:t>Ekonomi och elbehov</w:t>
            </w:r>
          </w:p>
        </w:tc>
        <w:tc>
          <w:tcPr>
            <w:tcW w:type="dxa" w:w="2160"/>
          </w:tcPr>
          <w:p>
            <w:r/>
            <w:r>
              <w:t>Hänvisning till ansökan (88–89, 94)</w:t>
            </w:r>
          </w:p>
        </w:tc>
        <w:tc>
          <w:tcPr>
            <w:tcW w:type="dxa" w:w="2160"/>
          </w:tcPr>
          <w:p>
            <w:r/>
            <w:r>
              <w:t>en jämförbar kostnadsredovisning för alternativet Källby och MAXIMA (samma period, prisnivå och omfattning), och en redovisning av det totala elbehovet för pumpning (2 kap. 5 och 7 §§). Kostnadsskillnaden är osäker, se anmärkningen nedan</w:t>
            </w:r>
          </w:p>
        </w:tc>
      </w:tr>
    </w:tbl>
    <w:p>
      <w:r/>
      <w:r>
        <w:rPr>
          <w:b/>
        </w:rPr>
        <w:t>Anmärkning till rad 2, 8: kostnadsskillnaden.</w:t>
      </w:r>
      <w:r>
        <w:t xml:space="preserve"> LNF har anfört att kostnaden för ett utbyggt Källby var upp till 2 miljarder kronor lägre (aktbilaga 257, s. 1 och 6, bilaga 1). Underlaget kan läsas på olika sätt:</w:t>
      </w:r>
    </w:p>
    <w:p>
      <w:pPr>
        <w:pStyle w:val="ListBullet"/>
      </w:pPr>
      <w:r>
        <w:t xml:space="preserve">Slutrapporten </w:t>
      </w:r>
      <w:r>
        <w:rPr>
          <w:i/>
        </w:rPr>
        <w:t>Fortsatt drift eller nedläggning av Källby Avloppsreningsverk</w:t>
      </w:r>
      <w:r>
        <w:t xml:space="preserve"> (2020-09-07, s. 5) bedömer en utbyggnad av Källby till "i storleksordningen 300, maximalt 400, miljoner kronor", men anger att krav på läkemedelsrening kan driva kostnaden högre.</w:t>
      </w:r>
    </w:p>
    <w:p>
      <w:pPr>
        <w:pStyle w:val="ListBullet"/>
      </w:pPr>
      <w:r>
        <w:t xml:space="preserve">VA SYD (2021, </w:t>
      </w:r>
      <w:r>
        <w:rPr>
          <w:i/>
        </w:rPr>
        <w:t>Lunds framtida avloppsrening</w:t>
      </w:r>
      <w:r>
        <w:t>, tabell 3, s. 34) anger Lunds investering med Nya Sjölunda till 2 408 Mkr (system 3) och 2 670 Mkr (system 2). Jämfört med slutrapportens 300–400 Mkr blir skillnaden ca 2,0–2,4 miljarder. Det är så uppgiften "upp till 2 miljarder" kan härledas.</w:t>
      </w:r>
    </w:p>
    <w:p>
      <w:r>
        <w:t>Lund den        november 2026</w:t>
      </w:r>
    </w:p>
    <w:p>
      <w:r>
        <w:t>Lunds Naturskyddsförening</w:t>
      </w:r>
    </w:p>
    <w:p>
      <w:r>
        <w:t>(undertecknare)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