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12E4" w14:textId="2D8CB93A" w:rsidR="00166941" w:rsidRPr="00512849" w:rsidRDefault="00166941" w:rsidP="00166941">
      <w:pPr>
        <w:spacing w:after="0" w:line="360" w:lineRule="auto"/>
      </w:pPr>
      <w:r w:rsidRPr="00512849">
        <w:t>Tyrone Kent Pastoril – 300356781</w:t>
      </w:r>
    </w:p>
    <w:p w14:paraId="2FAA3194" w14:textId="3F389F16" w:rsidR="005B7D1B" w:rsidRDefault="00166941" w:rsidP="00166941">
      <w:pPr>
        <w:spacing w:after="0" w:line="360" w:lineRule="auto"/>
        <w:rPr>
          <w:b/>
          <w:bCs/>
        </w:rPr>
      </w:pPr>
      <w:r>
        <w:rPr>
          <w:b/>
          <w:bCs/>
        </w:rPr>
        <w:t xml:space="preserve">Title: </w:t>
      </w:r>
      <w:r w:rsidR="00204B92">
        <w:rPr>
          <w:b/>
          <w:bCs/>
        </w:rPr>
        <w:t xml:space="preserve">Country Classification Based on </w:t>
      </w:r>
      <w:r w:rsidR="00DA590A" w:rsidRPr="005A0E25">
        <w:rPr>
          <w:b/>
          <w:bCs/>
        </w:rPr>
        <w:t>World Govern</w:t>
      </w:r>
      <w:r w:rsidR="002914F9">
        <w:rPr>
          <w:b/>
          <w:bCs/>
        </w:rPr>
        <w:t>ance</w:t>
      </w:r>
      <w:r w:rsidR="007B24BB" w:rsidRPr="005A0E25">
        <w:rPr>
          <w:b/>
          <w:bCs/>
        </w:rPr>
        <w:t xml:space="preserve"> &amp;</w:t>
      </w:r>
      <w:r w:rsidR="00DA590A" w:rsidRPr="005A0E25">
        <w:rPr>
          <w:b/>
          <w:bCs/>
        </w:rPr>
        <w:t xml:space="preserve"> Development Indicator</w:t>
      </w:r>
      <w:r w:rsidR="002914F9">
        <w:rPr>
          <w:b/>
          <w:bCs/>
        </w:rPr>
        <w:t>s</w:t>
      </w:r>
      <w:r w:rsidR="00204B92">
        <w:rPr>
          <w:b/>
          <w:bCs/>
        </w:rPr>
        <w:t xml:space="preserve"> </w:t>
      </w:r>
      <w:r w:rsidR="00FB3331" w:rsidRPr="005A0E25">
        <w:rPr>
          <w:b/>
          <w:bCs/>
        </w:rPr>
        <w:t>by Income Level</w:t>
      </w:r>
      <w:r w:rsidR="0048023A" w:rsidRPr="005A0E25">
        <w:rPr>
          <w:b/>
          <w:bCs/>
        </w:rPr>
        <w:t xml:space="preserve"> </w:t>
      </w:r>
      <w:r w:rsidR="007B24BB" w:rsidRPr="005A0E25">
        <w:rPr>
          <w:b/>
          <w:bCs/>
        </w:rPr>
        <w:t>Analysis</w:t>
      </w:r>
    </w:p>
    <w:p w14:paraId="529B48FB" w14:textId="51BEC67F" w:rsidR="00421378" w:rsidRDefault="00421378" w:rsidP="00C31B0D">
      <w:pPr>
        <w:ind w:firstLine="720"/>
        <w:jc w:val="both"/>
      </w:pPr>
      <w:r w:rsidRPr="00625A28">
        <w:t xml:space="preserve">The </w:t>
      </w:r>
      <w:r>
        <w:t>w</w:t>
      </w:r>
      <w:r w:rsidRPr="00625A28">
        <w:t xml:space="preserve">orld </w:t>
      </w:r>
      <w:r>
        <w:t>d</w:t>
      </w:r>
      <w:r w:rsidRPr="00625A28">
        <w:t xml:space="preserve">evelopment </w:t>
      </w:r>
      <w:r>
        <w:t>i</w:t>
      </w:r>
      <w:r w:rsidRPr="00625A28">
        <w:t xml:space="preserve">ndicators dataset is focused on government </w:t>
      </w:r>
      <w:r>
        <w:t>factors</w:t>
      </w:r>
      <w:r w:rsidRPr="00625A28">
        <w:t>. This consists of six dimensions of how well the government has run the country for the past years: Control of Corruption, Government Effectiveness, Political Stability and Absence of Violence/Terrorism, Regulatory Quality, Rule of Law, and Voice and Accountability. The dataset is the result of collection on perceptions of governance from multiple sources. The World Bank went through extensive data processing to ensure minimal margin of errors on each factor.</w:t>
      </w:r>
    </w:p>
    <w:p w14:paraId="0C442DFB" w14:textId="5B5D6564" w:rsidR="005E5C69" w:rsidRDefault="005E5C69" w:rsidP="005E5C69">
      <w:pPr>
        <w:ind w:firstLine="720"/>
        <w:jc w:val="both"/>
      </w:pPr>
      <w:r w:rsidRPr="00472AAB">
        <w:t xml:space="preserve">The objective of this </w:t>
      </w:r>
      <w:r>
        <w:t>analysis</w:t>
      </w:r>
      <w:r w:rsidRPr="00472AAB">
        <w:t xml:space="preserve"> is to </w:t>
      </w:r>
      <w:r>
        <w:t>utilize</w:t>
      </w:r>
      <w:r w:rsidRPr="00472AAB">
        <w:t xml:space="preserve"> the six indicators to predict</w:t>
      </w:r>
      <w:r>
        <w:t xml:space="preserve"> the income group level of a country based on its Gross National Income (GNI) per Capita </w:t>
      </w:r>
      <w:r w:rsidRPr="00472AAB">
        <w:t xml:space="preserve">and relate other dimensions such as unemployment rate, demonstrate the relationship of each factor to another, </w:t>
      </w:r>
      <w:r>
        <w:t>illustrate the indicators distribution</w:t>
      </w:r>
      <w:r w:rsidRPr="00472AAB">
        <w:t xml:space="preserve">, and </w:t>
      </w:r>
      <w:r>
        <w:t>fit the best model for predicting the income group level</w:t>
      </w:r>
      <w:r w:rsidRPr="00472AAB">
        <w:t xml:space="preserve">. Multiple </w:t>
      </w:r>
      <w:r>
        <w:t>classification</w:t>
      </w:r>
      <w:r w:rsidRPr="00472AAB">
        <w:t xml:space="preserve"> models </w:t>
      </w:r>
      <w:r>
        <w:t>are</w:t>
      </w:r>
      <w:r w:rsidRPr="00472AAB">
        <w:t xml:space="preserve"> </w:t>
      </w:r>
      <w:r>
        <w:t>done</w:t>
      </w:r>
      <w:r w:rsidRPr="00472AAB">
        <w:t xml:space="preserve"> to fine tune the best and most accurate model for forecasting the future welfare of a country.</w:t>
      </w:r>
    </w:p>
    <w:p w14:paraId="44B48470" w14:textId="40E61721" w:rsidR="00E11753" w:rsidRDefault="005C2291" w:rsidP="0008623E">
      <w:pPr>
        <w:ind w:firstLine="720"/>
        <w:jc w:val="both"/>
      </w:pPr>
      <w:r>
        <w:t xml:space="preserve">The table below serves as the guide for classifying which </w:t>
      </w:r>
      <w:r w:rsidR="0008623E">
        <w:t>income group level a country belongs to based on its GNI/ capita.</w:t>
      </w:r>
    </w:p>
    <w:p w14:paraId="63DF7396" w14:textId="4D15D6B5" w:rsidR="00E11753" w:rsidRDefault="00E11753" w:rsidP="00E11753">
      <w:pPr>
        <w:pStyle w:val="Caption"/>
        <w:keepNext/>
      </w:pPr>
      <w:r>
        <w:t xml:space="preserve">Table </w:t>
      </w:r>
      <w:fldSimple w:instr=" SEQ Table \* ARABIC ">
        <w:r w:rsidR="00775442">
          <w:rPr>
            <w:noProof/>
          </w:rPr>
          <w:t>1</w:t>
        </w:r>
      </w:fldSimple>
      <w:r>
        <w:t xml:space="preserve">. </w:t>
      </w:r>
      <w:r w:rsidRPr="00691846">
        <w:t>World Bank Country Classification by Income Level (Hamadeh et al., 2022)</w:t>
      </w:r>
    </w:p>
    <w:tbl>
      <w:tblPr>
        <w:tblStyle w:val="TableGrid"/>
        <w:tblW w:w="0" w:type="auto"/>
        <w:jc w:val="center"/>
        <w:tblLook w:val="04A0" w:firstRow="1" w:lastRow="0" w:firstColumn="1" w:lastColumn="0" w:noHBand="0" w:noVBand="1"/>
      </w:tblPr>
      <w:tblGrid>
        <w:gridCol w:w="3312"/>
        <w:gridCol w:w="3312"/>
      </w:tblGrid>
      <w:tr w:rsidR="00E11753" w14:paraId="3CE27BAA" w14:textId="77777777" w:rsidTr="00F41444">
        <w:trPr>
          <w:jc w:val="center"/>
        </w:trPr>
        <w:tc>
          <w:tcPr>
            <w:tcW w:w="3312" w:type="dxa"/>
          </w:tcPr>
          <w:p w14:paraId="5C49928E" w14:textId="77777777" w:rsidR="00E11753" w:rsidRPr="00800387" w:rsidRDefault="00E11753" w:rsidP="0008623E">
            <w:pPr>
              <w:rPr>
                <w:b/>
                <w:bCs/>
              </w:rPr>
            </w:pPr>
            <w:r>
              <w:rPr>
                <w:b/>
                <w:bCs/>
              </w:rPr>
              <w:t>Group</w:t>
            </w:r>
          </w:p>
        </w:tc>
        <w:tc>
          <w:tcPr>
            <w:tcW w:w="3312" w:type="dxa"/>
          </w:tcPr>
          <w:p w14:paraId="0D883193" w14:textId="77777777" w:rsidR="00E11753" w:rsidRPr="0001547D" w:rsidRDefault="00E11753" w:rsidP="0008623E">
            <w:pPr>
              <w:jc w:val="center"/>
              <w:rPr>
                <w:b/>
                <w:bCs/>
              </w:rPr>
            </w:pPr>
            <w:r w:rsidRPr="0001547D">
              <w:rPr>
                <w:b/>
                <w:bCs/>
              </w:rPr>
              <w:t>GNI/ capita</w:t>
            </w:r>
          </w:p>
        </w:tc>
      </w:tr>
      <w:tr w:rsidR="00E11753" w14:paraId="719D99F1" w14:textId="77777777" w:rsidTr="00F41444">
        <w:trPr>
          <w:jc w:val="center"/>
        </w:trPr>
        <w:tc>
          <w:tcPr>
            <w:tcW w:w="3312" w:type="dxa"/>
          </w:tcPr>
          <w:p w14:paraId="57AF097D" w14:textId="77777777" w:rsidR="00E11753" w:rsidRDefault="00E11753" w:rsidP="0008623E">
            <w:r>
              <w:t>Low income</w:t>
            </w:r>
          </w:p>
        </w:tc>
        <w:tc>
          <w:tcPr>
            <w:tcW w:w="3312" w:type="dxa"/>
          </w:tcPr>
          <w:p w14:paraId="710BED5A" w14:textId="77777777" w:rsidR="00E11753" w:rsidRDefault="00E11753" w:rsidP="0008623E">
            <w:pPr>
              <w:jc w:val="center"/>
            </w:pPr>
            <w:r>
              <w:t>&lt; $1,085</w:t>
            </w:r>
          </w:p>
        </w:tc>
      </w:tr>
      <w:tr w:rsidR="00E11753" w14:paraId="20510DCE" w14:textId="77777777" w:rsidTr="00F41444">
        <w:trPr>
          <w:jc w:val="center"/>
        </w:trPr>
        <w:tc>
          <w:tcPr>
            <w:tcW w:w="3312" w:type="dxa"/>
          </w:tcPr>
          <w:p w14:paraId="4627A351" w14:textId="77777777" w:rsidR="00E11753" w:rsidRDefault="00E11753" w:rsidP="0008623E">
            <w:r>
              <w:t>Lower-middle income</w:t>
            </w:r>
          </w:p>
        </w:tc>
        <w:tc>
          <w:tcPr>
            <w:tcW w:w="3312" w:type="dxa"/>
          </w:tcPr>
          <w:p w14:paraId="79B1427F" w14:textId="77777777" w:rsidR="00E11753" w:rsidRDefault="00E11753" w:rsidP="0008623E">
            <w:pPr>
              <w:jc w:val="center"/>
            </w:pPr>
            <w:r>
              <w:t>$1,086 - $4,255</w:t>
            </w:r>
          </w:p>
        </w:tc>
      </w:tr>
      <w:tr w:rsidR="00E11753" w14:paraId="3BE72E53" w14:textId="77777777" w:rsidTr="00F41444">
        <w:trPr>
          <w:jc w:val="center"/>
        </w:trPr>
        <w:tc>
          <w:tcPr>
            <w:tcW w:w="3312" w:type="dxa"/>
          </w:tcPr>
          <w:p w14:paraId="608B617D" w14:textId="77777777" w:rsidR="00E11753" w:rsidRDefault="00E11753" w:rsidP="0008623E">
            <w:r>
              <w:t>Upper-middle income</w:t>
            </w:r>
          </w:p>
        </w:tc>
        <w:tc>
          <w:tcPr>
            <w:tcW w:w="3312" w:type="dxa"/>
          </w:tcPr>
          <w:p w14:paraId="5E27E774" w14:textId="77777777" w:rsidR="00E11753" w:rsidRDefault="00E11753" w:rsidP="0008623E">
            <w:pPr>
              <w:jc w:val="center"/>
            </w:pPr>
            <w:r>
              <w:t>$4,256 - $13,205</w:t>
            </w:r>
          </w:p>
        </w:tc>
      </w:tr>
      <w:tr w:rsidR="00E11753" w14:paraId="403CCA60" w14:textId="77777777" w:rsidTr="00F41444">
        <w:trPr>
          <w:jc w:val="center"/>
        </w:trPr>
        <w:tc>
          <w:tcPr>
            <w:tcW w:w="3312" w:type="dxa"/>
          </w:tcPr>
          <w:p w14:paraId="2EE8F02F" w14:textId="77777777" w:rsidR="00E11753" w:rsidRDefault="00E11753" w:rsidP="0008623E">
            <w:r>
              <w:t>High income</w:t>
            </w:r>
          </w:p>
        </w:tc>
        <w:tc>
          <w:tcPr>
            <w:tcW w:w="3312" w:type="dxa"/>
          </w:tcPr>
          <w:p w14:paraId="3953003C" w14:textId="77777777" w:rsidR="00E11753" w:rsidRDefault="00E11753" w:rsidP="0008623E">
            <w:pPr>
              <w:jc w:val="center"/>
            </w:pPr>
            <w:r>
              <w:t>&gt; $13,205</w:t>
            </w:r>
          </w:p>
        </w:tc>
      </w:tr>
    </w:tbl>
    <w:p w14:paraId="033C60A4" w14:textId="77777777" w:rsidR="008A5068" w:rsidRDefault="008A5068" w:rsidP="008A5068"/>
    <w:p w14:paraId="156009A8" w14:textId="1AC7EF84" w:rsidR="00500627" w:rsidRDefault="00B91D10" w:rsidP="00B91D10">
      <w:pPr>
        <w:pStyle w:val="Heading1"/>
        <w:spacing w:before="120"/>
      </w:pPr>
      <w:r>
        <w:rPr>
          <w:noProof/>
        </w:rPr>
        <w:drawing>
          <wp:anchor distT="0" distB="0" distL="114300" distR="114300" simplePos="0" relativeHeight="251661312" behindDoc="1" locked="0" layoutInCell="1" allowOverlap="1" wp14:anchorId="1DC79FB6" wp14:editId="0ABE11A1">
            <wp:simplePos x="0" y="0"/>
            <wp:positionH relativeFrom="column">
              <wp:posOffset>3289300</wp:posOffset>
            </wp:positionH>
            <wp:positionV relativeFrom="paragraph">
              <wp:posOffset>354070</wp:posOffset>
            </wp:positionV>
            <wp:extent cx="2886848" cy="2286000"/>
            <wp:effectExtent l="0" t="0" r="8890" b="0"/>
            <wp:wrapTight wrapText="bothSides">
              <wp:wrapPolygon edited="0">
                <wp:start x="0" y="0"/>
                <wp:lineTo x="0" y="21420"/>
                <wp:lineTo x="21524" y="21420"/>
                <wp:lineTo x="21524" y="0"/>
                <wp:lineTo x="0" y="0"/>
              </wp:wrapPolygon>
            </wp:wrapTight>
            <wp:docPr id="971303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5220"/>
                    <a:stretch/>
                  </pic:blipFill>
                  <pic:spPr bwMode="auto">
                    <a:xfrm>
                      <a:off x="0" y="0"/>
                      <a:ext cx="2886848" cy="2286000"/>
                    </a:xfrm>
                    <a:prstGeom prst="rect">
                      <a:avLst/>
                    </a:prstGeom>
                    <a:noFill/>
                    <a:ln>
                      <a:noFill/>
                    </a:ln>
                    <a:extLst>
                      <a:ext uri="{53640926-AAD7-44D8-BBD7-CCE9431645EC}">
                        <a14:shadowObscured xmlns:a14="http://schemas.microsoft.com/office/drawing/2010/main"/>
                      </a:ext>
                    </a:extLst>
                  </pic:spPr>
                </pic:pic>
              </a:graphicData>
            </a:graphic>
          </wp:anchor>
        </w:drawing>
      </w:r>
      <w:r w:rsidR="008E03A4">
        <w:t>Data Exploration</w:t>
      </w:r>
    </w:p>
    <w:p w14:paraId="6D3DC427" w14:textId="5100E26C" w:rsidR="0075210F" w:rsidRDefault="00343E9F" w:rsidP="00343E9F">
      <w:pPr>
        <w:jc w:val="both"/>
      </w:pPr>
      <w:r>
        <w:tab/>
        <w:t xml:space="preserve">Every measure is correlated with each other to figure out which </w:t>
      </w:r>
      <w:r w:rsidR="00525914">
        <w:t xml:space="preserve">pairs are highly </w:t>
      </w:r>
      <w:r w:rsidR="005D4747">
        <w:t>associated</w:t>
      </w:r>
      <w:r w:rsidR="00525914">
        <w:t xml:space="preserve"> with </w:t>
      </w:r>
      <w:r w:rsidR="005D4747">
        <w:t>another</w:t>
      </w:r>
      <w:r w:rsidR="00525914">
        <w:t>.</w:t>
      </w:r>
      <w:r w:rsidR="00B00DC4">
        <w:t xml:space="preserve"> Figure 1 shows that there is a high correlation between</w:t>
      </w:r>
      <w:r w:rsidR="00830C81">
        <w:t xml:space="preserve"> the six indicators and GNI</w:t>
      </w:r>
      <w:r w:rsidR="004477E6">
        <w:t xml:space="preserve">/ </w:t>
      </w:r>
      <w:r w:rsidR="00830C81">
        <w:t xml:space="preserve">Capita. This </w:t>
      </w:r>
      <w:r w:rsidR="00315946">
        <w:t>implies that these</w:t>
      </w:r>
      <w:r w:rsidR="0036786D">
        <w:t xml:space="preserve"> dimensions</w:t>
      </w:r>
      <w:r w:rsidR="00315946">
        <w:t xml:space="preserve"> </w:t>
      </w:r>
      <w:r w:rsidR="00C300EE">
        <w:t>could be</w:t>
      </w:r>
      <w:r w:rsidR="00315946">
        <w:t xml:space="preserve"> useable in predicting the </w:t>
      </w:r>
      <w:r w:rsidR="0036786D">
        <w:t>income group.</w:t>
      </w:r>
      <w:r w:rsidR="00F02BC5">
        <w:t xml:space="preserve"> All other </w:t>
      </w:r>
      <w:r w:rsidR="00A304FB">
        <w:t>parameters are dropped due to insignificant relationship with GNI</w:t>
      </w:r>
      <w:r w:rsidR="004477E6">
        <w:t xml:space="preserve">/ </w:t>
      </w:r>
      <w:r w:rsidR="00A304FB">
        <w:t>Capita.</w:t>
      </w:r>
    </w:p>
    <w:p w14:paraId="2950C43B" w14:textId="203EAF4F" w:rsidR="00D755FB" w:rsidRDefault="00A53ED6" w:rsidP="002007FA">
      <w:pPr>
        <w:jc w:val="both"/>
      </w:pPr>
      <w:r>
        <w:rPr>
          <w:noProof/>
        </w:rPr>
        <mc:AlternateContent>
          <mc:Choice Requires="wps">
            <w:drawing>
              <wp:anchor distT="0" distB="0" distL="114300" distR="114300" simplePos="0" relativeHeight="251662336" behindDoc="1" locked="0" layoutInCell="1" allowOverlap="1" wp14:anchorId="704C05B0" wp14:editId="01E032F4">
                <wp:simplePos x="0" y="0"/>
                <wp:positionH relativeFrom="column">
                  <wp:posOffset>4006850</wp:posOffset>
                </wp:positionH>
                <wp:positionV relativeFrom="paragraph">
                  <wp:posOffset>932180</wp:posOffset>
                </wp:positionV>
                <wp:extent cx="1502410" cy="154940"/>
                <wp:effectExtent l="0" t="0" r="2540" b="0"/>
                <wp:wrapTight wrapText="bothSides">
                  <wp:wrapPolygon edited="0">
                    <wp:start x="0" y="0"/>
                    <wp:lineTo x="0" y="18590"/>
                    <wp:lineTo x="21363" y="18590"/>
                    <wp:lineTo x="21363" y="0"/>
                    <wp:lineTo x="0" y="0"/>
                  </wp:wrapPolygon>
                </wp:wrapTight>
                <wp:docPr id="1934684348" name="Text Box 1"/>
                <wp:cNvGraphicFramePr/>
                <a:graphic xmlns:a="http://schemas.openxmlformats.org/drawingml/2006/main">
                  <a:graphicData uri="http://schemas.microsoft.com/office/word/2010/wordprocessingShape">
                    <wps:wsp>
                      <wps:cNvSpPr txBox="1"/>
                      <wps:spPr>
                        <a:xfrm>
                          <a:off x="0" y="0"/>
                          <a:ext cx="1502410" cy="154940"/>
                        </a:xfrm>
                        <a:prstGeom prst="rect">
                          <a:avLst/>
                        </a:prstGeom>
                        <a:solidFill>
                          <a:prstClr val="white"/>
                        </a:solidFill>
                        <a:ln>
                          <a:noFill/>
                        </a:ln>
                      </wps:spPr>
                      <wps:txbx>
                        <w:txbxContent>
                          <w:p w14:paraId="71DB0C2D" w14:textId="4502F993" w:rsidR="001E5192" w:rsidRPr="00487C71" w:rsidRDefault="001E5192" w:rsidP="001E5192">
                            <w:pPr>
                              <w:pStyle w:val="Caption"/>
                              <w:rPr>
                                <w:b/>
                                <w:noProof/>
                                <w:color w:val="auto"/>
                                <w:sz w:val="24"/>
                              </w:rPr>
                            </w:pPr>
                            <w:r>
                              <w:t xml:space="preserve">Figure </w:t>
                            </w:r>
                            <w:fldSimple w:instr=" SEQ Figure \* ARABIC ">
                              <w:r>
                                <w:rPr>
                                  <w:noProof/>
                                </w:rPr>
                                <w:t>1</w:t>
                              </w:r>
                            </w:fldSimple>
                            <w:r>
                              <w:t>.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C05B0" id="_x0000_t202" coordsize="21600,21600" o:spt="202" path="m,l,21600r21600,l21600,xe">
                <v:stroke joinstyle="miter"/>
                <v:path gradientshapeok="t" o:connecttype="rect"/>
              </v:shapetype>
              <v:shape id="Text Box 1" o:spid="_x0000_s1026" type="#_x0000_t202" style="position:absolute;left:0;text-align:left;margin-left:315.5pt;margin-top:73.4pt;width:118.3pt;height:1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" stroked="f">
                <v:textbox inset="0,0,0,0">
                  <w:txbxContent>
                    <w:p w14:paraId="71DB0C2D" w14:textId="4502F993" w:rsidR="001E5192" w:rsidRPr="00487C71" w:rsidRDefault="001E5192" w:rsidP="001E5192">
                      <w:pPr>
                        <w:pStyle w:val="Caption"/>
                        <w:rPr>
                          <w:b/>
                          <w:noProof/>
                          <w:color w:val="auto"/>
                          <w:sz w:val="24"/>
                        </w:rPr>
                      </w:pPr>
                      <w:r>
                        <w:t xml:space="preserve">Figure </w:t>
                      </w:r>
                      <w:fldSimple w:instr=" SEQ Figure \* ARABIC ">
                        <w:r>
                          <w:rPr>
                            <w:noProof/>
                          </w:rPr>
                          <w:t>1</w:t>
                        </w:r>
                      </w:fldSimple>
                      <w:r>
                        <w:t>. Correlation Heatmap</w:t>
                      </w:r>
                    </w:p>
                  </w:txbxContent>
                </v:textbox>
                <w10:wrap type="tight"/>
              </v:shape>
            </w:pict>
          </mc:Fallback>
        </mc:AlternateContent>
      </w:r>
      <w:r w:rsidR="002007FA">
        <w:tab/>
        <w:t xml:space="preserve">Other data exploration methods are </w:t>
      </w:r>
      <w:r w:rsidR="006F1F0B">
        <w:t>applied</w:t>
      </w:r>
      <w:r w:rsidR="002007FA">
        <w:t xml:space="preserve"> on Tableau and R script. </w:t>
      </w:r>
      <w:r w:rsidR="001453CB">
        <w:t xml:space="preserve">On the </w:t>
      </w:r>
      <w:r w:rsidR="006F1F0B">
        <w:t>T</w:t>
      </w:r>
      <w:r w:rsidR="001453CB">
        <w:t xml:space="preserve">ableau file, </w:t>
      </w:r>
      <w:r w:rsidR="009A3031">
        <w:t>the dashboard, World’s Richest Countries</w:t>
      </w:r>
      <w:r w:rsidR="00407E96">
        <w:t xml:space="preserve"> filtered in year 2021</w:t>
      </w:r>
      <w:r w:rsidR="009A3031">
        <w:t xml:space="preserve">, </w:t>
      </w:r>
      <w:r w:rsidR="00D67B3E">
        <w:t>illustrates the following: World’s GDP</w:t>
      </w:r>
      <w:r w:rsidR="004477E6">
        <w:t xml:space="preserve">/ </w:t>
      </w:r>
      <w:r w:rsidR="00081DDB">
        <w:t xml:space="preserve">Capita Map shows </w:t>
      </w:r>
      <w:r w:rsidR="00FA71F3">
        <w:t>what</w:t>
      </w:r>
      <w:r w:rsidR="00081DDB">
        <w:t xml:space="preserve"> countries belong to which</w:t>
      </w:r>
      <w:r w:rsidR="00FA71F3">
        <w:t xml:space="preserve"> income group</w:t>
      </w:r>
      <w:r w:rsidR="00097ED8">
        <w:t>; GNI</w:t>
      </w:r>
      <w:r w:rsidR="004477E6">
        <w:t xml:space="preserve">/ </w:t>
      </w:r>
      <w:r w:rsidR="00097ED8">
        <w:t>Capita Inco</w:t>
      </w:r>
      <w:r>
        <w:t>me Group Distribution</w:t>
      </w:r>
      <w:r w:rsidR="0096389E">
        <w:t xml:space="preserve"> indicates that </w:t>
      </w:r>
      <w:r w:rsidR="00407E96">
        <w:t xml:space="preserve">33.51% </w:t>
      </w:r>
      <w:r w:rsidR="00F820FC">
        <w:t>or 65 countries are high income level while 11.86% or 23 countries are low income;</w:t>
      </w:r>
      <w:r w:rsidR="007337BB">
        <w:t xml:space="preserve"> </w:t>
      </w:r>
      <w:r w:rsidR="00033457">
        <w:t xml:space="preserve">Switzerland is the </w:t>
      </w:r>
      <w:r w:rsidR="00602203">
        <w:t>leading</w:t>
      </w:r>
      <w:r w:rsidR="00033457">
        <w:t xml:space="preserve"> country in </w:t>
      </w:r>
      <w:r w:rsidR="007337BB">
        <w:t>Top 10 GNI</w:t>
      </w:r>
      <w:r w:rsidR="004477E6">
        <w:t xml:space="preserve">/ </w:t>
      </w:r>
      <w:r w:rsidR="007337BB">
        <w:t xml:space="preserve">Capita Countries </w:t>
      </w:r>
      <w:r w:rsidR="00E91F24">
        <w:t>with a GNI</w:t>
      </w:r>
      <w:r w:rsidR="004477E6">
        <w:t xml:space="preserve">/ </w:t>
      </w:r>
      <w:r w:rsidR="00E91F24">
        <w:t>Capita of $88.91K.</w:t>
      </w:r>
      <w:r w:rsidR="00E7640F">
        <w:t xml:space="preserve"> I</w:t>
      </w:r>
      <w:r w:rsidR="00231FF8">
        <w:t xml:space="preserve">n the R script, a feature plot </w:t>
      </w:r>
      <w:r w:rsidR="00B01220">
        <w:t>is</w:t>
      </w:r>
      <w:r w:rsidR="00A20248">
        <w:t xml:space="preserve"> used to describe the </w:t>
      </w:r>
      <w:r w:rsidR="002929F9">
        <w:t>data distribution of the income group levels among the six dimensions.</w:t>
      </w:r>
    </w:p>
    <w:p w14:paraId="4E72C06D" w14:textId="22A4F9CF" w:rsidR="005F0157" w:rsidRDefault="005F0157" w:rsidP="005F0157">
      <w:pPr>
        <w:pStyle w:val="Heading1"/>
      </w:pPr>
      <w:r>
        <w:lastRenderedPageBreak/>
        <w:t>Data Preprocessing</w:t>
      </w:r>
    </w:p>
    <w:p w14:paraId="3F2AC6B5" w14:textId="55525E6D" w:rsidR="005F0157" w:rsidRDefault="005F0157" w:rsidP="00A45C8A">
      <w:pPr>
        <w:jc w:val="both"/>
      </w:pPr>
      <w:r>
        <w:tab/>
        <w:t xml:space="preserve">There are many </w:t>
      </w:r>
      <w:r w:rsidR="00C45A09">
        <w:t xml:space="preserve">null data in the dataset. </w:t>
      </w:r>
      <w:r w:rsidR="004B5032">
        <w:t>As</w:t>
      </w:r>
      <w:r w:rsidR="00C45A09">
        <w:t xml:space="preserve"> </w:t>
      </w:r>
      <w:r w:rsidR="00B01220">
        <w:t>only the 6 indicators and GNI</w:t>
      </w:r>
      <w:r w:rsidR="004477E6">
        <w:t xml:space="preserve">/ </w:t>
      </w:r>
      <w:r w:rsidR="00B01220">
        <w:t>Capita</w:t>
      </w:r>
      <w:r w:rsidR="004B5032">
        <w:t xml:space="preserve"> are </w:t>
      </w:r>
      <w:r w:rsidR="000E4053">
        <w:t>utilized, all other fields are dropped.</w:t>
      </w:r>
      <w:r w:rsidR="0053466C">
        <w:t xml:space="preserve"> Furthermore, all rows that have null on the remaining fields are also </w:t>
      </w:r>
      <w:r w:rsidR="00737545">
        <w:t>removed</w:t>
      </w:r>
      <w:r w:rsidR="0053466C">
        <w:t>.</w:t>
      </w:r>
      <w:r w:rsidR="00AB5318">
        <w:t xml:space="preserve"> </w:t>
      </w:r>
    </w:p>
    <w:p w14:paraId="6D809A25" w14:textId="5B35916A" w:rsidR="00563DCE" w:rsidRDefault="00563DCE" w:rsidP="00A45C8A">
      <w:pPr>
        <w:jc w:val="both"/>
      </w:pPr>
      <w:r>
        <w:tab/>
        <w:t xml:space="preserve">An additional field is added to the </w:t>
      </w:r>
      <w:r w:rsidR="000A0F60">
        <w:t xml:space="preserve">dataset that </w:t>
      </w:r>
      <w:r w:rsidR="00E71CDE">
        <w:t>is going</w:t>
      </w:r>
      <w:r w:rsidR="000A0F60">
        <w:t xml:space="preserve"> to be the target </w:t>
      </w:r>
      <w:r w:rsidR="007C5B15">
        <w:t xml:space="preserve">categorical </w:t>
      </w:r>
      <w:r w:rsidR="000A0F60">
        <w:t>variable</w:t>
      </w:r>
      <w:r w:rsidR="009A2BCE">
        <w:t>, INCOMEGRP</w:t>
      </w:r>
      <w:r w:rsidR="000A0F60">
        <w:t>. The field</w:t>
      </w:r>
      <w:r w:rsidR="00E22812">
        <w:t>’s value</w:t>
      </w:r>
      <w:r w:rsidR="000A0F60">
        <w:t xml:space="preserve"> is </w:t>
      </w:r>
      <w:r w:rsidR="007C5B15">
        <w:t>based on Table 1.</w:t>
      </w:r>
    </w:p>
    <w:p w14:paraId="69D0EB16" w14:textId="0BC354A0" w:rsidR="00AB5318" w:rsidRDefault="00495866" w:rsidP="00A45C8A">
      <w:r>
        <w:tab/>
      </w:r>
      <w:r w:rsidR="00E80014">
        <w:t>F</w:t>
      </w:r>
      <w:r>
        <w:t>eature</w:t>
      </w:r>
      <w:r w:rsidR="00E80014">
        <w:t xml:space="preserve"> </w:t>
      </w:r>
      <w:r>
        <w:t xml:space="preserve">scaling </w:t>
      </w:r>
      <w:r w:rsidR="000A340B">
        <w:t xml:space="preserve">has been </w:t>
      </w:r>
      <w:r w:rsidR="006A23AC">
        <w:t>applied using the standard normalization.</w:t>
      </w:r>
      <w:r w:rsidR="002357ED">
        <w:t xml:space="preserve"> This assumes that the variables come from a normal distr</w:t>
      </w:r>
      <w:r w:rsidR="002D1D61">
        <w:t>ibution</w:t>
      </w:r>
      <w:r w:rsidR="00A1133A">
        <w:t xml:space="preserve"> whose mean is 0 and standard deviation equals to 1.</w:t>
      </w:r>
    </w:p>
    <w:p w14:paraId="01AD1BE7" w14:textId="69B138AE" w:rsidR="00AB5318" w:rsidRDefault="00AB5318" w:rsidP="00AB5318">
      <w:pPr>
        <w:pStyle w:val="Heading1"/>
      </w:pPr>
      <w:r>
        <w:t>Classification Modeling</w:t>
      </w:r>
    </w:p>
    <w:p w14:paraId="5E78775F" w14:textId="042FED2A" w:rsidR="00AB5318" w:rsidRDefault="00BE4BEC" w:rsidP="004D07E2">
      <w:pPr>
        <w:jc w:val="both"/>
      </w:pPr>
      <w:r>
        <w:tab/>
        <w:t xml:space="preserve">Multiple classification models are employed to fit the </w:t>
      </w:r>
      <w:r w:rsidR="00D83826">
        <w:t>optimal</w:t>
      </w:r>
      <w:r>
        <w:t xml:space="preserve"> model </w:t>
      </w:r>
      <w:r w:rsidR="00AB73C6">
        <w:t xml:space="preserve">with the </w:t>
      </w:r>
      <w:r w:rsidR="00D83826">
        <w:t>maximum</w:t>
      </w:r>
      <w:r w:rsidR="00AB73C6">
        <w:t xml:space="preserve"> accuracy.</w:t>
      </w:r>
      <w:r w:rsidR="00D01E6C">
        <w:t xml:space="preserve"> </w:t>
      </w:r>
      <w:r w:rsidR="003B0934">
        <w:t xml:space="preserve">The </w:t>
      </w:r>
      <w:r w:rsidR="00EE4033">
        <w:t xml:space="preserve">models are the following: Linear Classifier, Linear Discriminant Analysis, Naïve Bayesian, Decision Tree, Random Forest, </w:t>
      </w:r>
      <w:r w:rsidR="0080697F">
        <w:t>K</w:t>
      </w:r>
      <w:r w:rsidR="006262AB">
        <w:t>-</w:t>
      </w:r>
      <w:r w:rsidR="0080697F">
        <w:t>Nearest Neighbors Algorithm</w:t>
      </w:r>
      <w:r w:rsidR="006B579F">
        <w:t xml:space="preserve"> (KNN)</w:t>
      </w:r>
      <w:r w:rsidR="000852E3">
        <w:t xml:space="preserve">, and </w:t>
      </w:r>
      <w:r w:rsidR="006B579F">
        <w:t>Support Vector Machines (SVM)</w:t>
      </w:r>
      <w:r w:rsidR="00824744">
        <w:t xml:space="preserve">. </w:t>
      </w:r>
      <w:r w:rsidR="006262AB">
        <w:t>Only KNN and SVM</w:t>
      </w:r>
      <w:r w:rsidR="006B579F">
        <w:t xml:space="preserve"> </w:t>
      </w:r>
      <w:r w:rsidR="00ED2055">
        <w:t xml:space="preserve">are trained with normalized data as this influences the performance of the said models, while others </w:t>
      </w:r>
      <w:r w:rsidR="00284F23">
        <w:t>are trained with the unnormalized dataset</w:t>
      </w:r>
      <w:r w:rsidR="006F6F11">
        <w:t xml:space="preserve"> since normalization would not make any difference</w:t>
      </w:r>
      <w:r w:rsidR="00284F23">
        <w:t>.</w:t>
      </w:r>
      <w:r w:rsidR="004D07E2">
        <w:t xml:space="preserve"> Nonetheless, a</w:t>
      </w:r>
      <w:r w:rsidR="000264CF" w:rsidRPr="000264CF">
        <w:t xml:space="preserve">ll these models have been fine-tuned to provide the highest level of accuracy. </w:t>
      </w:r>
      <w:r w:rsidR="00002116">
        <w:t xml:space="preserve">Clustering method is also </w:t>
      </w:r>
      <w:r w:rsidR="004737AC">
        <w:t>applied</w:t>
      </w:r>
      <w:r w:rsidR="004232E5">
        <w:t xml:space="preserve"> on Tableau </w:t>
      </w:r>
      <w:r w:rsidR="004737AC">
        <w:t xml:space="preserve">to categorize </w:t>
      </w:r>
      <w:r w:rsidR="004232E5">
        <w:t xml:space="preserve">the </w:t>
      </w:r>
      <w:r w:rsidR="000264CF">
        <w:t xml:space="preserve">countries based on </w:t>
      </w:r>
      <w:r w:rsidR="00F13103">
        <w:t>the average World Government Indicators (WGI) and GNI per Capita.</w:t>
      </w:r>
    </w:p>
    <w:p w14:paraId="62B92C6C" w14:textId="1C77111C" w:rsidR="00AB5318" w:rsidRDefault="00AB5318" w:rsidP="00AB5318">
      <w:pPr>
        <w:pStyle w:val="Heading1"/>
      </w:pPr>
      <w:r>
        <w:t>Evaluation Results</w:t>
      </w:r>
    </w:p>
    <w:p w14:paraId="25A6BC15" w14:textId="619AFD0C" w:rsidR="00626654" w:rsidRDefault="00626654" w:rsidP="00A45C8A">
      <w:pPr>
        <w:jc w:val="both"/>
      </w:pPr>
      <w:r>
        <w:tab/>
        <w:t>A train-test split of 0.80 is used to evaluate and train the models</w:t>
      </w:r>
      <w:r w:rsidR="00A45C8A">
        <w:t xml:space="preserve"> – </w:t>
      </w:r>
      <w:r w:rsidR="00D10D79">
        <w:t xml:space="preserve">80% of the preprocessed data </w:t>
      </w:r>
      <w:r w:rsidR="00661D49">
        <w:t>for training the models, while the remaining 20% is for testing.</w:t>
      </w:r>
    </w:p>
    <w:p w14:paraId="7EE0A25A" w14:textId="4E546D97" w:rsidR="007620B0" w:rsidRDefault="007620B0" w:rsidP="00A45C8A">
      <w:pPr>
        <w:jc w:val="both"/>
      </w:pPr>
      <w:r>
        <w:tab/>
      </w:r>
      <w:r w:rsidR="0070622B">
        <w:t xml:space="preserve">The following table is the result from </w:t>
      </w:r>
      <w:r w:rsidR="001B6B83">
        <w:t>model evaluation.</w:t>
      </w:r>
    </w:p>
    <w:p w14:paraId="260A8D7E" w14:textId="25ABBC69" w:rsidR="007620B0" w:rsidRPr="00950165" w:rsidRDefault="007620B0" w:rsidP="007620B0">
      <w:pPr>
        <w:pStyle w:val="Caption"/>
      </w:pPr>
      <w:r>
        <w:t xml:space="preserve">Table </w:t>
      </w:r>
      <w:fldSimple w:instr=" SEQ Table \* ARABIC ">
        <w:r w:rsidR="00775442">
          <w:rPr>
            <w:noProof/>
          </w:rPr>
          <w:t>2</w:t>
        </w:r>
      </w:fldSimple>
      <w:r>
        <w:t>. Model Evaluation - Accuracy and Kappa</w:t>
      </w:r>
    </w:p>
    <w:tbl>
      <w:tblPr>
        <w:tblStyle w:val="TableGrid"/>
        <w:tblW w:w="0" w:type="auto"/>
        <w:jc w:val="center"/>
        <w:tblLook w:val="04A0" w:firstRow="1" w:lastRow="0" w:firstColumn="1" w:lastColumn="0" w:noHBand="0" w:noVBand="1"/>
      </w:tblPr>
      <w:tblGrid>
        <w:gridCol w:w="316"/>
        <w:gridCol w:w="5412"/>
        <w:gridCol w:w="1534"/>
        <w:gridCol w:w="852"/>
        <w:gridCol w:w="922"/>
      </w:tblGrid>
      <w:tr w:rsidR="000624B1" w:rsidRPr="002F791C" w14:paraId="412ACAE9" w14:textId="216349F3" w:rsidTr="004E3428">
        <w:trPr>
          <w:jc w:val="center"/>
        </w:trPr>
        <w:tc>
          <w:tcPr>
            <w:tcW w:w="0" w:type="auto"/>
          </w:tcPr>
          <w:p w14:paraId="387032DF" w14:textId="77777777" w:rsidR="000624B1" w:rsidRPr="002F791C" w:rsidRDefault="000624B1" w:rsidP="002D0E72">
            <w:pPr>
              <w:jc w:val="center"/>
              <w:rPr>
                <w:rFonts w:cs="Times New Roman"/>
              </w:rPr>
            </w:pPr>
          </w:p>
        </w:tc>
        <w:tc>
          <w:tcPr>
            <w:tcW w:w="0" w:type="auto"/>
            <w:vAlign w:val="bottom"/>
          </w:tcPr>
          <w:p w14:paraId="435C6ACE" w14:textId="2FDB55A8" w:rsidR="000624B1" w:rsidRPr="002F791C" w:rsidRDefault="000624B1" w:rsidP="002D0E72">
            <w:pPr>
              <w:jc w:val="center"/>
              <w:rPr>
                <w:rFonts w:cs="Times New Roman"/>
                <w:b/>
                <w:bCs/>
              </w:rPr>
            </w:pPr>
            <w:r w:rsidRPr="002F791C">
              <w:rPr>
                <w:rFonts w:cs="Times New Roman"/>
                <w:b/>
                <w:bCs/>
                <w:color w:val="000000"/>
              </w:rPr>
              <w:t>Method</w:t>
            </w:r>
          </w:p>
        </w:tc>
        <w:tc>
          <w:tcPr>
            <w:tcW w:w="0" w:type="auto"/>
            <w:vAlign w:val="bottom"/>
          </w:tcPr>
          <w:p w14:paraId="4B7A39DA" w14:textId="39A110D7" w:rsidR="000624B1" w:rsidRPr="002F791C" w:rsidRDefault="000624B1" w:rsidP="002D0E72">
            <w:pPr>
              <w:jc w:val="center"/>
              <w:rPr>
                <w:rFonts w:cs="Times New Roman"/>
                <w:b/>
                <w:bCs/>
              </w:rPr>
            </w:pPr>
            <w:r w:rsidRPr="002F791C">
              <w:rPr>
                <w:rFonts w:cs="Times New Roman"/>
                <w:b/>
                <w:bCs/>
                <w:color w:val="000000"/>
              </w:rPr>
              <w:t>Test Accuracy</w:t>
            </w:r>
          </w:p>
        </w:tc>
        <w:tc>
          <w:tcPr>
            <w:tcW w:w="0" w:type="auto"/>
            <w:vAlign w:val="bottom"/>
          </w:tcPr>
          <w:p w14:paraId="2B0A31F2" w14:textId="44084AD4" w:rsidR="000624B1" w:rsidRPr="002F791C" w:rsidRDefault="000624B1" w:rsidP="002D0E72">
            <w:pPr>
              <w:jc w:val="center"/>
              <w:rPr>
                <w:rFonts w:cs="Times New Roman"/>
                <w:b/>
                <w:bCs/>
              </w:rPr>
            </w:pPr>
            <w:r w:rsidRPr="002F791C">
              <w:rPr>
                <w:rFonts w:cs="Times New Roman"/>
                <w:b/>
                <w:bCs/>
                <w:color w:val="000000"/>
              </w:rPr>
              <w:t>Kappa</w:t>
            </w:r>
          </w:p>
        </w:tc>
        <w:tc>
          <w:tcPr>
            <w:tcW w:w="0" w:type="auto"/>
          </w:tcPr>
          <w:p w14:paraId="7918C42B" w14:textId="7201D390" w:rsidR="000624B1" w:rsidRPr="002F791C" w:rsidRDefault="000624B1" w:rsidP="002D0E72">
            <w:pPr>
              <w:jc w:val="center"/>
              <w:rPr>
                <w:rFonts w:cs="Times New Roman"/>
                <w:b/>
                <w:bCs/>
                <w:color w:val="000000"/>
              </w:rPr>
            </w:pPr>
            <w:r w:rsidRPr="002F791C">
              <w:rPr>
                <w:rFonts w:cs="Times New Roman"/>
                <w:b/>
                <w:bCs/>
                <w:color w:val="000000"/>
              </w:rPr>
              <w:t>Kappa</w:t>
            </w:r>
            <w:r w:rsidRPr="002F791C">
              <w:rPr>
                <w:rFonts w:cs="Times New Roman"/>
                <w:b/>
                <w:bCs/>
                <w:color w:val="000000"/>
                <w:vertAlign w:val="superscript"/>
              </w:rPr>
              <w:t>2</w:t>
            </w:r>
          </w:p>
        </w:tc>
      </w:tr>
      <w:tr w:rsidR="002F791C" w:rsidRPr="002F791C" w14:paraId="7D46805C" w14:textId="62D5EBCD" w:rsidTr="004147FB">
        <w:trPr>
          <w:jc w:val="center"/>
        </w:trPr>
        <w:tc>
          <w:tcPr>
            <w:tcW w:w="0" w:type="auto"/>
            <w:vAlign w:val="center"/>
          </w:tcPr>
          <w:p w14:paraId="4DACE1B2" w14:textId="6F51768F" w:rsidR="002F791C" w:rsidRPr="002F791C" w:rsidRDefault="002F791C" w:rsidP="002F791C">
            <w:pPr>
              <w:jc w:val="center"/>
              <w:rPr>
                <w:rFonts w:cs="Times New Roman"/>
              </w:rPr>
            </w:pPr>
            <w:r w:rsidRPr="002F791C">
              <w:rPr>
                <w:rFonts w:cs="Times New Roman"/>
                <w:color w:val="000000"/>
                <w:sz w:val="20"/>
                <w:szCs w:val="20"/>
              </w:rPr>
              <w:t>1</w:t>
            </w:r>
          </w:p>
        </w:tc>
        <w:tc>
          <w:tcPr>
            <w:tcW w:w="0" w:type="auto"/>
            <w:vAlign w:val="bottom"/>
          </w:tcPr>
          <w:p w14:paraId="7C5B4D9D" w14:textId="3BAF6CBA" w:rsidR="002F791C" w:rsidRPr="002F791C" w:rsidRDefault="002F791C" w:rsidP="002F791C">
            <w:pPr>
              <w:jc w:val="center"/>
              <w:rPr>
                <w:rFonts w:cs="Times New Roman"/>
              </w:rPr>
            </w:pPr>
            <w:r w:rsidRPr="002F791C">
              <w:rPr>
                <w:rFonts w:cs="Times New Roman"/>
                <w:color w:val="000000"/>
              </w:rPr>
              <w:t>Linear Classification</w:t>
            </w:r>
          </w:p>
        </w:tc>
        <w:tc>
          <w:tcPr>
            <w:tcW w:w="0" w:type="auto"/>
            <w:vAlign w:val="bottom"/>
          </w:tcPr>
          <w:p w14:paraId="55BD8C13" w14:textId="7E90BEE3" w:rsidR="002F791C" w:rsidRPr="002F791C" w:rsidRDefault="002F791C" w:rsidP="002F791C">
            <w:pPr>
              <w:jc w:val="center"/>
              <w:rPr>
                <w:rFonts w:cs="Times New Roman"/>
              </w:rPr>
            </w:pPr>
            <w:r w:rsidRPr="002F791C">
              <w:rPr>
                <w:rFonts w:cs="Times New Roman"/>
                <w:color w:val="000000"/>
              </w:rPr>
              <w:t>0.4170</w:t>
            </w:r>
          </w:p>
        </w:tc>
        <w:tc>
          <w:tcPr>
            <w:tcW w:w="0" w:type="auto"/>
            <w:vAlign w:val="bottom"/>
          </w:tcPr>
          <w:p w14:paraId="63B3A179" w14:textId="11F7FBAF" w:rsidR="002F791C" w:rsidRPr="002F791C" w:rsidRDefault="002F791C" w:rsidP="002F791C">
            <w:pPr>
              <w:jc w:val="center"/>
              <w:rPr>
                <w:rFonts w:cs="Times New Roman"/>
              </w:rPr>
            </w:pPr>
            <w:r w:rsidRPr="002F791C">
              <w:rPr>
                <w:rFonts w:cs="Times New Roman"/>
                <w:color w:val="000000"/>
              </w:rPr>
              <w:t>0.2199</w:t>
            </w:r>
          </w:p>
        </w:tc>
        <w:tc>
          <w:tcPr>
            <w:tcW w:w="0" w:type="auto"/>
            <w:vAlign w:val="bottom"/>
          </w:tcPr>
          <w:p w14:paraId="43C40BFC" w14:textId="34F9A388" w:rsidR="002F791C" w:rsidRPr="002F791C" w:rsidRDefault="002F791C" w:rsidP="002F791C">
            <w:pPr>
              <w:jc w:val="center"/>
              <w:rPr>
                <w:rFonts w:cs="Times New Roman"/>
                <w:color w:val="000000"/>
              </w:rPr>
            </w:pPr>
            <w:r w:rsidRPr="002F791C">
              <w:rPr>
                <w:rFonts w:cs="Times New Roman"/>
                <w:color w:val="000000"/>
              </w:rPr>
              <w:t>0.0484</w:t>
            </w:r>
          </w:p>
        </w:tc>
      </w:tr>
      <w:tr w:rsidR="002F791C" w:rsidRPr="002F791C" w14:paraId="514988E7" w14:textId="7896FA58" w:rsidTr="004147FB">
        <w:trPr>
          <w:jc w:val="center"/>
        </w:trPr>
        <w:tc>
          <w:tcPr>
            <w:tcW w:w="0" w:type="auto"/>
            <w:vAlign w:val="center"/>
          </w:tcPr>
          <w:p w14:paraId="61F4B4F0" w14:textId="233E317B" w:rsidR="002F791C" w:rsidRPr="002F791C" w:rsidRDefault="002F791C" w:rsidP="002F791C">
            <w:pPr>
              <w:jc w:val="center"/>
              <w:rPr>
                <w:rFonts w:cs="Times New Roman"/>
              </w:rPr>
            </w:pPr>
            <w:r w:rsidRPr="002F791C">
              <w:rPr>
                <w:rFonts w:cs="Times New Roman"/>
                <w:color w:val="000000"/>
                <w:sz w:val="20"/>
                <w:szCs w:val="20"/>
              </w:rPr>
              <w:t>2</w:t>
            </w:r>
          </w:p>
        </w:tc>
        <w:tc>
          <w:tcPr>
            <w:tcW w:w="0" w:type="auto"/>
            <w:vAlign w:val="bottom"/>
          </w:tcPr>
          <w:p w14:paraId="03CE3987" w14:textId="53EB0225" w:rsidR="002F791C" w:rsidRPr="002F791C" w:rsidRDefault="002F791C" w:rsidP="002F791C">
            <w:pPr>
              <w:jc w:val="center"/>
              <w:rPr>
                <w:rFonts w:cs="Times New Roman"/>
              </w:rPr>
            </w:pPr>
            <w:r w:rsidRPr="002F791C">
              <w:rPr>
                <w:rFonts w:cs="Times New Roman"/>
                <w:color w:val="000000"/>
              </w:rPr>
              <w:t>Linear Discriminant Analysis</w:t>
            </w:r>
          </w:p>
        </w:tc>
        <w:tc>
          <w:tcPr>
            <w:tcW w:w="0" w:type="auto"/>
            <w:vAlign w:val="bottom"/>
          </w:tcPr>
          <w:p w14:paraId="19819775" w14:textId="717F2DBB" w:rsidR="002F791C" w:rsidRPr="002F791C" w:rsidRDefault="002F791C" w:rsidP="002F791C">
            <w:pPr>
              <w:jc w:val="center"/>
              <w:rPr>
                <w:rFonts w:cs="Times New Roman"/>
              </w:rPr>
            </w:pPr>
            <w:r w:rsidRPr="002F791C">
              <w:rPr>
                <w:rFonts w:cs="Times New Roman"/>
                <w:color w:val="000000"/>
              </w:rPr>
              <w:t>0.5941</w:t>
            </w:r>
          </w:p>
        </w:tc>
        <w:tc>
          <w:tcPr>
            <w:tcW w:w="0" w:type="auto"/>
            <w:vAlign w:val="bottom"/>
          </w:tcPr>
          <w:p w14:paraId="1B9C2BD0" w14:textId="370A51E0" w:rsidR="002F791C" w:rsidRPr="002F791C" w:rsidRDefault="002F791C" w:rsidP="002F791C">
            <w:pPr>
              <w:jc w:val="center"/>
              <w:rPr>
                <w:rFonts w:cs="Times New Roman"/>
              </w:rPr>
            </w:pPr>
            <w:r w:rsidRPr="002F791C">
              <w:rPr>
                <w:rFonts w:cs="Times New Roman"/>
                <w:color w:val="000000"/>
              </w:rPr>
              <w:t>0.4509</w:t>
            </w:r>
          </w:p>
        </w:tc>
        <w:tc>
          <w:tcPr>
            <w:tcW w:w="0" w:type="auto"/>
            <w:vAlign w:val="bottom"/>
          </w:tcPr>
          <w:p w14:paraId="530F005F" w14:textId="6803697A" w:rsidR="002F791C" w:rsidRPr="002F791C" w:rsidRDefault="002F791C" w:rsidP="002F791C">
            <w:pPr>
              <w:jc w:val="center"/>
              <w:rPr>
                <w:rFonts w:cs="Times New Roman"/>
                <w:color w:val="000000"/>
              </w:rPr>
            </w:pPr>
            <w:r w:rsidRPr="002F791C">
              <w:rPr>
                <w:rFonts w:cs="Times New Roman"/>
                <w:color w:val="000000"/>
              </w:rPr>
              <w:t>0.2033</w:t>
            </w:r>
          </w:p>
        </w:tc>
      </w:tr>
      <w:tr w:rsidR="002F791C" w:rsidRPr="002F791C" w14:paraId="14E5F272" w14:textId="288D8B7D" w:rsidTr="004147FB">
        <w:trPr>
          <w:jc w:val="center"/>
        </w:trPr>
        <w:tc>
          <w:tcPr>
            <w:tcW w:w="0" w:type="auto"/>
            <w:vAlign w:val="center"/>
          </w:tcPr>
          <w:p w14:paraId="21B716C0" w14:textId="23FCF3F5" w:rsidR="002F791C" w:rsidRPr="002F791C" w:rsidRDefault="002F791C" w:rsidP="002F791C">
            <w:pPr>
              <w:jc w:val="center"/>
              <w:rPr>
                <w:rFonts w:cs="Times New Roman"/>
              </w:rPr>
            </w:pPr>
            <w:r w:rsidRPr="002F791C">
              <w:rPr>
                <w:rFonts w:cs="Times New Roman"/>
                <w:color w:val="000000"/>
                <w:sz w:val="20"/>
                <w:szCs w:val="20"/>
              </w:rPr>
              <w:t>3</w:t>
            </w:r>
          </w:p>
        </w:tc>
        <w:tc>
          <w:tcPr>
            <w:tcW w:w="0" w:type="auto"/>
            <w:vAlign w:val="bottom"/>
          </w:tcPr>
          <w:p w14:paraId="07F08FE2" w14:textId="79BE38D4" w:rsidR="002F791C" w:rsidRPr="002F791C" w:rsidRDefault="002F791C" w:rsidP="002F791C">
            <w:pPr>
              <w:jc w:val="center"/>
              <w:rPr>
                <w:rFonts w:cs="Times New Roman"/>
              </w:rPr>
            </w:pPr>
            <w:r w:rsidRPr="002F791C">
              <w:rPr>
                <w:rFonts w:cs="Times New Roman"/>
                <w:color w:val="000000"/>
              </w:rPr>
              <w:t>Naive Bayes</w:t>
            </w:r>
          </w:p>
        </w:tc>
        <w:tc>
          <w:tcPr>
            <w:tcW w:w="0" w:type="auto"/>
            <w:vAlign w:val="bottom"/>
          </w:tcPr>
          <w:p w14:paraId="32CC7332" w14:textId="21F3CA6E" w:rsidR="002F791C" w:rsidRPr="002F791C" w:rsidRDefault="002F791C" w:rsidP="002F791C">
            <w:pPr>
              <w:jc w:val="center"/>
              <w:rPr>
                <w:rFonts w:cs="Times New Roman"/>
              </w:rPr>
            </w:pPr>
            <w:r w:rsidRPr="002F791C">
              <w:rPr>
                <w:rFonts w:cs="Times New Roman"/>
                <w:color w:val="000000"/>
              </w:rPr>
              <w:t>0.5649</w:t>
            </w:r>
          </w:p>
        </w:tc>
        <w:tc>
          <w:tcPr>
            <w:tcW w:w="0" w:type="auto"/>
            <w:vAlign w:val="bottom"/>
          </w:tcPr>
          <w:p w14:paraId="686C1170" w14:textId="20A99F73" w:rsidR="002F791C" w:rsidRPr="002F791C" w:rsidRDefault="002F791C" w:rsidP="002F791C">
            <w:pPr>
              <w:jc w:val="center"/>
              <w:rPr>
                <w:rFonts w:cs="Times New Roman"/>
              </w:rPr>
            </w:pPr>
            <w:r w:rsidRPr="002F791C">
              <w:rPr>
                <w:rFonts w:cs="Times New Roman"/>
                <w:color w:val="000000"/>
              </w:rPr>
              <w:t>0.4184</w:t>
            </w:r>
          </w:p>
        </w:tc>
        <w:tc>
          <w:tcPr>
            <w:tcW w:w="0" w:type="auto"/>
            <w:vAlign w:val="bottom"/>
          </w:tcPr>
          <w:p w14:paraId="592CF36E" w14:textId="65F25BB0" w:rsidR="002F791C" w:rsidRPr="002F791C" w:rsidRDefault="002F791C" w:rsidP="002F791C">
            <w:pPr>
              <w:jc w:val="center"/>
              <w:rPr>
                <w:rFonts w:cs="Times New Roman"/>
                <w:color w:val="000000"/>
              </w:rPr>
            </w:pPr>
            <w:r w:rsidRPr="002F791C">
              <w:rPr>
                <w:rFonts w:cs="Times New Roman"/>
                <w:color w:val="000000"/>
              </w:rPr>
              <w:t>0.1751</w:t>
            </w:r>
          </w:p>
        </w:tc>
      </w:tr>
      <w:tr w:rsidR="002F791C" w:rsidRPr="002F791C" w14:paraId="196C0364" w14:textId="580F680A" w:rsidTr="004147FB">
        <w:trPr>
          <w:jc w:val="center"/>
        </w:trPr>
        <w:tc>
          <w:tcPr>
            <w:tcW w:w="0" w:type="auto"/>
            <w:vAlign w:val="center"/>
          </w:tcPr>
          <w:p w14:paraId="5492C373" w14:textId="3A27C14A" w:rsidR="002F791C" w:rsidRPr="002F791C" w:rsidRDefault="002F791C" w:rsidP="002F791C">
            <w:pPr>
              <w:jc w:val="center"/>
              <w:rPr>
                <w:rFonts w:cs="Times New Roman"/>
              </w:rPr>
            </w:pPr>
            <w:r w:rsidRPr="002F791C">
              <w:rPr>
                <w:rFonts w:cs="Times New Roman"/>
                <w:color w:val="000000"/>
                <w:sz w:val="20"/>
                <w:szCs w:val="20"/>
              </w:rPr>
              <w:t>4</w:t>
            </w:r>
          </w:p>
        </w:tc>
        <w:tc>
          <w:tcPr>
            <w:tcW w:w="0" w:type="auto"/>
            <w:vAlign w:val="bottom"/>
          </w:tcPr>
          <w:p w14:paraId="1D60E9EC" w14:textId="119712BB" w:rsidR="002F791C" w:rsidRPr="002F791C" w:rsidRDefault="002F791C" w:rsidP="002F791C">
            <w:pPr>
              <w:jc w:val="center"/>
              <w:rPr>
                <w:rFonts w:cs="Times New Roman"/>
              </w:rPr>
            </w:pPr>
            <w:r w:rsidRPr="002F791C">
              <w:rPr>
                <w:rFonts w:cs="Times New Roman"/>
                <w:color w:val="000000"/>
              </w:rPr>
              <w:t>Decision Tree</w:t>
            </w:r>
          </w:p>
        </w:tc>
        <w:tc>
          <w:tcPr>
            <w:tcW w:w="0" w:type="auto"/>
            <w:vAlign w:val="bottom"/>
          </w:tcPr>
          <w:p w14:paraId="29FABFBA" w14:textId="2656CF2D" w:rsidR="002F791C" w:rsidRPr="002F791C" w:rsidRDefault="002F791C" w:rsidP="002F791C">
            <w:pPr>
              <w:jc w:val="center"/>
              <w:rPr>
                <w:rFonts w:cs="Times New Roman"/>
              </w:rPr>
            </w:pPr>
            <w:r w:rsidRPr="002F791C">
              <w:rPr>
                <w:rFonts w:cs="Times New Roman"/>
                <w:color w:val="000000"/>
              </w:rPr>
              <w:t>0.6025</w:t>
            </w:r>
          </w:p>
        </w:tc>
        <w:tc>
          <w:tcPr>
            <w:tcW w:w="0" w:type="auto"/>
            <w:vAlign w:val="bottom"/>
          </w:tcPr>
          <w:p w14:paraId="139A16DE" w14:textId="6B56C75D" w:rsidR="002F791C" w:rsidRPr="002F791C" w:rsidRDefault="002F791C" w:rsidP="002F791C">
            <w:pPr>
              <w:jc w:val="center"/>
              <w:rPr>
                <w:rFonts w:cs="Times New Roman"/>
              </w:rPr>
            </w:pPr>
            <w:r w:rsidRPr="002F791C">
              <w:rPr>
                <w:rFonts w:cs="Times New Roman"/>
                <w:color w:val="000000"/>
              </w:rPr>
              <w:t>0.4629</w:t>
            </w:r>
          </w:p>
        </w:tc>
        <w:tc>
          <w:tcPr>
            <w:tcW w:w="0" w:type="auto"/>
            <w:vAlign w:val="bottom"/>
          </w:tcPr>
          <w:p w14:paraId="62171B53" w14:textId="1DB45E22" w:rsidR="002F791C" w:rsidRPr="002F791C" w:rsidRDefault="002F791C" w:rsidP="002F791C">
            <w:pPr>
              <w:jc w:val="center"/>
              <w:rPr>
                <w:rFonts w:cs="Times New Roman"/>
                <w:color w:val="000000"/>
              </w:rPr>
            </w:pPr>
            <w:r w:rsidRPr="002F791C">
              <w:rPr>
                <w:rFonts w:cs="Times New Roman"/>
                <w:color w:val="000000"/>
              </w:rPr>
              <w:t>0.2143</w:t>
            </w:r>
          </w:p>
        </w:tc>
      </w:tr>
      <w:tr w:rsidR="002F791C" w:rsidRPr="002F791C" w14:paraId="27829E89" w14:textId="0710BA57" w:rsidTr="004147FB">
        <w:trPr>
          <w:jc w:val="center"/>
        </w:trPr>
        <w:tc>
          <w:tcPr>
            <w:tcW w:w="0" w:type="auto"/>
            <w:vAlign w:val="center"/>
          </w:tcPr>
          <w:p w14:paraId="5FCAC468" w14:textId="222F1212" w:rsidR="002F791C" w:rsidRPr="002F791C" w:rsidRDefault="002F791C" w:rsidP="002F791C">
            <w:pPr>
              <w:jc w:val="center"/>
              <w:rPr>
                <w:rFonts w:cs="Times New Roman"/>
              </w:rPr>
            </w:pPr>
            <w:r w:rsidRPr="002F791C">
              <w:rPr>
                <w:rFonts w:cs="Times New Roman"/>
                <w:color w:val="000000"/>
                <w:sz w:val="20"/>
                <w:szCs w:val="20"/>
              </w:rPr>
              <w:t>5</w:t>
            </w:r>
          </w:p>
        </w:tc>
        <w:tc>
          <w:tcPr>
            <w:tcW w:w="0" w:type="auto"/>
            <w:vAlign w:val="bottom"/>
          </w:tcPr>
          <w:p w14:paraId="00DDA2A6" w14:textId="6BB65132" w:rsidR="002F791C" w:rsidRPr="002F791C" w:rsidRDefault="002F791C" w:rsidP="002F791C">
            <w:pPr>
              <w:jc w:val="center"/>
              <w:rPr>
                <w:rFonts w:cs="Times New Roman"/>
              </w:rPr>
            </w:pPr>
            <w:r w:rsidRPr="002F791C">
              <w:rPr>
                <w:rFonts w:cs="Times New Roman"/>
                <w:color w:val="000000"/>
              </w:rPr>
              <w:t>Decision Tree with 0.001 Complexity</w:t>
            </w:r>
          </w:p>
        </w:tc>
        <w:tc>
          <w:tcPr>
            <w:tcW w:w="0" w:type="auto"/>
            <w:vAlign w:val="bottom"/>
          </w:tcPr>
          <w:p w14:paraId="51B57E1D" w14:textId="7B2B28B4" w:rsidR="002F791C" w:rsidRPr="002F791C" w:rsidRDefault="002F791C" w:rsidP="002F791C">
            <w:pPr>
              <w:jc w:val="center"/>
              <w:rPr>
                <w:rFonts w:cs="Times New Roman"/>
              </w:rPr>
            </w:pPr>
            <w:r w:rsidRPr="002F791C">
              <w:rPr>
                <w:rFonts w:cs="Times New Roman"/>
                <w:color w:val="000000"/>
              </w:rPr>
              <w:t>0.7183</w:t>
            </w:r>
          </w:p>
        </w:tc>
        <w:tc>
          <w:tcPr>
            <w:tcW w:w="0" w:type="auto"/>
            <w:vAlign w:val="bottom"/>
          </w:tcPr>
          <w:p w14:paraId="3AB40723" w14:textId="41C56D36" w:rsidR="002F791C" w:rsidRPr="002F791C" w:rsidRDefault="002F791C" w:rsidP="002F791C">
            <w:pPr>
              <w:jc w:val="center"/>
              <w:rPr>
                <w:rFonts w:cs="Times New Roman"/>
              </w:rPr>
            </w:pPr>
            <w:r w:rsidRPr="002F791C">
              <w:rPr>
                <w:rFonts w:cs="Times New Roman"/>
                <w:color w:val="000000"/>
              </w:rPr>
              <w:t>0.6209</w:t>
            </w:r>
          </w:p>
        </w:tc>
        <w:tc>
          <w:tcPr>
            <w:tcW w:w="0" w:type="auto"/>
            <w:vAlign w:val="bottom"/>
          </w:tcPr>
          <w:p w14:paraId="27C95561" w14:textId="2B8C071C" w:rsidR="002F791C" w:rsidRPr="002F791C" w:rsidRDefault="002F791C" w:rsidP="002F791C">
            <w:pPr>
              <w:jc w:val="center"/>
              <w:rPr>
                <w:rFonts w:cs="Times New Roman"/>
                <w:color w:val="000000"/>
              </w:rPr>
            </w:pPr>
            <w:r w:rsidRPr="002F791C">
              <w:rPr>
                <w:rFonts w:cs="Times New Roman"/>
                <w:color w:val="000000"/>
              </w:rPr>
              <w:t>0.3855</w:t>
            </w:r>
          </w:p>
        </w:tc>
      </w:tr>
      <w:tr w:rsidR="002F791C" w:rsidRPr="002F791C" w14:paraId="272A24BC" w14:textId="223D801F" w:rsidTr="004147FB">
        <w:trPr>
          <w:jc w:val="center"/>
        </w:trPr>
        <w:tc>
          <w:tcPr>
            <w:tcW w:w="0" w:type="auto"/>
            <w:vAlign w:val="center"/>
          </w:tcPr>
          <w:p w14:paraId="5908B8EC" w14:textId="02D4FC62" w:rsidR="002F791C" w:rsidRPr="002F791C" w:rsidRDefault="002F791C" w:rsidP="002F791C">
            <w:pPr>
              <w:jc w:val="center"/>
              <w:rPr>
                <w:rFonts w:cs="Times New Roman"/>
              </w:rPr>
            </w:pPr>
            <w:r w:rsidRPr="002F791C">
              <w:rPr>
                <w:rFonts w:cs="Times New Roman"/>
                <w:color w:val="000000"/>
                <w:sz w:val="20"/>
                <w:szCs w:val="20"/>
              </w:rPr>
              <w:t>6</w:t>
            </w:r>
          </w:p>
        </w:tc>
        <w:tc>
          <w:tcPr>
            <w:tcW w:w="0" w:type="auto"/>
            <w:vAlign w:val="bottom"/>
          </w:tcPr>
          <w:p w14:paraId="3EAB16B1" w14:textId="4C55CD05" w:rsidR="002F791C" w:rsidRPr="002F791C" w:rsidRDefault="002F791C" w:rsidP="002F791C">
            <w:pPr>
              <w:jc w:val="center"/>
              <w:rPr>
                <w:rFonts w:cs="Times New Roman"/>
              </w:rPr>
            </w:pPr>
            <w:r w:rsidRPr="002F791C">
              <w:rPr>
                <w:rFonts w:cs="Times New Roman"/>
                <w:color w:val="000000"/>
              </w:rPr>
              <w:t>Random Forest</w:t>
            </w:r>
          </w:p>
        </w:tc>
        <w:tc>
          <w:tcPr>
            <w:tcW w:w="0" w:type="auto"/>
            <w:vAlign w:val="bottom"/>
          </w:tcPr>
          <w:p w14:paraId="44925FCA" w14:textId="4DFB9924" w:rsidR="002F791C" w:rsidRPr="002F791C" w:rsidRDefault="002F791C" w:rsidP="002F791C">
            <w:pPr>
              <w:jc w:val="center"/>
              <w:rPr>
                <w:rFonts w:cs="Times New Roman"/>
              </w:rPr>
            </w:pPr>
            <w:r w:rsidRPr="002F791C">
              <w:rPr>
                <w:rFonts w:cs="Times New Roman"/>
                <w:color w:val="000000"/>
              </w:rPr>
              <w:t>0.8285</w:t>
            </w:r>
          </w:p>
        </w:tc>
        <w:tc>
          <w:tcPr>
            <w:tcW w:w="0" w:type="auto"/>
            <w:vAlign w:val="bottom"/>
          </w:tcPr>
          <w:p w14:paraId="3E7199E8" w14:textId="482EE2D4" w:rsidR="002F791C" w:rsidRPr="002F791C" w:rsidRDefault="002F791C" w:rsidP="002F791C">
            <w:pPr>
              <w:jc w:val="center"/>
              <w:rPr>
                <w:rFonts w:cs="Times New Roman"/>
              </w:rPr>
            </w:pPr>
            <w:r w:rsidRPr="002F791C">
              <w:rPr>
                <w:rFonts w:cs="Times New Roman"/>
                <w:color w:val="000000"/>
              </w:rPr>
              <w:t>0.7693</w:t>
            </w:r>
          </w:p>
        </w:tc>
        <w:tc>
          <w:tcPr>
            <w:tcW w:w="0" w:type="auto"/>
            <w:vAlign w:val="bottom"/>
          </w:tcPr>
          <w:p w14:paraId="2C68DCB6" w14:textId="35F97EF6" w:rsidR="002F791C" w:rsidRPr="002F791C" w:rsidRDefault="002F791C" w:rsidP="002F791C">
            <w:pPr>
              <w:jc w:val="center"/>
              <w:rPr>
                <w:rFonts w:cs="Times New Roman"/>
                <w:color w:val="000000"/>
              </w:rPr>
            </w:pPr>
            <w:r w:rsidRPr="002F791C">
              <w:rPr>
                <w:rFonts w:cs="Times New Roman"/>
                <w:color w:val="000000"/>
              </w:rPr>
              <w:t>0.5919</w:t>
            </w:r>
          </w:p>
        </w:tc>
      </w:tr>
      <w:tr w:rsidR="002F791C" w:rsidRPr="002F791C" w14:paraId="6E57DEAA" w14:textId="4C20BA0A" w:rsidTr="004147FB">
        <w:trPr>
          <w:jc w:val="center"/>
        </w:trPr>
        <w:tc>
          <w:tcPr>
            <w:tcW w:w="0" w:type="auto"/>
            <w:vAlign w:val="center"/>
          </w:tcPr>
          <w:p w14:paraId="16D016C4" w14:textId="3FE2E5C9" w:rsidR="002F791C" w:rsidRPr="002F791C" w:rsidRDefault="002F791C" w:rsidP="002F791C">
            <w:pPr>
              <w:jc w:val="center"/>
              <w:rPr>
                <w:rFonts w:cs="Times New Roman"/>
                <w:b/>
                <w:bCs/>
              </w:rPr>
            </w:pPr>
            <w:r w:rsidRPr="002F791C">
              <w:rPr>
                <w:rFonts w:cs="Times New Roman"/>
                <w:b/>
                <w:bCs/>
                <w:color w:val="000000"/>
                <w:sz w:val="20"/>
                <w:szCs w:val="20"/>
              </w:rPr>
              <w:t>7</w:t>
            </w:r>
          </w:p>
        </w:tc>
        <w:tc>
          <w:tcPr>
            <w:tcW w:w="0" w:type="auto"/>
            <w:vAlign w:val="bottom"/>
          </w:tcPr>
          <w:p w14:paraId="48062835" w14:textId="55965DF3" w:rsidR="002F791C" w:rsidRPr="00237C02" w:rsidRDefault="002F791C" w:rsidP="002F791C">
            <w:pPr>
              <w:jc w:val="center"/>
              <w:rPr>
                <w:rFonts w:cs="Times New Roman"/>
              </w:rPr>
            </w:pPr>
            <w:r w:rsidRPr="00237C02">
              <w:rPr>
                <w:rFonts w:cs="Times New Roman"/>
                <w:color w:val="000000"/>
              </w:rPr>
              <w:t>KNN (k=3) with Standard Normalization Scaling</w:t>
            </w:r>
          </w:p>
        </w:tc>
        <w:tc>
          <w:tcPr>
            <w:tcW w:w="0" w:type="auto"/>
            <w:vAlign w:val="bottom"/>
          </w:tcPr>
          <w:p w14:paraId="2F414C47" w14:textId="49C0B64F" w:rsidR="002F791C" w:rsidRPr="00237C02" w:rsidRDefault="002F791C" w:rsidP="002F791C">
            <w:pPr>
              <w:jc w:val="center"/>
              <w:rPr>
                <w:rFonts w:cs="Times New Roman"/>
              </w:rPr>
            </w:pPr>
            <w:r w:rsidRPr="00237C02">
              <w:rPr>
                <w:rFonts w:cs="Times New Roman"/>
                <w:color w:val="000000"/>
              </w:rPr>
              <w:t>0.8605</w:t>
            </w:r>
          </w:p>
        </w:tc>
        <w:tc>
          <w:tcPr>
            <w:tcW w:w="0" w:type="auto"/>
            <w:vAlign w:val="bottom"/>
          </w:tcPr>
          <w:p w14:paraId="7717FD28" w14:textId="011EBFA2" w:rsidR="002F791C" w:rsidRPr="00237C02" w:rsidRDefault="002F791C" w:rsidP="002F791C">
            <w:pPr>
              <w:jc w:val="center"/>
              <w:rPr>
                <w:rFonts w:cs="Times New Roman"/>
              </w:rPr>
            </w:pPr>
            <w:r w:rsidRPr="00237C02">
              <w:rPr>
                <w:rFonts w:cs="Times New Roman"/>
                <w:color w:val="000000"/>
              </w:rPr>
              <w:t>0.8123</w:t>
            </w:r>
          </w:p>
        </w:tc>
        <w:tc>
          <w:tcPr>
            <w:tcW w:w="0" w:type="auto"/>
            <w:vAlign w:val="bottom"/>
          </w:tcPr>
          <w:p w14:paraId="1E8DE28F" w14:textId="3F886947" w:rsidR="002F791C" w:rsidRPr="00237C02" w:rsidRDefault="002F791C" w:rsidP="002F791C">
            <w:pPr>
              <w:jc w:val="center"/>
              <w:rPr>
                <w:rFonts w:cs="Times New Roman"/>
                <w:color w:val="000000"/>
              </w:rPr>
            </w:pPr>
            <w:r w:rsidRPr="00237C02">
              <w:rPr>
                <w:rFonts w:cs="Times New Roman"/>
                <w:color w:val="000000"/>
              </w:rPr>
              <w:t>0.6598</w:t>
            </w:r>
          </w:p>
        </w:tc>
      </w:tr>
      <w:tr w:rsidR="002F791C" w:rsidRPr="002F791C" w14:paraId="28EBED51" w14:textId="072B14D7" w:rsidTr="004147FB">
        <w:trPr>
          <w:jc w:val="center"/>
        </w:trPr>
        <w:tc>
          <w:tcPr>
            <w:tcW w:w="0" w:type="auto"/>
            <w:vAlign w:val="center"/>
          </w:tcPr>
          <w:p w14:paraId="3C0618C4" w14:textId="7E9633F9" w:rsidR="002F791C" w:rsidRPr="002F791C" w:rsidRDefault="002F791C" w:rsidP="002F791C">
            <w:pPr>
              <w:jc w:val="center"/>
              <w:rPr>
                <w:rFonts w:cs="Times New Roman"/>
              </w:rPr>
            </w:pPr>
            <w:r w:rsidRPr="002F791C">
              <w:rPr>
                <w:rFonts w:cs="Times New Roman"/>
                <w:color w:val="000000"/>
                <w:sz w:val="20"/>
                <w:szCs w:val="20"/>
              </w:rPr>
              <w:t>8</w:t>
            </w:r>
          </w:p>
        </w:tc>
        <w:tc>
          <w:tcPr>
            <w:tcW w:w="0" w:type="auto"/>
            <w:vAlign w:val="bottom"/>
          </w:tcPr>
          <w:p w14:paraId="50F0FE87" w14:textId="6D26824B" w:rsidR="002F791C" w:rsidRPr="002F791C" w:rsidRDefault="002F791C" w:rsidP="002F791C">
            <w:pPr>
              <w:jc w:val="center"/>
              <w:rPr>
                <w:rFonts w:cs="Times New Roman"/>
              </w:rPr>
            </w:pPr>
            <w:r w:rsidRPr="002F791C">
              <w:rPr>
                <w:rFonts w:cs="Times New Roman"/>
                <w:color w:val="000000"/>
              </w:rPr>
              <w:t>Linear SVM with Standard Normalization Scaling, c=50</w:t>
            </w:r>
          </w:p>
        </w:tc>
        <w:tc>
          <w:tcPr>
            <w:tcW w:w="0" w:type="auto"/>
            <w:vAlign w:val="bottom"/>
          </w:tcPr>
          <w:p w14:paraId="48616D64" w14:textId="13AA4F8B" w:rsidR="002F791C" w:rsidRPr="002F791C" w:rsidRDefault="002F791C" w:rsidP="002F791C">
            <w:pPr>
              <w:jc w:val="center"/>
              <w:rPr>
                <w:rFonts w:cs="Times New Roman"/>
              </w:rPr>
            </w:pPr>
            <w:r w:rsidRPr="002F791C">
              <w:rPr>
                <w:rFonts w:cs="Times New Roman"/>
                <w:color w:val="000000"/>
              </w:rPr>
              <w:t>0.6151</w:t>
            </w:r>
          </w:p>
        </w:tc>
        <w:tc>
          <w:tcPr>
            <w:tcW w:w="0" w:type="auto"/>
            <w:vAlign w:val="bottom"/>
          </w:tcPr>
          <w:p w14:paraId="5CAE61D4" w14:textId="07BA48FD" w:rsidR="002F791C" w:rsidRPr="002F791C" w:rsidRDefault="002F791C" w:rsidP="002F791C">
            <w:pPr>
              <w:jc w:val="center"/>
              <w:rPr>
                <w:rFonts w:cs="Times New Roman"/>
              </w:rPr>
            </w:pPr>
            <w:r w:rsidRPr="002F791C">
              <w:rPr>
                <w:rFonts w:cs="Times New Roman"/>
                <w:color w:val="000000"/>
              </w:rPr>
              <w:t>0.4798</w:t>
            </w:r>
          </w:p>
        </w:tc>
        <w:tc>
          <w:tcPr>
            <w:tcW w:w="0" w:type="auto"/>
            <w:vAlign w:val="bottom"/>
          </w:tcPr>
          <w:p w14:paraId="1ACB1E93" w14:textId="6F3B8E53" w:rsidR="002F791C" w:rsidRPr="002F791C" w:rsidRDefault="002F791C" w:rsidP="002F791C">
            <w:pPr>
              <w:jc w:val="center"/>
              <w:rPr>
                <w:rFonts w:cs="Times New Roman"/>
                <w:color w:val="000000"/>
              </w:rPr>
            </w:pPr>
            <w:r w:rsidRPr="002F791C">
              <w:rPr>
                <w:rFonts w:cs="Times New Roman"/>
                <w:color w:val="000000"/>
              </w:rPr>
              <w:t>0.2302</w:t>
            </w:r>
          </w:p>
        </w:tc>
      </w:tr>
      <w:tr w:rsidR="002F791C" w:rsidRPr="002F791C" w14:paraId="40A50BBC" w14:textId="607573A1" w:rsidTr="004147FB">
        <w:trPr>
          <w:jc w:val="center"/>
        </w:trPr>
        <w:tc>
          <w:tcPr>
            <w:tcW w:w="0" w:type="auto"/>
            <w:vAlign w:val="center"/>
          </w:tcPr>
          <w:p w14:paraId="7DFBF418" w14:textId="6354D423" w:rsidR="002F791C" w:rsidRPr="002F791C" w:rsidRDefault="002F791C" w:rsidP="002F791C">
            <w:pPr>
              <w:jc w:val="center"/>
              <w:rPr>
                <w:rFonts w:cs="Times New Roman"/>
              </w:rPr>
            </w:pPr>
            <w:r w:rsidRPr="002F791C">
              <w:rPr>
                <w:rFonts w:cs="Times New Roman"/>
                <w:color w:val="000000"/>
                <w:sz w:val="20"/>
                <w:szCs w:val="20"/>
              </w:rPr>
              <w:t>9</w:t>
            </w:r>
          </w:p>
        </w:tc>
        <w:tc>
          <w:tcPr>
            <w:tcW w:w="0" w:type="auto"/>
            <w:vAlign w:val="bottom"/>
          </w:tcPr>
          <w:p w14:paraId="45D03B59" w14:textId="3D7BAC47" w:rsidR="002F791C" w:rsidRPr="002F791C" w:rsidRDefault="002F791C" w:rsidP="002F791C">
            <w:pPr>
              <w:jc w:val="center"/>
              <w:rPr>
                <w:rFonts w:cs="Times New Roman"/>
              </w:rPr>
            </w:pPr>
            <w:r w:rsidRPr="002F791C">
              <w:rPr>
                <w:rFonts w:cs="Times New Roman"/>
                <w:color w:val="000000"/>
              </w:rPr>
              <w:t>SVM with RBF and Standard Normalization Scaling, c=50</w:t>
            </w:r>
          </w:p>
        </w:tc>
        <w:tc>
          <w:tcPr>
            <w:tcW w:w="0" w:type="auto"/>
            <w:vAlign w:val="bottom"/>
          </w:tcPr>
          <w:p w14:paraId="60819E45" w14:textId="108EC773" w:rsidR="002F791C" w:rsidRPr="002F791C" w:rsidRDefault="002F791C" w:rsidP="002F791C">
            <w:pPr>
              <w:jc w:val="center"/>
              <w:rPr>
                <w:rFonts w:cs="Times New Roman"/>
              </w:rPr>
            </w:pPr>
            <w:r w:rsidRPr="002F791C">
              <w:rPr>
                <w:rFonts w:cs="Times New Roman"/>
                <w:color w:val="000000"/>
              </w:rPr>
              <w:t>0.7922</w:t>
            </w:r>
          </w:p>
        </w:tc>
        <w:tc>
          <w:tcPr>
            <w:tcW w:w="0" w:type="auto"/>
            <w:vAlign w:val="bottom"/>
          </w:tcPr>
          <w:p w14:paraId="67A1AE35" w14:textId="50864514" w:rsidR="002F791C" w:rsidRPr="002F791C" w:rsidRDefault="002F791C" w:rsidP="002F791C">
            <w:pPr>
              <w:keepNext/>
              <w:jc w:val="center"/>
              <w:rPr>
                <w:rFonts w:cs="Times New Roman"/>
              </w:rPr>
            </w:pPr>
            <w:r w:rsidRPr="002F791C">
              <w:rPr>
                <w:rFonts w:cs="Times New Roman"/>
                <w:color w:val="000000"/>
              </w:rPr>
              <w:t>0.7200</w:t>
            </w:r>
          </w:p>
        </w:tc>
        <w:tc>
          <w:tcPr>
            <w:tcW w:w="0" w:type="auto"/>
            <w:vAlign w:val="bottom"/>
          </w:tcPr>
          <w:p w14:paraId="14E1E154" w14:textId="5ACFF592" w:rsidR="002F791C" w:rsidRPr="002F791C" w:rsidRDefault="002F791C" w:rsidP="002F791C">
            <w:pPr>
              <w:keepNext/>
              <w:jc w:val="center"/>
              <w:rPr>
                <w:rFonts w:cs="Times New Roman"/>
                <w:color w:val="000000"/>
              </w:rPr>
            </w:pPr>
            <w:r w:rsidRPr="002F791C">
              <w:rPr>
                <w:rFonts w:cs="Times New Roman"/>
                <w:color w:val="000000"/>
              </w:rPr>
              <w:t>0.5185</w:t>
            </w:r>
          </w:p>
        </w:tc>
      </w:tr>
    </w:tbl>
    <w:p w14:paraId="6436D655" w14:textId="75544DAE" w:rsidR="00202636" w:rsidRDefault="00CB2820" w:rsidP="00CB2820">
      <w:r>
        <w:tab/>
      </w:r>
    </w:p>
    <w:p w14:paraId="07FC2BBB" w14:textId="7531675E" w:rsidR="00CB2820" w:rsidRDefault="00CB2820" w:rsidP="00CB2820">
      <w:pPr>
        <w:jc w:val="both"/>
      </w:pPr>
      <w:r>
        <w:tab/>
        <w:t xml:space="preserve">KNN with a k of 3 generates the </w:t>
      </w:r>
      <w:r w:rsidR="00984F7F">
        <w:t xml:space="preserve">highest accuracy of 86.05%. Kappa is also taken into consideration </w:t>
      </w:r>
      <w:r w:rsidR="00CA3F9C">
        <w:t xml:space="preserve">as this is frequently used to test interrater </w:t>
      </w:r>
      <w:r w:rsidR="00714008">
        <w:t>reliability that</w:t>
      </w:r>
      <w:r w:rsidR="004357B1">
        <w:t xml:space="preserve"> represents </w:t>
      </w:r>
      <w:r w:rsidR="00714008" w:rsidRPr="00714008">
        <w:t>the extent to which the study's data are accurate representations of the variables measured</w:t>
      </w:r>
      <w:r w:rsidR="00714008">
        <w:t xml:space="preserve"> </w:t>
      </w:r>
      <w:sdt>
        <w:sdtPr>
          <w:id w:val="1299110939"/>
          <w:citation/>
        </w:sdtPr>
        <w:sdtContent>
          <w:r w:rsidR="00714008">
            <w:fldChar w:fldCharType="begin"/>
          </w:r>
          <w:r w:rsidR="00714008">
            <w:instrText xml:space="preserve"> CITATION McH12 \l 4105 </w:instrText>
          </w:r>
          <w:r w:rsidR="00714008">
            <w:fldChar w:fldCharType="separate"/>
          </w:r>
          <w:r w:rsidR="006159D2">
            <w:rPr>
              <w:noProof/>
            </w:rPr>
            <w:t>(McHugh, 2012)</w:t>
          </w:r>
          <w:r w:rsidR="00714008">
            <w:fldChar w:fldCharType="end"/>
          </w:r>
        </w:sdtContent>
      </w:sdt>
      <w:r w:rsidR="00714008" w:rsidRPr="00714008">
        <w:t>.</w:t>
      </w:r>
      <w:r w:rsidR="0062224F">
        <w:t xml:space="preserve"> By using kappa, this ensures the </w:t>
      </w:r>
      <w:r w:rsidR="008B4F5B">
        <w:t xml:space="preserve">percent agreement across multiple data. The </w:t>
      </w:r>
      <w:r w:rsidR="00FB734F">
        <w:t xml:space="preserve">KNN </w:t>
      </w:r>
      <w:r w:rsidR="008B4F5B">
        <w:t xml:space="preserve">model </w:t>
      </w:r>
      <w:r w:rsidR="00723F7A">
        <w:t>has a kappa of 0.8123</w:t>
      </w:r>
      <w:r w:rsidR="005F126B">
        <w:t>,</w:t>
      </w:r>
      <w:r w:rsidR="00723F7A">
        <w:t xml:space="preserve"> which according to McHugh</w:t>
      </w:r>
      <w:r w:rsidR="005F126B">
        <w:t>,</w:t>
      </w:r>
      <w:r w:rsidR="00723F7A">
        <w:t xml:space="preserve"> signifies</w:t>
      </w:r>
      <w:r w:rsidR="005F126B">
        <w:t xml:space="preserve"> a strong level of agreement and a high percentage of data are reliable. </w:t>
      </w:r>
      <w:r w:rsidR="00E22666">
        <w:t>Since kappa is some form of correlation coefficient</w:t>
      </w:r>
      <w:r w:rsidR="00987A04">
        <w:t>, the coefficient of determination</w:t>
      </w:r>
      <w:r w:rsidR="009B3558">
        <w:t xml:space="preserve">, </w:t>
      </w:r>
      <w:r w:rsidR="00DE24DF">
        <w:t xml:space="preserve">squared </w:t>
      </w:r>
      <w:r w:rsidR="009B3558">
        <w:t>kappa,</w:t>
      </w:r>
      <w:r w:rsidR="00987A04">
        <w:t xml:space="preserve"> could be defined. This </w:t>
      </w:r>
      <w:r w:rsidR="00936C30">
        <w:t xml:space="preserve">describes how much variability </w:t>
      </w:r>
      <w:r w:rsidR="00E96791">
        <w:t xml:space="preserve">there is in the model. </w:t>
      </w:r>
      <w:r w:rsidR="00953790">
        <w:t xml:space="preserve">The </w:t>
      </w:r>
      <w:r w:rsidR="00656E4F">
        <w:t xml:space="preserve">squared kappa of the best model is 0.6598 </w:t>
      </w:r>
      <w:r w:rsidR="00656E4F">
        <w:lastRenderedPageBreak/>
        <w:t xml:space="preserve">which means </w:t>
      </w:r>
      <w:r w:rsidR="000A447E">
        <w:t xml:space="preserve">65.98% of the </w:t>
      </w:r>
      <w:r w:rsidR="003C367B">
        <w:t xml:space="preserve">variation in classification can be explained </w:t>
      </w:r>
      <w:r w:rsidR="00840401">
        <w:t xml:space="preserve">by the </w:t>
      </w:r>
      <w:r w:rsidR="00ED26E3">
        <w:t>in</w:t>
      </w:r>
      <w:r w:rsidR="00840401">
        <w:t>dependent variables</w:t>
      </w:r>
      <w:r w:rsidR="007B5B47">
        <w:t xml:space="preserve"> and exhibits</w:t>
      </w:r>
      <w:r w:rsidR="00344F45">
        <w:t xml:space="preserve"> a very strong relationship </w:t>
      </w:r>
      <w:sdt>
        <w:sdtPr>
          <w:id w:val="-281420844"/>
          <w:citation/>
        </w:sdtPr>
        <w:sdtContent>
          <w:r w:rsidR="00344F45">
            <w:fldChar w:fldCharType="begin"/>
          </w:r>
          <w:r w:rsidR="00344F45">
            <w:instrText xml:space="preserve"> CITATION Aye23 \l 4105 </w:instrText>
          </w:r>
          <w:r w:rsidR="00344F45">
            <w:fldChar w:fldCharType="separate"/>
          </w:r>
          <w:r w:rsidR="006159D2">
            <w:rPr>
              <w:noProof/>
            </w:rPr>
            <w:t>(Ayenew, 2023)</w:t>
          </w:r>
          <w:r w:rsidR="00344F45">
            <w:fldChar w:fldCharType="end"/>
          </w:r>
        </w:sdtContent>
      </w:sdt>
      <w:r w:rsidR="00344F45">
        <w:t xml:space="preserve"> </w:t>
      </w:r>
      <w:r w:rsidR="00ED26E3">
        <w:t>with the dependent variable</w:t>
      </w:r>
      <w:r w:rsidR="00840401">
        <w:t>.</w:t>
      </w:r>
    </w:p>
    <w:p w14:paraId="0B930F9E" w14:textId="32D8CA69" w:rsidR="00775442" w:rsidRDefault="00775442" w:rsidP="00775442">
      <w:pPr>
        <w:pStyle w:val="Caption"/>
        <w:keepNext/>
      </w:pPr>
      <w:r>
        <w:t xml:space="preserve">Table </w:t>
      </w:r>
      <w:fldSimple w:instr=" SEQ Table \* ARABIC ">
        <w:r>
          <w:rPr>
            <w:noProof/>
          </w:rPr>
          <w:t>3</w:t>
        </w:r>
      </w:fldSimple>
      <w:r>
        <w:t>. Best Fit Model</w:t>
      </w:r>
    </w:p>
    <w:tbl>
      <w:tblPr>
        <w:tblStyle w:val="TableGrid"/>
        <w:tblW w:w="0" w:type="auto"/>
        <w:jc w:val="center"/>
        <w:tblLook w:val="04A0" w:firstRow="1" w:lastRow="0" w:firstColumn="1" w:lastColumn="0" w:noHBand="0" w:noVBand="1"/>
      </w:tblPr>
      <w:tblGrid>
        <w:gridCol w:w="2766"/>
        <w:gridCol w:w="4507"/>
      </w:tblGrid>
      <w:tr w:rsidR="003D6DD6" w:rsidRPr="003D6DD6" w14:paraId="40613D9F" w14:textId="77777777" w:rsidTr="00775442">
        <w:trPr>
          <w:jc w:val="center"/>
        </w:trPr>
        <w:tc>
          <w:tcPr>
            <w:tcW w:w="0" w:type="auto"/>
          </w:tcPr>
          <w:p w14:paraId="6BAB68E8" w14:textId="5A21FC22" w:rsidR="003D6DD6" w:rsidRPr="003D6DD6" w:rsidRDefault="003D6DD6" w:rsidP="00CB2820">
            <w:pPr>
              <w:jc w:val="both"/>
              <w:rPr>
                <w:rFonts w:cs="Times New Roman"/>
                <w:szCs w:val="24"/>
              </w:rPr>
            </w:pPr>
            <w:r>
              <w:rPr>
                <w:rFonts w:cs="Times New Roman"/>
                <w:szCs w:val="24"/>
              </w:rPr>
              <w:t>Model</w:t>
            </w:r>
          </w:p>
        </w:tc>
        <w:tc>
          <w:tcPr>
            <w:tcW w:w="0" w:type="auto"/>
          </w:tcPr>
          <w:p w14:paraId="29E48F7B" w14:textId="1160A201" w:rsidR="003D6DD6" w:rsidRPr="003D6DD6" w:rsidRDefault="003D6DD6" w:rsidP="003D6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imes New Roman"/>
                <w:color w:val="000000"/>
                <w:kern w:val="0"/>
                <w:szCs w:val="24"/>
                <w:lang w:eastAsia="en-CA"/>
                <w14:ligatures w14:val="none"/>
              </w:rPr>
            </w:pPr>
            <w:r w:rsidRPr="003D6DD6">
              <w:rPr>
                <w:rFonts w:eastAsia="Times New Roman" w:cs="Times New Roman"/>
                <w:color w:val="000000"/>
                <w:kern w:val="0"/>
                <w:szCs w:val="24"/>
                <w:bdr w:val="none" w:sz="0" w:space="0" w:color="auto" w:frame="1"/>
                <w:lang w:eastAsia="en-CA"/>
                <w14:ligatures w14:val="none"/>
              </w:rPr>
              <w:t xml:space="preserve">KNN(k=3) with Standard Normalization Scaling </w:t>
            </w:r>
          </w:p>
        </w:tc>
      </w:tr>
      <w:tr w:rsidR="003D6DD6" w:rsidRPr="003D6DD6" w14:paraId="425EDAF8" w14:textId="77777777" w:rsidTr="00775442">
        <w:trPr>
          <w:jc w:val="center"/>
        </w:trPr>
        <w:tc>
          <w:tcPr>
            <w:tcW w:w="0" w:type="auto"/>
          </w:tcPr>
          <w:p w14:paraId="6D85D1BA" w14:textId="6B35B9E0" w:rsidR="003D6DD6" w:rsidRPr="003D6DD6" w:rsidRDefault="003D6DD6" w:rsidP="00CB2820">
            <w:pPr>
              <w:jc w:val="both"/>
              <w:rPr>
                <w:rFonts w:cs="Times New Roman"/>
                <w:szCs w:val="24"/>
              </w:rPr>
            </w:pPr>
            <w:r>
              <w:rPr>
                <w:rFonts w:cs="Times New Roman"/>
                <w:szCs w:val="24"/>
              </w:rPr>
              <w:t>Accuracy</w:t>
            </w:r>
            <w:r w:rsidR="00A80F25">
              <w:rPr>
                <w:rFonts w:cs="Times New Roman"/>
                <w:szCs w:val="24"/>
              </w:rPr>
              <w:t xml:space="preserve"> %</w:t>
            </w:r>
          </w:p>
        </w:tc>
        <w:tc>
          <w:tcPr>
            <w:tcW w:w="0" w:type="auto"/>
          </w:tcPr>
          <w:p w14:paraId="41CBCC06" w14:textId="74A2D552" w:rsidR="003D6DD6" w:rsidRPr="003D6DD6" w:rsidRDefault="00A80F25" w:rsidP="00CB2820">
            <w:pPr>
              <w:jc w:val="both"/>
              <w:rPr>
                <w:rFonts w:cs="Times New Roman"/>
                <w:szCs w:val="24"/>
              </w:rPr>
            </w:pPr>
            <w:r>
              <w:rPr>
                <w:rFonts w:cs="Times New Roman"/>
                <w:szCs w:val="24"/>
              </w:rPr>
              <w:t>86.05%</w:t>
            </w:r>
          </w:p>
        </w:tc>
      </w:tr>
      <w:tr w:rsidR="003D6DD6" w:rsidRPr="003D6DD6" w14:paraId="23DE0CDC" w14:textId="77777777" w:rsidTr="00775442">
        <w:trPr>
          <w:jc w:val="center"/>
        </w:trPr>
        <w:tc>
          <w:tcPr>
            <w:tcW w:w="0" w:type="auto"/>
          </w:tcPr>
          <w:p w14:paraId="4C033F4C" w14:textId="6A13F247" w:rsidR="003D6DD6" w:rsidRPr="003D6DD6" w:rsidRDefault="003D6DD6" w:rsidP="00CB2820">
            <w:pPr>
              <w:jc w:val="both"/>
              <w:rPr>
                <w:rFonts w:cs="Times New Roman"/>
                <w:szCs w:val="24"/>
              </w:rPr>
            </w:pPr>
            <w:r>
              <w:rPr>
                <w:rFonts w:cs="Times New Roman"/>
                <w:szCs w:val="24"/>
              </w:rPr>
              <w:t>Kappa</w:t>
            </w:r>
          </w:p>
        </w:tc>
        <w:tc>
          <w:tcPr>
            <w:tcW w:w="0" w:type="auto"/>
          </w:tcPr>
          <w:p w14:paraId="33A03355" w14:textId="79649B91" w:rsidR="003D6DD6" w:rsidRPr="003D6DD6" w:rsidRDefault="00775442" w:rsidP="00CB2820">
            <w:pPr>
              <w:jc w:val="both"/>
              <w:rPr>
                <w:rFonts w:cs="Times New Roman"/>
                <w:szCs w:val="24"/>
              </w:rPr>
            </w:pPr>
            <w:r>
              <w:rPr>
                <w:rFonts w:cs="Times New Roman"/>
                <w:szCs w:val="24"/>
              </w:rPr>
              <w:t>0.8123</w:t>
            </w:r>
          </w:p>
        </w:tc>
      </w:tr>
      <w:tr w:rsidR="003D6DD6" w:rsidRPr="003D6DD6" w14:paraId="49511292" w14:textId="77777777" w:rsidTr="00775442">
        <w:trPr>
          <w:jc w:val="center"/>
        </w:trPr>
        <w:tc>
          <w:tcPr>
            <w:tcW w:w="0" w:type="auto"/>
          </w:tcPr>
          <w:p w14:paraId="18A02A9E" w14:textId="51E89E1C" w:rsidR="003D6DD6" w:rsidRPr="003D6DD6" w:rsidRDefault="003D6DD6" w:rsidP="00CB2820">
            <w:pPr>
              <w:jc w:val="both"/>
              <w:rPr>
                <w:rFonts w:cs="Times New Roman"/>
                <w:szCs w:val="24"/>
              </w:rPr>
            </w:pPr>
            <w:r>
              <w:rPr>
                <w:rFonts w:cs="Times New Roman"/>
                <w:szCs w:val="24"/>
              </w:rPr>
              <w:t>Coefficient of Determination</w:t>
            </w:r>
          </w:p>
        </w:tc>
        <w:tc>
          <w:tcPr>
            <w:tcW w:w="0" w:type="auto"/>
          </w:tcPr>
          <w:p w14:paraId="538FA8F1" w14:textId="5B5C0A6A" w:rsidR="003D6DD6" w:rsidRPr="003D6DD6" w:rsidRDefault="003D6DD6" w:rsidP="00CB2820">
            <w:pPr>
              <w:jc w:val="both"/>
              <w:rPr>
                <w:rFonts w:cs="Times New Roman"/>
                <w:szCs w:val="24"/>
              </w:rPr>
            </w:pPr>
            <w:r>
              <w:rPr>
                <w:rFonts w:cs="Times New Roman"/>
                <w:szCs w:val="24"/>
              </w:rPr>
              <w:t>0.6</w:t>
            </w:r>
            <w:r w:rsidR="00A80F25">
              <w:rPr>
                <w:rFonts w:cs="Times New Roman"/>
                <w:szCs w:val="24"/>
              </w:rPr>
              <w:t>598</w:t>
            </w:r>
          </w:p>
        </w:tc>
      </w:tr>
    </w:tbl>
    <w:p w14:paraId="7B9420BD" w14:textId="32CCB878" w:rsidR="00E96791" w:rsidRDefault="00933277" w:rsidP="00CB2820">
      <w:pPr>
        <w:jc w:val="both"/>
      </w:pPr>
      <w:r>
        <w:tab/>
      </w:r>
    </w:p>
    <w:p w14:paraId="56E2543D" w14:textId="6CBD6DE4" w:rsidR="00933277" w:rsidRPr="00CB2820" w:rsidRDefault="00933277" w:rsidP="00CB2820">
      <w:pPr>
        <w:jc w:val="both"/>
      </w:pPr>
      <w:r>
        <w:tab/>
        <w:t>In the clustering method, Cluster 2 has the least number of countries</w:t>
      </w:r>
      <w:r w:rsidR="001B1380">
        <w:t xml:space="preserve"> with 24 items.</w:t>
      </w:r>
      <w:r w:rsidR="007A7C06">
        <w:t xml:space="preserve"> T</w:t>
      </w:r>
      <w:r w:rsidR="001B1380">
        <w:t xml:space="preserve">his cluster </w:t>
      </w:r>
      <w:r w:rsidR="007A7C06">
        <w:t xml:space="preserve">also </w:t>
      </w:r>
      <w:r w:rsidR="001B1380">
        <w:t xml:space="preserve">has the </w:t>
      </w:r>
      <w:r w:rsidR="007A7C06">
        <w:t xml:space="preserve">highest GNI/ capita, </w:t>
      </w:r>
      <w:r w:rsidR="007A7C06" w:rsidRPr="00625A28">
        <w:t>Control of Corruption, Government Effectiveness, Political Stability and Absence of Violence/Terrorism, Regulatory Quality, Rule of Law, and Voice and Accountability</w:t>
      </w:r>
      <w:r w:rsidR="00AF0762">
        <w:t>.</w:t>
      </w:r>
    </w:p>
    <w:p w14:paraId="36A9E30B" w14:textId="17FD1C64" w:rsidR="00AD12B5" w:rsidRPr="00AD12B5" w:rsidRDefault="00AD12B5" w:rsidP="00AD12B5">
      <w:pPr>
        <w:pStyle w:val="Heading1"/>
      </w:pPr>
      <w:r>
        <w:t>Conclusion</w:t>
      </w:r>
    </w:p>
    <w:p w14:paraId="12FC1361" w14:textId="32F4BB6E" w:rsidR="005A0E25" w:rsidRDefault="00EF2B32" w:rsidP="00003BDE">
      <w:pPr>
        <w:ind w:firstLine="720"/>
        <w:jc w:val="both"/>
      </w:pPr>
      <w:r>
        <w:t xml:space="preserve">In the study, </w:t>
      </w:r>
      <w:r w:rsidR="00250602">
        <w:t>the 6 dimensions are proven to have</w:t>
      </w:r>
      <w:r w:rsidR="00CD066F">
        <w:t xml:space="preserve"> high correlation with GNI/ capita and </w:t>
      </w:r>
      <w:r w:rsidR="00942A10">
        <w:t xml:space="preserve">can </w:t>
      </w:r>
      <w:r w:rsidR="00CD066F">
        <w:t xml:space="preserve">be used as the predictors for the income group level of a country. </w:t>
      </w:r>
      <w:r w:rsidR="002753E5">
        <w:t xml:space="preserve">Countries with high average value in governance indicators </w:t>
      </w:r>
      <w:r w:rsidR="00841F0C">
        <w:t xml:space="preserve">generate more GNI/ capita, thus high economic income level. </w:t>
      </w:r>
      <w:r w:rsidR="00B7096E">
        <w:t xml:space="preserve">It is </w:t>
      </w:r>
      <w:r w:rsidR="00370613">
        <w:t>plausible to anticipate that a</w:t>
      </w:r>
      <w:r w:rsidR="00F80674">
        <w:t xml:space="preserve"> country </w:t>
      </w:r>
      <w:r w:rsidR="00370613">
        <w:t>that</w:t>
      </w:r>
      <w:r w:rsidR="00F80674">
        <w:t xml:space="preserve"> demonstrate</w:t>
      </w:r>
      <w:r w:rsidR="00370613">
        <w:t>s</w:t>
      </w:r>
      <w:r w:rsidR="00400B0B">
        <w:t xml:space="preserve"> the following</w:t>
      </w:r>
      <w:r w:rsidR="009B7BBD">
        <w:t xml:space="preserve"> </w:t>
      </w:r>
      <w:r w:rsidR="00711269">
        <w:t>features</w:t>
      </w:r>
      <w:r w:rsidR="00E77BE4">
        <w:t xml:space="preserve"> are one of the </w:t>
      </w:r>
      <w:r w:rsidR="00FF0FC2">
        <w:t>f</w:t>
      </w:r>
      <w:r w:rsidR="00E77BE4">
        <w:t xml:space="preserve">irst </w:t>
      </w:r>
      <w:r w:rsidR="00FF0FC2">
        <w:t>w</w:t>
      </w:r>
      <w:r w:rsidR="00E77BE4">
        <w:t xml:space="preserve">orld </w:t>
      </w:r>
      <w:r w:rsidR="00FF0FC2">
        <w:t>or developed countries</w:t>
      </w:r>
      <w:r w:rsidR="00711269">
        <w:t>:</w:t>
      </w:r>
      <w:r w:rsidR="00F80674">
        <w:t xml:space="preserve"> a</w:t>
      </w:r>
      <w:r w:rsidR="00D52B0B">
        <w:t>n</w:t>
      </w:r>
      <w:r w:rsidR="00F80674">
        <w:t xml:space="preserve"> </w:t>
      </w:r>
      <w:r w:rsidR="00597F25">
        <w:t>excellent</w:t>
      </w:r>
      <w:r w:rsidR="00F80674">
        <w:t xml:space="preserve"> control of corruption</w:t>
      </w:r>
      <w:r w:rsidR="00711269">
        <w:t>;</w:t>
      </w:r>
      <w:r w:rsidR="00F80674">
        <w:t xml:space="preserve"> highly efficient governance</w:t>
      </w:r>
      <w:r w:rsidR="00711269">
        <w:t>;</w:t>
      </w:r>
      <w:r w:rsidR="00F80674">
        <w:t xml:space="preserve"> </w:t>
      </w:r>
      <w:r w:rsidR="005477ED">
        <w:t xml:space="preserve">stable politics and </w:t>
      </w:r>
      <w:r w:rsidR="00BF22D2">
        <w:t>minimal to zero terrorism</w:t>
      </w:r>
      <w:r w:rsidR="00711269">
        <w:t>;</w:t>
      </w:r>
      <w:r w:rsidR="00BF22D2">
        <w:t xml:space="preserve"> </w:t>
      </w:r>
      <w:r w:rsidR="00C7608B">
        <w:t>prominent regulatory quality</w:t>
      </w:r>
      <w:r w:rsidR="00711269">
        <w:t>;</w:t>
      </w:r>
      <w:r w:rsidR="00C7608B">
        <w:t xml:space="preserve"> stron</w:t>
      </w:r>
      <w:r w:rsidR="00FD03EB">
        <w:t>g and strict implementations of law</w:t>
      </w:r>
      <w:r w:rsidR="00711269">
        <w:t>;</w:t>
      </w:r>
      <w:r w:rsidR="00FD03EB">
        <w:t xml:space="preserve"> and the citizens </w:t>
      </w:r>
      <w:r w:rsidR="00076FA4">
        <w:t>have freedom of expression and association</w:t>
      </w:r>
      <w:r w:rsidR="00191C63">
        <w:t xml:space="preserve"> as well as d</w:t>
      </w:r>
      <w:r w:rsidR="00207764">
        <w:t>emocracy in selecting their government</w:t>
      </w:r>
      <w:r w:rsidR="00076FA4">
        <w:t>.</w:t>
      </w:r>
      <w:r w:rsidR="00C417C2">
        <w:t xml:space="preserve"> </w:t>
      </w:r>
      <w:r w:rsidR="00193536">
        <w:t xml:space="preserve">However, these factors cannot be used in the determination of unemployment rate of a country since the </w:t>
      </w:r>
      <w:r w:rsidR="00003BDE">
        <w:t>parameters are not correlated with another.</w:t>
      </w:r>
      <w:r w:rsidR="00452868">
        <w:t xml:space="preserve"> Time series</w:t>
      </w:r>
      <w:r w:rsidR="006F7653">
        <w:t xml:space="preserve"> is also not employed in this </w:t>
      </w:r>
      <w:r w:rsidR="002F3022">
        <w:t xml:space="preserve">study </w:t>
      </w:r>
      <w:r w:rsidR="006F7653">
        <w:t xml:space="preserve">because </w:t>
      </w:r>
      <w:r w:rsidR="00515521">
        <w:t xml:space="preserve">the analysis </w:t>
      </w:r>
      <w:r w:rsidR="001279AC">
        <w:t xml:space="preserve">would be restricted </w:t>
      </w:r>
      <w:r w:rsidR="00DB0795">
        <w:t>to a specific country</w:t>
      </w:r>
      <w:r w:rsidR="00A770FB">
        <w:t xml:space="preserve"> and trends differ from each nation.</w:t>
      </w:r>
    </w:p>
    <w:sdt>
      <w:sdtPr>
        <w:rPr>
          <w:rFonts w:eastAsiaTheme="minorHAnsi" w:cstheme="minorBidi"/>
          <w:b w:val="0"/>
          <w:szCs w:val="22"/>
        </w:rPr>
        <w:id w:val="1395773455"/>
        <w:docPartObj>
          <w:docPartGallery w:val="Bibliographies"/>
          <w:docPartUnique/>
        </w:docPartObj>
      </w:sdtPr>
      <w:sdtContent>
        <w:p w14:paraId="4A441228" w14:textId="0DB4EC02" w:rsidR="005A0E25" w:rsidRDefault="005A0E25">
          <w:pPr>
            <w:pStyle w:val="Heading1"/>
          </w:pPr>
          <w:r>
            <w:t>References</w:t>
          </w:r>
        </w:p>
        <w:sdt>
          <w:sdtPr>
            <w:id w:val="-573587230"/>
            <w:bibliography/>
          </w:sdtPr>
          <w:sdtContent>
            <w:p w14:paraId="3427B0D7" w14:textId="77777777" w:rsidR="006159D2" w:rsidRDefault="005A0E25" w:rsidP="006159D2">
              <w:pPr>
                <w:pStyle w:val="Bibliography"/>
                <w:ind w:left="720" w:hanging="720"/>
                <w:rPr>
                  <w:noProof/>
                  <w:kern w:val="0"/>
                  <w:sz w:val="24"/>
                  <w:szCs w:val="24"/>
                  <w14:ligatures w14:val="none"/>
                </w:rPr>
              </w:pPr>
              <w:r>
                <w:fldChar w:fldCharType="begin"/>
              </w:r>
              <w:r>
                <w:instrText xml:space="preserve"> BIBLIOGRAPHY </w:instrText>
              </w:r>
              <w:r>
                <w:fldChar w:fldCharType="separate"/>
              </w:r>
              <w:r w:rsidR="006159D2">
                <w:rPr>
                  <w:noProof/>
                </w:rPr>
                <w:t xml:space="preserve">Ayenew, D. (2023, February 9). </w:t>
              </w:r>
              <w:r w:rsidR="006159D2">
                <w:rPr>
                  <w:i/>
                  <w:iCs/>
                  <w:noProof/>
                </w:rPr>
                <w:t>Coefficient of Determination (R²) — Definition &amp; Interpretation.</w:t>
              </w:r>
              <w:r w:rsidR="006159D2">
                <w:rPr>
                  <w:noProof/>
                </w:rPr>
                <w:t xml:space="preserve"> Retrieved from Bachelor Print: https://www.bachelorprint.ca/statistics/coefficient-of-determination/</w:t>
              </w:r>
            </w:p>
            <w:p w14:paraId="71B80504" w14:textId="77777777" w:rsidR="006159D2" w:rsidRDefault="006159D2" w:rsidP="006159D2">
              <w:pPr>
                <w:pStyle w:val="Bibliography"/>
                <w:ind w:left="720" w:hanging="720"/>
                <w:rPr>
                  <w:noProof/>
                </w:rPr>
              </w:pPr>
              <w:r>
                <w:rPr>
                  <w:noProof/>
                </w:rPr>
                <w:t xml:space="preserve">Hamadeh, N., Rompaey, C., Metreau, E., &amp; Eapen, S. (2022, July 1). </w:t>
              </w:r>
              <w:r>
                <w:rPr>
                  <w:i/>
                  <w:iCs/>
                  <w:noProof/>
                </w:rPr>
                <w:t>New World Bank country classifications by income level: 2022-2023.</w:t>
              </w:r>
              <w:r>
                <w:rPr>
                  <w:noProof/>
                </w:rPr>
                <w:t xml:space="preserve"> Retrieved from World Bank Blogs: https://blogs.worldbank.org/opendata/new-world-bank-country-classifications-income-level-2022-2023</w:t>
              </w:r>
            </w:p>
            <w:p w14:paraId="3BA54D49" w14:textId="77777777" w:rsidR="006159D2" w:rsidRDefault="006159D2" w:rsidP="006159D2">
              <w:pPr>
                <w:pStyle w:val="Bibliography"/>
                <w:ind w:left="720" w:hanging="720"/>
                <w:rPr>
                  <w:noProof/>
                </w:rPr>
              </w:pPr>
              <w:r>
                <w:rPr>
                  <w:noProof/>
                </w:rPr>
                <w:t xml:space="preserve">McHugh, M. L. (2012, October). Interrater reliability: the kappa statistic. </w:t>
              </w:r>
              <w:r>
                <w:rPr>
                  <w:i/>
                  <w:iCs/>
                  <w:noProof/>
                </w:rPr>
                <w:t>Biochem Med, 22</w:t>
              </w:r>
              <w:r>
                <w:rPr>
                  <w:noProof/>
                </w:rPr>
                <w:t>(3), 276-282. https://doi.org/https://www.ncbi.nlm.nih.gov/pmc/articles/PMC3900052/</w:t>
              </w:r>
            </w:p>
            <w:p w14:paraId="4F92B379" w14:textId="77777777" w:rsidR="006159D2" w:rsidRDefault="006159D2" w:rsidP="006159D2">
              <w:pPr>
                <w:pStyle w:val="Bibliography"/>
                <w:ind w:left="720" w:hanging="720"/>
                <w:rPr>
                  <w:noProof/>
                </w:rPr>
              </w:pPr>
              <w:r>
                <w:rPr>
                  <w:i/>
                  <w:iCs/>
                  <w:noProof/>
                </w:rPr>
                <w:t>World Development Indicator [data file].</w:t>
              </w:r>
              <w:r>
                <w:rPr>
                  <w:noProof/>
                </w:rPr>
                <w:t xml:space="preserve"> (2023). Retrieved August 3, 2023, from The World Bank: https://databank.worldbank.org/source/world-development-indicators</w:t>
              </w:r>
            </w:p>
            <w:p w14:paraId="053F17AB" w14:textId="4FEAECED" w:rsidR="008E03A4" w:rsidRPr="008E03A4" w:rsidRDefault="005A0E25" w:rsidP="006159D2">
              <w:r>
                <w:rPr>
                  <w:b/>
                  <w:bCs/>
                  <w:noProof/>
                </w:rPr>
                <w:fldChar w:fldCharType="end"/>
              </w:r>
            </w:p>
          </w:sdtContent>
        </w:sdt>
      </w:sdtContent>
    </w:sdt>
    <w:sectPr w:rsidR="008E03A4" w:rsidRPr="008E03A4" w:rsidSect="00F449B5">
      <w:head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AC49" w14:textId="77777777" w:rsidR="00D35568" w:rsidRDefault="00D35568" w:rsidP="00F449B5">
      <w:pPr>
        <w:spacing w:after="0" w:line="240" w:lineRule="auto"/>
      </w:pPr>
      <w:r>
        <w:separator/>
      </w:r>
    </w:p>
  </w:endnote>
  <w:endnote w:type="continuationSeparator" w:id="0">
    <w:p w14:paraId="376F04E6" w14:textId="77777777" w:rsidR="00D35568" w:rsidRDefault="00D35568" w:rsidP="00F4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2DF4" w14:textId="77777777" w:rsidR="00D35568" w:rsidRDefault="00D35568" w:rsidP="00F449B5">
      <w:pPr>
        <w:spacing w:after="0" w:line="240" w:lineRule="auto"/>
      </w:pPr>
      <w:r>
        <w:separator/>
      </w:r>
    </w:p>
  </w:footnote>
  <w:footnote w:type="continuationSeparator" w:id="0">
    <w:p w14:paraId="57CF7CEA" w14:textId="77777777" w:rsidR="00D35568" w:rsidRDefault="00D35568" w:rsidP="00F4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16E6" w14:textId="43297C05" w:rsidR="00F449B5" w:rsidRPr="00115208" w:rsidRDefault="00115208" w:rsidP="004A6341">
    <w:pPr>
      <w:spacing w:after="0" w:line="360" w:lineRule="auto"/>
      <w:jc w:val="right"/>
      <w:rPr>
        <w:sz w:val="20"/>
        <w:szCs w:val="18"/>
      </w:rPr>
    </w:pPr>
    <w:r>
      <w:rPr>
        <w:sz w:val="20"/>
        <w:szCs w:val="18"/>
      </w:rPr>
      <w:tab/>
      <w:t xml:space="preserve">            </w:t>
    </w:r>
    <w:r w:rsidR="00F449B5">
      <w:fldChar w:fldCharType="begin"/>
    </w:r>
    <w:r w:rsidR="00F449B5">
      <w:instrText xml:space="preserve"> PAGE   \* MERGEFORMAT </w:instrText>
    </w:r>
    <w:r w:rsidR="00F449B5">
      <w:fldChar w:fldCharType="separate"/>
    </w:r>
    <w:r w:rsidR="00F449B5">
      <w:rPr>
        <w:noProof/>
      </w:rPr>
      <w:t>1</w:t>
    </w:r>
    <w:r w:rsidR="00F449B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486775"/>
      <w:docPartObj>
        <w:docPartGallery w:val="Page Numbers (Top of Page)"/>
        <w:docPartUnique/>
      </w:docPartObj>
    </w:sdtPr>
    <w:sdtEndPr>
      <w:rPr>
        <w:noProof/>
      </w:rPr>
    </w:sdtEndPr>
    <w:sdtContent>
      <w:p w14:paraId="4A535E1E" w14:textId="0E132251" w:rsidR="00F449B5" w:rsidRDefault="00F449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BDE282" w14:textId="77777777" w:rsidR="00F449B5" w:rsidRDefault="00F44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10E"/>
    <w:multiLevelType w:val="hybridMultilevel"/>
    <w:tmpl w:val="7B500B3A"/>
    <w:lvl w:ilvl="0" w:tplc="CD1AD964">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7879BE"/>
    <w:multiLevelType w:val="hybridMultilevel"/>
    <w:tmpl w:val="EDE404E6"/>
    <w:lvl w:ilvl="0" w:tplc="05667102">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1185817">
    <w:abstractNumId w:val="1"/>
  </w:num>
  <w:num w:numId="2" w16cid:durableId="47194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36"/>
    <w:rsid w:val="000002E0"/>
    <w:rsid w:val="00002116"/>
    <w:rsid w:val="00003BDE"/>
    <w:rsid w:val="00005D6B"/>
    <w:rsid w:val="0001547D"/>
    <w:rsid w:val="00025B0D"/>
    <w:rsid w:val="000264CF"/>
    <w:rsid w:val="00033457"/>
    <w:rsid w:val="00061679"/>
    <w:rsid w:val="000624B1"/>
    <w:rsid w:val="00065DB2"/>
    <w:rsid w:val="00076FA4"/>
    <w:rsid w:val="00081DDB"/>
    <w:rsid w:val="000852E3"/>
    <w:rsid w:val="0008623E"/>
    <w:rsid w:val="00094DDC"/>
    <w:rsid w:val="00097ED8"/>
    <w:rsid w:val="000A0F60"/>
    <w:rsid w:val="000A340B"/>
    <w:rsid w:val="000A447E"/>
    <w:rsid w:val="000A7D02"/>
    <w:rsid w:val="000E4053"/>
    <w:rsid w:val="000E58BF"/>
    <w:rsid w:val="000F0ACA"/>
    <w:rsid w:val="00115208"/>
    <w:rsid w:val="001279AC"/>
    <w:rsid w:val="001453CB"/>
    <w:rsid w:val="00166941"/>
    <w:rsid w:val="00191C63"/>
    <w:rsid w:val="00193536"/>
    <w:rsid w:val="001B1380"/>
    <w:rsid w:val="001B6B83"/>
    <w:rsid w:val="001D5818"/>
    <w:rsid w:val="001E5192"/>
    <w:rsid w:val="002007FA"/>
    <w:rsid w:val="00202636"/>
    <w:rsid w:val="00204B92"/>
    <w:rsid w:val="0020759B"/>
    <w:rsid w:val="00207764"/>
    <w:rsid w:val="00227A19"/>
    <w:rsid w:val="00231BA6"/>
    <w:rsid w:val="00231FF8"/>
    <w:rsid w:val="002357ED"/>
    <w:rsid w:val="00237C02"/>
    <w:rsid w:val="002448F2"/>
    <w:rsid w:val="00250602"/>
    <w:rsid w:val="00252DA2"/>
    <w:rsid w:val="002728A6"/>
    <w:rsid w:val="002753E5"/>
    <w:rsid w:val="00284F23"/>
    <w:rsid w:val="002914F9"/>
    <w:rsid w:val="002929F9"/>
    <w:rsid w:val="002A041C"/>
    <w:rsid w:val="002A57EA"/>
    <w:rsid w:val="002D03BB"/>
    <w:rsid w:val="002D0E72"/>
    <w:rsid w:val="002D1D61"/>
    <w:rsid w:val="002F3022"/>
    <w:rsid w:val="002F791C"/>
    <w:rsid w:val="00315946"/>
    <w:rsid w:val="0033153D"/>
    <w:rsid w:val="00343E9F"/>
    <w:rsid w:val="00344F45"/>
    <w:rsid w:val="0036786D"/>
    <w:rsid w:val="00370613"/>
    <w:rsid w:val="003B0934"/>
    <w:rsid w:val="003C2A2B"/>
    <w:rsid w:val="003C367B"/>
    <w:rsid w:val="003C62DD"/>
    <w:rsid w:val="003D6DD6"/>
    <w:rsid w:val="00400B0B"/>
    <w:rsid w:val="0040600E"/>
    <w:rsid w:val="00407E96"/>
    <w:rsid w:val="00421378"/>
    <w:rsid w:val="004232E5"/>
    <w:rsid w:val="004357B1"/>
    <w:rsid w:val="004477E6"/>
    <w:rsid w:val="0045151D"/>
    <w:rsid w:val="00452868"/>
    <w:rsid w:val="00472AAB"/>
    <w:rsid w:val="004737AC"/>
    <w:rsid w:val="0048023A"/>
    <w:rsid w:val="00487D98"/>
    <w:rsid w:val="00495866"/>
    <w:rsid w:val="004A6341"/>
    <w:rsid w:val="004B5032"/>
    <w:rsid w:val="004C5218"/>
    <w:rsid w:val="004D07E2"/>
    <w:rsid w:val="00500627"/>
    <w:rsid w:val="0050381B"/>
    <w:rsid w:val="00512849"/>
    <w:rsid w:val="00515521"/>
    <w:rsid w:val="00525914"/>
    <w:rsid w:val="0053466C"/>
    <w:rsid w:val="005477ED"/>
    <w:rsid w:val="00563DCE"/>
    <w:rsid w:val="00570AB8"/>
    <w:rsid w:val="00574428"/>
    <w:rsid w:val="00595BE4"/>
    <w:rsid w:val="00597F25"/>
    <w:rsid w:val="005A0E25"/>
    <w:rsid w:val="005B7D1B"/>
    <w:rsid w:val="005C2291"/>
    <w:rsid w:val="005D4747"/>
    <w:rsid w:val="005E5C69"/>
    <w:rsid w:val="005F0157"/>
    <w:rsid w:val="005F126B"/>
    <w:rsid w:val="00602203"/>
    <w:rsid w:val="006159D2"/>
    <w:rsid w:val="0062224F"/>
    <w:rsid w:val="00625A28"/>
    <w:rsid w:val="006262AB"/>
    <w:rsid w:val="00626654"/>
    <w:rsid w:val="00632E45"/>
    <w:rsid w:val="006337CE"/>
    <w:rsid w:val="0064073A"/>
    <w:rsid w:val="00641609"/>
    <w:rsid w:val="00656E4F"/>
    <w:rsid w:val="00661D49"/>
    <w:rsid w:val="00661D7F"/>
    <w:rsid w:val="00683082"/>
    <w:rsid w:val="00684ADC"/>
    <w:rsid w:val="00694D3D"/>
    <w:rsid w:val="006A23AC"/>
    <w:rsid w:val="006B579F"/>
    <w:rsid w:val="006F1F0B"/>
    <w:rsid w:val="006F6F11"/>
    <w:rsid w:val="006F7653"/>
    <w:rsid w:val="0070622B"/>
    <w:rsid w:val="0070671C"/>
    <w:rsid w:val="00711269"/>
    <w:rsid w:val="00714008"/>
    <w:rsid w:val="00721AC3"/>
    <w:rsid w:val="00723F7A"/>
    <w:rsid w:val="007337BB"/>
    <w:rsid w:val="00737545"/>
    <w:rsid w:val="0075210F"/>
    <w:rsid w:val="007620B0"/>
    <w:rsid w:val="00772DD3"/>
    <w:rsid w:val="00775442"/>
    <w:rsid w:val="007A7C06"/>
    <w:rsid w:val="007B24BB"/>
    <w:rsid w:val="007B5B47"/>
    <w:rsid w:val="007C5B15"/>
    <w:rsid w:val="00800387"/>
    <w:rsid w:val="0080697F"/>
    <w:rsid w:val="00824744"/>
    <w:rsid w:val="00830C81"/>
    <w:rsid w:val="00840401"/>
    <w:rsid w:val="00841F0C"/>
    <w:rsid w:val="0084704F"/>
    <w:rsid w:val="00880C32"/>
    <w:rsid w:val="00884780"/>
    <w:rsid w:val="008A3DD8"/>
    <w:rsid w:val="008A5068"/>
    <w:rsid w:val="008B4F5B"/>
    <w:rsid w:val="008C1A70"/>
    <w:rsid w:val="008D4BE8"/>
    <w:rsid w:val="008E03A4"/>
    <w:rsid w:val="008E4D44"/>
    <w:rsid w:val="00933277"/>
    <w:rsid w:val="00936C30"/>
    <w:rsid w:val="00942A10"/>
    <w:rsid w:val="00950165"/>
    <w:rsid w:val="00953790"/>
    <w:rsid w:val="0096389E"/>
    <w:rsid w:val="00981786"/>
    <w:rsid w:val="00984F7F"/>
    <w:rsid w:val="00987A04"/>
    <w:rsid w:val="009913DB"/>
    <w:rsid w:val="009A2BCE"/>
    <w:rsid w:val="009A3031"/>
    <w:rsid w:val="009B3558"/>
    <w:rsid w:val="009B7BBD"/>
    <w:rsid w:val="009F4DE2"/>
    <w:rsid w:val="00A1133A"/>
    <w:rsid w:val="00A20248"/>
    <w:rsid w:val="00A304FB"/>
    <w:rsid w:val="00A45C8A"/>
    <w:rsid w:val="00A53ED6"/>
    <w:rsid w:val="00A60B2D"/>
    <w:rsid w:val="00A72CD9"/>
    <w:rsid w:val="00A770FB"/>
    <w:rsid w:val="00A80F25"/>
    <w:rsid w:val="00AB5318"/>
    <w:rsid w:val="00AB73C6"/>
    <w:rsid w:val="00AD12B5"/>
    <w:rsid w:val="00AD55D1"/>
    <w:rsid w:val="00AF0762"/>
    <w:rsid w:val="00AF64CC"/>
    <w:rsid w:val="00B00DC4"/>
    <w:rsid w:val="00B01220"/>
    <w:rsid w:val="00B535E1"/>
    <w:rsid w:val="00B7096E"/>
    <w:rsid w:val="00B91D10"/>
    <w:rsid w:val="00BA1936"/>
    <w:rsid w:val="00BB036E"/>
    <w:rsid w:val="00BB482F"/>
    <w:rsid w:val="00BE4BEC"/>
    <w:rsid w:val="00BF22D2"/>
    <w:rsid w:val="00BF4B36"/>
    <w:rsid w:val="00C10E08"/>
    <w:rsid w:val="00C14BC0"/>
    <w:rsid w:val="00C2714A"/>
    <w:rsid w:val="00C300EE"/>
    <w:rsid w:val="00C31B0D"/>
    <w:rsid w:val="00C3688B"/>
    <w:rsid w:val="00C417C2"/>
    <w:rsid w:val="00C45A09"/>
    <w:rsid w:val="00C64F89"/>
    <w:rsid w:val="00C75696"/>
    <w:rsid w:val="00C7608B"/>
    <w:rsid w:val="00C83DE9"/>
    <w:rsid w:val="00CA3F9C"/>
    <w:rsid w:val="00CB2820"/>
    <w:rsid w:val="00CC2A18"/>
    <w:rsid w:val="00CC7960"/>
    <w:rsid w:val="00CD066F"/>
    <w:rsid w:val="00CE1D94"/>
    <w:rsid w:val="00CE7D57"/>
    <w:rsid w:val="00D006D0"/>
    <w:rsid w:val="00D01E6C"/>
    <w:rsid w:val="00D10D79"/>
    <w:rsid w:val="00D35568"/>
    <w:rsid w:val="00D5081B"/>
    <w:rsid w:val="00D52B0B"/>
    <w:rsid w:val="00D55774"/>
    <w:rsid w:val="00D64760"/>
    <w:rsid w:val="00D67B3E"/>
    <w:rsid w:val="00D72665"/>
    <w:rsid w:val="00D726C4"/>
    <w:rsid w:val="00D755FB"/>
    <w:rsid w:val="00D83826"/>
    <w:rsid w:val="00D9170D"/>
    <w:rsid w:val="00DA590A"/>
    <w:rsid w:val="00DB0795"/>
    <w:rsid w:val="00DE24DF"/>
    <w:rsid w:val="00E11753"/>
    <w:rsid w:val="00E22666"/>
    <w:rsid w:val="00E22812"/>
    <w:rsid w:val="00E61999"/>
    <w:rsid w:val="00E71CDE"/>
    <w:rsid w:val="00E7640F"/>
    <w:rsid w:val="00E77BE4"/>
    <w:rsid w:val="00E80014"/>
    <w:rsid w:val="00E91F24"/>
    <w:rsid w:val="00E96791"/>
    <w:rsid w:val="00ED2055"/>
    <w:rsid w:val="00ED26E3"/>
    <w:rsid w:val="00EE4033"/>
    <w:rsid w:val="00EF129B"/>
    <w:rsid w:val="00EF2B32"/>
    <w:rsid w:val="00F02BC5"/>
    <w:rsid w:val="00F13103"/>
    <w:rsid w:val="00F13643"/>
    <w:rsid w:val="00F13D31"/>
    <w:rsid w:val="00F1508D"/>
    <w:rsid w:val="00F213EF"/>
    <w:rsid w:val="00F449B5"/>
    <w:rsid w:val="00F80674"/>
    <w:rsid w:val="00F820FC"/>
    <w:rsid w:val="00F91744"/>
    <w:rsid w:val="00FA71F3"/>
    <w:rsid w:val="00FA73DE"/>
    <w:rsid w:val="00FB3331"/>
    <w:rsid w:val="00FB734F"/>
    <w:rsid w:val="00FD03EB"/>
    <w:rsid w:val="00FE0D09"/>
    <w:rsid w:val="00FF0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DC01"/>
  <w15:chartTrackingRefBased/>
  <w15:docId w15:val="{1E1C923B-0665-4BAA-B0CC-A3FA71D3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rPr>
      <w:rFonts w:ascii="Times New Roman" w:hAnsi="Times New Roman"/>
    </w:rPr>
  </w:style>
  <w:style w:type="paragraph" w:styleId="Heading1">
    <w:name w:val="heading 1"/>
    <w:basedOn w:val="Normal"/>
    <w:next w:val="Normal"/>
    <w:link w:val="Heading1Char"/>
    <w:uiPriority w:val="9"/>
    <w:qFormat/>
    <w:rsid w:val="008E03A4"/>
    <w:pPr>
      <w:keepNext/>
      <w:keepLines/>
      <w:spacing w:after="240" w:line="240" w:lineRule="auto"/>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B5"/>
    <w:rPr>
      <w:rFonts w:ascii="Times New Roman" w:hAnsi="Times New Roman"/>
      <w:sz w:val="24"/>
    </w:rPr>
  </w:style>
  <w:style w:type="paragraph" w:styleId="Footer">
    <w:name w:val="footer"/>
    <w:basedOn w:val="Normal"/>
    <w:link w:val="FooterChar"/>
    <w:uiPriority w:val="99"/>
    <w:unhideWhenUsed/>
    <w:rsid w:val="00F4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B5"/>
    <w:rPr>
      <w:rFonts w:ascii="Times New Roman" w:hAnsi="Times New Roman"/>
      <w:sz w:val="24"/>
    </w:rPr>
  </w:style>
  <w:style w:type="character" w:customStyle="1" w:styleId="Heading1Char">
    <w:name w:val="Heading 1 Char"/>
    <w:basedOn w:val="DefaultParagraphFont"/>
    <w:link w:val="Heading1"/>
    <w:uiPriority w:val="9"/>
    <w:rsid w:val="008E03A4"/>
    <w:rPr>
      <w:rFonts w:ascii="Times New Roman" w:eastAsiaTheme="majorEastAsia" w:hAnsi="Times New Roman" w:cstheme="majorBidi"/>
      <w:b/>
      <w:sz w:val="24"/>
      <w:szCs w:val="32"/>
    </w:rPr>
  </w:style>
  <w:style w:type="table" w:styleId="TableGrid">
    <w:name w:val="Table Grid"/>
    <w:basedOn w:val="TableNormal"/>
    <w:uiPriority w:val="39"/>
    <w:rsid w:val="0080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47D"/>
    <w:pPr>
      <w:ind w:left="720"/>
      <w:contextualSpacing/>
    </w:pPr>
  </w:style>
  <w:style w:type="paragraph" w:styleId="Caption">
    <w:name w:val="caption"/>
    <w:basedOn w:val="Normal"/>
    <w:next w:val="Normal"/>
    <w:uiPriority w:val="35"/>
    <w:unhideWhenUsed/>
    <w:qFormat/>
    <w:rsid w:val="005A0E2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A0E25"/>
  </w:style>
  <w:style w:type="character" w:customStyle="1" w:styleId="gnd-iwgdh3b">
    <w:name w:val="gnd-iwgdh3b"/>
    <w:basedOn w:val="DefaultParagraphFont"/>
    <w:rsid w:val="008D4BE8"/>
  </w:style>
  <w:style w:type="paragraph" w:styleId="HTMLPreformatted">
    <w:name w:val="HTML Preformatted"/>
    <w:basedOn w:val="Normal"/>
    <w:link w:val="HTMLPreformattedChar"/>
    <w:uiPriority w:val="99"/>
    <w:semiHidden/>
    <w:unhideWhenUsed/>
    <w:rsid w:val="003D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D6DD6"/>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6169">
      <w:bodyDiv w:val="1"/>
      <w:marLeft w:val="0"/>
      <w:marRight w:val="0"/>
      <w:marTop w:val="0"/>
      <w:marBottom w:val="0"/>
      <w:divBdr>
        <w:top w:val="none" w:sz="0" w:space="0" w:color="auto"/>
        <w:left w:val="none" w:sz="0" w:space="0" w:color="auto"/>
        <w:bottom w:val="none" w:sz="0" w:space="0" w:color="auto"/>
        <w:right w:val="none" w:sz="0" w:space="0" w:color="auto"/>
      </w:divBdr>
    </w:div>
    <w:div w:id="247546846">
      <w:bodyDiv w:val="1"/>
      <w:marLeft w:val="0"/>
      <w:marRight w:val="0"/>
      <w:marTop w:val="0"/>
      <w:marBottom w:val="0"/>
      <w:divBdr>
        <w:top w:val="none" w:sz="0" w:space="0" w:color="auto"/>
        <w:left w:val="none" w:sz="0" w:space="0" w:color="auto"/>
        <w:bottom w:val="none" w:sz="0" w:space="0" w:color="auto"/>
        <w:right w:val="none" w:sz="0" w:space="0" w:color="auto"/>
      </w:divBdr>
    </w:div>
    <w:div w:id="252323448">
      <w:bodyDiv w:val="1"/>
      <w:marLeft w:val="0"/>
      <w:marRight w:val="0"/>
      <w:marTop w:val="0"/>
      <w:marBottom w:val="0"/>
      <w:divBdr>
        <w:top w:val="none" w:sz="0" w:space="0" w:color="auto"/>
        <w:left w:val="none" w:sz="0" w:space="0" w:color="auto"/>
        <w:bottom w:val="none" w:sz="0" w:space="0" w:color="auto"/>
        <w:right w:val="none" w:sz="0" w:space="0" w:color="auto"/>
      </w:divBdr>
    </w:div>
    <w:div w:id="462846226">
      <w:bodyDiv w:val="1"/>
      <w:marLeft w:val="0"/>
      <w:marRight w:val="0"/>
      <w:marTop w:val="0"/>
      <w:marBottom w:val="0"/>
      <w:divBdr>
        <w:top w:val="none" w:sz="0" w:space="0" w:color="auto"/>
        <w:left w:val="none" w:sz="0" w:space="0" w:color="auto"/>
        <w:bottom w:val="none" w:sz="0" w:space="0" w:color="auto"/>
        <w:right w:val="none" w:sz="0" w:space="0" w:color="auto"/>
      </w:divBdr>
    </w:div>
    <w:div w:id="532155895">
      <w:bodyDiv w:val="1"/>
      <w:marLeft w:val="0"/>
      <w:marRight w:val="0"/>
      <w:marTop w:val="0"/>
      <w:marBottom w:val="0"/>
      <w:divBdr>
        <w:top w:val="none" w:sz="0" w:space="0" w:color="auto"/>
        <w:left w:val="none" w:sz="0" w:space="0" w:color="auto"/>
        <w:bottom w:val="none" w:sz="0" w:space="0" w:color="auto"/>
        <w:right w:val="none" w:sz="0" w:space="0" w:color="auto"/>
      </w:divBdr>
    </w:div>
    <w:div w:id="533469807">
      <w:bodyDiv w:val="1"/>
      <w:marLeft w:val="0"/>
      <w:marRight w:val="0"/>
      <w:marTop w:val="0"/>
      <w:marBottom w:val="0"/>
      <w:divBdr>
        <w:top w:val="none" w:sz="0" w:space="0" w:color="auto"/>
        <w:left w:val="none" w:sz="0" w:space="0" w:color="auto"/>
        <w:bottom w:val="none" w:sz="0" w:space="0" w:color="auto"/>
        <w:right w:val="none" w:sz="0" w:space="0" w:color="auto"/>
      </w:divBdr>
    </w:div>
    <w:div w:id="677662419">
      <w:bodyDiv w:val="1"/>
      <w:marLeft w:val="0"/>
      <w:marRight w:val="0"/>
      <w:marTop w:val="0"/>
      <w:marBottom w:val="0"/>
      <w:divBdr>
        <w:top w:val="none" w:sz="0" w:space="0" w:color="auto"/>
        <w:left w:val="none" w:sz="0" w:space="0" w:color="auto"/>
        <w:bottom w:val="none" w:sz="0" w:space="0" w:color="auto"/>
        <w:right w:val="none" w:sz="0" w:space="0" w:color="auto"/>
      </w:divBdr>
    </w:div>
    <w:div w:id="680544179">
      <w:bodyDiv w:val="1"/>
      <w:marLeft w:val="0"/>
      <w:marRight w:val="0"/>
      <w:marTop w:val="0"/>
      <w:marBottom w:val="0"/>
      <w:divBdr>
        <w:top w:val="none" w:sz="0" w:space="0" w:color="auto"/>
        <w:left w:val="none" w:sz="0" w:space="0" w:color="auto"/>
        <w:bottom w:val="none" w:sz="0" w:space="0" w:color="auto"/>
        <w:right w:val="none" w:sz="0" w:space="0" w:color="auto"/>
      </w:divBdr>
    </w:div>
    <w:div w:id="684944897">
      <w:bodyDiv w:val="1"/>
      <w:marLeft w:val="0"/>
      <w:marRight w:val="0"/>
      <w:marTop w:val="0"/>
      <w:marBottom w:val="0"/>
      <w:divBdr>
        <w:top w:val="none" w:sz="0" w:space="0" w:color="auto"/>
        <w:left w:val="none" w:sz="0" w:space="0" w:color="auto"/>
        <w:bottom w:val="none" w:sz="0" w:space="0" w:color="auto"/>
        <w:right w:val="none" w:sz="0" w:space="0" w:color="auto"/>
      </w:divBdr>
    </w:div>
    <w:div w:id="841238383">
      <w:bodyDiv w:val="1"/>
      <w:marLeft w:val="0"/>
      <w:marRight w:val="0"/>
      <w:marTop w:val="0"/>
      <w:marBottom w:val="0"/>
      <w:divBdr>
        <w:top w:val="none" w:sz="0" w:space="0" w:color="auto"/>
        <w:left w:val="none" w:sz="0" w:space="0" w:color="auto"/>
        <w:bottom w:val="none" w:sz="0" w:space="0" w:color="auto"/>
        <w:right w:val="none" w:sz="0" w:space="0" w:color="auto"/>
      </w:divBdr>
    </w:div>
    <w:div w:id="845437110">
      <w:bodyDiv w:val="1"/>
      <w:marLeft w:val="0"/>
      <w:marRight w:val="0"/>
      <w:marTop w:val="0"/>
      <w:marBottom w:val="0"/>
      <w:divBdr>
        <w:top w:val="none" w:sz="0" w:space="0" w:color="auto"/>
        <w:left w:val="none" w:sz="0" w:space="0" w:color="auto"/>
        <w:bottom w:val="none" w:sz="0" w:space="0" w:color="auto"/>
        <w:right w:val="none" w:sz="0" w:space="0" w:color="auto"/>
      </w:divBdr>
    </w:div>
    <w:div w:id="886575776">
      <w:bodyDiv w:val="1"/>
      <w:marLeft w:val="0"/>
      <w:marRight w:val="0"/>
      <w:marTop w:val="0"/>
      <w:marBottom w:val="0"/>
      <w:divBdr>
        <w:top w:val="none" w:sz="0" w:space="0" w:color="auto"/>
        <w:left w:val="none" w:sz="0" w:space="0" w:color="auto"/>
        <w:bottom w:val="none" w:sz="0" w:space="0" w:color="auto"/>
        <w:right w:val="none" w:sz="0" w:space="0" w:color="auto"/>
      </w:divBdr>
    </w:div>
    <w:div w:id="963542028">
      <w:bodyDiv w:val="1"/>
      <w:marLeft w:val="0"/>
      <w:marRight w:val="0"/>
      <w:marTop w:val="0"/>
      <w:marBottom w:val="0"/>
      <w:divBdr>
        <w:top w:val="none" w:sz="0" w:space="0" w:color="auto"/>
        <w:left w:val="none" w:sz="0" w:space="0" w:color="auto"/>
        <w:bottom w:val="none" w:sz="0" w:space="0" w:color="auto"/>
        <w:right w:val="none" w:sz="0" w:space="0" w:color="auto"/>
      </w:divBdr>
    </w:div>
    <w:div w:id="1132669433">
      <w:bodyDiv w:val="1"/>
      <w:marLeft w:val="0"/>
      <w:marRight w:val="0"/>
      <w:marTop w:val="0"/>
      <w:marBottom w:val="0"/>
      <w:divBdr>
        <w:top w:val="none" w:sz="0" w:space="0" w:color="auto"/>
        <w:left w:val="none" w:sz="0" w:space="0" w:color="auto"/>
        <w:bottom w:val="none" w:sz="0" w:space="0" w:color="auto"/>
        <w:right w:val="none" w:sz="0" w:space="0" w:color="auto"/>
      </w:divBdr>
    </w:div>
    <w:div w:id="1143893170">
      <w:bodyDiv w:val="1"/>
      <w:marLeft w:val="0"/>
      <w:marRight w:val="0"/>
      <w:marTop w:val="0"/>
      <w:marBottom w:val="0"/>
      <w:divBdr>
        <w:top w:val="none" w:sz="0" w:space="0" w:color="auto"/>
        <w:left w:val="none" w:sz="0" w:space="0" w:color="auto"/>
        <w:bottom w:val="none" w:sz="0" w:space="0" w:color="auto"/>
        <w:right w:val="none" w:sz="0" w:space="0" w:color="auto"/>
      </w:divBdr>
    </w:div>
    <w:div w:id="1200318338">
      <w:bodyDiv w:val="1"/>
      <w:marLeft w:val="0"/>
      <w:marRight w:val="0"/>
      <w:marTop w:val="0"/>
      <w:marBottom w:val="0"/>
      <w:divBdr>
        <w:top w:val="none" w:sz="0" w:space="0" w:color="auto"/>
        <w:left w:val="none" w:sz="0" w:space="0" w:color="auto"/>
        <w:bottom w:val="none" w:sz="0" w:space="0" w:color="auto"/>
        <w:right w:val="none" w:sz="0" w:space="0" w:color="auto"/>
      </w:divBdr>
    </w:div>
    <w:div w:id="1272544249">
      <w:bodyDiv w:val="1"/>
      <w:marLeft w:val="0"/>
      <w:marRight w:val="0"/>
      <w:marTop w:val="0"/>
      <w:marBottom w:val="0"/>
      <w:divBdr>
        <w:top w:val="none" w:sz="0" w:space="0" w:color="auto"/>
        <w:left w:val="none" w:sz="0" w:space="0" w:color="auto"/>
        <w:bottom w:val="none" w:sz="0" w:space="0" w:color="auto"/>
        <w:right w:val="none" w:sz="0" w:space="0" w:color="auto"/>
      </w:divBdr>
    </w:div>
    <w:div w:id="1345666404">
      <w:bodyDiv w:val="1"/>
      <w:marLeft w:val="0"/>
      <w:marRight w:val="0"/>
      <w:marTop w:val="0"/>
      <w:marBottom w:val="0"/>
      <w:divBdr>
        <w:top w:val="none" w:sz="0" w:space="0" w:color="auto"/>
        <w:left w:val="none" w:sz="0" w:space="0" w:color="auto"/>
        <w:bottom w:val="none" w:sz="0" w:space="0" w:color="auto"/>
        <w:right w:val="none" w:sz="0" w:space="0" w:color="auto"/>
      </w:divBdr>
    </w:div>
    <w:div w:id="1448230567">
      <w:bodyDiv w:val="1"/>
      <w:marLeft w:val="0"/>
      <w:marRight w:val="0"/>
      <w:marTop w:val="0"/>
      <w:marBottom w:val="0"/>
      <w:divBdr>
        <w:top w:val="none" w:sz="0" w:space="0" w:color="auto"/>
        <w:left w:val="none" w:sz="0" w:space="0" w:color="auto"/>
        <w:bottom w:val="none" w:sz="0" w:space="0" w:color="auto"/>
        <w:right w:val="none" w:sz="0" w:space="0" w:color="auto"/>
      </w:divBdr>
    </w:div>
    <w:div w:id="1505318155">
      <w:bodyDiv w:val="1"/>
      <w:marLeft w:val="0"/>
      <w:marRight w:val="0"/>
      <w:marTop w:val="0"/>
      <w:marBottom w:val="0"/>
      <w:divBdr>
        <w:top w:val="none" w:sz="0" w:space="0" w:color="auto"/>
        <w:left w:val="none" w:sz="0" w:space="0" w:color="auto"/>
        <w:bottom w:val="none" w:sz="0" w:space="0" w:color="auto"/>
        <w:right w:val="none" w:sz="0" w:space="0" w:color="auto"/>
      </w:divBdr>
    </w:div>
    <w:div w:id="1581678297">
      <w:bodyDiv w:val="1"/>
      <w:marLeft w:val="0"/>
      <w:marRight w:val="0"/>
      <w:marTop w:val="0"/>
      <w:marBottom w:val="0"/>
      <w:divBdr>
        <w:top w:val="none" w:sz="0" w:space="0" w:color="auto"/>
        <w:left w:val="none" w:sz="0" w:space="0" w:color="auto"/>
        <w:bottom w:val="none" w:sz="0" w:space="0" w:color="auto"/>
        <w:right w:val="none" w:sz="0" w:space="0" w:color="auto"/>
      </w:divBdr>
    </w:div>
    <w:div w:id="1810249311">
      <w:bodyDiv w:val="1"/>
      <w:marLeft w:val="0"/>
      <w:marRight w:val="0"/>
      <w:marTop w:val="0"/>
      <w:marBottom w:val="0"/>
      <w:divBdr>
        <w:top w:val="none" w:sz="0" w:space="0" w:color="auto"/>
        <w:left w:val="none" w:sz="0" w:space="0" w:color="auto"/>
        <w:bottom w:val="none" w:sz="0" w:space="0" w:color="auto"/>
        <w:right w:val="none" w:sz="0" w:space="0" w:color="auto"/>
      </w:divBdr>
    </w:div>
    <w:div w:id="1928493362">
      <w:bodyDiv w:val="1"/>
      <w:marLeft w:val="0"/>
      <w:marRight w:val="0"/>
      <w:marTop w:val="0"/>
      <w:marBottom w:val="0"/>
      <w:divBdr>
        <w:top w:val="none" w:sz="0" w:space="0" w:color="auto"/>
        <w:left w:val="none" w:sz="0" w:space="0" w:color="auto"/>
        <w:bottom w:val="none" w:sz="0" w:space="0" w:color="auto"/>
        <w:right w:val="none" w:sz="0" w:space="0" w:color="auto"/>
      </w:divBdr>
    </w:div>
    <w:div w:id="20025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Ham22</b:Tag>
    <b:SourceType>DocumentFromInternetSite</b:SourceType>
    <b:Guid>{35E61B1E-A7F6-42D2-A55E-5A1E89DF29C9}</b:Guid>
    <b:Title>New World Bank country classifications by income level: 2022-2023</b:Title>
    <b:InternetSiteTitle>World Bank Blogs</b:InternetSiteTitle>
    <b:Year>2022</b:Year>
    <b:Month>July</b:Month>
    <b:Day>1</b:Day>
    <b:URL>https://blogs.worldbank.org/opendata/new-world-bank-country-classifications-income-level-2022-2023</b:URL>
    <b:Author>
      <b:Author>
        <b:NameList>
          <b:Person>
            <b:Last>Hamadeh</b:Last>
            <b:First>Nada</b:First>
          </b:Person>
          <b:Person>
            <b:Last>Rompaey</b:Last>
            <b:First>Catherine Van</b:First>
          </b:Person>
          <b:Person>
            <b:Last>Metreau</b:Last>
            <b:First>Eric</b:First>
          </b:Person>
          <b:Person>
            <b:Last>Eapen</b:Last>
            <b:First>Shwetha Grace</b:First>
          </b:Person>
        </b:NameList>
      </b:Author>
    </b:Author>
    <b:RefOrder>3</b:RefOrder>
  </b:Source>
  <b:Source>
    <b:Tag>Wor23</b:Tag>
    <b:SourceType>DocumentFromInternetSite</b:SourceType>
    <b:Guid>{442C1F58-DEC9-415D-8283-1A645E45BF6D}</b:Guid>
    <b:Title>World Development Indicator [data file]</b:Title>
    <b:InternetSiteTitle>The World Bank</b:InternetSiteTitle>
    <b:URL>https://databank.worldbank.org/source/world-development-indicators</b:URL>
    <b:YearAccessed>2023</b:YearAccessed>
    <b:MonthAccessed>August</b:MonthAccessed>
    <b:DayAccessed>3</b:DayAccessed>
    <b:Year>2023</b:Year>
    <b:RefOrder>4</b:RefOrder>
  </b:Source>
  <b:Source>
    <b:Tag>McH12</b:Tag>
    <b:SourceType>JournalArticle</b:SourceType>
    <b:Guid>{236733D2-57FB-494C-B194-66E04AB290CA}</b:Guid>
    <b:Title>Interrater reliability: the kappa statistic</b:Title>
    <b:Year>2012</b:Year>
    <b:JournalName>Biochem Med</b:JournalName>
    <b:Pages>276-282</b:Pages>
    <b:Volume>22</b:Volume>
    <b:Issue>3</b:Issue>
    <b:DOI>https://www.ncbi.nlm.nih.gov/pmc/articles/PMC3900052/</b:DOI>
    <b:Author>
      <b:Author>
        <b:NameList>
          <b:Person>
            <b:Last>McHugh</b:Last>
            <b:Middle>L</b:Middle>
            <b:First>Mary</b:First>
          </b:Person>
        </b:NameList>
      </b:Author>
    </b:Author>
    <b:Month>October</b:Month>
    <b:RefOrder>1</b:RefOrder>
  </b:Source>
  <b:Source>
    <b:Tag>Aye23</b:Tag>
    <b:SourceType>DocumentFromInternetSite</b:SourceType>
    <b:Guid>{D29684E6-D7B1-4B6D-A083-C6C3129D6672}</b:Guid>
    <b:Title>Coefficient of Determination (R²) — Definition &amp; Interpretation</b:Title>
    <b:InternetSiteTitle>Bachelor Print</b:InternetSiteTitle>
    <b:Year>2023</b:Year>
    <b:Month>February</b:Month>
    <b:Day>9</b:Day>
    <b:URL>https://www.bachelorprint.ca/statistics/coefficient-of-determination/</b:URL>
    <b:Author>
      <b:Author>
        <b:NameList>
          <b:Person>
            <b:Last>Ayenew</b:Last>
            <b:First>Dzastina</b:First>
          </b:Person>
        </b:NameList>
      </b:Author>
    </b:Author>
    <b:RefOrder>2</b:RefOrder>
  </b:Source>
</b:Sources>
</file>

<file path=customXml/itemProps1.xml><?xml version="1.0" encoding="utf-8"?>
<ds:datastoreItem xmlns:ds="http://schemas.openxmlformats.org/officeDocument/2006/customXml" ds:itemID="{E4163C38-FB8C-4309-BF57-7651B9E0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Pastoril, Tyrone Kent L.</dc:creator>
  <cp:keywords/>
  <dc:description/>
  <cp:lastModifiedBy>Tyrone Kent Pastoril</cp:lastModifiedBy>
  <cp:revision>225</cp:revision>
  <dcterms:created xsi:type="dcterms:W3CDTF">2023-08-09T07:57:00Z</dcterms:created>
  <dcterms:modified xsi:type="dcterms:W3CDTF">2023-08-09T22:02:00Z</dcterms:modified>
</cp:coreProperties>
</file>