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s="http://schemas.microsoft.com/office/word/2010/wordprocessingShape">
    <w:p>
      <w:pPr>
        <w:keepNext w:val="1"/>
        <w:spacing w:after="60" w:lineRule="auto"/>
        <w:rPr/>
      </w:pPr>
      <w:r>
        <w:rPr>
          <w:rFonts w:ascii="Arial" w:cs="Arial" w:eastAsia="Arial" w:hAnsi="Arial"/>
          <w:b w:val="1"/>
          <w:bCs w:val="1"/>
          <w:sz w:val="36"/>
          <w:szCs w:val="36"/>
          <w:rtl w:val="0"/>
        </w:rPr>
        <w:t xml:space="preserve">Customer Development Proposal</w:t>
      </w:r>
    </w:p>
    <w:p>
      <w:pPr>
        <w:spacing w:after="120" w:lineRule="auto"/>
        <w:rPr/>
      </w:pPr>
      <w:r>
        <w:rPr>
          <w:rFonts w:ascii="Calibri" w:cs="Calibri" w:eastAsia="Calibri" w:hAnsi="Calibri"/>
          <w:b w:val="0"/>
          <w:bCs w:val="0"/>
          <w:sz w:val="22"/>
          <w:szCs w:val="22"/>
          <w:rtl w:val="0"/>
        </w:rPr>
        <w:t xml:space="preserve">Proposed four-week onboarding plan (Month 2)</w:t>
      </w:r>
    </w:p>
    <w:p>
      <w:pPr>
        <w:keepNext w:val="1"/>
        <w:spacing w:before="20" w:lineRule="auto"/>
        <w:rPr>
          <w:b w:val="1"/>
          <w:bCs w:val="1"/>
          <w:sz w:val="26"/>
          <w:szCs w:val="26"/>
        </w:rPr>
      </w:pPr>
      <w:r>
        <w:rPr>
          <w:rFonts w:ascii="Calibri" w:cs="Calibri" w:eastAsia="Calibri" w:hAnsi="Calibri"/>
          <w:b w:val="1"/>
          <w:bCs w:val="1"/>
          <w:color w:val="2e5bb9"/>
          <w:sz w:val="26"/>
          <w:szCs w:val="26"/>
          <w:rtl w:val="0"/>
        </w:rPr>
        <w:t xml:space="preserve">Project: PrimeLendRow</w:t>
      </w:r>
    </w:p>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1. Project &amp; Team Information</w:t>
      </w:r>
    </w:p>
    <w:tbl>
      <w:tblPr>
        <w:tblStyle w:val="Table1"/>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720"/>
      </w:tblGrid>
      <w:tr>
        <w:trPr>
          <w:cantSplit w:val="1"/>
          <w:tblHeader w:val="0"/>
        </w:trPr>
        <w:tc>
          <w:tcPr>
            <w:tcW w:w="30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Project Name</w:t>
            </w:r>
          </w:p>
        </w:tc>
        <w:tc>
          <w:tcPr>
            <w:tcW w:w="67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PrimeLendRow</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Team / Organisation</w:t>
            </w:r>
          </w:p>
        </w:tc>
        <w:tc>
          <w:tcPr>
            <w:tcW w:w="67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ReverionTech X PrimeLendRow</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Primary Contact</w:t>
            </w:r>
          </w:p>
        </w:tc>
        <w:tc>
          <w:tcPr>
            <w:tcW w:w="67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Kent Ryan Entice / kent@reveriontech.com</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Ambassador Chapter</w:t>
            </w:r>
          </w:p>
        </w:tc>
        <w:tc>
          <w:tcPr>
            <w:tcW w:w="67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Philippines</w:t>
            </w:r>
          </w:p>
        </w:tc>
      </w:tr>
      <w:tr>
        <w:trPr>
          <w:cantSplit w:val="1"/>
          <w:tblHeader w:val="0"/>
        </w:trPr>
        <w:tc>
          <w:tcPr>
            <w:tcW w:w="30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Ambassador Chapter Lead</w:t>
            </w:r>
          </w:p>
        </w:tc>
        <w:tc>
          <w:tcPr>
            <w:tcW w:w="67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Nelson Lumbres</w:t>
            </w:r>
          </w:p>
        </w:tc>
      </w:tr>
    </w:tbl>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2. Customer Development Plan: Purpose &amp; Intent</w:t>
      </w:r>
    </w:p>
    <w:p>
      <w:pPr>
        <w:spacing w:after="120" w:lineRule="auto"/>
        <w:rPr/>
      </w:pPr>
      <w:r>
        <w:rPr>
          <w:rFonts w:ascii="Calibri" w:cs="Calibri" w:eastAsia="Calibri" w:hAnsi="Calibri"/>
          <w:sz w:val="22"/>
          <w:szCs w:val="22"/>
          <w:rtl w:val="0"/>
          <w:b w:val="1"/>
          <w:bCs w:val="1"/>
        </w:rPr>
        <w:t xml:space="preserve">Purpose.</w:t>
      </w:r>
      <w:r>
        <w:rPr>
          <w:rFonts w:ascii="Calibri" w:cs="Calibri" w:eastAsia="Calibri" w:hAnsi="Calibri"/>
          <w:b w:val="0"/>
          <w:bCs w:val="0"/>
          <w:sz w:val="22"/>
          <w:szCs w:val="22"/>
          <w:rtl w:val="0"/>
        </w:rPr>
        <w:t xml:space="preserve"> Test how participants complete approved onboarding and use wallet, loan and repayment records in the proposed shared identity integration. Use their task results and feedback to improve the application's instructions, screens and support.</w:t>
      </w:r>
    </w:p>
    <w:p>
      <w:pPr>
        <w:spacing w:after="120" w:lineRule="auto"/>
        <w:rPr/>
      </w:pPr>
      <w:r>
        <w:rPr>
          <w:rFonts w:ascii="Calibri" w:cs="Calibri" w:eastAsia="Calibri" w:hAnsi="Calibri"/>
          <w:b w:val="0"/>
          <w:bCs w:val="0"/>
          <w:sz w:val="22"/>
          <w:szCs w:val="22"/>
          <w:rtl w:val="0"/>
        </w:rPr>
        <w:t xml:space="preserve">Registration, login, KYC approval, wallet ownership checks, deposit-backed loans, guarantor-backed loans, XLM collateral, repayments, interest splits and credit history already exist. The proposal adds a KYC registry and a shared identity hash connecting those records.</w:t>
      </w:r>
    </w:p>
    <w:p>
      <w:pPr>
        <w:spacing w:after="120" w:lineRule="auto"/>
        <w:rPr/>
      </w:pPr>
      <w:r>
        <w:rPr>
          <w:rFonts w:ascii="Calibri" w:cs="Calibri" w:eastAsia="Calibri" w:hAnsi="Calibri"/>
          <w:sz w:val="22"/>
          <w:szCs w:val="22"/>
          <w:rtl w:val="0"/>
          <w:b w:val="1"/>
          <w:bCs w:val="1"/>
        </w:rPr>
        <w:t xml:space="preserve">Problem addressed.</w:t>
      </w:r>
      <w:r>
        <w:rPr>
          <w:rFonts w:ascii="Calibri" w:cs="Calibri" w:eastAsia="Calibri" w:hAnsi="Calibri"/>
          <w:b w:val="0"/>
          <w:bCs w:val="0"/>
          <w:sz w:val="22"/>
          <w:szCs w:val="22"/>
          <w:rtl w:val="0"/>
        </w:rPr>
        <w:t xml:space="preserve"> PrimeLendRow is designed for Filipino savers and borrowers who need clear records of loan backing, outstanding balances and repayment history. These records and KYC approval already exist in the application, but the loan and payment contracts lack a shared verified member identity for checking obligations across wallets. Members also face a five-wallet limit. The pilot examines whether participants can complete onboarding and understand how their wallets, loans and repayments stay connected.</w:t>
      </w:r>
    </w:p>
    <w:p>
      <w:pPr>
        <w:spacing w:after="120" w:lineRule="auto"/>
        <w:rPr/>
      </w:pPr>
      <w:r>
        <w:rPr>
          <w:rFonts w:ascii="Calibri" w:cs="Calibri" w:eastAsia="Calibri" w:hAnsi="Calibri"/>
          <w:sz w:val="22"/>
          <w:szCs w:val="22"/>
          <w:rtl w:val="0"/>
          <w:b w:val="1"/>
          <w:bCs w:val="1"/>
        </w:rPr>
        <w:t xml:space="preserve">Objective.</w:t>
      </w:r>
      <w:r>
        <w:rPr>
          <w:rFonts w:ascii="Calibri" w:cs="Calibri" w:eastAsia="Calibri" w:hAnsi="Calibri"/>
          <w:b w:val="0"/>
          <w:bCs w:val="0"/>
          <w:sz w:val="22"/>
          <w:szCs w:val="22"/>
          <w:rtl w:val="0"/>
        </w:rPr>
        <w:t xml:space="preserve"> Test onboarding and record clarity in the shared identity integration on Stellar Testnet. Target 106 onboarded pilot participants: 100 IT college students, 4 developers and 2 MIT/IT teachers. Count onboarding after admin KYC approval and successful system access. Measure wallet-task completion, understanding of loan and repayment records, and assistance needed. Use the same core tasks across class sessions to check improvements, and report actual results, unresolved issues and any shortfall.</w:t>
      </w:r>
    </w:p>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3. Target Customer Profile</w:t>
      </w:r>
    </w:p>
    <w:p>
      <w:pPr>
        <w:keepNext w:val="1"/>
        <w:spacing w:after="100" w:before="200" w:lineRule="auto"/>
        <w:outlineLvl w:val="1"/>
        <w:rPr/>
      </w:pPr>
      <w:r>
        <w:rPr>
          <w:rFonts w:ascii="Calibri" w:cs="Calibri" w:eastAsia="Calibri" w:hAnsi="Calibri"/>
          <w:b w:val="1"/>
          <w:bCs w:val="1"/>
          <w:color w:val="2e5bb9"/>
          <w:sz w:val="23"/>
          <w:szCs w:val="23"/>
          <w:rtl w:val="0"/>
        </w:rPr>
        <w:t xml:space="preserve">3.1 Participants and targets</w:t>
      </w:r>
    </w:p>
    <w:p>
      <w:pPr>
        <w:spacing w:after="120" w:lineRule="auto"/>
        <w:rPr/>
      </w:pPr>
      <w:r>
        <w:rPr>
          <w:rFonts w:ascii="Calibri" w:cs="Calibri" w:eastAsia="Calibri" w:hAnsi="Calibri"/>
          <w:b w:val="0"/>
          <w:bCs w:val="0"/>
          <w:sz w:val="22"/>
          <w:szCs w:val="22"/>
          <w:rtl w:val="0"/>
        </w:rPr>
        <w:t xml:space="preserve">PrimeLendRow's intended customers are Filipino savers and borrowers. The proposed pilot involves developers, teachers and IT college students as individual reviewers of onboarding and clarity.</w:t>
      </w:r>
    </w:p>
    <w:tbl>
      <w:tblPr>
        <w:tblStyle w:val="Table2"/>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6"/>
        <w:gridCol w:w="1166"/>
        <w:gridCol w:w="5638"/>
      </w:tblGrid>
      <w:tr>
        <w:trPr>
          <w:cantSplit w:val="1"/>
          <w:tblHeader w:val="1"/>
        </w:trPr>
        <w:tc>
          <w:tcPr>
            <w:tcW w:w="2916"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Pilot group</w:t>
            </w:r>
          </w:p>
        </w:tc>
        <w:tc>
          <w:tcPr>
            <w:tcW w:w="1166"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Target</w:t>
            </w:r>
          </w:p>
        </w:tc>
        <w:tc>
          <w:tcPr>
            <w:tcW w:w="5638"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Contribution</w:t>
            </w:r>
          </w:p>
        </w:tc>
      </w:tr>
      <w:tr>
        <w:trPr>
          <w:cantSplit w:val="1"/>
          <w:tblHeader w:val="0"/>
        </w:trPr>
        <w:tc>
          <w:tcPr>
            <w:tcW w:w="291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Developers</w:t>
            </w:r>
          </w:p>
        </w:tc>
        <w:tc>
          <w:tcPr>
            <w:tcW w:w="1166" w:type="dxa"/>
            <w:tcMar>
              <w:top w:w="60.0" w:type="dxa"/>
              <w:left w:w="100.0" w:type="dxa"/>
              <w:bottom w:w="60.0" w:type="dxa"/>
              <w:right w:w="100.0" w:type="dxa"/>
            </w:tcMar>
            <w:vAlign w:val="center"/>
          </w:tcPr>
          <w:p>
            <w:pPr>
              <w:spacing w:after="40" w:lineRule="auto"/>
              <w:rPr/>
            </w:pPr>
            <w:r>
              <w:rPr>
                <w:sz w:val="20"/>
                <w:szCs w:val="20"/>
                <w:rtl w:val="0"/>
              </w:rPr>
              <w:t xml:space="preserve">4</w:t>
            </w:r>
          </w:p>
        </w:tc>
        <w:tc>
          <w:tcPr>
            <w:tcW w:w="5638"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Check the new KYC registry connection and existing access flow in Week 1; return for wallet, loan and repayment integration checks.</w:t>
            </w:r>
          </w:p>
        </w:tc>
      </w:tr>
      <w:tr>
        <w:trPr>
          <w:cantSplit w:val="1"/>
          <w:tblHeader w:val="0"/>
        </w:trPr>
        <w:tc>
          <w:tcPr>
            <w:tcW w:w="291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MIT/IT teachers</w:t>
            </w:r>
          </w:p>
        </w:tc>
        <w:tc>
          <w:tcPr>
            <w:tcW w:w="1166" w:type="dxa"/>
            <w:tcMar>
              <w:top w:w="60.0" w:type="dxa"/>
              <w:left w:w="100.0" w:type="dxa"/>
              <w:bottom w:w="60.0" w:type="dxa"/>
              <w:right w:w="100.0" w:type="dxa"/>
            </w:tcMar>
            <w:vAlign w:val="center"/>
          </w:tcPr>
          <w:p>
            <w:pPr>
              <w:spacing w:after="40" w:lineRule="auto"/>
              <w:rPr/>
            </w:pPr>
            <w:r>
              <w:rPr>
                <w:sz w:val="20"/>
                <w:szCs w:val="20"/>
                <w:rtl w:val="0"/>
              </w:rPr>
              <w:t xml:space="preserve">2</w:t>
            </w:r>
          </w:p>
        </w:tc>
        <w:tc>
          <w:tcPr>
            <w:tcW w:w="5638"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Review instructions and the onboarding flow in Week 2.</w:t>
            </w:r>
          </w:p>
        </w:tc>
      </w:tr>
      <w:tr>
        <w:trPr>
          <w:cantSplit w:val="1"/>
          <w:tblHeader w:val="0"/>
        </w:trPr>
        <w:tc>
          <w:tcPr>
            <w:tcW w:w="291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IT college students</w:t>
            </w:r>
          </w:p>
        </w:tc>
        <w:tc>
          <w:tcPr>
            <w:tcW w:w="1166" w:type="dxa"/>
            <w:tcMar>
              <w:top w:w="60.0" w:type="dxa"/>
              <w:left w:w="100.0" w:type="dxa"/>
              <w:bottom w:w="60.0" w:type="dxa"/>
              <w:right w:w="100.0" w:type="dxa"/>
            </w:tcMar>
            <w:vAlign w:val="center"/>
          </w:tcPr>
          <w:p>
            <w:pPr>
              <w:spacing w:after="40" w:lineRule="auto"/>
              <w:rPr/>
            </w:pPr>
            <w:r>
              <w:rPr>
                <w:sz w:val="20"/>
                <w:szCs w:val="20"/>
                <w:rtl w:val="0"/>
              </w:rPr>
              <w:t xml:space="preserve">100</w:t>
            </w:r>
          </w:p>
        </w:tc>
        <w:tc>
          <w:tcPr>
            <w:tcW w:w="5638"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Complete onboarding, try wallet tasks and explain sample loan and repayment records.</w:t>
            </w:r>
          </w:p>
        </w:tc>
      </w:tr>
    </w:tbl>
    <w:p>
      <w:pPr>
        <w:keepNext w:val="1"/>
        <w:spacing w:after="100" w:before="200" w:lineRule="auto"/>
        <w:outlineLvl w:val="1"/>
        <w:rPr/>
      </w:pPr>
      <w:r>
        <w:rPr>
          <w:rFonts w:ascii="Calibri" w:cs="Calibri" w:eastAsia="Calibri" w:hAnsi="Calibri"/>
          <w:b w:val="1"/>
          <w:bCs w:val="1"/>
          <w:color w:val="2e5bb9"/>
          <w:sz w:val="23"/>
          <w:szCs w:val="23"/>
          <w:rtl w:val="0"/>
        </w:rPr>
        <w:t xml:space="preserve">3.2 Why start with these groups</w:t>
      </w:r>
    </w:p>
    <w:p>
      <w:pPr>
        <w:spacing w:after="120" w:lineRule="auto"/>
        <w:rPr/>
      </w:pPr>
      <w:r>
        <w:rPr>
          <w:rFonts w:ascii="Calibri" w:cs="Calibri" w:eastAsia="Calibri" w:hAnsi="Calibri"/>
          <w:b w:val="0"/>
          <w:bCs w:val="0"/>
          <w:sz w:val="22"/>
          <w:szCs w:val="22"/>
          <w:rtl w:val="0"/>
        </w:rPr>
        <w:t xml:space="preserve">Developers can identify early functional problems, and teachers can help improve instructions. IT students study related account and transaction concepts, while existing capstone teacher contacts provide a practical recruitment route. Include students with different levels of wallet experience and record how much support they need.</w:t>
      </w:r>
    </w:p>
    <w:p>
      <w:pPr>
        <w:keepNext w:val="1"/>
        <w:spacing w:after="100" w:before="200" w:lineRule="auto"/>
        <w:outlineLvl w:val="1"/>
        <w:rPr/>
      </w:pPr>
      <w:r>
        <w:rPr>
          <w:rFonts w:ascii="Calibri" w:cs="Calibri" w:eastAsia="Calibri" w:hAnsi="Calibri"/>
          <w:b w:val="1"/>
          <w:bCs w:val="1"/>
          <w:color w:val="2e5bb9"/>
          <w:sz w:val="23"/>
          <w:szCs w:val="23"/>
          <w:rtl w:val="0"/>
        </w:rPr>
        <w:t xml:space="preserve">3.3 Onboarding and participation</w:t>
      </w:r>
    </w:p>
    <w:p>
      <w:pPr>
        <w:spacing w:after="120" w:lineRule="auto"/>
        <w:rPr/>
      </w:pPr>
      <w:r>
        <w:rPr>
          <w:rFonts w:ascii="Calibri" w:cs="Calibri" w:eastAsia="Calibri" w:hAnsi="Calibri"/>
          <w:b w:val="0"/>
          <w:bCs w:val="0"/>
          <w:sz w:val="22"/>
          <w:szCs w:val="22"/>
          <w:rtl w:val="0"/>
        </w:rPr>
        <w:t xml:space="preserve">The existing onboarding flow is used for the pilot:</w:t>
      </w:r>
    </w:p>
    <w:p>
      <w:pPr>
        <w:spacing w:after="120" w:lineRule="auto"/>
        <w:rPr/>
      </w:pPr>
      <w:r>
        <w:rPr>
          <w:rFonts w:ascii="Calibri" w:cs="Calibri" w:eastAsia="Calibri" w:hAnsi="Calibri"/>
          <w:sz w:val="22"/>
          <w:szCs w:val="22"/>
          <w:rtl w:val="0"/>
          <w:b w:val="1"/>
          <w:bCs w:val="1"/>
        </w:rPr>
        <w:t xml:space="preserve">Register → Log in → Submit KYC → Admin review and approval → System access.</w:t>
      </w:r>
    </w:p>
    <w:p>
      <w:pPr>
        <w:spacing w:after="120" w:lineRule="auto"/>
        <w:rPr/>
      </w:pPr>
      <w:r>
        <w:rPr>
          <w:rFonts w:ascii="Calibri" w:cs="Calibri" w:eastAsia="Calibri" w:hAnsi="Calibri"/>
          <w:b w:val="0"/>
          <w:bCs w:val="0"/>
          <w:sz w:val="22"/>
          <w:szCs w:val="22"/>
          <w:rtl w:val="0"/>
        </w:rPr>
        <w:t xml:space="preserve">Start registration and KYC before class where practical. An administrator reviews submissions privately; participants with pending reviews or corrections receive follow-up. Approval may happen after the class. Approved participants can then try available account and wallet features using Testnet funds.</w:t>
      </w:r>
    </w:p>
    <w:p>
      <w:pPr>
        <w:spacing w:after="120" w:lineRule="auto"/>
        <w:rPr/>
      </w:pPr>
      <w:r>
        <w:rPr>
          <w:rFonts w:ascii="Calibri" w:cs="Calibri" w:eastAsia="Calibri" w:hAnsi="Calibri"/>
          <w:b w:val="0"/>
          <w:bCs w:val="0"/>
          <w:sz w:val="22"/>
          <w:szCs w:val="22"/>
          <w:rtl w:val="0"/>
        </w:rPr>
        <w:t xml:space="preserve">Count a person as onboarded after admin approval and successful system access. Use participant codes to count each person once across the pilot, including anyone who returns for follow-up. Report pending and unsuccessful submissions separately.</w:t>
      </w:r>
    </w:p>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4. Key Hypotheses</w:t>
      </w:r>
    </w:p>
    <w:p>
      <w:pPr>
        <w:spacing w:after="120" w:lineRule="auto"/>
        <w:rPr/>
      </w:pPr>
      <w:r>
        <w:rPr>
          <w:rFonts w:ascii="Calibri" w:cs="Calibri" w:eastAsia="Calibri" w:hAnsi="Calibri"/>
          <w:b w:val="0"/>
          <w:bCs w:val="0"/>
          <w:sz w:val="22"/>
          <w:szCs w:val="22"/>
          <w:rtl w:val="0"/>
        </w:rPr>
        <w:t xml:space="preserve">• </w:t>
      </w:r>
      <w:r>
        <w:rPr>
          <w:rFonts w:ascii="Calibri" w:cs="Calibri" w:eastAsia="Calibri" w:hAnsi="Calibri"/>
          <w:sz w:val="22"/>
          <w:szCs w:val="22"/>
          <w:rtl w:val="0"/>
          <w:b w:val="1"/>
          <w:bCs w:val="1"/>
        </w:rPr>
        <w:t xml:space="preserve">Access:</w:t>
      </w:r>
      <w:r>
        <w:rPr>
          <w:rFonts w:ascii="Calibri" w:cs="Calibri" w:eastAsia="Calibri" w:hAnsi="Calibri"/>
          <w:b w:val="0"/>
          <w:bCs w:val="0"/>
          <w:sz w:val="22"/>
          <w:szCs w:val="22"/>
          <w:rtl w:val="0"/>
        </w:rPr>
        <w:t xml:space="preserve"> Participants can complete onboarding, open the dashboard, link another Testnet wallet and find a sample repayment record. Record each onboarding stage and whether tasks were completed independently, with help or not completed.</w:t>
      </w:r>
    </w:p>
    <w:p>
      <w:pPr>
        <w:spacing w:after="120" w:lineRule="auto"/>
        <w:rPr/>
      </w:pPr>
      <w:r>
        <w:rPr>
          <w:rFonts w:ascii="Calibri" w:cs="Calibri" w:eastAsia="Calibri" w:hAnsi="Calibri"/>
          <w:b w:val="0"/>
          <w:bCs w:val="0"/>
          <w:sz w:val="22"/>
          <w:szCs w:val="22"/>
          <w:rtl w:val="0"/>
        </w:rPr>
        <w:t xml:space="preserve">• </w:t>
      </w:r>
      <w:r>
        <w:rPr>
          <w:rFonts w:ascii="Calibri" w:cs="Calibri" w:eastAsia="Calibri" w:hAnsi="Calibri"/>
          <w:sz w:val="22"/>
          <w:szCs w:val="22"/>
          <w:rtl w:val="0"/>
          <w:b w:val="1"/>
          <w:bCs w:val="1"/>
        </w:rPr>
        <w:t xml:space="preserve">Clarity:</w:t>
      </w:r>
      <w:r>
        <w:rPr>
          <w:rFonts w:ascii="Calibri" w:cs="Calibri" w:eastAsia="Calibri" w:hAnsi="Calibri"/>
          <w:b w:val="0"/>
          <w:bCs w:val="0"/>
          <w:sz w:val="22"/>
          <w:szCs w:val="22"/>
          <w:rtl w:val="0"/>
        </w:rPr>
        <w:t xml:space="preserve"> Participants understand their obligations across wallets. Ask why changing wallets does not clear debt and why an unpaid collateral address cannot back another loan. Record correct, partly correct or incorrect answers.</w:t>
      </w:r>
    </w:p>
    <w:p>
      <w:pPr>
        <w:spacing w:after="120" w:lineRule="auto"/>
        <w:rPr/>
      </w:pPr>
      <w:r>
        <w:rPr>
          <w:rFonts w:ascii="Calibri" w:cs="Calibri" w:eastAsia="Calibri" w:hAnsi="Calibri"/>
          <w:b w:val="0"/>
          <w:bCs w:val="0"/>
          <w:sz w:val="22"/>
          <w:szCs w:val="22"/>
          <w:rtl w:val="0"/>
        </w:rPr>
        <w:t xml:space="preserve">• </w:t>
      </w:r>
      <w:r>
        <w:rPr>
          <w:rFonts w:ascii="Calibri" w:cs="Calibri" w:eastAsia="Calibri" w:hAnsi="Calibri"/>
          <w:sz w:val="22"/>
          <w:szCs w:val="22"/>
          <w:rtl w:val="0"/>
          <w:b w:val="1"/>
          <w:bCs w:val="1"/>
        </w:rPr>
        <w:t xml:space="preserve">Practical relevance:</w:t>
      </w:r>
      <w:r>
        <w:rPr>
          <w:rFonts w:ascii="Calibri" w:cs="Calibri" w:eastAsia="Calibri" w:hAnsi="Calibri"/>
          <w:b w:val="0"/>
          <w:bCs w:val="0"/>
          <w:sz w:val="22"/>
          <w:szCs w:val="22"/>
          <w:rtl w:val="0"/>
        </w:rPr>
        <w:t xml:space="preserve"> Participants can explain a sample repayment record and describe whether it is useful to them. Record their reasons and suggestions.</w:t>
      </w:r>
    </w:p>
    <w:p>
      <w:pPr>
        <w:spacing w:after="120" w:lineRule="auto"/>
        <w:rPr/>
      </w:pPr>
      <w:r>
        <w:rPr>
          <w:rFonts w:ascii="Calibri" w:cs="Calibri" w:eastAsia="Calibri" w:hAnsi="Calibri"/>
          <w:b w:val="0"/>
          <w:bCs w:val="0"/>
          <w:sz w:val="22"/>
          <w:szCs w:val="22"/>
          <w:rtl w:val="0"/>
        </w:rPr>
        <w:t xml:space="preserve">Review any step that blocks two or more participants before the next class. Make an available fix or instruction change and check the result. Record unresolved issues and features that were unavailable.</w:t>
      </w:r>
    </w:p>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5. Customer Discovery Activities</w:t>
      </w:r>
    </w:p>
    <w:p>
      <w:pPr>
        <w:keepNext w:val="1"/>
        <w:spacing w:after="100" w:before="200" w:lineRule="auto"/>
        <w:outlineLvl w:val="1"/>
        <w:rPr/>
      </w:pPr>
      <w:r>
        <w:rPr>
          <w:rFonts w:ascii="Calibri" w:cs="Calibri" w:eastAsia="Calibri" w:hAnsi="Calibri"/>
          <w:b w:val="1"/>
          <w:bCs w:val="1"/>
          <w:color w:val="2e5bb9"/>
          <w:sz w:val="23"/>
          <w:szCs w:val="23"/>
          <w:rtl w:val="0"/>
        </w:rPr>
        <w:t xml:space="preserve">5.1 Work completed to date</w:t>
      </w:r>
    </w:p>
    <w:p>
      <w:pPr>
        <w:spacing w:after="120" w:lineRule="auto"/>
        <w:rPr/>
      </w:pPr>
      <w:r>
        <w:rPr>
          <w:rFonts w:ascii="Calibri" w:cs="Calibri" w:eastAsia="Calibri" w:hAnsi="Calibri"/>
          <w:b w:val="0"/>
          <w:bCs w:val="0"/>
          <w:sz w:val="22"/>
          <w:szCs w:val="22"/>
          <w:rtl w:val="0"/>
        </w:rPr>
        <w:t xml:space="preserve">MIT/IT teachers helped refine an earlier version during the capstone project. Previous testing produced onboarding recordings, access screenshots, feedback and usage analytics. These records are linked under Month 1 in Section 6.2.</w:t>
      </w:r>
    </w:p>
    <w:p>
      <w:pPr>
        <w:keepNext w:val="1"/>
        <w:spacing w:after="100" w:before="200" w:lineRule="auto"/>
        <w:outlineLvl w:val="1"/>
        <w:rPr/>
      </w:pPr>
      <w:r>
        <w:rPr>
          <w:rFonts w:ascii="Calibri" w:cs="Calibri" w:eastAsia="Calibri" w:hAnsi="Calibri"/>
          <w:b w:val="1"/>
          <w:bCs w:val="1"/>
          <w:color w:val="2e5bb9"/>
          <w:sz w:val="23"/>
          <w:szCs w:val="23"/>
          <w:rtl w:val="0"/>
        </w:rPr>
        <w:t xml:space="preserve">5.2 Proposed activities</w:t>
      </w:r>
    </w:p>
    <w:p>
      <w:pPr>
        <w:spacing w:after="120" w:lineRule="auto"/>
        <w:rPr/>
      </w:pPr>
      <w:r>
        <w:rPr>
          <w:rFonts w:ascii="Calibri" w:cs="Calibri" w:eastAsia="Calibri" w:hAnsi="Calibri"/>
          <w:b w:val="0"/>
          <w:bCs w:val="0"/>
          <w:sz w:val="22"/>
          <w:szCs w:val="22"/>
          <w:rtl w:val="0"/>
        </w:rPr>
        <w:t xml:space="preserve">Plan four student class sessions in Weeks 3–4: two per week, with about 25 new students per class. Class sizes may vary; aim for 100 students in total. Confirm dates and expected attendance through the teacher contacts.</w:t>
      </w:r>
    </w:p>
    <w:tbl>
      <w:tblPr>
        <w:tblStyle w:val="Table3"/>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6"/>
        <w:gridCol w:w="4763"/>
        <w:gridCol w:w="2721"/>
      </w:tblGrid>
      <w:tr>
        <w:trPr>
          <w:cantSplit w:val="1"/>
          <w:tblHeader w:val="1"/>
        </w:trPr>
        <w:tc>
          <w:tcPr>
            <w:tcW w:w="2236"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Activity</w:t>
            </w:r>
          </w:p>
        </w:tc>
        <w:tc>
          <w:tcPr>
            <w:tcW w:w="4763"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Method and Scope</w:t>
            </w:r>
          </w:p>
        </w:tc>
        <w:tc>
          <w:tcPr>
            <w:tcW w:w="2721"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Expected Output</w:t>
            </w:r>
          </w:p>
        </w:tc>
      </w:tr>
      <w:tr>
        <w:trPr>
          <w:cantSplit w:val="1"/>
          <w:tblHeader w:val="0"/>
        </w:trPr>
        <w:tc>
          <w:tcPr>
            <w:tcW w:w="223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Preparation</w:t>
            </w:r>
          </w:p>
        </w:tc>
        <w:tc>
          <w:tcPr>
            <w:tcW w:w="4763"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Prepare instructions, a task checklist, Testnet wallets and sample loan records.</w:t>
            </w:r>
          </w:p>
        </w:tc>
        <w:tc>
          <w:tcPr>
            <w:tcW w:w="2721"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Materials ready for each class.</w:t>
            </w:r>
          </w:p>
        </w:tc>
      </w:tr>
      <w:tr>
        <w:trPr>
          <w:cantSplit w:val="1"/>
          <w:tblHeader w:val="0"/>
        </w:trPr>
        <w:tc>
          <w:tcPr>
            <w:tcW w:w="223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KYC review and access</w:t>
            </w:r>
          </w:p>
        </w:tc>
        <w:tc>
          <w:tcPr>
            <w:tcW w:w="4763"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Follow the steps in Section 3.3, review submissions and support corrections or pending cases.</w:t>
            </w:r>
          </w:p>
        </w:tc>
        <w:tc>
          <w:tcPr>
            <w:tcW w:w="2721"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Approval status and first successful access.</w:t>
            </w:r>
          </w:p>
        </w:tc>
      </w:tr>
      <w:tr>
        <w:trPr>
          <w:cantSplit w:val="1"/>
          <w:tblHeader w:val="0"/>
        </w:trPr>
        <w:tc>
          <w:tcPr>
            <w:tcW w:w="223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Demonstration</w:t>
            </w:r>
          </w:p>
        </w:tc>
        <w:tc>
          <w:tcPr>
            <w:tcW w:w="4763"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Show the features available that week using sample records.</w:t>
            </w:r>
          </w:p>
        </w:tc>
        <w:tc>
          <w:tcPr>
            <w:tcW w:w="2721"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 recording made with permission and notes on unclear steps.</w:t>
            </w:r>
          </w:p>
        </w:tc>
      </w:tr>
      <w:tr>
        <w:trPr>
          <w:cantSplit w:val="1"/>
          <w:tblHeader w:val="0"/>
        </w:trPr>
        <w:tc>
          <w:tcPr>
            <w:tcW w:w="223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Class sessions and feedback</w:t>
            </w:r>
          </w:p>
        </w:tc>
        <w:tc>
          <w:tcPr>
            <w:tcW w:w="4763"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Support wallet tasks, ask the two clarity questions and collect brief comments.</w:t>
            </w:r>
          </w:p>
        </w:tc>
        <w:tc>
          <w:tcPr>
            <w:tcW w:w="2721"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Task results and changes to check in the next class.</w:t>
            </w:r>
          </w:p>
        </w:tc>
      </w:tr>
    </w:tbl>
    <w:p>
      <w:pPr>
        <w:spacing w:after="120" w:lineRule="auto"/>
        <w:rPr/>
      </w:pPr>
      <w:r>
        <w:rPr>
          <w:rFonts w:ascii="Calibri" w:cs="Calibri" w:eastAsia="Calibri" w:hAnsi="Calibri"/>
          <w:b w:val="0"/>
          <w:bCs w:val="0"/>
          <w:sz w:val="22"/>
          <w:szCs w:val="22"/>
          <w:rtl w:val="0"/>
        </w:rPr>
        <w:t xml:space="preserve">Also ask which step was confusing and whether the records are useful. Share the final walkthrough with earlier participants. Arrange developer follow-up checks as features become available; team support for these checks is included in the SOW's technical validation hours.</w:t>
      </w:r>
    </w:p>
    <w:p>
      <w:pPr>
        <w:keepNext w:val="1"/>
        <w:spacing w:after="100" w:before="200" w:lineRule="auto"/>
        <w:outlineLvl w:val="1"/>
        <w:rPr/>
      </w:pPr>
      <w:r>
        <w:rPr>
          <w:rFonts w:ascii="Calibri" w:cs="Calibri" w:eastAsia="Calibri" w:hAnsi="Calibri"/>
          <w:b w:val="1"/>
          <w:bCs w:val="1"/>
          <w:color w:val="2e5bb9"/>
          <w:sz w:val="23"/>
          <w:szCs w:val="23"/>
          <w:rtl w:val="0"/>
        </w:rPr>
        <w:t xml:space="preserve">5.3 Staffing and time</w:t>
      </w:r>
    </w:p>
    <w:p>
      <w:pPr>
        <w:spacing w:after="120" w:lineRule="auto"/>
        <w:rPr/>
      </w:pPr>
      <w:r>
        <w:rPr>
          <w:rFonts w:ascii="Calibri" w:cs="Calibri" w:eastAsia="Calibri" w:hAnsi="Calibri"/>
          <w:b w:val="0"/>
          <w:bCs w:val="0"/>
          <w:sz w:val="22"/>
          <w:szCs w:val="22"/>
          <w:rtl w:val="0"/>
        </w:rPr>
        <w:t xml:space="preserve">Allow one hour each for the initial developer and teacher sessions and up to two hours for each student class. One facilitator and one support team member give an estimated 20 team hours across these six sessions.</w:t>
      </w:r>
    </w:p>
    <w:p>
      <w:pPr>
        <w:spacing w:after="120" w:lineRule="auto"/>
        <w:rPr/>
      </w:pPr>
      <w:r>
        <w:rPr>
          <w:rFonts w:ascii="Calibri" w:cs="Calibri" w:eastAsia="Calibri" w:hAnsi="Calibri"/>
          <w:b w:val="0"/>
          <w:bCs w:val="0"/>
          <w:sz w:val="22"/>
          <w:szCs w:val="22"/>
          <w:rtl w:val="0"/>
        </w:rPr>
        <w:t xml:space="preserve">Allow 6 hours for preparation, 16 for admin reviews and access follow-up, and 10 for feedback and evidence: </w:t>
      </w:r>
      <w:r>
        <w:rPr>
          <w:rFonts w:ascii="Calibri" w:cs="Calibri" w:eastAsia="Calibri" w:hAnsi="Calibri"/>
          <w:sz w:val="22"/>
          <w:szCs w:val="22"/>
          <w:rtl w:val="0"/>
          <w:b w:val="1"/>
          <w:bCs w:val="1"/>
        </w:rPr>
        <w:t xml:space="preserve">52 team hours in total</w:t>
      </w:r>
      <w:r>
        <w:rPr>
          <w:rFonts w:ascii="Calibri" w:cs="Calibri" w:eastAsia="Calibri" w:hAnsi="Calibri"/>
          <w:b w:val="0"/>
          <w:bCs w:val="0"/>
          <w:sz w:val="22"/>
          <w:szCs w:val="22"/>
          <w:rtl w:val="0"/>
        </w:rPr>
        <w:t xml:space="preserve">. Confirm staff availability and adjust arrangements to actual class sizes and review needs. Participant time is excluded.</w:t>
      </w:r>
    </w:p>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6. Key Learnings &amp; Evidence</w:t>
      </w:r>
    </w:p>
    <w:p>
      <w:pPr>
        <w:keepNext w:val="1"/>
        <w:spacing w:after="100" w:before="200" w:lineRule="auto"/>
        <w:outlineLvl w:val="1"/>
        <w:rPr/>
      </w:pPr>
      <w:r>
        <w:rPr>
          <w:rFonts w:ascii="Calibri" w:cs="Calibri" w:eastAsia="Calibri" w:hAnsi="Calibri"/>
          <w:b w:val="1"/>
          <w:bCs w:val="1"/>
          <w:color w:val="2e5bb9"/>
          <w:sz w:val="23"/>
          <w:szCs w:val="23"/>
          <w:rtl w:val="0"/>
        </w:rPr>
        <w:t xml:space="preserve">6.1 What to report</w:t>
      </w:r>
    </w:p>
    <w:p>
      <w:pPr>
        <w:spacing w:after="120" w:lineRule="auto"/>
        <w:rPr/>
      </w:pPr>
      <w:r>
        <w:rPr>
          <w:rFonts w:ascii="Calibri" w:cs="Calibri" w:eastAsia="Calibri" w:hAnsi="Calibri"/>
          <w:b w:val="0"/>
          <w:bCs w:val="0"/>
          <w:sz w:val="22"/>
          <w:szCs w:val="22"/>
          <w:rtl w:val="0"/>
        </w:rPr>
        <w:t xml:space="preserve">Report onboarding stages and task results by class and week. For each task or question, show the number completed or answered correctly out of the number attempted, with assistance noted. Use the same core tasks across classes and record prior wallet experience, features available, changes made and recurring issues.</w:t>
      </w:r>
    </w:p>
    <w:p>
      <w:pPr>
        <w:keepNext w:val="1"/>
        <w:spacing w:after="100" w:before="200" w:lineRule="auto"/>
        <w:outlineLvl w:val="1"/>
        <w:rPr/>
      </w:pPr>
      <w:r>
        <w:rPr>
          <w:rFonts w:ascii="Calibri" w:cs="Calibri" w:eastAsia="Calibri" w:hAnsi="Calibri"/>
          <w:b w:val="1"/>
          <w:bCs w:val="1"/>
          <w:color w:val="2e5bb9"/>
          <w:sz w:val="23"/>
          <w:szCs w:val="23"/>
          <w:rtl w:val="0"/>
        </w:rPr>
        <w:t xml:space="preserve">6.2 Supporting evidence</w:t>
      </w:r>
    </w:p>
    <w:p>
      <w:pPr>
        <w:spacing w:after="120" w:lineRule="auto"/>
        <w:rPr/>
      </w:pPr>
      <w:r>
        <w:rPr>
          <w:rFonts w:ascii="Calibri" w:cs="Calibri" w:eastAsia="Calibri" w:hAnsi="Calibri"/>
          <w:b w:val="0"/>
          <w:bCs w:val="0"/>
          <w:sz w:val="22"/>
          <w:szCs w:val="22"/>
          <w:rtl w:val="0"/>
        </w:rPr>
        <w:t xml:space="preserve">Month 1 contains evidence from previous work. The Month 2 table lists the evidence to collect for this proposal, using the same six categories.</w:t>
      </w:r>
    </w:p>
    <w:p xmlns:w="http://schemas.openxmlformats.org/wordprocessingml/2006/main">
      <w:pPr>
        <w:keepNext w:val="1"/>
        <w:spacing w:after="100" w:before="200" w:lineRule="auto"/>
        <w:rPr/>
        <w:outlineLvl w:val="3"/>
      </w:pPr>
      <w:r>
        <w:rPr>
          <w:rFonts w:ascii="Calibri" w:cs="Calibri" w:eastAsia="Calibri" w:hAnsi="Calibri"/>
          <w:color w:val="2e5bb9"/>
          <w:rtl w:val="0"/>
          <w:b w:val="1"/>
          <w:bCs w:val="1"/>
          <w:sz w:val="22"/>
          <w:szCs w:val="22"/>
        </w:rPr>
        <w:t xml:space="preserve">Month 1 — Existing evidence</w:t>
      </w:r>
    </w:p>
    <w:p xmlns:r="http://schemas.openxmlformats.org/officeDocument/2006/relationships" xmlns:w="http://schemas.openxmlformats.org/wordprocessingml/2006/main">
      <w:pPr>
        <w:spacing w:after="120" w:lineRule="auto"/>
        <w:rPr/>
      </w:pPr>
      <w:r>
        <w:rPr>
          <w:rFonts w:ascii="Calibri" w:cs="Calibri" w:eastAsia="Calibri" w:hAnsi="Calibri"/>
          <w:b w:val="0"/>
          <w:bCs w:val="0"/>
          <w:sz w:val="22"/>
          <w:szCs w:val="22"/>
          <w:rtl w:val="0"/>
        </w:rPr>
        <w:t xml:space="preserve">Source folders: </w:t>
      </w:r>
      <w:hyperlink r:id="rId14" w:tooltip="Week 3 folder">
        <w:r>
          <w:rPr>
            <w:rFonts w:ascii="Calibri" w:cs="Calibri" w:eastAsia="Calibri" w:hAnsi="Calibri"/>
            <w:b w:val="0"/>
            <w:bCs w:val="0"/>
            <w:sz w:val="22"/>
            <w:szCs w:val="22"/>
            <w:rtl w:val="0"/>
            <w:color w:val="2e5bb9"/>
            <w:u w:val="single"/>
          </w:rPr>
          <w:t xml:space="preserve">Week 3</w:t>
        </w:r>
      </w:hyperlink>
      <w:r>
        <w:rPr>
          <w:rFonts w:ascii="Calibri" w:cs="Calibri" w:eastAsia="Calibri" w:hAnsi="Calibri"/>
          <w:b w:val="0"/>
          <w:bCs w:val="0"/>
          <w:sz w:val="22"/>
          <w:szCs w:val="22"/>
          <w:rtl w:val="0"/>
        </w:rPr>
        <w:t xml:space="preserve"> · </w:t>
      </w:r>
      <w:hyperlink r:id="rId15" w:tooltip="Week 4 folder">
        <w:r>
          <w:rPr>
            <w:rFonts w:ascii="Calibri" w:cs="Calibri" w:eastAsia="Calibri" w:hAnsi="Calibri"/>
            <w:b w:val="0"/>
            <w:bCs w:val="0"/>
            <w:sz w:val="22"/>
            <w:szCs w:val="22"/>
            <w:rtl w:val="0"/>
            <w:color w:val="2e5bb9"/>
            <w:u w:val="single"/>
          </w:rPr>
          <w:t xml:space="preserve">Week 4</w:t>
        </w:r>
      </w:hyperlink>
      <w:r>
        <w:rPr>
          <w:rFonts w:ascii="Calibri" w:cs="Calibri" w:eastAsia="Calibri" w:hAnsi="Calibri"/>
          <w:b w:val="0"/>
          <w:bCs w:val="0"/>
          <w:sz w:val="22"/>
          <w:szCs w:val="22"/>
          <w:rtl w:val="0"/>
        </w:rPr>
        <w:t xml:space="preserve">.</w:t>
      </w:r>
    </w:p>
    <w:tbl xmlns:r="http://schemas.openxmlformats.org/officeDocument/2006/relationships" xmlns:w="http://schemas.openxmlformats.org/wordprocessingml/2006/main">
      <w:tblPr>
        <w:tblStyle w:val="Table4"/>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20"/>
        <w:gridCol w:w="2400"/>
      </w:tblGrid>
      <w:tr>
        <w:trPr>
          <w:cantSplit w:val="1"/>
          <w:tblHeader w:val="1"/>
        </w:trPr>
        <w:tc>
          <w:tcPr>
            <w:tcW w:w="280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Evidence Type</w:t>
            </w:r>
          </w:p>
        </w:tc>
        <w:tc>
          <w:tcPr>
            <w:tcW w:w="452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Description</w:t>
            </w:r>
          </w:p>
        </w:tc>
        <w:tc>
          <w:tcPr>
            <w:tcW w:w="240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Link / Reference</w:t>
            </w:r>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Onboarding recording</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Recorded onboarding sessions from the previous sprint.</w:t>
            </w:r>
          </w:p>
        </w:tc>
        <w:tc>
          <w:tcPr>
            <w:tcW w:w="2400" w:type="dxa"/>
            <w:tcMar>
              <w:top w:w="60.0" w:type="dxa"/>
              <w:left w:w="100.0" w:type="dxa"/>
              <w:bottom w:w="60.0" w:type="dxa"/>
              <w:right w:w="100.0" w:type="dxa"/>
            </w:tcMar>
            <w:vAlign w:val="center"/>
          </w:tcPr>
          <w:p>
            <w:pPr>
              <w:spacing w:after="40" w:lineRule="auto"/>
              <w:rPr/>
            </w:pPr>
            <w:hyperlink r:id="rId8" w:tooltip="Week 3 onboarding">
              <w:r>
                <w:rPr>
                  <w:rFonts w:ascii="Calibri" w:cs="Calibri" w:eastAsia="Calibri" w:hAnsi="Calibri"/>
                  <w:sz w:val="20"/>
                  <w:szCs w:val="20"/>
                  <w:rtl w:val="0"/>
                  <w:color w:val="2e5bb9"/>
                  <w:u w:val="single"/>
                </w:rPr>
                <w:t xml:space="preserve">Week 3</w:t>
              </w:r>
            </w:hyperlink>
          </w:p>
          <w:p>
            <w:pPr>
              <w:spacing w:after="40" w:lineRule="auto"/>
              <w:rPr/>
            </w:pPr>
            <w:hyperlink r:id="rId9" w:tooltip="Week 4 onboarding">
              <w:r>
                <w:rPr>
                  <w:rFonts w:ascii="Calibri" w:cs="Calibri" w:eastAsia="Calibri" w:hAnsi="Calibri"/>
                  <w:sz w:val="20"/>
                  <w:szCs w:val="20"/>
                  <w:rtl w:val="0"/>
                  <w:color w:val="2e5bb9"/>
                  <w:u w:val="single"/>
                </w:rPr>
                <w:t xml:space="preserve">Week 4</w:t>
              </w:r>
            </w:hyperlink>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System access screen recordings</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Tester sessions and registration/KYC recordings.</w:t>
            </w:r>
          </w:p>
        </w:tc>
        <w:tc>
          <w:tcPr>
            <w:tcW w:w="2400" w:type="dxa"/>
            <w:tcMar>
              <w:top w:w="60.0" w:type="dxa"/>
              <w:left w:w="100.0" w:type="dxa"/>
              <w:bottom w:w="60.0" w:type="dxa"/>
              <w:right w:w="100.0" w:type="dxa"/>
            </w:tcMar>
            <w:vAlign w:val="center"/>
          </w:tcPr>
          <w:p>
            <w:pPr>
              <w:spacing w:after="40" w:lineRule="auto"/>
              <w:rPr/>
            </w:pPr>
            <w:hyperlink r:id="rId10" w:tooltip="Week 3 testers">
              <w:r>
                <w:rPr>
                  <w:rFonts w:ascii="Calibri" w:cs="Calibri" w:eastAsia="Calibri" w:hAnsi="Calibri"/>
                  <w:sz w:val="20"/>
                  <w:szCs w:val="20"/>
                  <w:rtl w:val="0"/>
                  <w:color w:val="2e5bb9"/>
                  <w:u w:val="single"/>
                </w:rPr>
                <w:t xml:space="preserve">Week 3</w:t>
              </w:r>
            </w:hyperlink>
          </w:p>
          <w:p>
            <w:pPr>
              <w:spacing w:after="40" w:lineRule="auto"/>
              <w:rPr/>
            </w:pPr>
            <w:hyperlink r:id="rId11" w:tooltip="Week 4 testers">
              <w:r>
                <w:rPr>
                  <w:rFonts w:ascii="Calibri" w:cs="Calibri" w:eastAsia="Calibri" w:hAnsi="Calibri"/>
                  <w:sz w:val="20"/>
                  <w:szCs w:val="20"/>
                  <w:rtl w:val="0"/>
                  <w:color w:val="2e5bb9"/>
                  <w:u w:val="single"/>
                </w:rPr>
                <w:t xml:space="preserve">Week 4</w:t>
              </w:r>
            </w:hyperlink>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Access screenshots</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Tester screenshots of account and lending activity.</w:t>
            </w:r>
          </w:p>
        </w:tc>
        <w:tc>
          <w:tcPr>
            <w:tcW w:w="2400" w:type="dxa"/>
            <w:tcMar>
              <w:top w:w="60.0" w:type="dxa"/>
              <w:left w:w="100.0" w:type="dxa"/>
              <w:bottom w:w="60.0" w:type="dxa"/>
              <w:right w:w="100.0" w:type="dxa"/>
            </w:tcMar>
            <w:vAlign w:val="center"/>
          </w:tcPr>
          <w:p>
            <w:pPr>
              <w:spacing w:after="40" w:lineRule="auto"/>
              <w:rPr/>
            </w:pPr>
            <w:hyperlink r:id="rId12" w:tooltip="Week 3 screenshots">
              <w:r>
                <w:rPr>
                  <w:rFonts w:ascii="Calibri" w:cs="Calibri" w:eastAsia="Calibri" w:hAnsi="Calibri"/>
                  <w:sz w:val="20"/>
                  <w:szCs w:val="20"/>
                  <w:rtl w:val="0"/>
                  <w:color w:val="2e5bb9"/>
                  <w:u w:val="single"/>
                </w:rPr>
                <w:t xml:space="preserve">Week 3</w:t>
              </w:r>
            </w:hyperlink>
          </w:p>
          <w:p>
            <w:pPr>
              <w:spacing w:after="40" w:lineRule="auto"/>
              <w:rPr/>
            </w:pPr>
            <w:hyperlink r:id="rId13" w:tooltip="Week 4 screenshots">
              <w:r>
                <w:rPr>
                  <w:rFonts w:ascii="Calibri" w:cs="Calibri" w:eastAsia="Calibri" w:hAnsi="Calibri"/>
                  <w:sz w:val="20"/>
                  <w:szCs w:val="20"/>
                  <w:rtl w:val="0"/>
                  <w:color w:val="2e5bb9"/>
                  <w:u w:val="single"/>
                </w:rPr>
                <w:t xml:space="preserve">Week 4</w:t>
              </w:r>
            </w:hyperlink>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Participant feedback</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Feedback from User/Tester 1 and User/Tester 2.</w:t>
            </w:r>
          </w:p>
        </w:tc>
        <w:tc>
          <w:tcPr>
            <w:tcW w:w="2400" w:type="dxa"/>
            <w:tcMar>
              <w:top w:w="60.0" w:type="dxa"/>
              <w:left w:w="100.0" w:type="dxa"/>
              <w:bottom w:w="60.0" w:type="dxa"/>
              <w:right w:w="100.0" w:type="dxa"/>
            </w:tcMar>
            <w:vAlign w:val="center"/>
          </w:tcPr>
          <w:p>
            <w:pPr>
              <w:spacing w:after="40" w:lineRule="auto"/>
              <w:rPr/>
            </w:pPr>
            <w:hyperlink r:id="rId25" w:tooltip="User/Tester 1 Feedback">
              <w:r>
                <w:rPr>
                  <w:rFonts w:ascii="Calibri" w:cs="Calibri" w:eastAsia="Calibri" w:hAnsi="Calibri"/>
                  <w:sz w:val="20"/>
                  <w:szCs w:val="20"/>
                  <w:rtl w:val="0"/>
                  <w:color w:val="2e5bb9"/>
                  <w:u w:val="single"/>
                </w:rPr>
                <w:t xml:space="preserve">User 1 — Loom</w:t>
              </w:r>
            </w:hyperlink>
          </w:p>
          <w:p>
            <w:pPr>
              <w:spacing w:after="40" w:lineRule="auto"/>
              <w:rPr/>
            </w:pPr>
            <w:hyperlink r:id="rId16" w:tooltip="User/Tester 2 Feedback">
              <w:r>
                <w:rPr>
                  <w:rFonts w:ascii="Calibri" w:cs="Calibri" w:eastAsia="Calibri" w:hAnsi="Calibri"/>
                  <w:sz w:val="20"/>
                  <w:szCs w:val="20"/>
                  <w:rtl w:val="0"/>
                  <w:color w:val="2e5bb9"/>
                  <w:u w:val="single"/>
                </w:rPr>
                <w:t xml:space="preserve">User 2 — Feedback</w:t>
              </w:r>
            </w:hyperlink>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Backend analytics (Google Cloud Run)</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Backend Instances, Backend Metrics and Backend Overview screenshots.</w:t>
            </w:r>
          </w:p>
        </w:tc>
        <w:tc>
          <w:tcPr>
            <w:tcW w:w="2400" w:type="dxa"/>
            <w:tcMar>
              <w:top w:w="60.0" w:type="dxa"/>
              <w:left w:w="100.0" w:type="dxa"/>
              <w:bottom w:w="60.0" w:type="dxa"/>
              <w:right w:w="100.0" w:type="dxa"/>
            </w:tcMar>
            <w:vAlign w:val="center"/>
          </w:tcPr>
          <w:p>
            <w:pPr>
              <w:spacing w:after="40" w:lineRule="auto"/>
              <w:rPr/>
            </w:pPr>
            <w:hyperlink r:id="rId17" w:tooltip="Backend Instances">
              <w:r>
                <w:rPr>
                  <w:rFonts w:ascii="Calibri" w:cs="Calibri" w:eastAsia="Calibri" w:hAnsi="Calibri"/>
                  <w:sz w:val="20"/>
                  <w:szCs w:val="20"/>
                  <w:rtl w:val="0"/>
                  <w:color w:val="2e5bb9"/>
                  <w:u w:val="single"/>
                </w:rPr>
                <w:t xml:space="preserve">Instances</w:t>
              </w:r>
            </w:hyperlink>
          </w:p>
          <w:p>
            <w:pPr>
              <w:spacing w:after="40" w:lineRule="auto"/>
              <w:rPr/>
            </w:pPr>
            <w:hyperlink r:id="rId18" w:tooltip="Backend Metrics">
              <w:r>
                <w:rPr>
                  <w:rFonts w:ascii="Calibri" w:cs="Calibri" w:eastAsia="Calibri" w:hAnsi="Calibri"/>
                  <w:sz w:val="20"/>
                  <w:szCs w:val="20"/>
                  <w:rtl w:val="0"/>
                  <w:color w:val="2e5bb9"/>
                  <w:u w:val="single"/>
                </w:rPr>
                <w:t xml:space="preserve">Metrics</w:t>
              </w:r>
            </w:hyperlink>
          </w:p>
          <w:p>
            <w:pPr>
              <w:spacing w:after="40" w:lineRule="auto"/>
              <w:rPr/>
            </w:pPr>
            <w:hyperlink r:id="rId19" w:tooltip="Week 3 Backend Overview">
              <w:r>
                <w:rPr>
                  <w:rFonts w:ascii="Calibri" w:cs="Calibri" w:eastAsia="Calibri" w:hAnsi="Calibri"/>
                  <w:sz w:val="20"/>
                  <w:szCs w:val="20"/>
                  <w:rtl w:val="0"/>
                  <w:color w:val="2e5bb9"/>
                  <w:u w:val="single"/>
                </w:rPr>
                <w:t xml:space="preserve">Week 3 overview</w:t>
              </w:r>
            </w:hyperlink>
          </w:p>
          <w:p>
            <w:pPr>
              <w:spacing w:after="40" w:lineRule="auto"/>
              <w:rPr/>
            </w:pPr>
            <w:hyperlink r:id="rId20" w:tooltip="Week 4 Backend Overview">
              <w:r>
                <w:rPr>
                  <w:rFonts w:ascii="Calibri" w:cs="Calibri" w:eastAsia="Calibri" w:hAnsi="Calibri"/>
                  <w:sz w:val="20"/>
                  <w:szCs w:val="20"/>
                  <w:rtl w:val="0"/>
                  <w:color w:val="2e5bb9"/>
                  <w:u w:val="single"/>
                </w:rPr>
                <w:t xml:space="preserve">Week 4 overview</w:t>
              </w:r>
            </w:hyperlink>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Frontend analytics (Cloudflare)</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Usage snapshots for 24 hours, 7 days and 30 days, plus the Week 4 overview.</w:t>
            </w:r>
          </w:p>
        </w:tc>
        <w:tc>
          <w:tcPr>
            <w:tcW w:w="2400" w:type="dxa"/>
            <w:tcMar>
              <w:top w:w="60.0" w:type="dxa"/>
              <w:left w:w="100.0" w:type="dxa"/>
              <w:bottom w:w="60.0" w:type="dxa"/>
              <w:right w:w="100.0" w:type="dxa"/>
            </w:tcMar>
            <w:vAlign w:val="center"/>
          </w:tcPr>
          <w:p>
            <w:pPr>
              <w:spacing w:after="40" w:lineRule="auto"/>
              <w:rPr/>
            </w:pPr>
            <w:hyperlink r:id="rId21" w:tooltip="Frontend 24-Hours">
              <w:r>
                <w:rPr>
                  <w:rFonts w:ascii="Calibri" w:cs="Calibri" w:eastAsia="Calibri" w:hAnsi="Calibri"/>
                  <w:sz w:val="20"/>
                  <w:szCs w:val="20"/>
                  <w:rtl w:val="0"/>
                  <w:color w:val="2e5bb9"/>
                  <w:u w:val="single"/>
                </w:rPr>
                <w:t xml:space="preserve">24 hours</w:t>
              </w:r>
            </w:hyperlink>
          </w:p>
          <w:p>
            <w:pPr>
              <w:spacing w:after="40" w:lineRule="auto"/>
              <w:rPr/>
            </w:pPr>
            <w:hyperlink r:id="rId22" w:tooltip="Frontend 7-Days">
              <w:r>
                <w:rPr>
                  <w:rFonts w:ascii="Calibri" w:cs="Calibri" w:eastAsia="Calibri" w:hAnsi="Calibri"/>
                  <w:sz w:val="20"/>
                  <w:szCs w:val="20"/>
                  <w:rtl w:val="0"/>
                  <w:color w:val="2e5bb9"/>
                  <w:u w:val="single"/>
                </w:rPr>
                <w:t xml:space="preserve">7 days</w:t>
              </w:r>
            </w:hyperlink>
          </w:p>
          <w:p>
            <w:pPr>
              <w:spacing w:after="40" w:lineRule="auto"/>
              <w:rPr/>
            </w:pPr>
            <w:hyperlink r:id="rId23" w:tooltip="Frontend 30-Days">
              <w:r>
                <w:rPr>
                  <w:rFonts w:ascii="Calibri" w:cs="Calibri" w:eastAsia="Calibri" w:hAnsi="Calibri"/>
                  <w:sz w:val="20"/>
                  <w:szCs w:val="20"/>
                  <w:rtl w:val="0"/>
                  <w:color w:val="2e5bb9"/>
                  <w:u w:val="single"/>
                </w:rPr>
                <w:t xml:space="preserve">30 days</w:t>
              </w:r>
            </w:hyperlink>
          </w:p>
          <w:p>
            <w:pPr>
              <w:spacing w:after="40" w:lineRule="auto"/>
              <w:rPr/>
            </w:pPr>
            <w:hyperlink r:id="rId24" w:tooltip="Week 4 Frontend Overview">
              <w:r>
                <w:rPr>
                  <w:rFonts w:ascii="Calibri" w:cs="Calibri" w:eastAsia="Calibri" w:hAnsi="Calibri"/>
                  <w:sz w:val="20"/>
                  <w:szCs w:val="20"/>
                  <w:rtl w:val="0"/>
                  <w:color w:val="2e5bb9"/>
                  <w:u w:val="single"/>
                </w:rPr>
                <w:t xml:space="preserve">Week 4 overview</w:t>
              </w:r>
            </w:hyperlink>
          </w:p>
        </w:tc>
      </w:tr>
    </w:tbl>
    <w:p xmlns:w="http://schemas.openxmlformats.org/wordprocessingml/2006/main">
      <w:pPr>
        <w:keepNext w:val="1"/>
        <w:spacing w:after="100" w:before="200" w:lineRule="auto"/>
        <w:rPr/>
        <w:outlineLvl w:val="3"/>
      </w:pPr>
      <w:r>
        <w:rPr>
          <w:rFonts w:ascii="Calibri" w:cs="Calibri" w:eastAsia="Calibri" w:hAnsi="Calibri"/>
          <w:color w:val="2e5bb9"/>
          <w:rtl w:val="0"/>
          <w:b w:val="1"/>
          <w:bCs w:val="1"/>
          <w:sz w:val="22"/>
          <w:szCs w:val="22"/>
        </w:rPr>
        <w:t xml:space="preserve">Month 2 — Evidence proposed for this application</w:t>
      </w:r>
    </w:p>
    <w:tbl xmlns:w="http://schemas.openxmlformats.org/wordprocessingml/2006/main">
      <w:tblPr>
        <w:tblStyle w:val="Table4"/>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520"/>
        <w:gridCol w:w="2400"/>
      </w:tblGrid>
      <w:tr>
        <w:trPr>
          <w:cantSplit w:val="1"/>
          <w:tblHeader w:val="1"/>
        </w:trPr>
        <w:tc>
          <w:tcPr>
            <w:tcW w:w="280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Evidence Type</w:t>
            </w:r>
          </w:p>
        </w:tc>
        <w:tc>
          <w:tcPr>
            <w:tcW w:w="452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Description</w:t>
            </w:r>
          </w:p>
        </w:tc>
        <w:tc>
          <w:tcPr>
            <w:tcW w:w="240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Link / Reference</w:t>
            </w:r>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Onboarding recording</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Demonstration of the proposed identity and wallet features using sample records.</w:t>
            </w:r>
          </w:p>
        </w:tc>
        <w:tc>
          <w:tcPr>
            <w:tcW w:w="2400" w:type="dxa"/>
            <w:tcMar>
              <w:top w:w="60.0" w:type="dxa"/>
              <w:left w:w="100.0" w:type="dxa"/>
              <w:bottom w:w="60.0" w:type="dxa"/>
              <w:right w:w="100.0" w:type="dxa"/>
            </w:tcMar>
            <w:vAlign w:val="center"/>
          </w:tcPr>
          <w:p>
            <w:pPr>
              <w:spacing w:after="40" w:lineRule="auto"/>
              <w:rPr/>
            </w:pPr>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System access screen recordings</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Successful access after admin approval, wallet tasks and sample history; omit KYC documents and secrets.</w:t>
            </w:r>
          </w:p>
        </w:tc>
        <w:tc>
          <w:tcPr>
            <w:tcW w:w="2400" w:type="dxa"/>
            <w:tcMar>
              <w:top w:w="60.0" w:type="dxa"/>
              <w:left w:w="100.0" w:type="dxa"/>
              <w:bottom w:w="60.0" w:type="dxa"/>
              <w:right w:w="100.0" w:type="dxa"/>
            </w:tcMar>
            <w:vAlign w:val="center"/>
          </w:tcPr>
          <w:p>
            <w:pPr>
              <w:spacing w:after="40" w:lineRule="auto"/>
              <w:rPr/>
            </w:pPr>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Access screenshots</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Redacted approval status and system access, linked to participant codes.</w:t>
            </w:r>
          </w:p>
        </w:tc>
        <w:tc>
          <w:tcPr>
            <w:tcW w:w="2400" w:type="dxa"/>
            <w:tcMar>
              <w:top w:w="60.0" w:type="dxa"/>
              <w:left w:w="100.0" w:type="dxa"/>
              <w:bottom w:w="60.0" w:type="dxa"/>
              <w:right w:w="100.0" w:type="dxa"/>
            </w:tcMar>
            <w:vAlign w:val="center"/>
          </w:tcPr>
          <w:p>
            <w:pPr>
              <w:spacing w:after="40" w:lineRule="auto"/>
              <w:rPr/>
            </w:pPr>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Participant feedback</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Actual onboarding counts, task results, clarity answers and improvements between classes; target 106 participants.</w:t>
            </w:r>
          </w:p>
        </w:tc>
        <w:tc>
          <w:tcPr>
            <w:tcW w:w="2400" w:type="dxa"/>
            <w:tcMar>
              <w:top w:w="60.0" w:type="dxa"/>
              <w:left w:w="100.0" w:type="dxa"/>
              <w:bottom w:w="60.0" w:type="dxa"/>
              <w:right w:w="100.0" w:type="dxa"/>
            </w:tcMar>
            <w:vAlign w:val="center"/>
          </w:tcPr>
          <w:p>
            <w:pPr>
              <w:spacing w:after="40" w:lineRule="auto"/>
              <w:rPr/>
            </w:pPr>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Backend analytics (Google Cloud Run)</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Instance and service metrics during the pilot, with reporting dates.</w:t>
            </w:r>
          </w:p>
        </w:tc>
        <w:tc>
          <w:tcPr>
            <w:tcW w:w="2400" w:type="dxa"/>
            <w:tcMar>
              <w:top w:w="60.0" w:type="dxa"/>
              <w:left w:w="100.0" w:type="dxa"/>
              <w:bottom w:w="60.0" w:type="dxa"/>
              <w:right w:w="100.0" w:type="dxa"/>
            </w:tcMar>
            <w:vAlign w:val="center"/>
          </w:tcPr>
          <w:p>
            <w:pPr>
              <w:spacing w:after="40" w:lineRule="auto"/>
              <w:rPr/>
            </w:pPr>
          </w:p>
        </w:tc>
      </w:tr>
      <w:tr>
        <w:trPr>
          <w:cantSplit w:val="1"/>
          <w:tblHeader w:val="0"/>
        </w:trPr>
        <w:tc>
          <w:tcPr>
            <w:tcW w:w="28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Frontend analytics (Cloudflare)</w:t>
            </w:r>
          </w:p>
        </w:tc>
        <w:tc>
          <w:tcPr>
            <w:tcW w:w="452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Traffic and usage analytics during the pilot, with reporting dates.</w:t>
            </w:r>
          </w:p>
        </w:tc>
        <w:tc>
          <w:tcPr>
            <w:tcW w:w="2400" w:type="dxa"/>
            <w:tcMar>
              <w:top w:w="60.0" w:type="dxa"/>
              <w:left w:w="100.0" w:type="dxa"/>
              <w:bottom w:w="60.0" w:type="dxa"/>
              <w:right w:w="100.0" w:type="dxa"/>
            </w:tcMar>
            <w:vAlign w:val="center"/>
          </w:tcPr>
          <w:p>
            <w:pPr>
              <w:spacing w:after="40" w:lineRule="auto"/>
              <w:rPr/>
            </w:pPr>
          </w:p>
        </w:tc>
      </w:tr>
    </w:tbl>
    <w:p>
      <w:pPr>
        <w:spacing w:after="120" w:lineRule="auto"/>
        <w:rPr/>
      </w:pPr>
      <w:r>
        <w:rPr>
          <w:rFonts w:ascii="Calibri" w:cs="Calibri" w:eastAsia="Calibri" w:hAnsi="Calibri"/>
          <w:b w:val="0"/>
          <w:bCs w:val="0"/>
          <w:sz w:val="22"/>
          <w:szCs w:val="22"/>
          <w:rtl w:val="0"/>
        </w:rPr>
        <w:t xml:space="preserve">Add references as evidence is collected.</w:t>
      </w:r>
    </w:p>
    <w:p>
      <w:pPr>
        <w:keepNext w:val="1"/>
        <w:spacing w:after="100" w:before="200" w:lineRule="auto"/>
        <w:outlineLvl w:val="1"/>
        <w:rPr/>
      </w:pPr>
      <w:r>
        <w:rPr>
          <w:rFonts w:ascii="Calibri" w:cs="Calibri" w:eastAsia="Calibri" w:hAnsi="Calibri"/>
          <w:b w:val="1"/>
          <w:bCs w:val="1"/>
          <w:color w:val="2e5bb9"/>
          <w:sz w:val="23"/>
          <w:szCs w:val="23"/>
          <w:rtl w:val="0"/>
        </w:rPr>
        <w:t xml:space="preserve">6.3 Recording permission and privacy</w:t>
      </w:r>
    </w:p>
    <w:p>
      <w:pPr>
        <w:spacing w:after="120" w:lineRule="auto"/>
        <w:rPr/>
      </w:pPr>
      <w:r>
        <w:rPr>
          <w:rFonts w:ascii="Calibri" w:cs="Calibri" w:eastAsia="Calibri" w:hAnsi="Calibri"/>
          <w:b w:val="0"/>
          <w:bCs w:val="0"/>
          <w:sz w:val="22"/>
          <w:szCs w:val="22"/>
          <w:rtl w:val="0"/>
        </w:rPr>
        <w:t xml:space="preserve">Obtain permission before recording or sharing evidence; declining recording does not prevent participation. KYC submissions stay private in the application. Use sample identities for public demonstrations and exclude real KYC documents, passwords and wallet secrets from recordings. Redact personal details from screenshots.</w:t>
      </w:r>
    </w:p>
    <w:p>
      <w:pPr>
        <w:spacing w:after="120" w:lineRule="auto"/>
        <w:rPr/>
      </w:pPr>
      <w:r>
        <w:rPr>
          <w:rFonts w:ascii="Calibri" w:cs="Calibri" w:eastAsia="Calibri" w:hAnsi="Calibri"/>
          <w:b w:val="0"/>
          <w:bCs w:val="0"/>
          <w:sz w:val="22"/>
          <w:szCs w:val="22"/>
          <w:rtl w:val="0"/>
        </w:rPr>
        <w:t xml:space="preserve">Restrict raw recordings to the team and delete them after checking the redacted copies. Share those copies privately with designated reviewers and delete them after review.</w:t>
      </w:r>
    </w:p>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7. Next Steps</w:t>
      </w:r>
    </w:p>
    <w:p>
      <w:pPr>
        <w:keepNext w:val="1"/>
        <w:spacing w:after="100" w:before="200" w:lineRule="auto"/>
        <w:outlineLvl w:val="1"/>
        <w:rPr/>
      </w:pPr>
      <w:r>
        <w:rPr>
          <w:rFonts w:ascii="Calibri" w:cs="Calibri" w:eastAsia="Calibri" w:hAnsi="Calibri"/>
          <w:b w:val="1"/>
          <w:bCs w:val="1"/>
          <w:color w:val="2e5bb9"/>
          <w:sz w:val="23"/>
          <w:szCs w:val="23"/>
          <w:rtl w:val="0"/>
        </w:rPr>
        <w:t xml:space="preserve">7.1 Proposed four-week schedule</w:t>
      </w:r>
    </w:p>
    <w:p>
      <w:pPr>
        <w:spacing w:after="120" w:lineRule="auto"/>
        <w:rPr/>
      </w:pPr>
      <w:r>
        <w:rPr>
          <w:rFonts w:ascii="Calibri" w:cs="Calibri" w:eastAsia="Calibri" w:hAnsi="Calibri"/>
          <w:b w:val="0"/>
          <w:bCs w:val="0"/>
          <w:sz w:val="22"/>
          <w:szCs w:val="22"/>
          <w:rtl w:val="0"/>
        </w:rPr>
        <w:t xml:space="preserve">Start Week 1 on the agreed date. Weekly allocations may shift with class schedules and review needs; the estimates total 52 team hours.</w:t>
      </w:r>
    </w:p>
    <w:tbl>
      <w:tblPr>
        <w:tblStyle w:val="Table5"/>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52"/>
        <w:gridCol w:w="5152"/>
        <w:gridCol w:w="2916"/>
      </w:tblGrid>
      <w:tr>
        <w:trPr>
          <w:cantSplit w:val="1"/>
          <w:tblHeader w:val="1"/>
        </w:trPr>
        <w:tc>
          <w:tcPr>
            <w:tcW w:w="1652"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Timeline</w:t>
            </w:r>
          </w:p>
        </w:tc>
        <w:tc>
          <w:tcPr>
            <w:tcW w:w="5152"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Planned Activity</w:t>
            </w:r>
          </w:p>
        </w:tc>
        <w:tc>
          <w:tcPr>
            <w:tcW w:w="2916"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Expected Outcome</w:t>
            </w:r>
          </w:p>
        </w:tc>
      </w:tr>
      <w:tr>
        <w:trPr>
          <w:cantSplit w:val="1"/>
          <w:tblHeader w:val="0"/>
        </w:trPr>
        <w:tc>
          <w:tcPr>
            <w:tcW w:w="16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Week 1</w:t>
            </w:r>
          </w:p>
        </w:tc>
        <w:tc>
          <w:tcPr>
            <w:tcW w:w="51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10 team hours: recruit, prepare materials, run the first developer session and review KYC submissions.</w:t>
            </w:r>
          </w:p>
        </w:tc>
        <w:tc>
          <w:tcPr>
            <w:tcW w:w="291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Developer access results, early feedback and proposed class dates.</w:t>
            </w:r>
          </w:p>
        </w:tc>
      </w:tr>
      <w:tr>
        <w:trPr>
          <w:cantSplit w:val="1"/>
          <w:tblHeader w:val="0"/>
        </w:trPr>
        <w:tc>
          <w:tcPr>
            <w:tcW w:w="16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Week 2</w:t>
            </w:r>
          </w:p>
        </w:tc>
        <w:tc>
          <w:tcPr>
            <w:tcW w:w="51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6 team hours: run the teacher session, support approval and access, and confirm student classes.</w:t>
            </w:r>
          </w:p>
        </w:tc>
        <w:tc>
          <w:tcPr>
            <w:tcW w:w="291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Clearer instructions and confirmed arrangements.</w:t>
            </w:r>
          </w:p>
        </w:tc>
      </w:tr>
      <w:tr>
        <w:trPr>
          <w:cantSplit w:val="1"/>
          <w:tblHeader w:val="0"/>
        </w:trPr>
        <w:tc>
          <w:tcPr>
            <w:tcW w:w="16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Week 3</w:t>
            </w:r>
          </w:p>
        </w:tc>
        <w:tc>
          <w:tcPr>
            <w:tcW w:w="51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16 team hours: run two student classes, review KYC, support access and collect task results.</w:t>
            </w:r>
          </w:p>
        </w:tc>
        <w:tc>
          <w:tcPr>
            <w:tcW w:w="291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Onboarding counts and changes for the next classes.</w:t>
            </w:r>
          </w:p>
        </w:tc>
      </w:tr>
      <w:tr>
        <w:trPr>
          <w:cantSplit w:val="1"/>
          <w:tblHeader w:val="0"/>
        </w:trPr>
        <w:tc>
          <w:tcPr>
            <w:tcW w:w="16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Week 4</w:t>
            </w:r>
          </w:p>
        </w:tc>
        <w:tc>
          <w:tcPr>
            <w:tcW w:w="5152"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20 team hours: run two more classes, follow up on reviews and access, and prepare final evidence.</w:t>
            </w:r>
          </w:p>
        </w:tc>
        <w:tc>
          <w:tcPr>
            <w:tcW w:w="2916"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Final counts, pending cases, findings and evidence links.</w:t>
            </w:r>
          </w:p>
        </w:tc>
      </w:tr>
    </w:tbl>
    <w:p>
      <w:pPr>
        <w:keepNext w:val="1"/>
        <w:spacing w:after="100" w:before="200" w:lineRule="auto"/>
        <w:outlineLvl w:val="1"/>
        <w:rPr/>
      </w:pPr>
      <w:r>
        <w:rPr>
          <w:rFonts w:ascii="Calibri" w:cs="Calibri" w:eastAsia="Calibri" w:hAnsi="Calibri"/>
          <w:b w:val="1"/>
          <w:bCs w:val="1"/>
          <w:color w:val="2e5bb9"/>
          <w:sz w:val="23"/>
          <w:szCs w:val="23"/>
          <w:rtl w:val="0"/>
        </w:rPr>
        <w:t xml:space="preserve">7.2 Outputs by the end of Week 4</w:t>
      </w:r>
    </w:p>
    <w:p>
      <w:pPr>
        <w:spacing w:after="120" w:lineRule="auto"/>
        <w:rPr/>
      </w:pPr>
      <w:r>
        <w:rPr>
          <w:rFonts w:ascii="Calibri" w:cs="Calibri" w:eastAsia="Calibri" w:hAnsi="Calibri"/>
          <w:b w:val="0"/>
          <w:bCs w:val="0"/>
          <w:sz w:val="22"/>
          <w:szCs w:val="22"/>
          <w:rtl w:val="0"/>
        </w:rPr>
        <w:t xml:space="preserve">Report actual completed onboarding against the </w:t>
      </w:r>
      <w:r>
        <w:rPr>
          <w:rFonts w:ascii="Calibri" w:cs="Calibri" w:eastAsia="Calibri" w:hAnsi="Calibri"/>
          <w:sz w:val="22"/>
          <w:szCs w:val="22"/>
          <w:rtl w:val="0"/>
          <w:b w:val="1"/>
          <w:bCs w:val="1"/>
        </w:rPr>
        <w:t xml:space="preserve">106-person target</w:t>
      </w:r>
      <w:r>
        <w:rPr>
          <w:rFonts w:ascii="Calibri" w:cs="Calibri" w:eastAsia="Calibri" w:hAnsi="Calibri"/>
          <w:b w:val="0"/>
          <w:bCs w:val="0"/>
          <w:sz w:val="22"/>
          <w:szCs w:val="22"/>
          <w:rtl w:val="0"/>
        </w:rPr>
        <w:t xml:space="preserve">: 4 developers, 2 MIT/IT teachers and 100 IT college students. Apply the counting rule in Section 3.3 and explain any shortfall. Provide task results, feedback, improvements checked in later classes and the Month 2 evidence package. Report feedback responses separately from onboarding totals.</w:t>
      </w:r>
    </w:p>
    <w:p>
      <w:pPr>
        <w:keepNext w:val="1"/>
        <w:spacing w:after="100" w:before="200" w:lineRule="auto"/>
        <w:outlineLvl w:val="1"/>
        <w:rPr/>
      </w:pPr>
      <w:r>
        <w:rPr>
          <w:rFonts w:ascii="Calibri" w:cs="Calibri" w:eastAsia="Calibri" w:hAnsi="Calibri"/>
          <w:b w:val="1"/>
          <w:bCs w:val="1"/>
          <w:color w:val="2e5bb9"/>
          <w:sz w:val="23"/>
          <w:szCs w:val="23"/>
          <w:rtl w:val="0"/>
        </w:rPr>
        <w:t xml:space="preserve">7.3 Follow-up</w:t>
      </w:r>
    </w:p>
    <w:p>
      <w:pPr>
        <w:spacing w:after="120" w:lineRule="auto"/>
        <w:rPr/>
      </w:pPr>
      <w:r>
        <w:rPr>
          <w:rFonts w:ascii="Calibri" w:cs="Calibri" w:eastAsia="Calibri" w:hAnsi="Calibri"/>
          <w:b w:val="0"/>
          <w:bCs w:val="0"/>
          <w:sz w:val="22"/>
          <w:szCs w:val="22"/>
          <w:rtl w:val="0"/>
        </w:rPr>
        <w:t xml:space="preserve">Use the pilot findings to define a Month 3 proposal with its own activities, targets and budget. Invite interested participants for follow-up and report returning and new participants separately.</w:t>
      </w:r>
    </w:p>
    <w:p>
      <w:pPr>
        <w:spacing w:after="120" w:lineRule="auto"/>
        <w:rPr/>
      </w:pPr>
      <w:r>
        <w:rPr>
          <w:rFonts w:ascii="Calibri" w:cs="Calibri" w:eastAsia="Calibri" w:hAnsi="Calibri"/>
          <w:b w:val="0"/>
          <w:bCs w:val="0"/>
          <w:sz w:val="22"/>
          <w:szCs w:val="22"/>
          <w:rtl w:val="0"/>
        </w:rPr>
        <w:t xml:space="preserve">Review SCF Build requirements with the Chapter Lead. Research with prospective borrowers, savers and lending staff, institutional partnerships and larger pilots require separate scope and funding.</w:t>
      </w:r>
    </w:p>
    <w:p>
      <w:pPr>
        <w:keepNext w:val="1"/>
        <w:pBdr>
          <w:bottom w:color="2e5bb9" w:space="8" w:sz="8" w:val="single"/>
        </w:pBdr>
        <w:spacing w:after="100" w:before="280" w:lineRule="auto"/>
        <w:outlineLvl w:val="0"/>
        <w:rPr/>
      </w:pPr>
      <w:r>
        <w:rPr>
          <w:rFonts w:ascii="Calibri" w:cs="Calibri" w:eastAsia="Calibri" w:hAnsi="Calibri"/>
          <w:b w:val="1"/>
          <w:bCs w:val="1"/>
          <w:color w:val="1a1a1a"/>
          <w:sz w:val="27"/>
          <w:szCs w:val="27"/>
          <w:rtl w:val="0"/>
        </w:rPr>
        <w:t xml:space="preserve">8. Evidence Verification Checklist</w:t>
      </w:r>
    </w:p>
    <w:p>
      <w:pPr>
        <w:spacing w:after="120" w:lineRule="auto"/>
        <w:rPr/>
      </w:pPr>
      <w:r>
        <w:rPr>
          <w:rFonts w:ascii="Calibri" w:cs="Calibri" w:eastAsia="Calibri" w:hAnsi="Calibri"/>
          <w:b w:val="0"/>
          <w:bCs w:val="0"/>
          <w:sz w:val="22"/>
          <w:szCs w:val="22"/>
          <w:rtl w:val="0"/>
        </w:rPr>
        <w:t xml:space="preserve">For Ambassador Chapter Lead use. Mark each month's evidence as Present, Partial or Missing after reviewing its records.</w:t>
      </w:r>
    </w:p>
    <w:tbl xmlns:w="http://schemas.openxmlformats.org/wordprocessingml/2006/main">
      <w:tblPr>
        <w:tblStyle w:val="Table7"/>
        <w:tblW w:w="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00"/>
        <w:gridCol w:w="1700"/>
        <w:gridCol w:w="1700"/>
        <w:gridCol w:w="2420"/>
      </w:tblGrid>
      <w:tr>
        <w:trPr>
          <w:cantSplit w:val="1"/>
          <w:tblHeader w:val="1"/>
        </w:trPr>
        <w:tc>
          <w:tcPr>
            <w:tcW w:w="390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Evidence Category</w:t>
            </w:r>
          </w:p>
        </w:tc>
        <w:tc>
          <w:tcPr>
            <w:tcW w:w="170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Month 1</w:t>
            </w:r>
          </w:p>
        </w:tc>
        <w:tc>
          <w:tcPr>
            <w:tcW w:w="170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Month 2</w:t>
            </w:r>
          </w:p>
        </w:tc>
        <w:tc>
          <w:tcPr>
            <w:tcW w:w="2420" w:type="dxa"/>
            <w:shd w:fill="d9e2f3" w:val="clear"/>
            <w:tcMar>
              <w:top w:w="60.0" w:type="dxa"/>
              <w:left w:w="100.0" w:type="dxa"/>
              <w:bottom w:w="60.0" w:type="dxa"/>
              <w:right w:w="100.0" w:type="dxa"/>
            </w:tcMar>
            <w:vAlign w:val="center"/>
          </w:tcPr>
          <w:p>
            <w:pPr>
              <w:keepNext w:val="1"/>
              <w:spacing w:after="40" w:lineRule="auto"/>
              <w:rPr/>
            </w:pPr>
            <w:r>
              <w:rPr>
                <w:rFonts w:ascii="Calibri" w:cs="Calibri" w:eastAsia="Calibri" w:hAnsi="Calibri"/>
                <w:b w:val="1"/>
                <w:bCs w:val="1"/>
                <w:sz w:val="20"/>
                <w:szCs w:val="20"/>
                <w:rtl w:val="0"/>
              </w:rPr>
              <w:t xml:space="preserve">Comments</w:t>
            </w:r>
          </w:p>
        </w:tc>
      </w:tr>
      <w:tr>
        <w:trPr>
          <w:cantSplit w:val="1"/>
          <w:tblHeader w:val="0"/>
        </w:trPr>
        <w:tc>
          <w:tcPr>
            <w:tcW w:w="39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Onboarding recording</w:t>
            </w:r>
          </w:p>
        </w:tc>
        <w:tc>
          <w:tcPr>
            <w:tcW w:w="1700" w:type="dxa"/>
            <w:tcMar>
              <w:top w:w="60.0" w:type="dxa"/>
              <w:left w:w="100.0" w:type="dxa"/>
              <w:bottom w:w="60.0" w:type="dxa"/>
              <w:right w:w="100.0" w:type="dxa"/>
            </w:tcMar>
            <w:vAlign w:val="center"/>
          </w:tcPr>
          <w:p>
            <w:pPr>
              <w:spacing w:after="40" w:lineRule="auto"/>
              <w:rPr/>
            </w:pPr>
          </w:p>
        </w:tc>
        <w:tc>
          <w:tcPr>
            <w:tcW w:w="1700" w:type="dxa"/>
            <w:tcMar>
              <w:top w:w="60.0" w:type="dxa"/>
              <w:left w:w="100.0" w:type="dxa"/>
              <w:bottom w:w="60.0" w:type="dxa"/>
              <w:right w:w="100.0" w:type="dxa"/>
            </w:tcMar>
            <w:vAlign w:val="center"/>
          </w:tcPr>
          <w:p>
            <w:pPr>
              <w:spacing w:after="40" w:lineRule="auto"/>
              <w:rPr/>
            </w:pPr>
          </w:p>
        </w:tc>
        <w:tc>
          <w:tcPr>
            <w:tcW w:w="2420" w:type="dxa"/>
            <w:tcMar>
              <w:top w:w="60.0" w:type="dxa"/>
              <w:left w:w="100.0" w:type="dxa"/>
              <w:bottom w:w="60.0" w:type="dxa"/>
              <w:right w:w="100.0" w:type="dxa"/>
            </w:tcMar>
            <w:vAlign w:val="center"/>
          </w:tcPr>
          <w:p>
            <w:pPr>
              <w:spacing w:after="40" w:lineRule="auto"/>
              <w:rPr/>
            </w:pPr>
          </w:p>
        </w:tc>
      </w:tr>
      <w:tr>
        <w:trPr>
          <w:cantSplit w:val="1"/>
          <w:tblHeader w:val="0"/>
        </w:trPr>
        <w:tc>
          <w:tcPr>
            <w:tcW w:w="39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System access screen recordings</w:t>
            </w:r>
          </w:p>
        </w:tc>
        <w:tc>
          <w:tcPr>
            <w:tcW w:w="1700" w:type="dxa"/>
            <w:tcMar>
              <w:top w:w="60.0" w:type="dxa"/>
              <w:left w:w="100.0" w:type="dxa"/>
              <w:bottom w:w="60.0" w:type="dxa"/>
              <w:right w:w="100.0" w:type="dxa"/>
            </w:tcMar>
            <w:vAlign w:val="center"/>
          </w:tcPr>
          <w:p>
            <w:pPr>
              <w:spacing w:after="40" w:lineRule="auto"/>
              <w:rPr/>
            </w:pPr>
          </w:p>
        </w:tc>
        <w:tc>
          <w:tcPr>
            <w:tcW w:w="1700" w:type="dxa"/>
            <w:tcMar>
              <w:top w:w="60.0" w:type="dxa"/>
              <w:left w:w="100.0" w:type="dxa"/>
              <w:bottom w:w="60.0" w:type="dxa"/>
              <w:right w:w="100.0" w:type="dxa"/>
            </w:tcMar>
            <w:vAlign w:val="center"/>
          </w:tcPr>
          <w:p>
            <w:pPr>
              <w:spacing w:after="40" w:lineRule="auto"/>
              <w:rPr/>
            </w:pPr>
          </w:p>
        </w:tc>
        <w:tc>
          <w:tcPr>
            <w:tcW w:w="2420" w:type="dxa"/>
            <w:tcMar>
              <w:top w:w="60.0" w:type="dxa"/>
              <w:left w:w="100.0" w:type="dxa"/>
              <w:bottom w:w="60.0" w:type="dxa"/>
              <w:right w:w="100.0" w:type="dxa"/>
            </w:tcMar>
            <w:vAlign w:val="center"/>
          </w:tcPr>
          <w:p>
            <w:pPr>
              <w:spacing w:after="40" w:lineRule="auto"/>
              <w:rPr/>
            </w:pPr>
          </w:p>
        </w:tc>
      </w:tr>
      <w:tr>
        <w:trPr>
          <w:cantSplit w:val="1"/>
          <w:tblHeader w:val="0"/>
        </w:trPr>
        <w:tc>
          <w:tcPr>
            <w:tcW w:w="39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Access screenshots</w:t>
            </w:r>
          </w:p>
        </w:tc>
        <w:tc>
          <w:tcPr>
            <w:tcW w:w="1700" w:type="dxa"/>
            <w:tcMar>
              <w:top w:w="60.0" w:type="dxa"/>
              <w:left w:w="100.0" w:type="dxa"/>
              <w:bottom w:w="60.0" w:type="dxa"/>
              <w:right w:w="100.0" w:type="dxa"/>
            </w:tcMar>
            <w:vAlign w:val="center"/>
          </w:tcPr>
          <w:p>
            <w:pPr>
              <w:spacing w:after="40" w:lineRule="auto"/>
              <w:rPr/>
            </w:pPr>
          </w:p>
        </w:tc>
        <w:tc>
          <w:tcPr>
            <w:tcW w:w="1700" w:type="dxa"/>
            <w:tcMar>
              <w:top w:w="60.0" w:type="dxa"/>
              <w:left w:w="100.0" w:type="dxa"/>
              <w:bottom w:w="60.0" w:type="dxa"/>
              <w:right w:w="100.0" w:type="dxa"/>
            </w:tcMar>
            <w:vAlign w:val="center"/>
          </w:tcPr>
          <w:p>
            <w:pPr>
              <w:spacing w:after="40" w:lineRule="auto"/>
              <w:rPr/>
            </w:pPr>
          </w:p>
        </w:tc>
        <w:tc>
          <w:tcPr>
            <w:tcW w:w="2420" w:type="dxa"/>
            <w:tcMar>
              <w:top w:w="60.0" w:type="dxa"/>
              <w:left w:w="100.0" w:type="dxa"/>
              <w:bottom w:w="60.0" w:type="dxa"/>
              <w:right w:w="100.0" w:type="dxa"/>
            </w:tcMar>
            <w:vAlign w:val="center"/>
          </w:tcPr>
          <w:p>
            <w:pPr>
              <w:spacing w:after="40" w:lineRule="auto"/>
              <w:rPr/>
            </w:pPr>
          </w:p>
        </w:tc>
      </w:tr>
      <w:tr>
        <w:trPr>
          <w:cantSplit w:val="1"/>
          <w:tblHeader w:val="0"/>
        </w:trPr>
        <w:tc>
          <w:tcPr>
            <w:tcW w:w="39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Participant feedback</w:t>
            </w:r>
          </w:p>
        </w:tc>
        <w:tc>
          <w:tcPr>
            <w:tcW w:w="1700" w:type="dxa"/>
            <w:tcMar>
              <w:top w:w="60.0" w:type="dxa"/>
              <w:left w:w="100.0" w:type="dxa"/>
              <w:bottom w:w="60.0" w:type="dxa"/>
              <w:right w:w="100.0" w:type="dxa"/>
            </w:tcMar>
            <w:vAlign w:val="center"/>
          </w:tcPr>
          <w:p>
            <w:pPr>
              <w:spacing w:after="40" w:lineRule="auto"/>
              <w:rPr/>
            </w:pPr>
          </w:p>
        </w:tc>
        <w:tc>
          <w:tcPr>
            <w:tcW w:w="1700" w:type="dxa"/>
            <w:tcMar>
              <w:top w:w="60.0" w:type="dxa"/>
              <w:left w:w="100.0" w:type="dxa"/>
              <w:bottom w:w="60.0" w:type="dxa"/>
              <w:right w:w="100.0" w:type="dxa"/>
            </w:tcMar>
            <w:vAlign w:val="center"/>
          </w:tcPr>
          <w:p>
            <w:pPr>
              <w:spacing w:after="40" w:lineRule="auto"/>
              <w:rPr/>
            </w:pPr>
          </w:p>
        </w:tc>
        <w:tc>
          <w:tcPr>
            <w:tcW w:w="2420" w:type="dxa"/>
            <w:tcMar>
              <w:top w:w="60.0" w:type="dxa"/>
              <w:left w:w="100.0" w:type="dxa"/>
              <w:bottom w:w="60.0" w:type="dxa"/>
              <w:right w:w="100.0" w:type="dxa"/>
            </w:tcMar>
            <w:vAlign w:val="center"/>
          </w:tcPr>
          <w:p>
            <w:pPr>
              <w:spacing w:after="40" w:lineRule="auto"/>
              <w:rPr/>
            </w:pPr>
          </w:p>
        </w:tc>
      </w:tr>
      <w:tr>
        <w:trPr>
          <w:cantSplit w:val="1"/>
          <w:tblHeader w:val="0"/>
        </w:trPr>
        <w:tc>
          <w:tcPr>
            <w:tcW w:w="39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Backend analytics (Google Cloud Run)</w:t>
            </w:r>
          </w:p>
        </w:tc>
        <w:tc>
          <w:tcPr>
            <w:tcW w:w="1700" w:type="dxa"/>
            <w:tcMar>
              <w:top w:w="60.0" w:type="dxa"/>
              <w:left w:w="100.0" w:type="dxa"/>
              <w:bottom w:w="60.0" w:type="dxa"/>
              <w:right w:w="100.0" w:type="dxa"/>
            </w:tcMar>
            <w:vAlign w:val="center"/>
          </w:tcPr>
          <w:p>
            <w:pPr>
              <w:spacing w:after="40" w:lineRule="auto"/>
              <w:rPr/>
            </w:pPr>
          </w:p>
        </w:tc>
        <w:tc>
          <w:tcPr>
            <w:tcW w:w="1700" w:type="dxa"/>
            <w:tcMar>
              <w:top w:w="60.0" w:type="dxa"/>
              <w:left w:w="100.0" w:type="dxa"/>
              <w:bottom w:w="60.0" w:type="dxa"/>
              <w:right w:w="100.0" w:type="dxa"/>
            </w:tcMar>
            <w:vAlign w:val="center"/>
          </w:tcPr>
          <w:p>
            <w:pPr>
              <w:spacing w:after="40" w:lineRule="auto"/>
              <w:rPr/>
            </w:pPr>
          </w:p>
        </w:tc>
        <w:tc>
          <w:tcPr>
            <w:tcW w:w="2420" w:type="dxa"/>
            <w:tcMar>
              <w:top w:w="60.0" w:type="dxa"/>
              <w:left w:w="100.0" w:type="dxa"/>
              <w:bottom w:w="60.0" w:type="dxa"/>
              <w:right w:w="100.0" w:type="dxa"/>
            </w:tcMar>
            <w:vAlign w:val="center"/>
          </w:tcPr>
          <w:p>
            <w:pPr>
              <w:spacing w:after="40" w:lineRule="auto"/>
              <w:rPr/>
            </w:pPr>
          </w:p>
        </w:tc>
      </w:tr>
      <w:tr>
        <w:trPr>
          <w:cantSplit w:val="1"/>
          <w:tblHeader w:val="0"/>
        </w:trPr>
        <w:tc>
          <w:tcPr>
            <w:tcW w:w="3900" w:type="dxa"/>
            <w:tcMar>
              <w:top w:w="60.0" w:type="dxa"/>
              <w:left w:w="100.0" w:type="dxa"/>
              <w:bottom w:w="60.0" w:type="dxa"/>
              <w:right w:w="100.0" w:type="dxa"/>
            </w:tcMar>
            <w:vAlign w:val="center"/>
          </w:tcPr>
          <w:p>
            <w:pPr>
              <w:spacing w:after="40" w:lineRule="auto"/>
              <w:rPr/>
            </w:pPr>
            <w:r>
              <w:rPr>
                <w:rFonts w:ascii="Calibri" w:cs="Calibri" w:eastAsia="Calibri" w:hAnsi="Calibri"/>
                <w:sz w:val="20"/>
                <w:szCs w:val="20"/>
                <w:rtl w:val="0"/>
              </w:rPr>
              <w:t xml:space="preserve">Frontend analytics (Cloudflare)</w:t>
            </w:r>
          </w:p>
        </w:tc>
        <w:tc>
          <w:tcPr>
            <w:tcW w:w="1700" w:type="dxa"/>
            <w:tcMar>
              <w:top w:w="60.0" w:type="dxa"/>
              <w:left w:w="100.0" w:type="dxa"/>
              <w:bottom w:w="60.0" w:type="dxa"/>
              <w:right w:w="100.0" w:type="dxa"/>
            </w:tcMar>
            <w:vAlign w:val="center"/>
          </w:tcPr>
          <w:p>
            <w:pPr>
              <w:spacing w:after="40" w:lineRule="auto"/>
              <w:rPr/>
            </w:pPr>
          </w:p>
        </w:tc>
        <w:tc>
          <w:tcPr>
            <w:tcW w:w="1700" w:type="dxa"/>
            <w:tcMar>
              <w:top w:w="60.0" w:type="dxa"/>
              <w:left w:w="100.0" w:type="dxa"/>
              <w:bottom w:w="60.0" w:type="dxa"/>
              <w:right w:w="100.0" w:type="dxa"/>
            </w:tcMar>
            <w:vAlign w:val="center"/>
          </w:tcPr>
          <w:p>
            <w:pPr>
              <w:spacing w:after="40" w:lineRule="auto"/>
              <w:rPr/>
            </w:pPr>
          </w:p>
        </w:tc>
        <w:tc>
          <w:tcPr>
            <w:tcW w:w="2420" w:type="dxa"/>
            <w:tcMar>
              <w:top w:w="60.0" w:type="dxa"/>
              <w:left w:w="100.0" w:type="dxa"/>
              <w:bottom w:w="60.0" w:type="dxa"/>
              <w:right w:w="100.0" w:type="dxa"/>
            </w:tcMar>
            <w:vAlign w:val="center"/>
          </w:tcPr>
          <w:p>
            <w:pPr>
              <w:spacing w:after="40" w:lineRule="auto"/>
              <w:rPr/>
            </w:pPr>
          </w:p>
        </w:tc>
      </w:tr>
    </w:tbl>
    <w:sectPr>
      <w:headerReference r:id="rId7" w:type="default"/>
      <w:pgSz w:h="15840" w:w="12240" w:orient="portrait"/>
      <w:pgMar w:bottom="720" w:top="980" w:left="1440" w:right="1060" w:header="713"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Bdr>
        <w:bottom w:color="dddddd" w:space="4" w:sz="6" w:val="single"/>
      </w:pBdr>
      <w:spacing w:after="60" w:lineRule="auto"/>
      <w:jc w:val="right"/>
      <w:rPr/>
    </w:pPr>
    <w:r w:rsidDel="00000000" w:rsidR="00000000" w:rsidRPr="00000000">
      <w:rPr>
        <w:color w:val="999999"/>
        <w:sz w:val="18"/>
        <w:szCs w:val="18"/>
        <w:rtl w:val="0"/>
      </w:rPr>
      <w:t xml:space="preserve">Customer Development Proposal · PrimeLendRow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8"/>
      </w:pPr>
      <w:rPr/>
    </w:lvl>
    <w:lvl w:ilvl="1">
      <w:start w:val="1"/>
      <w:numFmt w:val="bullet"/>
      <w:lvlText w:val="◦"/>
      <w:lvlJc w:val="left"/>
      <w:pPr>
        <w:ind w:left="720" w:hanging="288"/>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yperlink" Target="https://drive.google.com/file/d/1WUHoOcBq334DbaOe4ij0p1rMVW7nyd9X/view" TargetMode="External"/><Relationship Id="rId9" Type="http://schemas.openxmlformats.org/officeDocument/2006/relationships/hyperlink" Target="https://drive.google.com/file/d/1B8WHhP-B7zUHmEDuHmA1OxWtw41nNf7w/view" TargetMode="External"/><Relationship Id="rId10" Type="http://schemas.openxmlformats.org/officeDocument/2006/relationships/hyperlink" Target="https://drive.google.com/drive/folders/1GfyDtBazFqnx0QxZ5275qqD-G23nnjd_" TargetMode="External"/><Relationship Id="rId11" Type="http://schemas.openxmlformats.org/officeDocument/2006/relationships/hyperlink" Target="https://drive.google.com/drive/folders/1pirnzvkarFZJXTXrt-Xhg0Q6Kcc0BkNo" TargetMode="External"/><Relationship Id="rId12" Type="http://schemas.openxmlformats.org/officeDocument/2006/relationships/hyperlink" Target="https://drive.google.com/drive/folders/143Rqix1LdwxHN-BrLZv4eADR11Vscvlf" TargetMode="External"/><Relationship Id="rId13" Type="http://schemas.openxmlformats.org/officeDocument/2006/relationships/hyperlink" Target="https://drive.google.com/drive/folders/1qCYl3TNivh5xdyQqZjSvcHvwZQyDJUc2" TargetMode="External"/><Relationship Id="rId14" Type="http://schemas.openxmlformats.org/officeDocument/2006/relationships/hyperlink" Target="https://drive.google.com/drive/folders/1iGxtM54BJV3lLifVlBom_UvrIrwmvP-l?usp=drive_link" TargetMode="External"/><Relationship Id="rId15" Type="http://schemas.openxmlformats.org/officeDocument/2006/relationships/hyperlink" Target="https://drive.google.com/drive/folders/1wUPKWcDrq6xA8FaSaoKlxe7-0mh2M77B?usp=drive_link" TargetMode="External"/><Relationship Id="rId16" Type="http://schemas.openxmlformats.org/officeDocument/2006/relationships/hyperlink" Target="https://docs.google.com/document/d/1tOCvzi8up06L3yjjBbSux73KVk0c9Rf6rO2AqeEvxqY/edit" TargetMode="External"/><Relationship Id="rId17" Type="http://schemas.openxmlformats.org/officeDocument/2006/relationships/hyperlink" Target="https://drive.google.com/file/d/1zzTrHOjxCX2VbwM9sH4IOcIGT8KLWHHG/view" TargetMode="External"/><Relationship Id="rId18" Type="http://schemas.openxmlformats.org/officeDocument/2006/relationships/hyperlink" Target="https://drive.google.com/file/d/1Fe032IyU-fRMbCGmIK4ChiEQODfrRxig/view" TargetMode="External"/><Relationship Id="rId19" Type="http://schemas.openxmlformats.org/officeDocument/2006/relationships/hyperlink" Target="https://drive.google.com/file/d/1JuItQ3kkbaQb5lL74ND4Ucov9PpCKZvg/view" TargetMode="External"/><Relationship Id="rId20" Type="http://schemas.openxmlformats.org/officeDocument/2006/relationships/hyperlink" Target="https://drive.google.com/file/d/1_C5BdUKhYA9lLNimpfBa30l--jrZ8ZC6/view" TargetMode="External"/><Relationship Id="rId21" Type="http://schemas.openxmlformats.org/officeDocument/2006/relationships/hyperlink" Target="https://drive.google.com/file/d/13Ap0rgYGP0kb4dSF28yuYSuko79FFEd3/view" TargetMode="External"/><Relationship Id="rId22" Type="http://schemas.openxmlformats.org/officeDocument/2006/relationships/hyperlink" Target="https://drive.google.com/file/d/1ViNsyN94hFOrcA8K8OzSkBZhBFdDibJV/view" TargetMode="External"/><Relationship Id="rId23" Type="http://schemas.openxmlformats.org/officeDocument/2006/relationships/hyperlink" Target="https://drive.google.com/file/d/1oo5vxRcUB3zJyHJJdRWn0GrmR6GT28n8/view" TargetMode="External"/><Relationship Id="rId24" Type="http://schemas.openxmlformats.org/officeDocument/2006/relationships/hyperlink" Target="https://drive.google.com/file/d/1WONmsQxvIEXBxyQk6Sw6iIZGV5Irzkoc/view" TargetMode="External"/><Relationship Id="rId25" Type="http://schemas.openxmlformats.org/officeDocument/2006/relationships/hyperlink" Target="https://www.loom.com/share/5f1e9d8ecd134a8e83307e6aaf2cd2c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