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XLM Collateral on Stellar</w:t>
      </w:r>
    </w:p>
    <w:p>
      <w:pPr>
        <w:pStyle w:val="Subtitle"/>
      </w:pPr>
      <w:r>
        <w:t xml:space="preserve">PrimeLendRow — Week 1 progress report. Stellar Testnet.</w:t>
      </w:r>
    </w:p>
    <w:p>
      <w:pPr>
        <w:pStyle w:val="Heading1"/>
      </w:pPr>
      <w:r>
        <w:t xml:space="preserve">1. What this is about</w:t>
      </w:r>
    </w:p>
    <w:p>
      <w:pPr>
        <w:pStyle w:val="Normal"/>
      </w:pPr>
      <w:r>
        <w:t xml:space="preserve">PrimeLendRow lets a member borrow pesos. To borrow more than they have saved, a member can put up XLM (Stellar's own coin) as security. This is called collateral: if the loan is not repaid, the collateral covers the loss.</w:t>
      </w:r>
    </w:p>
    <w:p>
      <w:pPr>
        <w:pStyle w:val="Normal"/>
      </w:pPr>
      <w:r>
        <w:t xml:space="preserve">The important part is </w:t>
      </w:r>
      <w:r>
        <w:rPr>
          <w:b/>
        </w:rPr>
        <w:t xml:space="preserve">where the collateral is kept</w:t>
      </w:r>
      <w:r>
        <w:t xml:space="preserve">. It is not kept in our database, where we could quietly change a number. It is held by a </w:t>
      </w:r>
      <w:r>
        <w:rPr>
          <w:b/>
        </w:rPr>
        <w:t xml:space="preserve">smart contract</w:t>
      </w:r>
      <w:r>
        <w:t xml:space="preserve"> on the Stellar network — a program that lives on a public ledger and follows rules nobody can edit after the fact, not even us.</w:t>
      </w:r>
    </w:p>
    <w:p>
      <w:pPr>
        <w:pStyle w:val="Normal"/>
      </w:pPr>
      <w:r>
        <w:t xml:space="preserve">A loan with XLM collateral has two possible endings:</w:t>
      </w:r>
    </w:p>
    <w:p>
      <w:pPr>
        <w:pStyle w:val="Bullet"/>
        <w:ind w:left="440" w:hanging="220"/>
      </w:pPr>
      <w:r>
        <w:t xml:space="preserve">•  </w:t>
      </w:r>
      <w:r>
        <w:rPr>
          <w:b/>
        </w:rPr>
        <w:t xml:space="preserve">Repaid</w:t>
      </w:r>
      <w:r>
        <w:t xml:space="preserve"> — the member pays the loan off, and the contract sends their coins back.</w:t>
      </w:r>
    </w:p>
    <w:p>
      <w:pPr>
        <w:pStyle w:val="Bullet"/>
        <w:ind w:left="440" w:hanging="220"/>
      </w:pPr>
      <w:r>
        <w:t xml:space="preserve">•  </w:t>
      </w:r>
      <w:r>
        <w:rPr>
          <w:b/>
        </w:rPr>
        <w:t xml:space="preserve">Defaulted</w:t>
      </w:r>
      <w:r>
        <w:t xml:space="preserve"> — the loan is not paid, and the coins are seized to cover the debt.</w:t>
      </w:r>
    </w:p>
    <w:p>
      <w:pPr>
        <w:pStyle w:val="Heading1"/>
      </w:pPr>
      <w:r>
        <w:t xml:space="preserve">2. Words you will see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0"/>
        <w:gridCol w:w="6800"/>
      </w:tblGrid>
      <w:tr>
        <w:tc>
          <w:tcPr>
            <w:tcW w:w="1800" w:type="dxa"/>
            <w:shd w:val="clear" w:fill="EDF2FA"/>
          </w:tcPr>
          <w:p>
            <w:pPr>
              <w:spacing w:before="40" w:after="40"/>
            </w:pPr>
            <w:r>
              <w:rPr>
                <w:b/>
              </w:rPr>
              <w:t xml:space="preserve">Term</w:t>
            </w:r>
          </w:p>
        </w:tc>
        <w:tc>
          <w:tcPr>
            <w:tcW w:w="6800" w:type="dxa"/>
            <w:shd w:val="clear" w:fill="EDF2FA"/>
          </w:tcPr>
          <w:p>
            <w:pPr>
              <w:spacing w:before="40" w:after="40"/>
            </w:pPr>
            <w:r>
              <w:rPr>
                <w:b/>
              </w:rPr>
              <w:t xml:space="preserve">What it means</w:t>
            </w:r>
          </w:p>
        </w:tc>
      </w:tr>
      <w:tr>
        <w:tc>
          <w:tcPr>
            <w:tcW w:w="1800" w:type="dxa"/>
          </w:tcPr>
          <w:p>
            <w:pPr>
              <w:spacing w:before="40" w:after="40"/>
            </w:pPr>
            <w:r>
              <w:t xml:space="preserve">Stellar</w:t>
            </w:r>
          </w:p>
        </w:tc>
        <w:tc>
          <w:tcPr>
            <w:tcW w:w="6800" w:type="dxa"/>
          </w:tcPr>
          <w:p>
            <w:pPr>
              <w:spacing w:before="40" w:after="40"/>
            </w:pPr>
            <w:r>
              <w:t xml:space="preserve">A public blockchain network. Anyone can read what happened on it.</w:t>
            </w:r>
          </w:p>
        </w:tc>
      </w:tr>
      <w:tr>
        <w:tc>
          <w:tcPr>
            <w:tcW w:w="1800" w:type="dxa"/>
          </w:tcPr>
          <w:p>
            <w:pPr>
              <w:spacing w:before="40" w:after="40"/>
            </w:pPr>
            <w:r>
              <w:t xml:space="preserve">Testnet</w:t>
            </w:r>
          </w:p>
        </w:tc>
        <w:tc>
          <w:tcPr>
            <w:tcW w:w="6800" w:type="dxa"/>
          </w:tcPr>
          <w:p>
            <w:pPr>
              <w:spacing w:before="40" w:after="40"/>
            </w:pPr>
            <w:r>
              <w:t xml:space="preserve">A practice copy of Stellar. The coins are not real money.</w:t>
            </w:r>
          </w:p>
        </w:tc>
      </w:tr>
      <w:tr>
        <w:tc>
          <w:tcPr>
            <w:tcW w:w="1800" w:type="dxa"/>
          </w:tcPr>
          <w:p>
            <w:pPr>
              <w:spacing w:before="40" w:after="40"/>
            </w:pPr>
            <w:r>
              <w:t xml:space="preserve">XLM</w:t>
            </w:r>
          </w:p>
        </w:tc>
        <w:tc>
          <w:tcPr>
            <w:tcW w:w="6800" w:type="dxa"/>
          </w:tcPr>
          <w:p>
            <w:pPr>
              <w:spacing w:before="40" w:after="40"/>
            </w:pPr>
            <w:r>
              <w:t xml:space="preserve">The coin used on Stellar. Also called Lumens.</w:t>
            </w:r>
          </w:p>
        </w:tc>
      </w:tr>
      <w:tr>
        <w:tc>
          <w:tcPr>
            <w:tcW w:w="1800" w:type="dxa"/>
          </w:tcPr>
          <w:p>
            <w:pPr>
              <w:spacing w:before="40" w:after="40"/>
            </w:pPr>
            <w:r>
              <w:t xml:space="preserve">Stroop</w:t>
            </w:r>
          </w:p>
        </w:tc>
        <w:tc>
          <w:tcPr>
            <w:tcW w:w="6800" w:type="dxa"/>
          </w:tcPr>
          <w:p>
            <w:pPr>
              <w:spacing w:before="40" w:after="40"/>
            </w:pPr>
            <w:r>
              <w:t xml:space="preserve">The smallest piece of an XLM. 1 XLM = 10,000,000 stroops.</w:t>
            </w:r>
          </w:p>
        </w:tc>
      </w:tr>
      <w:tr>
        <w:tc>
          <w:tcPr>
            <w:tcW w:w="1800" w:type="dxa"/>
          </w:tcPr>
          <w:p>
            <w:pPr>
              <w:spacing w:before="40" w:after="40"/>
            </w:pPr>
            <w:r>
              <w:t xml:space="preserve">Soroban</w:t>
            </w:r>
          </w:p>
        </w:tc>
        <w:tc>
          <w:tcPr>
            <w:tcW w:w="6800" w:type="dxa"/>
          </w:tcPr>
          <w:p>
            <w:pPr>
              <w:spacing w:before="40" w:after="40"/>
            </w:pPr>
            <w:r>
              <w:t xml:space="preserve">Stellar's smart-contract system.</w:t>
            </w:r>
          </w:p>
        </w:tc>
      </w:tr>
      <w:tr>
        <w:tc>
          <w:tcPr>
            <w:tcW w:w="1800" w:type="dxa"/>
          </w:tcPr>
          <w:p>
            <w:pPr>
              <w:spacing w:before="40" w:after="40"/>
            </w:pPr>
            <w:r>
              <w:t xml:space="preserve">Vault</w:t>
            </w:r>
          </w:p>
        </w:tc>
        <w:tc>
          <w:tcPr>
            <w:tcW w:w="6800" w:type="dxa"/>
          </w:tcPr>
          <w:p>
            <w:pPr>
              <w:spacing w:before="40" w:after="40"/>
            </w:pPr>
            <w:r>
              <w:t xml:space="preserve">Our smart contract. It holds the collateral coins.</w:t>
            </w:r>
          </w:p>
        </w:tc>
      </w:tr>
      <w:tr>
        <w:tc>
          <w:tcPr>
            <w:tcW w:w="1800" w:type="dxa"/>
          </w:tcPr>
          <w:p>
            <w:pPr>
              <w:spacing w:before="40" w:after="40"/>
            </w:pPr>
            <w:r>
              <w:t xml:space="preserve">Freighter</w:t>
            </w:r>
          </w:p>
        </w:tc>
        <w:tc>
          <w:tcPr>
            <w:tcW w:w="6800" w:type="dxa"/>
          </w:tcPr>
          <w:p>
            <w:pPr>
              <w:spacing w:before="40" w:after="40"/>
            </w:pPr>
            <w:r>
              <w:t xml:space="preserve">A browser wallet extension. It signs transactions.</w:t>
            </w:r>
          </w:p>
        </w:tc>
      </w:tr>
      <w:tr>
        <w:tc>
          <w:tcPr>
            <w:tcW w:w="1800" w:type="dxa"/>
          </w:tcPr>
          <w:p>
            <w:pPr>
              <w:spacing w:before="40" w:after="40"/>
            </w:pPr>
            <w:r>
              <w:t xml:space="preserve">Horizon</w:t>
            </w:r>
          </w:p>
        </w:tc>
        <w:tc>
          <w:tcPr>
            <w:tcW w:w="6800" w:type="dxa"/>
          </w:tcPr>
          <w:p>
            <w:pPr>
              <w:spacing w:before="40" w:after="40"/>
            </w:pPr>
            <w:r>
              <w:t xml:space="preserve">Stellar's public API for reading what happened on the network.</w:t>
            </w:r>
          </w:p>
        </w:tc>
      </w:tr>
      <w:tr>
        <w:tc>
          <w:tcPr>
            <w:tcW w:w="1800" w:type="dxa"/>
          </w:tcPr>
          <w:p>
            <w:pPr>
              <w:spacing w:before="40" w:after="40"/>
            </w:pPr>
            <w:r>
              <w:t xml:space="preserve">SEP-40</w:t>
            </w:r>
          </w:p>
        </w:tc>
        <w:tc>
          <w:tcPr>
            <w:tcW w:w="6800" w:type="dxa"/>
          </w:tcPr>
          <w:p>
            <w:pPr>
              <w:spacing w:before="40" w:after="40"/>
            </w:pPr>
            <w:r>
              <w:t xml:space="preserve">A standard way for a contract to read a price from a public price feed.</w:t>
            </w:r>
          </w:p>
        </w:tc>
      </w:tr>
      <w:tr>
        <w:tc>
          <w:tcPr>
            <w:tcW w:w="1800" w:type="dxa"/>
          </w:tcPr>
          <w:p>
            <w:pPr>
              <w:spacing w:before="40" w:after="40"/>
            </w:pPr>
            <w:r>
              <w:t xml:space="preserve">Treasury</w:t>
            </w:r>
          </w:p>
        </w:tc>
        <w:tc>
          <w:tcPr>
            <w:tcW w:w="6800" w:type="dxa"/>
          </w:tcPr>
          <w:p>
            <w:pPr>
              <w:spacing w:before="40" w:after="40"/>
            </w:pPr>
            <w:r>
              <w:t xml:space="preserve">The account that receives seized collateral.</w:t>
            </w:r>
          </w:p>
        </w:tc>
      </w:tr>
    </w:tbl>
    <w:p>
      <w:pPr>
        <w:spacing w:after="0"/>
      </w:pPr>
    </w:p>
    <w:p>
      <w:pPr>
        <w:pStyle w:val="Heading1"/>
      </w:pPr>
      <w:r>
        <w:t xml:space="preserve">3. The vault contract</w:t>
      </w:r>
    </w:p>
    <w:p>
      <w:pPr>
        <w:pStyle w:val="Normal"/>
      </w:pPr>
      <w:r>
        <w:t xml:space="preserve">Our contract is live on Stellar Testnet at this address:</w:t>
      </w:r>
    </w:p>
    <w:p>
      <w:pPr>
        <w:pStyle w:val="Normal"/>
      </w:pPr>
      <w:r>
        <w:rPr>
          <w:rStyle w:val="Code"/>
        </w:rPr>
        <w:t xml:space="preserve">CARIIQC4QZRE3BSXB2NCB4UNRWCTKIRQULLJWZ2NRL6FWZP4MMHWS2SI</w:t>
      </w:r>
    </w:p>
    <w:p>
      <w:pPr>
        <w:pStyle w:val="Normal"/>
      </w:pPr>
      <w:r>
        <w:t xml:space="preserve">The design rule is: </w:t>
      </w:r>
      <w:r>
        <w:rPr>
          <w:b/>
        </w:rPr>
        <w:t xml:space="preserve">anyone can put coins in, only the platform can take them out</w:t>
      </w:r>
      <w:r>
        <w:t xml:space="preserve"> — and even then, only in an order the contract enforces.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00"/>
        <w:gridCol w:w="1900"/>
        <w:gridCol w:w="5000"/>
      </w:tblGrid>
      <w:tr>
        <w:tc>
          <w:tcPr>
            <w:tcW w:w="1700" w:type="dxa"/>
            <w:shd w:val="clear" w:fill="EDF2FA"/>
          </w:tcPr>
          <w:p>
            <w:pPr>
              <w:spacing w:before="40" w:after="40"/>
            </w:pPr>
            <w:r>
              <w:rPr>
                <w:b/>
              </w:rPr>
              <w:t xml:space="preserve">Action</w:t>
            </w:r>
          </w:p>
        </w:tc>
        <w:tc>
          <w:tcPr>
            <w:tcW w:w="1900" w:type="dxa"/>
            <w:shd w:val="clear" w:fill="EDF2FA"/>
          </w:tcPr>
          <w:p>
            <w:pPr>
              <w:spacing w:before="40" w:after="40"/>
            </w:pPr>
            <w:r>
              <w:rPr>
                <w:b/>
              </w:rPr>
              <w:t xml:space="preserve">Who can call it</w:t>
            </w:r>
          </w:p>
        </w:tc>
        <w:tc>
          <w:tcPr>
            <w:tcW w:w="5000" w:type="dxa"/>
            <w:shd w:val="clear" w:fill="EDF2FA"/>
          </w:tcPr>
          <w:p>
            <w:pPr>
              <w:spacing w:before="40" w:after="40"/>
            </w:pPr>
            <w:r>
              <w:rPr>
                <w:b/>
              </w:rPr>
              <w:t xml:space="preserve">What it does</w:t>
            </w:r>
          </w:p>
        </w:tc>
      </w:tr>
      <w:tr>
        <w:tc>
          <w:tcPr>
            <w:tcW w:w="1700" w:type="dxa"/>
          </w:tcPr>
          <w:p>
            <w:pPr>
              <w:spacing w:before="40" w:after="40"/>
            </w:pPr>
            <w:r>
              <w:t xml:space="preserve">lock</w:t>
            </w:r>
          </w:p>
        </w:tc>
        <w:tc>
          <w:tcPr>
            <w:tcW w:w="1900" w:type="dxa"/>
          </w:tcPr>
          <w:p>
            <w:pPr>
              <w:spacing w:before="40" w:after="40"/>
            </w:pPr>
            <w:r>
              <w:t xml:space="preserve">The borrower</w:t>
            </w:r>
          </w:p>
        </w:tc>
        <w:tc>
          <w:tcPr>
            <w:tcW w:w="5000" w:type="dxa"/>
          </w:tcPr>
          <w:p>
            <w:pPr>
              <w:spacing w:before="40" w:after="40"/>
            </w:pPr>
            <w:r>
              <w:t xml:space="preserve">Moves the borrower's XLM into the vault.</w:t>
            </w:r>
          </w:p>
        </w:tc>
      </w:tr>
      <w:tr>
        <w:tc>
          <w:tcPr>
            <w:tcW w:w="1700" w:type="dxa"/>
          </w:tcPr>
          <w:p>
            <w:pPr>
              <w:spacing w:before="40" w:after="40"/>
            </w:pPr>
            <w:r>
              <w:t xml:space="preserve">mark_repaid</w:t>
            </w:r>
          </w:p>
        </w:tc>
        <w:tc>
          <w:tcPr>
            <w:tcW w:w="1900" w:type="dxa"/>
          </w:tcPr>
          <w:p>
            <w:pPr>
              <w:spacing w:before="40" w:after="40"/>
            </w:pPr>
            <w:r>
              <w:t xml:space="preserve">Platform only</w:t>
            </w:r>
          </w:p>
        </w:tc>
        <w:tc>
          <w:tcPr>
            <w:tcW w:w="5000" w:type="dxa"/>
          </w:tcPr>
          <w:p>
            <w:pPr>
              <w:spacing w:before="40" w:after="40"/>
            </w:pPr>
            <w:r>
              <w:t xml:space="preserve">Records on-chain that the loan was paid off.</w:t>
            </w:r>
          </w:p>
        </w:tc>
      </w:tr>
      <w:tr>
        <w:tc>
          <w:tcPr>
            <w:tcW w:w="1700" w:type="dxa"/>
          </w:tcPr>
          <w:p>
            <w:pPr>
              <w:spacing w:before="40" w:after="40"/>
            </w:pPr>
            <w:r>
              <w:t xml:space="preserve">release</w:t>
            </w:r>
          </w:p>
        </w:tc>
        <w:tc>
          <w:tcPr>
            <w:tcW w:w="1900" w:type="dxa"/>
          </w:tcPr>
          <w:p>
            <w:pPr>
              <w:spacing w:before="40" w:after="40"/>
            </w:pPr>
            <w:r>
              <w:t xml:space="preserve">Platform only</w:t>
            </w:r>
          </w:p>
        </w:tc>
        <w:tc>
          <w:tcPr>
            <w:tcW w:w="5000" w:type="dxa"/>
          </w:tcPr>
          <w:p>
            <w:pPr>
              <w:spacing w:before="40" w:after="40"/>
            </w:pPr>
            <w:r>
              <w:t xml:space="preserve">Sends the coins back. Refused unless the loan was recorded repaid.</w:t>
            </w:r>
          </w:p>
        </w:tc>
      </w:tr>
      <w:tr>
        <w:tc>
          <w:tcPr>
            <w:tcW w:w="1700" w:type="dxa"/>
          </w:tcPr>
          <w:p>
            <w:pPr>
              <w:spacing w:before="40" w:after="40"/>
            </w:pPr>
            <w:r>
              <w:t xml:space="preserve">mark_defaulted</w:t>
            </w:r>
          </w:p>
        </w:tc>
        <w:tc>
          <w:tcPr>
            <w:tcW w:w="1900" w:type="dxa"/>
          </w:tcPr>
          <w:p>
            <w:pPr>
              <w:spacing w:before="40" w:after="40"/>
            </w:pPr>
            <w:r>
              <w:t xml:space="preserve">Platform only</w:t>
            </w:r>
          </w:p>
        </w:tc>
        <w:tc>
          <w:tcPr>
            <w:tcW w:w="5000" w:type="dxa"/>
          </w:tcPr>
          <w:p>
            <w:pPr>
              <w:spacing w:before="40" w:after="40"/>
            </w:pPr>
            <w:r>
              <w:t xml:space="preserve">Records on-chain that the loan defaulted.</w:t>
            </w:r>
          </w:p>
        </w:tc>
      </w:tr>
      <w:tr>
        <w:tc>
          <w:tcPr>
            <w:tcW w:w="1700" w:type="dxa"/>
          </w:tcPr>
          <w:p>
            <w:pPr>
              <w:spacing w:before="40" w:after="40"/>
            </w:pPr>
            <w:r>
              <w:t xml:space="preserve">seize</w:t>
            </w:r>
          </w:p>
        </w:tc>
        <w:tc>
          <w:tcPr>
            <w:tcW w:w="1900" w:type="dxa"/>
          </w:tcPr>
          <w:p>
            <w:pPr>
              <w:spacing w:before="40" w:after="40"/>
            </w:pPr>
            <w:r>
              <w:t xml:space="preserve">Platform only</w:t>
            </w:r>
          </w:p>
        </w:tc>
        <w:tc>
          <w:tcPr>
            <w:tcW w:w="5000" w:type="dxa"/>
          </w:tcPr>
          <w:p>
            <w:pPr>
              <w:spacing w:before="40" w:after="40"/>
            </w:pPr>
            <w:r>
              <w:t xml:space="preserve">Sends the coins to the treasury. Refused unless a default was recorded.</w:t>
            </w:r>
          </w:p>
        </w:tc>
      </w:tr>
    </w:tbl>
    <w:p>
      <w:pPr>
        <w:spacing w:after="0"/>
      </w:pPr>
    </w:p>
    <w:p>
      <w:pPr>
        <w:pStyle w:val="Normal"/>
      </w:pPr>
      <w:r>
        <w:t xml:space="preserve">Two rules are worth reading twice. The contract will not release coins unless a repayment was recorded first, and it will not seize coins unless a default was recorded first. That means </w:t>
      </w:r>
      <w:r>
        <w:rPr>
          <w:b/>
        </w:rPr>
        <w:t xml:space="preserve">every seizure leaves a public record of the default ahead of it</w:t>
      </w:r>
      <w:r>
        <w:t xml:space="preserve">. It is not a promise in a document — it is behaviour the contract enforces.</w:t>
      </w:r>
    </w:p>
    <w:p>
      <w:pPr>
        <w:pStyle w:val="Normal"/>
      </w:pPr>
      <w:r>
        <w:t xml:space="preserve">It also sends a release only to the wallet that locked the coins. That destination is stored when the coins go in, so it cannot be redirected later.</w:t>
      </w:r>
    </w:p>
    <w:p>
      <w:pPr>
        <w:pStyle w:val="Heading1"/>
      </w:pPr>
      <w:r>
        <w:t xml:space="preserve">4. How the price is checked</w:t>
      </w:r>
    </w:p>
    <w:p>
      <w:pPr>
        <w:pStyle w:val="Normal"/>
      </w:pPr>
      <w:r>
        <w:t xml:space="preserve">To know how much XLM covers a peso loan, we need to know what XLM is worth. That number is not typed in by staff. It is checked twice, by two independent systems.</w:t>
      </w:r>
    </w:p>
    <w:p>
      <w:pPr>
        <w:pStyle w:val="Heading2"/>
      </w:pPr>
      <w:r>
        <w:t xml:space="preserve">First, in our backend</w:t>
      </w:r>
    </w:p>
    <w:p>
      <w:pPr>
        <w:pStyle w:val="Bullet"/>
        <w:ind w:left="440" w:hanging="220"/>
      </w:pPr>
      <w:r>
        <w:t xml:space="preserve">•  </w:t>
      </w:r>
      <w:r>
        <w:t xml:space="preserve">It reads six public price sources at the same time.</w:t>
      </w:r>
    </w:p>
    <w:p>
      <w:pPr>
        <w:pStyle w:val="Bullet"/>
        <w:ind w:left="440" w:hanging="220"/>
      </w:pPr>
      <w:r>
        <w:t xml:space="preserve">•  </w:t>
      </w:r>
      <w:r>
        <w:t xml:space="preserve">It takes the middle value (the median) and throws away any source more than 5% away from it.</w:t>
      </w:r>
    </w:p>
    <w:p>
      <w:pPr>
        <w:pStyle w:val="Bullet"/>
        <w:ind w:left="440" w:hanging="220"/>
      </w:pPr>
      <w:r>
        <w:t xml:space="preserve">•  </w:t>
      </w:r>
      <w:r>
        <w:t xml:space="preserve">At least two sources must still agree, and the price must be less than 15 minutes old.</w:t>
      </w:r>
    </w:p>
    <w:p>
      <w:pPr>
        <w:pStyle w:val="Bullet"/>
        <w:ind w:left="440" w:hanging="220"/>
      </w:pPr>
      <w:r>
        <w:t xml:space="preserve">•  </w:t>
      </w:r>
      <w:r>
        <w:t xml:space="preserve">If those conditions are not met, </w:t>
      </w:r>
      <w:r>
        <w:rPr>
          <w:b/>
        </w:rPr>
        <w:t xml:space="preserve">no loan is issued</w:t>
      </w:r>
      <w:r>
        <w:t xml:space="preserve">. A loan priced at a number nobody can vouch for is worse than no loan.</w:t>
      </w:r>
    </w:p>
    <w:p>
      <w:pPr>
        <w:pStyle w:val="Heading2"/>
      </w:pPr>
      <w:r>
        <w:t xml:space="preserve">Then, in the contract</w:t>
      </w:r>
    </w:p>
    <w:p>
      <w:pPr>
        <w:pStyle w:val="Normal"/>
      </w:pPr>
      <w:r>
        <w:t xml:space="preserve">Our backend's price is only a proposal. When the borrower locks their coins, the contract checks that price against a public feed on Stellar itself (a SEP-40 feed provided by Reflector). It refuses a price that is stale, or too far from the feed, or that does not add up. It does the same check again at seizure.</w:t>
      </w:r>
    </w:p>
    <w:p>
      <w:pPr>
        <w:pStyle w:val="Caption"/>
      </w:pPr>
      <w:r>
        <w:t xml:space="preserve">So the platform cannot choose a flattering price. The contract has the last word.</w:t>
      </w:r>
    </w:p>
    <w:p>
      <w:pPr>
        <w:pStyle w:val="Heading1"/>
      </w:pPr>
      <w:r>
        <w:t xml:space="preserve">5. What we demonstrated this week</w:t>
      </w:r>
    </w:p>
    <w:p>
      <w:pPr>
        <w:pStyle w:val="Normal"/>
      </w:pPr>
      <w:r>
        <w:t xml:space="preserve">A full run on Testnet: a member borrowed against XLM collateral, made payments, and the loan was then defaulted by an administrator so the seizure path could be shown. (A real default takes months of missed payments, which does not fit in a sprint, so an administrator override is used to trigger it.)</w:t>
      </w:r>
    </w:p>
    <w:p>
      <w:pPr>
        <w:pStyle w:val="Normal"/>
      </w:pPr>
      <w:r>
        <w:t xml:space="preserve">All three steps are permanently recorded on the public ledger:</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0"/>
        <w:gridCol w:w="4600"/>
        <w:gridCol w:w="2500"/>
      </w:tblGrid>
      <w:tr>
        <w:tc>
          <w:tcPr>
            <w:tcW w:w="1500" w:type="dxa"/>
            <w:shd w:val="clear" w:fill="EDF2FA"/>
          </w:tcPr>
          <w:p>
            <w:pPr>
              <w:spacing w:before="40" w:after="40"/>
            </w:pPr>
            <w:r>
              <w:rPr>
                <w:b/>
              </w:rPr>
              <w:t xml:space="preserve">Step</w:t>
            </w:r>
          </w:p>
        </w:tc>
        <w:tc>
          <w:tcPr>
            <w:tcW w:w="4600" w:type="dxa"/>
            <w:shd w:val="clear" w:fill="EDF2FA"/>
          </w:tcPr>
          <w:p>
            <w:pPr>
              <w:spacing w:before="40" w:after="40"/>
            </w:pPr>
            <w:r>
              <w:rPr>
                <w:b/>
              </w:rPr>
              <w:t xml:space="preserve">What happened</w:t>
            </w:r>
          </w:p>
        </w:tc>
        <w:tc>
          <w:tcPr>
            <w:tcW w:w="2500" w:type="dxa"/>
            <w:shd w:val="clear" w:fill="EDF2FA"/>
          </w:tcPr>
          <w:p>
            <w:pPr>
              <w:spacing w:before="40" w:after="40"/>
            </w:pPr>
            <w:r>
              <w:rPr>
                <w:b/>
              </w:rPr>
              <w:t xml:space="preserve">Transaction</w:t>
            </w:r>
          </w:p>
        </w:tc>
      </w:tr>
      <w:tr>
        <w:tc>
          <w:tcPr>
            <w:tcW w:w="1500" w:type="dxa"/>
          </w:tcPr>
          <w:p>
            <w:pPr>
              <w:spacing w:before="40" w:after="40"/>
            </w:pPr>
            <w:r>
              <w:t xml:space="preserve">1. Lock</w:t>
            </w:r>
          </w:p>
        </w:tc>
        <w:tc>
          <w:tcPr>
            <w:tcW w:w="4600" w:type="dxa"/>
          </w:tcPr>
          <w:p>
            <w:pPr>
              <w:spacing w:before="40" w:after="40"/>
            </w:pPr>
            <w:r>
              <w:t xml:space="preserve">106.76 XLM moved from the borrower's wallet into the vault.</w:t>
            </w:r>
          </w:p>
        </w:tc>
        <w:tc>
          <w:tcPr>
            <w:tcW w:w="2500" w:type="dxa"/>
          </w:tcPr>
          <w:p>
            <w:pPr>
              <w:spacing w:before="40" w:after="40"/>
            </w:pPr>
            <w:hyperlink r:id="rHl1">
              <w:r>
                <w:rPr>
                  <w:rStyle w:val="Hyperlink"/>
                </w:rPr>
                <w:t xml:space="preserve">70fe3849…2838d</w:t>
              </w:r>
            </w:hyperlink>
          </w:p>
        </w:tc>
      </w:tr>
      <w:tr>
        <w:tc>
          <w:tcPr>
            <w:tcW w:w="1500" w:type="dxa"/>
          </w:tcPr>
          <w:p>
            <w:pPr>
              <w:spacing w:before="40" w:after="40"/>
            </w:pPr>
            <w:r>
              <w:t xml:space="preserve">2. Default recorded</w:t>
            </w:r>
          </w:p>
        </w:tc>
        <w:tc>
          <w:tcPr>
            <w:tcW w:w="4600" w:type="dxa"/>
          </w:tcPr>
          <w:p>
            <w:pPr>
              <w:spacing w:before="40" w:after="40"/>
            </w:pPr>
            <w:r>
              <w:t xml:space="preserve">The platform recorded the default on-chain. No coins moved.</w:t>
            </w:r>
          </w:p>
        </w:tc>
        <w:tc>
          <w:tcPr>
            <w:tcW w:w="2500" w:type="dxa"/>
          </w:tcPr>
          <w:p>
            <w:pPr>
              <w:spacing w:before="40" w:after="40"/>
            </w:pPr>
            <w:hyperlink r:id="rHl2">
              <w:r>
                <w:rPr>
                  <w:rStyle w:val="Hyperlink"/>
                </w:rPr>
                <w:t xml:space="preserve">e4d3ab09…93183</w:t>
              </w:r>
            </w:hyperlink>
          </w:p>
        </w:tc>
      </w:tr>
      <w:tr>
        <w:tc>
          <w:tcPr>
            <w:tcW w:w="1500" w:type="dxa"/>
          </w:tcPr>
          <w:p>
            <w:pPr>
              <w:spacing w:before="40" w:after="40"/>
            </w:pPr>
            <w:r>
              <w:t xml:space="preserve">3. Seize</w:t>
            </w:r>
          </w:p>
        </w:tc>
        <w:tc>
          <w:tcPr>
            <w:tcW w:w="4600" w:type="dxa"/>
          </w:tcPr>
          <w:p>
            <w:pPr>
              <w:spacing w:before="40" w:after="40"/>
            </w:pPr>
            <w:r>
              <w:t xml:space="preserve">106.76 XLM moved from the vault to the treasury account.</w:t>
            </w:r>
          </w:p>
        </w:tc>
        <w:tc>
          <w:tcPr>
            <w:tcW w:w="2500" w:type="dxa"/>
          </w:tcPr>
          <w:p>
            <w:pPr>
              <w:spacing w:before="40" w:after="40"/>
            </w:pPr>
            <w:hyperlink r:id="rHl3">
              <w:r>
                <w:rPr>
                  <w:rStyle w:val="Hyperlink"/>
                </w:rPr>
                <w:t xml:space="preserve">7b6d0914…1f969</w:t>
              </w:r>
            </w:hyperlink>
          </w:p>
        </w:tc>
      </w:tr>
    </w:tbl>
    <w:p>
      <w:pPr>
        <w:spacing w:after="0"/>
      </w:pPr>
    </w:p>
    <w:p>
      <w:pPr>
        <w:pStyle w:val="Normal"/>
      </w:pPr>
      <w:r>
        <w:t xml:space="preserve">Notice the order. The default was recorded first, and only then could the coins be seized — because the contract refuses it any other way.</w:t>
      </w:r>
    </w:p>
    <w:p>
      <w:pPr>
        <w:pStyle w:val="Heading1"/>
      </w:pPr>
      <w:r>
        <w:t xml:space="preserve">6. How it is built</w:t>
      </w:r>
    </w:p>
    <w:p>
      <w:pPr>
        <w:pStyle w:val="Heading2"/>
      </w:pPr>
      <w:r>
        <w:t xml:space="preserve">In the browser</w:t>
      </w:r>
    </w:p>
    <w:p>
      <w:pPr>
        <w:pStyle w:val="Bullet"/>
        <w:ind w:left="440" w:hanging="220"/>
      </w:pPr>
      <w:r>
        <w:t xml:space="preserve">•  </w:t>
      </w:r>
      <w:r>
        <w:rPr>
          <w:rStyle w:val="Code"/>
        </w:rPr>
        <w:t xml:space="preserve">@stellar/stellar-sdk</w:t>
      </w:r>
      <w:r>
        <w:t xml:space="preserve"> (v16.2.0) — builds the contract call and sends it to the network.</w:t>
      </w:r>
    </w:p>
    <w:p>
      <w:pPr>
        <w:pStyle w:val="Bullet"/>
        <w:ind w:left="440" w:hanging="220"/>
      </w:pPr>
      <w:r>
        <w:t xml:space="preserve">•  </w:t>
      </w:r>
      <w:r>
        <w:rPr>
          <w:rStyle w:val="Code"/>
        </w:rPr>
        <w:t xml:space="preserve">@stellar/freighter-api</w:t>
      </w:r>
      <w:r>
        <w:t xml:space="preserve"> — asks the Freighter wallet extension to sign it.</w:t>
      </w:r>
    </w:p>
    <w:p>
      <w:pPr>
        <w:pStyle w:val="Bullet"/>
        <w:ind w:left="440" w:hanging="220"/>
      </w:pPr>
      <w:r>
        <w:t xml:space="preserve">•  </w:t>
      </w:r>
      <w:r>
        <w:rPr>
          <w:rStyle w:val="Code"/>
        </w:rPr>
        <w:t xml:space="preserve">@creit.tech/stellar-wallets-kit</w:t>
      </w:r>
      <w:r>
        <w:t xml:space="preserve"> — connects the member's wallet to the app.</w:t>
      </w:r>
    </w:p>
    <w:p>
      <w:pPr>
        <w:pStyle w:val="Heading2"/>
      </w:pPr>
      <w:r>
        <w:t xml:space="preserve">In the backend</w:t>
      </w:r>
    </w:p>
    <w:p>
      <w:pPr>
        <w:pStyle w:val="Normal"/>
      </w:pPr>
      <w:r>
        <w:t xml:space="preserve">The backend never takes the browser's word for anything. After a transaction is sent, it asks </w:t>
      </w:r>
      <w:r>
        <w:rPr>
          <w:b/>
        </w:rPr>
        <w:t xml:space="preserve">Horizon</w:t>
      </w:r>
      <w:r>
        <w:t xml:space="preserve">, Stellar's public API, what really happened, and checks three things:</w:t>
      </w:r>
    </w:p>
    <w:p>
      <w:pPr>
        <w:pStyle w:val="Bullet"/>
        <w:ind w:left="440" w:hanging="220"/>
      </w:pPr>
      <w:r>
        <w:t xml:space="preserve">•  </w:t>
      </w:r>
      <w:r>
        <w:t xml:space="preserve">The transaction succeeded.</w:t>
      </w:r>
    </w:p>
    <w:p>
      <w:pPr>
        <w:pStyle w:val="Bullet"/>
        <w:ind w:left="440" w:hanging="220"/>
      </w:pPr>
      <w:r>
        <w:t xml:space="preserve">•  </w:t>
      </w:r>
      <w:r>
        <w:t xml:space="preserve">The coins really moved, in the right direction, and for how much.</w:t>
      </w:r>
    </w:p>
    <w:p>
      <w:pPr>
        <w:pStyle w:val="Bullet"/>
        <w:ind w:left="440" w:hanging="220"/>
      </w:pPr>
      <w:r>
        <w:t xml:space="preserve">•  </w:t>
      </w:r>
      <w:r>
        <w:t xml:space="preserve">The transaction called the contract function it claimed to call.</w:t>
      </w:r>
    </w:p>
    <w:p>
      <w:pPr>
        <w:pStyle w:val="Normal"/>
      </w:pPr>
      <w:r>
        <w:t xml:space="preserve">Only after those checks pass does the loan record change. If the network says something different from the app, the network wins.</w:t>
      </w:r>
    </w:p>
    <w:p>
      <w:pPr>
        <w:pStyle w:val="Heading1"/>
      </w:pPr>
      <w:r>
        <w:t xml:space="preserve">7. How to check it yourself</w:t>
      </w:r>
    </w:p>
    <w:p>
      <w:pPr>
        <w:pStyle w:val="Normal"/>
      </w:pPr>
      <w:r>
        <w:t xml:space="preserve">Nothing here has to be taken on trust. Open the vault contract on a public block explorer and read its history:</w:t>
      </w:r>
    </w:p>
    <w:p>
      <w:pPr>
        <w:pStyle w:val="Normal"/>
      </w:pPr>
      <w:hyperlink r:id="rHl4">
        <w:r>
          <w:rPr>
            <w:rStyle w:val="Hyperlink"/>
          </w:rPr>
          <w:t xml:space="preserve">View the vault on Stellar Expert</w:t>
        </w:r>
      </w:hyperlink>
    </w:p>
    <w:p>
      <w:pPr>
        <w:pStyle w:val="Normal"/>
      </w:pPr>
      <w:r>
        <w:t xml:space="preserve">You will see the lock, the recorded default, and the seizure, with their amounts, their times, and which account signed each one.</w:t>
      </w:r>
    </w:p>
    <w:p>
      <w:pPr>
        <w:pStyle w:val="Heading1"/>
      </w:pPr>
      <w:r>
        <w:t xml:space="preserve">8. What comes next</w:t>
      </w:r>
    </w:p>
    <w:p>
      <w:pPr>
        <w:pStyle w:val="Bullet"/>
        <w:ind w:left="440" w:hanging="220"/>
      </w:pPr>
      <w:r>
        <w:t xml:space="preserve">•  </w:t>
      </w:r>
      <w:r>
        <w:t xml:space="preserve">Show the repayment ending as well: a loan paid off in full, with the contract releasing the coins back to the borrower's wallet.</w:t>
      </w:r>
    </w:p>
    <w:p>
      <w:pPr>
        <w:pStyle w:val="Bullet"/>
        <w:ind w:left="440" w:hanging="220"/>
      </w:pPr>
      <w:r>
        <w:t xml:space="preserve">•  </w:t>
      </w:r>
      <w:r>
        <w:t xml:space="preserve">Capture the refusal cases, where the contract rejects a stale or out-of-range price.</w:t>
      </w:r>
    </w:p>
    <w:p>
      <w:pPr>
        <w:pStyle w:val="Bullet"/>
        <w:ind w:left="440" w:hanging="220"/>
      </w:pPr>
      <w:r>
        <w:t xml:space="preserve">•  </w:t>
      </w:r>
      <w:r>
        <w:t xml:space="preserve">Build reconciliation: an automatic check that what our database says always matches what the contract says.</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76" w:lineRule="auto"/>
      </w:pPr>
    </w:pPrDefault>
  </w:docDefaults>
  <w:style w:type="paragraph" w:default="1" w:styleId="Normal">
    <w:name w:val="Normal"/>
  </w:style>
  <w:style w:type="paragraph" w:styleId="Title">
    <w:name w:val="Title"/>
    <w:basedOn w:val="Normal"/>
    <w:pPr>
      <w:spacing w:before="0" w:after="60"/>
    </w:pPr>
    <w:rPr>
      <w:sz w:val="52"/>
      <w:szCs w:val="52"/>
      <w:b/>
      <w:color w:val="1F3864"/>
    </w:rPr>
  </w:style>
  <w:style w:type="paragraph" w:styleId="Subtitle">
    <w:name w:val="Subtitle"/>
    <w:basedOn w:val="Normal"/>
    <w:pPr>
      <w:spacing w:before="0" w:after="360"/>
    </w:pPr>
    <w:rPr>
      <w:sz w:val="22"/>
      <w:szCs w:val="22"/>
      <w:color w:val="595959"/>
    </w:rPr>
  </w:style>
  <w:style w:type="paragraph" w:styleId="Heading1">
    <w:name w:val="heading 1"/>
    <w:basedOn w:val="Normal"/>
    <w:pPr>
      <w:spacing w:before="360" w:after="120"/>
      <w:outlineLvl w:val="0"/>
    </w:pPr>
    <w:rPr>
      <w:sz w:val="30"/>
      <w:szCs w:val="30"/>
      <w:b/>
      <w:color w:val="1F3864"/>
    </w:rPr>
  </w:style>
  <w:style w:type="paragraph" w:styleId="Heading2">
    <w:name w:val="heading 2"/>
    <w:basedOn w:val="Normal"/>
    <w:pPr>
      <w:spacing w:before="240" w:after="80"/>
      <w:outlineLvl w:val="1"/>
    </w:pPr>
    <w:rPr>
      <w:sz w:val="24"/>
      <w:szCs w:val="24"/>
      <w:b/>
      <w:color w:val="2E5496"/>
    </w:rPr>
  </w:style>
  <w:style w:type="paragraph" w:styleId="Bullet">
    <w:name w:val="List Paragraph"/>
    <w:basedOn w:val="Normal"/>
    <w:pPr>
      <w:spacing w:before="0" w:after="60"/>
    </w:pPr>
    <w:rPr>
      <w:sz w:val="22"/>
      <w:szCs w:val="22"/>
    </w:rPr>
  </w:style>
  <w:style w:type="paragraph" w:styleId="Caption">
    <w:name w:val="caption"/>
    <w:basedOn w:val="Normal"/>
    <w:pPr>
      <w:spacing w:before="0" w:after="240"/>
    </w:pPr>
    <w:rPr>
      <w:sz w:val="18"/>
      <w:szCs w:val="18"/>
      <w:color w:val="595959"/>
    </w:rPr>
  </w:style>
  <w:style w:type="character" w:styleId="Code">
    <w:name w:val="Code"/>
    <w:rPr>
      <w:rFonts w:ascii="Consolas" w:hAnsi="Consolas"/>
      <w:sz w:val="19"/>
      <w:szCs w:val="19"/>
      <w:color w:val="1F3864"/>
    </w:rPr>
  </w:style>
  <w:style w:type="character" w:styleId="Hyperlink">
    <w:name w:val="Hyperlink"/>
    <w:rPr>
      <w:color w:val="1155CC"/>
      <w:u w:val="single"/>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Hl1" Type="http://schemas.openxmlformats.org/officeDocument/2006/relationships/hyperlink" Target="https://stellar.expert/explorer/testnet/tx/70fe384985e5b1abc1e26b4c0718cad5d5377751f86f8cad6acd535710f2838d" TargetMode="External"/><Relationship Id="rHl2" Type="http://schemas.openxmlformats.org/officeDocument/2006/relationships/hyperlink" Target="https://stellar.expert/explorer/testnet/tx/e4d3ab09a7e13661cab717d87f4eb7273cf0b4e81012fffbfc8e425780693183" TargetMode="External"/><Relationship Id="rHl3" Type="http://schemas.openxmlformats.org/officeDocument/2006/relationships/hyperlink" Target="https://stellar.expert/explorer/testnet/tx/7b6d0914ddb18e6d5d4ad1560f79ae0a9dec86f78e059429306a35784c91f969" TargetMode="External"/><Relationship Id="rHl4" Type="http://schemas.openxmlformats.org/officeDocument/2006/relationships/hyperlink" Target="https://stellar.expert/explorer/testnet/contract/CARIIQC4QZRE3BSXB2NCB4UNRWCTKIRQULLJWZ2NRL6FWZP4MMHWS2SI" TargetMode="External"/></Relationships>
</file>