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40" w:after="0"/>
      </w:pPr>
    </w:p>
    <w:p>
      <w:pPr>
        <w:spacing w:before="0" w:after="80"/>
        <w:jc w:val="center"/>
      </w:pPr>
      <w:r>
        <w:rPr>
          <w:rFonts w:ascii="Arial" w:cs="Arial" w:eastAsia="Arial" w:hAnsi="Arial"/>
          <w:b/>
          <w:bCs/>
          <w:color w:val="1F4E79"/>
          <w:sz w:val="72"/>
          <w:szCs w:val="72"/>
        </w:rPr>
        <w:t xml:space="preserve">KAIRI-SIO</w:t>
      </w:r>
    </w:p>
    <w:p>
      <w:pPr>
        <w:spacing w:before="0" w:after="240"/>
        <w:jc w:val="center"/>
      </w:pPr>
      <w:r>
        <w:rPr>
          <w:rFonts w:ascii="Arial" w:cs="Arial" w:eastAsia="Arial" w:hAnsi="Arial"/>
          <w:color w:val="2E75B6"/>
          <w:sz w:val="28"/>
          <w:szCs w:val="28"/>
        </w:rPr>
        <w:t xml:space="preserve">Sistema de Integridad Operativa de Senal Hidrologica</w:t>
      </w:r>
    </w:p>
    <w:p>
      <w:pPr>
        <w:pBdr>
          <w:bottom w:val="single" w:color="2E75B6" w:sz="6" w:space="1"/>
        </w:pBdr>
        <w:spacing w:before="0" w:after="360"/>
        <w:jc w:val="center"/>
      </w:pPr>
    </w:p>
    <w:p>
      <w:pPr>
        <w:spacing w:before="360" w:after="0"/>
      </w:pPr>
    </w:p>
    <w:p>
      <w:pPr>
        <w:spacing w:before="0" w:after="120"/>
        <w:jc w:val="center"/>
      </w:pPr>
      <w:r>
        <w:rPr>
          <w:rFonts w:ascii="Arial" w:cs="Arial" w:eastAsia="Arial" w:hAnsi="Arial"/>
          <w:b/>
          <w:bCs/>
          <w:color w:val="1F4E79"/>
          <w:sz w:val="40"/>
          <w:szCs w:val="40"/>
        </w:rPr>
        <w:t xml:space="preserve">PLAN TECNICO DE DESARROLLO</w:t>
      </w:r>
    </w:p>
    <w:p>
      <w:pPr>
        <w:spacing w:before="0" w:after="80"/>
        <w:jc w:val="center"/>
      </w:pPr>
      <w:r>
        <w:rPr>
          <w:rFonts w:ascii="Arial" w:cs="Arial" w:eastAsia="Arial" w:hAnsi="Arial"/>
          <w:color w:val="595959"/>
          <w:sz w:val="28"/>
          <w:szCs w:val="28"/>
        </w:rPr>
        <w:t xml:space="preserve">MVP Laboratorio Guadalquivir</w:t>
      </w:r>
    </w:p>
    <w:p>
      <w:pPr>
        <w:spacing w:before="0" w:after="480"/>
        <w:jc w:val="center"/>
      </w:pPr>
      <w:r>
        <w:rPr>
          <w:rFonts w:ascii="Arial" w:cs="Arial" w:eastAsia="Arial" w:hAnsi="Arial"/>
          <w:i/>
          <w:iCs/>
          <w:color w:val="595959"/>
          <w:sz w:val="24"/>
          <w:szCs w:val="24"/>
        </w:rPr>
        <w:t xml:space="preserve">Version 1.0 — Marzo 2026</w:t>
      </w:r>
    </w:p>
    <w:p>
      <w:pPr>
        <w:spacing w:before="480" w:after="0"/>
      </w:pPr>
    </w:p>
    <w:tbl>
      <w:tblPr>
        <w:tblW w:type="dxa" w:w="50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2520"/>
      </w:tblGrid>
      <w:tr>
        <w:tc>
          <w:tcPr>
            <w:tcW w:type="dxa" w:w="2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595959"/>
                <w:sz w:val="18"/>
                <w:szCs w:val="18"/>
              </w:rPr>
              <w:t xml:space="preserve">Proyecto</w:t>
            </w:r>
          </w:p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KAIRI-SIO</w:t>
            </w:r>
          </w:p>
        </w:tc>
        <w:tc>
          <w:tcPr>
            <w:tcW w:type="dxa" w:w="2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595959"/>
                <w:sz w:val="18"/>
                <w:szCs w:val="18"/>
              </w:rPr>
              <w:t xml:space="preserve">Equipo</w:t>
            </w:r>
          </w:p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Reymar + Kent (Ken)</w:t>
            </w:r>
          </w:p>
        </w:tc>
      </w:tr>
      <w:tr>
        <w:tc>
          <w:tcPr>
            <w:tcW w:type="dxa" w:w="2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595959"/>
                <w:sz w:val="18"/>
                <w:szCs w:val="18"/>
              </w:rPr>
              <w:t xml:space="preserve">Fase</w:t>
            </w:r>
          </w:p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MVP — Laboratorio Guadalquivir</w:t>
            </w:r>
          </w:p>
        </w:tc>
        <w:tc>
          <w:tcPr>
            <w:tcW w:type="dxa" w:w="2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595959"/>
                <w:sz w:val="18"/>
                <w:szCs w:val="18"/>
              </w:rPr>
              <w:t xml:space="preserve">Fecha</w:t>
            </w:r>
          </w:p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Marzo 2026</w:t>
            </w:r>
          </w:p>
        </w:tc>
      </w:tr>
    </w:tbl>
    <w:p>
      <w:pPr>
        <w:pageBreakBefore/>
      </w:pP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1. Contexto y Punto de Partida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Este documento define el plan tecnico real de desarrollo del MVP de KAIRI-SIO. No es un checklist de intenciones: es una guia de ingenieria basada en lo que sabemos del estado actual del proyecto, los datos disponibles y las decisiones tecnicas ya tomadas.</w:t>
      </w:r>
    </w:p>
    <w:p>
      <w:pPr>
        <w:spacing w:before="120" w:after="0"/>
      </w:pP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1.1 Lo que Reymar ha aportado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El valor real de Reymar al proyecto es doble y debe reconocerse: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Especificacion matematica funcional: el archivo TEC_Formulas_Sc_Veto_v1.0.txt define con precision el modelo de scoring S_c, los cuatro sub-scores, el motor de veto y el registro forense. Es una especificacion implementable directamente.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Datos reales descargados: 18 archivos xlsx del SAIH Guadalquivir cubriendo tres embalses (E32 VADOMOJON, E33 SRRA BOYERA, E37 BEMBEZAR), tres variables (Nivel, Precipitacion, Aportacion) y el periodo 2015-2024 en resolucion horaria.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Marco documental: Data Contract v1.1, arquitectura de tres zonas (Landing, Curated, Analytic), protocolo forense y definicion de los niveles de decision.</w:t>
      </w:r>
    </w:p>
    <w:p>
      <w:pPr>
        <w:spacing w:before="120" w:after="0"/>
      </w:pP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1.2 Lo que falta y es trabajo de ingenieria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 fecha de inicio (marzo 2026) no existe ninguna linea de codigo Python propia del proyecto. Todo el desarrollo tecnico queda por hacer: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Inspeccion real del formato interno de los xlsx del SAIH (pueden ser HTML encapsulado)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Pipeline de ingestion y normalizacion al Data Contract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Implementacion de los cuatro sub-scores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Motor de veto y registro forense JSONL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Visualizacion del resultado para validacion y presentacion</w:t>
      </w:r>
    </w:p>
    <w:p>
      <w:pPr>
        <w:spacing w:before="120" w:after="0"/>
      </w:pP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1.3 Objetivo del MVP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Demostrar que KAIRI-SIO puede ingerir datos hidrológicos reales, calcular el score de coherencia S_c de forma determinista y auditable, y generar un registro forense reproducible. El entregable es un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grafico funcional de S_c dinamico sobre serie temporal real</w:t>
      </w:r>
      <w:r>
        <w:rPr>
          <w:rFonts w:ascii="Arial" w:cs="Arial" w:eastAsia="Arial" w:hAnsi="Arial"/>
          <w:sz w:val="22"/>
          <w:szCs w:val="22"/>
        </w:rPr>
        <w:t xml:space="preserve"> de al menos un embalse, con su JSONL forense correspondiente.</w:t>
      </w:r>
    </w:p>
    <w:p>
      <w:pPr>
        <w:pBdr>
          <w:bottom w:val="single" w:color="CCCCCC" w:sz="4" w:space="1"/>
        </w:pBdr>
        <w:spacing w:before="160" w:after="160"/>
      </w:pP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2. Principios de Desarrollo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Todo el codigo de KAIRI-SIO se escribe bajo estos principios. No son aspiracionales: son restricciones de diseno.</w:t>
      </w:r>
    </w:p>
    <w:p>
      <w:pPr>
        <w:spacing w:before="80" w:after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Principio</w:t>
            </w:r>
          </w:p>
        </w:tc>
        <w:tc>
          <w:tcPr>
            <w:tcW w:type="dxa" w:w="68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Implicacion Tecnica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Determinismo</w:t>
            </w:r>
          </w:p>
        </w:tc>
        <w:tc>
          <w:tcPr>
            <w:tcW w:type="dxa" w:w="68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El mismo input produce siempre el mismo output. Sin aleatoriedad, sin parametros ocultos. Cada calculo es reproducible.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None != 0.0</w:t>
            </w:r>
          </w:p>
        </w:tc>
        <w:tc>
          <w:tcPr>
            <w:tcW w:type="dxa" w:w="68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Un dato faltante es None. Nunca se imputa como cero. El pipeline falla explicitamente si encuentra ambiguedad.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Inmutabilidad raw</w:t>
            </w:r>
          </w:p>
        </w:tc>
        <w:tc>
          <w:tcPr>
            <w:tcW w:type="dxa" w:w="68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Los archivos en data/raw/ nunca se modifican. Todo procesamiento genera archivos nuevos en curated/ o analytic/.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Auditabilidad</w:t>
            </w:r>
          </w:p>
        </w:tc>
        <w:tc>
          <w:tcPr>
            <w:tcW w:type="dxa" w:w="68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Cada decision del motor de veto lleva UUID, hash de datos, version del modelo y hash del codigo (git commit).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Fail-fast</w:t>
            </w:r>
          </w:p>
        </w:tc>
        <w:tc>
          <w:tcPr>
            <w:tcW w:type="dxa" w:w="68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Si faltan columnas criticas o los datos no pasan el Data Contract, el pipeline lanza error explicito y loguea la causa. No continua silenciosamente.</w:t>
            </w:r>
          </w:p>
        </w:tc>
      </w:tr>
    </w:tbl>
    <w:p>
      <w:pPr>
        <w:pBdr>
          <w:bottom w:val="single" w:color="CCCCCC" w:sz="4" w:space="1"/>
        </w:pBdr>
        <w:spacing w:before="160" w:after="160"/>
      </w:pP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3. Estructura del Proyecto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La estructura C:\KAIRI-SIO\ ya esta creada y organizada. Esta es la logica de cada zona:</w:t>
      </w:r>
    </w:p>
    <w:p>
      <w:pPr>
        <w:spacing w:before="80" w:after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400"/>
        <w:gridCol w:w="3826"/>
      </w:tblGrid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Directorio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Zona</w:t>
            </w:r>
          </w:p>
        </w:tc>
        <w:tc>
          <w:tcPr>
            <w:tcW w:type="dxa" w:w="38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Descripcion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data/raw/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LANDING_ZONE</w:t>
            </w:r>
          </w:p>
        </w:tc>
        <w:tc>
          <w:tcPr>
            <w:tcW w:type="dxa" w:w="38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Datos originales. Inmutables. Nunca se tocan.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data/curated/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CURATED_ZONE</w:t>
            </w:r>
          </w:p>
        </w:tc>
        <w:tc>
          <w:tcPr>
            <w:tcW w:type="dxa" w:w="38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Normalizado: timestamps ISO8601, tipos correctos, None != 0.0.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data/analytic/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ANALYTIC_ZONE</w:t>
            </w:r>
          </w:p>
        </w:tc>
        <w:tc>
          <w:tcPr>
            <w:tcW w:type="dxa" w:w="38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 S_c, sub-scores, flags de veto y hashes forenses.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src/ingestion/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Codigo</w:t>
            </w:r>
          </w:p>
        </w:tc>
        <w:tc>
          <w:tcPr>
            <w:tcW w:type="dxa" w:w="38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Lectura robusta de xlsx SAIH, normalizacion al Data Contract.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src/scoring/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Codigo</w:t>
            </w:r>
          </w:p>
        </w:tc>
        <w:tc>
          <w:tcPr>
            <w:tcW w:type="dxa" w:w="38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Implementacion de S_f, S_t, S_l, S_h y S_c.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src/veto/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Codigo</w:t>
            </w:r>
          </w:p>
        </w:tc>
        <w:tc>
          <w:tcPr>
            <w:tcW w:type="dxa" w:w="38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Motor de decision: CERTIFICADA / DEGRADADA / VETADA.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src/forensics/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Codigo</w:t>
            </w:r>
          </w:p>
        </w:tc>
        <w:tc>
          <w:tcPr>
            <w:tcW w:type="dxa" w:w="38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Generacion de registros JSONL append-only con UUID y hashes.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src/config/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Configuracion</w:t>
            </w:r>
          </w:p>
        </w:tc>
        <w:tc>
          <w:tcPr>
            <w:tcW w:type="dxa" w:w="38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Umbrales, pesos, metadatos de sensores. API keys en .env.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output/scores/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Salidas</w:t>
            </w:r>
          </w:p>
        </w:tc>
        <w:tc>
          <w:tcPr>
            <w:tcW w:type="dxa" w:w="38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CSV/Parquet con scoring por sensor y timestamp.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output/forensics/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Salidas</w:t>
            </w:r>
          </w:p>
        </w:tc>
        <w:tc>
          <w:tcPr>
            <w:tcW w:type="dxa" w:w="38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JSONL forense. Append-only. Nunca se sobreescribe.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notebooks/mvp_demo/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Demo</w:t>
            </w:r>
          </w:p>
        </w:tc>
        <w:tc>
          <w:tcPr>
            <w:tcW w:type="dxa" w:w="38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Jupyter con visualizacion de S_c dinamico sobre serie real.</w:t>
            </w:r>
          </w:p>
        </w:tc>
      </w:tr>
    </w:tbl>
    <w:p>
      <w:pPr>
        <w:pBdr>
          <w:bottom w:val="single" w:color="CCCCCC" w:sz="4" w:space="1"/>
        </w:pBdr>
        <w:spacing w:before="160" w:after="160"/>
      </w:pP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4. El Modelo de Scoring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El modelo esta completamente especificado en TEC_Formulas_Sc_Veto_v1.0.txt. Aqui se resume para referencia rapida.</w:t>
      </w:r>
    </w:p>
    <w:p>
      <w:pPr>
        <w:spacing w:before="80" w:after="0"/>
      </w:pP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4.1 Formula Global</w:t>
      </w:r>
    </w:p>
    <w:p>
      <w:pPr>
        <w:shd w:fill="D6E4F0" w:val="clear"/>
        <w:spacing w:before="120" w:after="120"/>
        <w:jc w:val="center"/>
      </w:pPr>
      <w:r>
        <w:rPr>
          <w:rFonts w:ascii="Courier New" w:cs="Courier New" w:eastAsia="Courier New" w:hAnsi="Courier New"/>
          <w:b/>
          <w:bCs/>
          <w:color w:val="1F4E79"/>
          <w:sz w:val="24"/>
          <w:szCs w:val="24"/>
        </w:rPr>
        <w:t xml:space="preserve">S_c = clamp01( 0.40 * S_f  +  0.30 * S_l  +  0.20 * S_t  +  0.10 * S_h )</w:t>
      </w:r>
    </w:p>
    <w:p>
      <w:pPr>
        <w:spacing w:before="80" w:after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200"/>
        <w:gridCol w:w="1400"/>
        <w:gridCol w:w="4526"/>
      </w:tblGrid>
      <w:t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Score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Nombre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Peso</w:t>
            </w:r>
          </w:p>
        </w:tc>
        <w:tc>
          <w:tcPr>
            <w:tcW w:type="dxa" w:w="45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Que mide</w:t>
            </w:r>
          </w:p>
        </w:tc>
      </w:tr>
      <w:t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S_f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Integridad Fisica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0.40</w:t>
            </w:r>
          </w:p>
        </w:tc>
        <w:tc>
          <w:tcPr>
            <w:tcW w:type="dxa" w:w="45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Rangos fisicos, no-negatividad, saturacion de escala, None.</w:t>
            </w:r>
          </w:p>
        </w:tc>
      </w:tr>
      <w:t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S_l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Coherencia Logica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0.30</w:t>
            </w:r>
          </w:p>
        </w:tc>
        <w:tc>
          <w:tcPr>
            <w:tcW w:type="dxa" w:w="45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Relacion P vs dH, Q vs dH, z-score robusto (median + MAD).</w:t>
            </w:r>
          </w:p>
        </w:tc>
      </w:tr>
      <w:t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S_t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Integridad Temporal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0.20</w:t>
            </w:r>
          </w:p>
        </w:tc>
        <w:tc>
          <w:tcPr>
            <w:tcW w:type="dxa" w:w="45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Latencia de transmision y gaps en ventana de 1 hora.</w:t>
            </w:r>
          </w:p>
        </w:tc>
      </w:tr>
      <w:t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S_h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Salud Historica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0.10</w:t>
            </w:r>
          </w:p>
        </w:tc>
        <w:tc>
          <w:tcPr>
            <w:tcW w:type="dxa" w:w="45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Flatline, drift (EMA), tasa de gaps en ventana de 24 horas.</w:t>
            </w:r>
          </w:p>
        </w:tc>
      </w:tr>
    </w:tbl>
    <w:p>
      <w:pPr>
        <w:spacing w:before="120" w:after="0"/>
      </w:pP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4.2 Motor de Veto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200"/>
        <w:gridCol w:w="4026"/>
      </w:tblGrid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Nivel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Condicion</w:t>
            </w:r>
          </w:p>
        </w:tc>
        <w:tc>
          <w:tcPr>
            <w:tcW w:type="dxa" w:w="40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Accion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7A1A"/>
                <w:sz w:val="20"/>
                <w:szCs w:val="20"/>
              </w:rPr>
              <w:t xml:space="preserve">0 — CERTIFICADA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S_c &gt;= 0.85</w:t>
            </w:r>
          </w:p>
        </w:tc>
        <w:tc>
          <w:tcPr>
            <w:tcW w:type="dxa" w:w="40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Senal valida. Puede propagarse internamente.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B8860B"/>
                <w:sz w:val="20"/>
                <w:szCs w:val="20"/>
              </w:rPr>
              <w:t xml:space="preserve">1 — DEGRADADA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0.50 &lt;= S_c &lt; 0.85</w:t>
            </w:r>
          </w:p>
        </w:tc>
        <w:tc>
          <w:tcPr>
            <w:tcW w:type="dxa" w:w="40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Aviso tecnico. No genera alerta externa. Ticket de revision.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AA0000"/>
                <w:sz w:val="20"/>
                <w:szCs w:val="20"/>
              </w:rPr>
              <w:t xml:space="preserve">2 — VETADA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S_c &lt; 0.50 o CRITICAL_FLAG</w:t>
            </w:r>
          </w:p>
        </w:tc>
        <w:tc>
          <w:tcPr>
            <w:tcW w:type="dxa" w:w="40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Bloqueo de alertas externas. Registro forense reforzado.</w:t>
            </w:r>
          </w:p>
        </w:tc>
      </w:tr>
    </w:tbl>
    <w:p>
      <w:pPr>
        <w:pBdr>
          <w:bottom w:val="single" w:color="CCCCCC" w:sz="4" w:space="1"/>
        </w:pBdr>
        <w:spacing w:before="160" w:after="160"/>
      </w:pP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5. Plan de Trabajo — Sprints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El plan se organiza en sprints cortos con entregables concretos y verificables. Cada sprint arranca con inspeccion real del dato o del codigo anterior, no con supuestos.</w:t>
      </w:r>
    </w:p>
    <w:p>
      <w:pPr>
        <w:spacing w:before="80" w:after="0"/>
      </w:pPr>
    </w:p>
    <w:p>
      <w:pPr>
        <w:shd w:fill="1F4E79" w:val="clear"/>
        <w:spacing w:before="200" w:after="60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  SPRINT 0 — Inspeccion del Dato Real  (Dia 1)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Objetivo: </w:t>
      </w:r>
      <w:r>
        <w:rPr>
          <w:rFonts w:ascii="Arial" w:cs="Arial" w:eastAsia="Arial" w:hAnsi="Arial"/>
          <w:sz w:val="22"/>
          <w:szCs w:val="22"/>
        </w:rPr>
        <w:t xml:space="preserve">Entender exactamente que hay dentro de los xlsx del SAIH antes de escribir una sola linea de pipeline.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Por que es el primer paso: los archivos SAIH suelen ser HTML encapsulado en formato Excel. Si escribimos el parser sin inspeccionarlos primero, lo escribimos mal.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Abrir manualmente un xlsx de cada variable (Nivel, Precipitacion, Aportacion)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Documentar: numero de columnas, nombres reales, formato de fecha, encoding, filas de cabecera, valores nulos representados como...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Identificar si son HTML encapsulado o xlsx nativo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Registrar rangos reales de valores para calibrar S_f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Entregable: </w:t>
      </w:r>
      <w:r>
        <w:rPr>
          <w:rFonts w:ascii="Arial" w:cs="Arial" w:eastAsia="Arial" w:hAnsi="Arial"/>
          <w:sz w:val="22"/>
          <w:szCs w:val="22"/>
        </w:rPr>
        <w:t xml:space="preserve">Documento de inspeccion data_inspection_report.md en docs/arquitectura/</w:t>
      </w:r>
    </w:p>
    <w:p>
      <w:pPr>
        <w:spacing w:before="120" w:after="0"/>
      </w:pPr>
    </w:p>
    <w:p>
      <w:pPr>
        <w:shd w:fill="2E75B6" w:val="clear"/>
        <w:spacing w:before="200" w:after="60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  SPRINT 1 — Pipeline de Ingestion  (Dias 2-3)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Objetivo: </w:t>
      </w:r>
      <w:r>
        <w:rPr>
          <w:rFonts w:ascii="Arial" w:cs="Arial" w:eastAsia="Arial" w:hAnsi="Arial"/>
          <w:sz w:val="22"/>
          <w:szCs w:val="22"/>
        </w:rPr>
        <w:t xml:space="preserve">Leer los 18 xlsx, normalizar al Data Contract v1.1 y guardar en data/curated/ como Parquet.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src/ingestion/saih_reader.py: lectura robusta con deteccion de formato (HTML vs xlsx nativo)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src/ingestion/normalizer.py: conversion al Data Contract, timestamps ISO8601, None != 0.0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src/ingestion/validator.py: validacion contra Data Contract, fail-fast con log de errores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Unir los dos periodos (2015-2020 y 2020-2024) por embalse y variable en un unico DataFrame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Generar data/curated/E32_VADOMOJON.parquet, E33_SRRA_BOYERA.parquet, E37_BEMBEZAR.parquet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Entregable: </w:t>
      </w:r>
      <w:r>
        <w:rPr>
          <w:rFonts w:ascii="Arial" w:cs="Arial" w:eastAsia="Arial" w:hAnsi="Arial"/>
          <w:sz w:val="22"/>
          <w:szCs w:val="22"/>
        </w:rPr>
        <w:t xml:space="preserve">3 archivos Parquet en data/curated/ con datos limpios y un test de validacion en tests/unit/</w:t>
      </w:r>
    </w:p>
    <w:p>
      <w:pPr>
        <w:spacing w:before="120" w:after="0"/>
      </w:pPr>
    </w:p>
    <w:p>
      <w:pPr>
        <w:shd w:fill="2E75B6" w:val="clear"/>
        <w:spacing w:before="200" w:after="60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  SPRINT 2 — Scoring Determinista  (Dias 4-6)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Objetivo: </w:t>
      </w:r>
      <w:r>
        <w:rPr>
          <w:rFonts w:ascii="Arial" w:cs="Arial" w:eastAsia="Arial" w:hAnsi="Arial"/>
          <w:sz w:val="22"/>
          <w:szCs w:val="22"/>
        </w:rPr>
        <w:t xml:space="preserve">Implementar los cuatro sub-scores y el S_c global sobre datos reales de E33 Sierra Boyera.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src/scoring/s_f.py: integridad fisica (rangos, None, no-negatividad)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src/scoring/s_t.py: integridad temporal (latencia piecewise, gap_rate W1)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src/scoring/s_l.py: coherencia logica (C_PH, C_QH, z-score robusto MAD)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src/scoring/s_h.py: salud historica (flatline K=8, drift EMA, gap_rate W24)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src/scoring/scorer.py: combinacion lineal ponderada, clamp01, resultado final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Guardar output en data/analytic/E33_scored.parquet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Entregable: </w:t>
      </w:r>
      <w:r>
        <w:rPr>
          <w:rFonts w:ascii="Arial" w:cs="Arial" w:eastAsia="Arial" w:hAnsi="Arial"/>
          <w:sz w:val="22"/>
          <w:szCs w:val="22"/>
        </w:rPr>
        <w:t xml:space="preserve">S_c calculado sobre serie completa 2015-2024 de E33. Tests unitarios por sub-score.</w:t>
      </w:r>
    </w:p>
    <w:p>
      <w:pPr>
        <w:spacing w:before="120" w:after="0"/>
      </w:pPr>
    </w:p>
    <w:p>
      <w:pPr>
        <w:shd w:fill="2E75B6" w:val="clear"/>
        <w:spacing w:before="200" w:after="60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  SPRINT 3 — Motor de Veto y Forense  (Dia 7)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Objetivo: </w:t>
      </w:r>
      <w:r>
        <w:rPr>
          <w:rFonts w:ascii="Arial" w:cs="Arial" w:eastAsia="Arial" w:hAnsi="Arial"/>
          <w:sz w:val="22"/>
          <w:szCs w:val="22"/>
        </w:rPr>
        <w:t xml:space="preserve">Implementar el motor de decision y el registro forense JSONL auditable.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src/veto/decision_engine.py: CRITICAL_FLAG, niveles 0/1/2, razonamiento humano legible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src/forensics/forensic_logger.py: JSONL append-only, UUID v4, SHA-256 de ventana de datos, hash de codigo git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Generar output/forensics/kairi_forensics_E33.jsonl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Generar output/scores/kairi_scores_E33.csv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Entregable: </w:t>
      </w:r>
      <w:r>
        <w:rPr>
          <w:rFonts w:ascii="Arial" w:cs="Arial" w:eastAsia="Arial" w:hAnsi="Arial"/>
          <w:sz w:val="22"/>
          <w:szCs w:val="22"/>
        </w:rPr>
        <w:t xml:space="preserve">Sistema auditable completo. Cada decision tiene UUID, hashes y motivo legible.</w:t>
      </w:r>
    </w:p>
    <w:p>
      <w:pPr>
        <w:spacing w:before="120" w:after="0"/>
      </w:pPr>
    </w:p>
    <w:p>
      <w:pPr>
        <w:shd w:fill="1A7A1A" w:val="clear"/>
        <w:spacing w:before="200" w:after="60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  SPRINT 4 — Demo Visual y Validacion  (Dias 8-10)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Objetivo: </w:t>
      </w:r>
      <w:r>
        <w:rPr>
          <w:rFonts w:ascii="Arial" w:cs="Arial" w:eastAsia="Arial" w:hAnsi="Arial"/>
          <w:sz w:val="22"/>
          <w:szCs w:val="22"/>
        </w:rPr>
        <w:t xml:space="preserve">Producir el grafico de demo del MVP y validar los tres embalses.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notebooks/mvp_demo/kairi_sio_demo.ipynb: visualizacion de S_c dinamico superpuesto con serie temporal real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Grafico de linea temporal con zonas coloreadas por nivel (CERTIFICADA / DEGRADADA / VETADA)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Extender scoring a E32 y E37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Analisis comparativo de los tres embalses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Identificar episodios anomalos reales en el periodo 2015-2024 (incluido DANA si hay datos)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Entregable: </w:t>
      </w:r>
      <w:r>
        <w:rPr>
          <w:rFonts w:ascii="Arial" w:cs="Arial" w:eastAsia="Arial" w:hAnsi="Arial"/>
          <w:sz w:val="22"/>
          <w:szCs w:val="22"/>
        </w:rPr>
        <w:t xml:space="preserve">Notebook ejecutable con graficos listos para presentacion institucional.</w:t>
      </w:r>
    </w:p>
    <w:p>
      <w:pPr>
        <w:pBdr>
          <w:bottom w:val="single" w:color="CCCCCC" w:sz="4" w:space="1"/>
        </w:pBdr>
        <w:spacing w:before="160" w:after="160"/>
      </w:pP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6. Division de Roles</w:t>
      </w:r>
    </w:p>
    <w:p>
      <w:pPr>
        <w:spacing w:before="80" w:after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413"/>
        <w:gridCol w:w="3413"/>
      </w:tblGrid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Area</w:t>
            </w:r>
          </w:p>
        </w:tc>
        <w:tc>
          <w:tcPr>
            <w:tcW w:type="dxa" w:w="341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Reymar</w:t>
            </w:r>
          </w:p>
        </w:tc>
        <w:tc>
          <w:tcPr>
            <w:tcW w:type="dxa" w:w="341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Kent (Ken)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Especificacion</w:t>
            </w:r>
          </w:p>
        </w:tc>
        <w:tc>
          <w:tcPr>
            <w:tcW w:type="dxa" w:w="341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Definicion de requisitos, modelo matematico, Data Contract, documentacion institucional.</w:t>
            </w:r>
          </w:p>
        </w:tc>
        <w:tc>
          <w:tcPr>
            <w:tcW w:type="dxa" w:w="341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Revision tecnica de la especificacion antes de implementar.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Ingenieria</w:t>
            </w:r>
          </w:p>
        </w:tc>
        <w:tc>
          <w:tcPr>
            <w:tcW w:type="dxa" w:w="341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—</w:t>
            </w:r>
          </w:p>
        </w:tc>
        <w:tc>
          <w:tcPr>
            <w:tcW w:type="dxa" w:w="341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Todo el codigo Python: ingestion, scoring, veto, forensics, tests, notebooks.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Datos</w:t>
            </w:r>
          </w:p>
        </w:tc>
        <w:tc>
          <w:tcPr>
            <w:tcW w:type="dxa" w:w="341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Descarga y organizacion de fuentes oficiales (SAIH, SNCZI, MDT, AEMET).</w:t>
            </w:r>
          </w:p>
        </w:tc>
        <w:tc>
          <w:tcPr>
            <w:tcW w:type="dxa" w:w="341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Inspeccion del formato real e implementacion del parser.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Estrategia</w:t>
            </w:r>
          </w:p>
        </w:tc>
        <w:tc>
          <w:tcPr>
            <w:tcW w:type="dxa" w:w="341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Ventanas normativas, contacto institucional, presentacion ante CHJ/RESPE.</w:t>
            </w:r>
          </w:p>
        </w:tc>
        <w:tc>
          <w:tcPr>
            <w:tcW w:type="dxa" w:w="341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Entregable tecnico que respalde la propuesta.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Validacion</w:t>
            </w:r>
          </w:p>
        </w:tc>
        <w:tc>
          <w:tcPr>
            <w:tcW w:type="dxa" w:w="341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Revision del resultado final desde perspectiva de negocio.</w:t>
            </w:r>
          </w:p>
        </w:tc>
        <w:tc>
          <w:tcPr>
            <w:tcW w:type="dxa" w:w="341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Validacion tecnica: tests, reproducibilidad, coherencia del scoring.</w:t>
            </w:r>
          </w:p>
        </w:tc>
      </w:tr>
    </w:tbl>
    <w:p>
      <w:pPr>
        <w:pBdr>
          <w:bottom w:val="single" w:color="CCCCCC" w:sz="4" w:space="1"/>
        </w:pBdr>
        <w:spacing w:before="160" w:after="160"/>
      </w:pP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7. Criterios de Exito del MVP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El MVP esta completado cuando se cumplen todos estos criterios sin excepcion:</w:t>
      </w:r>
    </w:p>
    <w:p>
      <w:pPr>
        <w:spacing w:before="80" w:after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5626"/>
        <w:gridCol w:w="3000"/>
      </w:tblGrid>
      <w:tr>
        <w:tc>
          <w:tcPr>
            <w:tcW w:type="dxa" w:w="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56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Criterio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Como se verifica</w:t>
            </w:r>
          </w:p>
        </w:tc>
      </w:tr>
      <w:tr>
        <w:tc>
          <w:tcPr>
            <w:tcW w:type="dxa" w:w="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1</w:t>
            </w:r>
          </w:p>
        </w:tc>
        <w:tc>
          <w:tcPr>
            <w:tcW w:type="dxa" w:w="56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Pipeline lee los 18 xlsx sin errores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pytest tests/unit/ pasa al 100%</w:t>
            </w:r>
          </w:p>
        </w:tc>
      </w:tr>
      <w:tr>
        <w:tc>
          <w:tcPr>
            <w:tcW w:type="dxa" w:w="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2</w:t>
            </w:r>
          </w:p>
        </w:tc>
        <w:tc>
          <w:tcPr>
            <w:tcW w:type="dxa" w:w="56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Data Contract v1.1 respetado en curated/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validator.py no lanza errores en ninguno de los 3 embalses</w:t>
            </w:r>
          </w:p>
        </w:tc>
      </w:tr>
      <w:tr>
        <w:tc>
          <w:tcPr>
            <w:tcW w:type="dxa" w:w="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3</w:t>
            </w:r>
          </w:p>
        </w:tc>
        <w:tc>
          <w:tcPr>
            <w:tcW w:type="dxa" w:w="56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S_c calculado sobre 9 anos de datos de E33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output/scores/kairi_scores_E33.csv existe y tiene &gt;50.000 filas</w:t>
            </w:r>
          </w:p>
        </w:tc>
      </w:tr>
      <w:tr>
        <w:tc>
          <w:tcPr>
            <w:tcW w:type="dxa" w:w="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4</w:t>
            </w:r>
          </w:p>
        </w:tc>
        <w:tc>
          <w:tcPr>
            <w:tcW w:type="dxa" w:w="56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Registro forense JSONL generado y verificable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Cada fila tiene UUID, data_hash y model_version</w:t>
            </w:r>
          </w:p>
        </w:tc>
      </w:tr>
      <w:tr>
        <w:tc>
          <w:tcPr>
            <w:tcW w:type="dxa" w:w="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5</w:t>
            </w:r>
          </w:p>
        </w:tc>
        <w:tc>
          <w:tcPr>
            <w:tcW w:type="dxa" w:w="56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Grafico de demo S_c dinamico reproducible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Notebook ejecuta de inicio a fin sin errores manuales</w:t>
            </w:r>
          </w:p>
        </w:tc>
      </w:tr>
      <w:tr>
        <w:tc>
          <w:tcPr>
            <w:tcW w:type="dxa" w:w="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6</w:t>
            </w:r>
          </w:p>
        </w:tc>
        <w:tc>
          <w:tcPr>
            <w:tcW w:type="dxa" w:w="56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Scoring extendido a E32 y E37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Tres archivos en output/scores/ y tres en output/forensics/</w:t>
            </w:r>
          </w:p>
        </w:tc>
      </w:tr>
    </w:tbl>
    <w:p>
      <w:pPr>
        <w:pBdr>
          <w:bottom w:val="single" w:color="CCCCCC" w:sz="4" w:space="1"/>
        </w:pBdr>
        <w:spacing w:before="160" w:after="160"/>
      </w:pP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8. Evaluacion de Factibilidad para Licitacion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La ventana de la Confederacion Hidrografica del Jucar (CHJ) mencionada en el documento estrategico apunta a abril 2026 con una probabilidad estimada de 45-55%. Esta evaluacion es nuestra:</w:t>
      </w:r>
    </w:p>
    <w:p>
      <w:pPr>
        <w:spacing w:before="80" w:after="0"/>
      </w:pP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Lo que juega a favor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El problema que resuelve KAIRI-SIO es real y documentado: DANA octubre 2024 es el caso de uso mas visible en Espana.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El posicionamiento como capa de certificacion independiente (no sustituto del SAIH) elimina resistencia institucional.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La base regulatoria existe: Real Decreto 264/2021 y NIS2 crean obligacion de diligencia debida en datos criticos.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Los datos de laboratorio son de cuencas reales espanolas, no sinteticos.</w:t>
      </w:r>
    </w:p>
    <w:p>
      <w:pPr>
        <w:spacing w:before="120" w:after="0"/>
      </w:pP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Lo que hay que resolver antes de presentarse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El MVP tiene que existir y funcionar. Una propuesta sin demo ejecutable no es creible ante una administracion hidraulica.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El scoring necesita calibracion con datos reales: los umbrales de S_f (rangos fisicos de los embalses del Guadalquivir) deben venir de los metadatos oficiales, no de valores conservadores genericos.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La solicitud de datos historicos de Forata (Jucar) amparada en Ley 19/2013 es una accion estrategica correcta. Si llega antes de abril, refuerza enormemente la propuesta.</w:t>
      </w:r>
    </w:p>
    <w:p>
      <w:pPr>
        <w:spacing w:before="120" w:after="0"/>
      </w:pPr>
    </w:p>
    <w:p>
      <w:pPr>
        <w:spacing w:before="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Conclusion: </w:t>
      </w:r>
      <w:r>
        <w:rPr>
          <w:rFonts w:ascii="Arial" w:cs="Arial" w:eastAsia="Arial" w:hAnsi="Arial"/>
          <w:sz w:val="22"/>
          <w:szCs w:val="22"/>
        </w:rPr>
        <w:t xml:space="preserve">La factibilidad tecnica es alta si el MVP se completa en los 10 dias previstos. La factibilidad comercial depende de la ventana CHJ y del trabajo de Reymar en el frente institucional. Los dos frentes deben avanzar en paralelo.</w:t>
      </w:r>
    </w:p>
    <w:sectPr>
      <w:footerReference w:type="default" r:id="rId6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1"/>
      </w:pBdr>
      <w:jc w:val="right"/>
    </w:pPr>
    <w:r>
      <w:rPr>
        <w:rFonts w:ascii="Arial" w:cs="Arial" w:eastAsia="Arial" w:hAnsi="Arial"/>
        <w:color w:val="595959"/>
        <w:sz w:val="18"/>
        <w:szCs w:val="18"/>
      </w:rPr>
      <w:t xml:space="preserve">KAIRI-SIO — Plan Tecnico MVP v1.0 — Marzo 2026     Pag. </w:t>
    </w:r>
    <w:r>
      <w:rPr>
        <w:rFonts w:ascii="Arial" w:cs="Arial" w:eastAsia="Arial" w:hAnsi="Arial"/>
        <w:color w:val="595959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-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2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8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oter" Target="footer1.xml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2026-03-09T19:46:03.945Z</dcterms:created>
  <dcterms:modified xsi:type="dcterms:W3CDTF">2026-03-09T19:46:03.946Z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