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56"/>
          <w:szCs w:val="56"/>
        </w:rPr>
        <w:t xml:space="preserve">KAIRI-SIO</w:t>
      </w:r>
    </w:p>
    <w:p>
      <w:pPr>
        <w:spacing w:before="0" w:after="80"/>
        <w:jc w:val="center"/>
      </w:pPr>
      <w:r>
        <w:rPr>
          <w:rFonts w:ascii="Arial" w:cs="Arial" w:eastAsia="Arial" w:hAnsi="Arial"/>
          <w:b/>
          <w:bCs/>
          <w:color w:val="2E75B6"/>
          <w:sz w:val="28"/>
          <w:szCs w:val="28"/>
        </w:rPr>
        <w:t xml:space="preserve">Justificación Formal de Parámetros y Umbrales del Modelo</w:t>
      </w:r>
    </w:p>
    <w:p>
      <w:pPr>
        <w:spacing w:before="0" w:after="60"/>
        <w:jc w:val="center"/>
      </w:pPr>
      <w:r>
        <w:rPr>
          <w:rFonts w:ascii="Arial" w:cs="Arial" w:eastAsia="Arial" w:hAnsi="Arial"/>
          <w:i/>
          <w:iCs/>
          <w:color w:val="595959"/>
          <w:sz w:val="22"/>
          <w:szCs w:val="22"/>
        </w:rPr>
        <w:t xml:space="preserve">Documento técnico de fundamentación — versión para validación institucional</w:t>
      </w:r>
    </w:p>
    <w:p>
      <w:pPr>
        <w:spacing w:before="0" w:after="400"/>
        <w:jc w:val="center"/>
      </w:pPr>
      <w:r>
        <w:rPr>
          <w:rFonts w:ascii="Arial" w:cs="Arial" w:eastAsia="Arial" w:hAnsi="Arial"/>
          <w:color w:val="595959"/>
          <w:sz w:val="20"/>
          <w:szCs w:val="20"/>
        </w:rPr>
        <w:t xml:space="preserve">Reymar (especificación matemática)  ·  Kent (implementación)  ·  12 de marzo de 2026</w:t>
      </w:r>
    </w:p>
    <w:p>
      <w:pPr>
        <w:pBdr>
          <w:bottom w:val="single" w:color="1F4E79" w:sz="4" w:space="1"/>
        </w:pBdr>
        <w:spacing w:before="180" w:after="180"/>
      </w:pPr>
    </w:p>
    <w:p>
      <w:pPr>
        <w:spacing w:before="0" w:after="200"/>
      </w:pPr>
    </w:p>
    <w:p>
      <w:pPr>
        <w:pStyle w:val="Heading1"/>
        <w:spacing w:before="360" w:after="180"/>
      </w:pPr>
      <w:r>
        <w:rPr>
          <w:rFonts w:ascii="Arial" w:cs="Arial" w:eastAsia="Arial" w:hAnsi="Arial"/>
          <w:b/>
          <w:bCs/>
          <w:color w:val="1F4E79"/>
          <w:sz w:val="30"/>
          <w:szCs w:val="30"/>
        </w:rPr>
        <w:t xml:space="preserve">Propósito del documento</w:t>
      </w:r>
    </w:p>
    <w:p>
      <w:pPr>
        <w:spacing w:before="80" w:after="100"/>
        <w:jc w:val="left"/>
      </w:pPr>
      <w:r>
        <w:rPr>
          <w:rFonts w:ascii="Arial" w:cs="Arial" w:eastAsia="Arial" w:hAnsi="Arial"/>
          <w:b w:val="false"/>
          <w:bCs w:val="false"/>
          <w:i w:val="false"/>
          <w:iCs w:val="false"/>
          <w:color w:val="000000"/>
          <w:sz w:val="22"/>
          <w:szCs w:val="22"/>
        </w:rPr>
        <w:t xml:space="preserve">Este documento establece la justificación técnica y científica de cada parámetro y umbral del sistema KAIRI-SIO. El objetivo es que ninguna decisión de diseño quede sin respaldo verificable: cada valor debe derivarse de física, de estadística formal, de normativa vigente, o de criterio de experto explícitamente documentado y razonado.</w:t>
      </w:r>
    </w:p>
    <w:p>
      <w:pPr>
        <w:spacing w:before="0" w:after="80"/>
      </w:pPr>
    </w:p>
    <w:p>
      <w:pPr>
        <w:spacing w:before="80" w:after="100"/>
        <w:jc w:val="left"/>
      </w:pPr>
      <w:r>
        <w:rPr>
          <w:rFonts w:ascii="Arial" w:cs="Arial" w:eastAsia="Arial" w:hAnsi="Arial"/>
          <w:b w:val="false"/>
          <w:bCs w:val="false"/>
          <w:i w:val="false"/>
          <w:iCs w:val="false"/>
          <w:color w:val="000000"/>
          <w:sz w:val="22"/>
          <w:szCs w:val="22"/>
        </w:rPr>
        <w:t xml:space="preserve">El documento está organizado en secciones independientes por parámetro. Cada sección incluye el valor actual, la justificación formal adoptada, la referencia bibliográfica o normativa, y el estado de validación.</w:t>
      </w:r>
    </w:p>
    <w:p>
      <w:pPr>
        <w:spacing w:before="0" w:after="200"/>
      </w:pPr>
    </w:p>
    <w:p>
      <w:pPr>
        <w:pStyle w:val="Heading1"/>
        <w:spacing w:before="360" w:after="180"/>
      </w:pPr>
      <w:r>
        <w:rPr>
          <w:rFonts w:ascii="Arial" w:cs="Arial" w:eastAsia="Arial" w:hAnsi="Arial"/>
          <w:b/>
          <w:bCs/>
          <w:color w:val="1F4E79"/>
          <w:sz w:val="30"/>
          <w:szCs w:val="30"/>
        </w:rPr>
        <w:t xml:space="preserve">1.  Pesos del modelo compuesto S_c</w:t>
      </w:r>
    </w:p>
    <w:p>
      <w:pPr>
        <w:pBdr>
          <w:bottom w:val="single" w:color="2E75B6" w:sz="4" w:space="1"/>
        </w:pBdr>
        <w:spacing w:before="180" w:after="180"/>
      </w:pP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Parámetro</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Valor</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Archivo</w:t>
            </w:r>
          </w:p>
        </w:tc>
        <w:tc>
          <w:tcPr>
            <w:tcW w:type="dxa" w:w="24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Estado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W_F / W_L / W_T / W_H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0.40 / 0.30 / 0.20 / 0.10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000000"/>
                <w:sz w:val="20"/>
                <w:szCs w:val="20"/>
              </w:rPr>
              <w:t xml:space="preserve">scorer.py</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75B6"/>
                <w:sz w:val="20"/>
                <w:szCs w:val="20"/>
              </w:rPr>
              <w:t xml:space="preserve">CRITERIO DE EXPERTO DOCUMENTADO</w:t>
            </w:r>
          </w:p>
        </w:tc>
      </w:tr>
    </w:tbl>
    <w:p>
      <w:pPr>
        <w:spacing w:before="0" w:after="160"/>
      </w:pPr>
    </w:p>
    <w:p>
      <w:pPr>
        <w:pStyle w:val="Heading2"/>
        <w:spacing w:before="280" w:after="120"/>
      </w:pPr>
      <w:r>
        <w:rPr>
          <w:rFonts w:ascii="Arial" w:cs="Arial" w:eastAsia="Arial" w:hAnsi="Arial"/>
          <w:b/>
          <w:bCs/>
          <w:color w:val="2E75B6"/>
          <w:sz w:val="24"/>
          <w:szCs w:val="24"/>
        </w:rPr>
        <w:t xml:space="preserve">1.1  Jerarquía de integridad hidráulica</w:t>
      </w:r>
    </w:p>
    <w:p>
      <w:pPr>
        <w:spacing w:before="80" w:after="100"/>
        <w:jc w:val="left"/>
      </w:pPr>
      <w:r>
        <w:rPr>
          <w:rFonts w:ascii="Arial" w:cs="Arial" w:eastAsia="Arial" w:hAnsi="Arial"/>
          <w:b w:val="false"/>
          <w:bCs w:val="false"/>
          <w:i w:val="false"/>
          <w:iCs w:val="false"/>
          <w:color w:val="000000"/>
          <w:sz w:val="22"/>
          <w:szCs w:val="22"/>
        </w:rPr>
        <w:t xml:space="preserve">Los pesos se establecen mediante criterio de experto documentado, siguiendo una jerarquía de integridad hidráulica del sistema de medición. Esta jerarquía refleja el principio fundamental de la validación metrológica de sensores: las restricciones físicas tienen prioridad sobre las métricas estadísticas derivadas.</w:t>
      </w:r>
    </w:p>
    <w:p>
      <w:pPr>
        <w:spacing w:before="0" w:after="80"/>
      </w:pPr>
    </w:p>
    <w:p>
      <w:pPr>
        <w:spacing w:before="80" w:after="100"/>
        <w:jc w:val="left"/>
      </w:pPr>
      <w:r>
        <w:rPr>
          <w:rFonts w:ascii="Arial" w:cs="Arial" w:eastAsia="Arial" w:hAnsi="Arial"/>
          <w:b w:val="false"/>
          <w:bCs w:val="false"/>
          <w:i w:val="false"/>
          <w:iCs w:val="false"/>
          <w:color w:val="000000"/>
          <w:sz w:val="22"/>
          <w:szCs w:val="22"/>
        </w:rPr>
        <w:t xml:space="preserve">La asignación de pesos sigue la siguiente lógica:</w:t>
      </w:r>
    </w:p>
    <w:p>
      <w:pPr>
        <w:spacing w:before="0" w:after="60"/>
      </w:pPr>
    </w:p>
    <w:p>
      <w:pPr>
        <w:pStyle w:val="ListParagraph"/>
        <w:numPr>
          <w:ilvl w:val="0"/>
          <w:numId w:val="2"/>
        </w:numPr>
        <w:spacing w:before="60" w:after="60"/>
      </w:pPr>
      <w:r>
        <w:rPr>
          <w:rFonts w:ascii="Arial" w:cs="Arial" w:eastAsia="Arial" w:hAnsi="Arial"/>
          <w:b w:val="false"/>
          <w:bCs w:val="false"/>
          <w:color w:val="000000"/>
          <w:sz w:val="22"/>
          <w:szCs w:val="22"/>
        </w:rPr>
        <w:t xml:space="default"/>
      </w:r>
    </w:p>
    <w:p>
      <w:pPr>
        <w:pStyle w:val="ListParagraph"/>
        <w:numPr>
          <w:ilvl w:val="0"/>
          <w:numId w:val="2"/>
        </w:numPr>
        <w:spacing w:before="60" w:after="60"/>
      </w:pPr>
      <w:r>
        <w:rPr>
          <w:rFonts w:ascii="Arial" w:cs="Arial" w:eastAsia="Arial" w:hAnsi="Arial"/>
          <w:b w:val="false"/>
          <w:bCs w:val="false"/>
          <w:color w:val="000000"/>
          <w:sz w:val="22"/>
          <w:szCs w:val="22"/>
        </w:rPr>
        <w:t xml:space="default"/>
      </w:r>
    </w:p>
    <w:p>
      <w:pPr>
        <w:pStyle w:val="ListParagraph"/>
        <w:numPr>
          <w:ilvl w:val="0"/>
          <w:numId w:val="2"/>
        </w:numPr>
        <w:spacing w:before="60" w:after="60"/>
      </w:pPr>
      <w:r>
        <w:rPr>
          <w:rFonts w:ascii="Arial" w:cs="Arial" w:eastAsia="Arial" w:hAnsi="Arial"/>
          <w:b w:val="false"/>
          <w:bCs w:val="false"/>
          <w:color w:val="000000"/>
          <w:sz w:val="22"/>
          <w:szCs w:val="22"/>
        </w:rPr>
        <w:t xml:space="default"/>
      </w:r>
    </w:p>
    <w:p>
      <w:pPr>
        <w:pStyle w:val="ListParagraph"/>
        <w:numPr>
          <w:ilvl w:val="0"/>
          <w:numId w:val="2"/>
        </w:numPr>
        <w:spacing w:before="60" w:after="60"/>
      </w:pPr>
      <w:r>
        <w:rPr>
          <w:rFonts w:ascii="Arial" w:cs="Arial" w:eastAsia="Arial" w:hAnsi="Arial"/>
          <w:b w:val="false"/>
          <w:bCs w:val="false"/>
          <w:color w:val="000000"/>
          <w:sz w:val="22"/>
          <w:szCs w:val="22"/>
        </w:rPr>
        <w:t xml:space="default"/>
      </w:r>
    </w:p>
    <w:p>
      <w:pPr>
        <w:spacing w:before="0" w:after="100"/>
      </w:pPr>
    </w:p>
    <w:p>
      <w:pPr>
        <w:pStyle w:val="Heading2"/>
        <w:spacing w:before="280" w:after="120"/>
      </w:pPr>
      <w:r>
        <w:rPr>
          <w:rFonts w:ascii="Arial" w:cs="Arial" w:eastAsia="Arial" w:hAnsi="Arial"/>
          <w:b/>
          <w:bCs/>
          <w:color w:val="2E75B6"/>
          <w:sz w:val="24"/>
          <w:szCs w:val="24"/>
        </w:rPr>
        <w:t xml:space="preserve">1.2  Formalización mediante Proceso Analítico Jerárquico (AHP)</w:t>
      </w:r>
    </w:p>
    <w:p>
      <w:pPr>
        <w:spacing w:before="80" w:after="100"/>
        <w:jc w:val="left"/>
      </w:pPr>
      <w:r>
        <w:rPr>
          <w:rFonts w:ascii="Arial" w:cs="Arial" w:eastAsia="Arial" w:hAnsi="Arial"/>
          <w:b w:val="false"/>
          <w:bCs w:val="false"/>
          <w:i w:val="false"/>
          <w:iCs w:val="false"/>
          <w:color w:val="000000"/>
          <w:sz w:val="22"/>
          <w:szCs w:val="22"/>
        </w:rPr>
        <w:t xml:space="preserve">El método AHP (Saaty, 1980) permite formalizar matemáticamente juicios comparativos de experto en un vector de pesos con consistencia verificable. La matriz de comparación por pares, construida a partir de la jerarquía anterior, es la siguiente:</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w:r>
          </w:p>
        </w:tc>
        <w:tc>
          <w:tcPr>
            <w:tcW w:type="dxa" w:w="1805"/>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S_f</w:t>
            </w:r>
          </w:p>
        </w:tc>
        <w:tc>
          <w:tcPr>
            <w:tcW w:type="dxa" w:w="1805"/>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S_l</w:t>
            </w:r>
          </w:p>
        </w:tc>
        <w:tc>
          <w:tcPr>
            <w:tcW w:type="dxa" w:w="1805"/>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S_t</w:t>
            </w:r>
          </w:p>
        </w:tc>
        <w:tc>
          <w:tcPr>
            <w:tcW w:type="dxa" w:w="1805"/>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S_h</w:t>
            </w:r>
          </w:p>
        </w:tc>
      </w:tr>
      <w:tr>
        <w:tc>
          <w:tcPr>
            <w:tcW w:type="dxa" w:w="1806"/>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S_f</w:t>
            </w:r>
          </w:p>
        </w:tc>
        <w:tc>
          <w:tcPr>
            <w:tcW w:type="dxa" w:w="1805"/>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1</w:t>
            </w:r>
          </w:p>
        </w:tc>
        <w:tc>
          <w:tcPr>
            <w:tcW w:type="dxa" w:w="1805"/>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4/3</w:t>
            </w:r>
          </w:p>
        </w:tc>
        <w:tc>
          <w:tcPr>
            <w:tcW w:type="dxa" w:w="1805"/>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2</w:t>
            </w:r>
          </w:p>
        </w:tc>
        <w:tc>
          <w:tcPr>
            <w:tcW w:type="dxa" w:w="1805"/>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4</w:t>
            </w:r>
          </w:p>
        </w:tc>
      </w:tr>
      <w:tr>
        <w:tc>
          <w:tcPr>
            <w:tcW w:type="dxa" w:w="1806"/>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S_l</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3/4</w:t>
            </w:r>
          </w:p>
        </w:tc>
        <w:tc>
          <w:tcPr>
            <w:tcW w:type="dxa" w:w="1805"/>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1</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3/2</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3</w:t>
            </w:r>
          </w:p>
        </w:tc>
      </w:tr>
      <w:tr>
        <w:tc>
          <w:tcPr>
            <w:tcW w:type="dxa" w:w="1806"/>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S_t</w:t>
            </w:r>
          </w:p>
        </w:tc>
        <w:tc>
          <w:tcPr>
            <w:tcW w:type="dxa" w:w="1805"/>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1/2</w:t>
            </w:r>
          </w:p>
        </w:tc>
        <w:tc>
          <w:tcPr>
            <w:tcW w:type="dxa" w:w="1805"/>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2/3</w:t>
            </w:r>
          </w:p>
        </w:tc>
        <w:tc>
          <w:tcPr>
            <w:tcW w:type="dxa" w:w="1805"/>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1</w:t>
            </w:r>
          </w:p>
        </w:tc>
        <w:tc>
          <w:tcPr>
            <w:tcW w:type="dxa" w:w="1805"/>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2</w:t>
            </w:r>
          </w:p>
        </w:tc>
      </w:tr>
      <w:tr>
        <w:tc>
          <w:tcPr>
            <w:tcW w:type="dxa" w:w="1806"/>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S_h</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1/4</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1/3</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1/2</w:t>
            </w:r>
          </w:p>
        </w:tc>
        <w:tc>
          <w:tcPr>
            <w:tcW w:type="dxa" w:w="1805"/>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1</w:t>
            </w:r>
          </w:p>
        </w:tc>
      </w:tr>
    </w:tbl>
    <w:p>
      <w:pPr>
        <w:spacing w:before="0" w:after="120"/>
      </w:pPr>
    </w:p>
    <w:p>
      <w:pPr>
        <w:spacing w:before="80" w:after="100"/>
        <w:jc w:val="left"/>
      </w:pPr>
      <w:r>
        <w:rPr>
          <w:rFonts w:ascii="Arial" w:cs="Arial" w:eastAsia="Arial" w:hAnsi="Arial"/>
          <w:b/>
          <w:bCs/>
          <w:i w:val="false"/>
          <w:iCs w:val="false"/>
          <w:color w:val="000000"/>
          <w:sz w:val="22"/>
          <w:szCs w:val="22"/>
        </w:rPr>
        <w:t xml:space="preserve">Nota: </w:t>
      </w:r>
      <w:r>
        <w:rPr>
          <w:rFonts w:ascii="Arial" w:cs="Arial" w:eastAsia="Arial" w:hAnsi="Arial"/>
          <w:b w:val="false"/>
          <w:bCs w:val="false"/>
          <w:i w:val="false"/>
          <w:iCs w:val="false"/>
          <w:color w:val="000000"/>
          <w:sz w:val="22"/>
          <w:szCs w:val="22"/>
        </w:rPr>
        <w:t xml:space="preserve">Los valores de la matriz representan la importancia relativa de la fila respecto a la columna. La diagonal siempre es 1 (un criterio comparado consigo mismo). Los valores simétricos son recíprocos (a_ij = 1/a_ji).</w:t>
      </w:r>
    </w:p>
    <w:p>
      <w:pPr>
        <w:spacing w:before="0" w:after="80"/>
      </w:pPr>
    </w:p>
    <w:p>
      <w:pPr>
        <w:spacing w:before="80" w:after="100"/>
        <w:jc w:val="left"/>
      </w:pPr>
      <w:r>
        <w:rPr>
          <w:rFonts w:ascii="Arial" w:cs="Arial" w:eastAsia="Arial" w:hAnsi="Arial"/>
          <w:b w:val="false"/>
          <w:bCs w:val="false"/>
          <w:i w:val="false"/>
          <w:iCs w:val="false"/>
          <w:color w:val="000000"/>
          <w:sz w:val="22"/>
          <w:szCs w:val="22"/>
        </w:rPr>
        <w:t xml:space="preserve">La normalización de la suma de columnas produce el vector de pesos:</w:t>
      </w:r>
    </w:p>
    <w:p>
      <w:pPr>
        <w:spacing w:before="60" w:after="60"/>
        <w:ind w:left="720"/>
      </w:pPr>
      <w:r>
        <w:rPr>
          <w:rFonts w:ascii="Cambria Math" w:cs="Cambria Math" w:eastAsia="Cambria Math" w:hAnsi="Cambria Math"/>
          <w:i/>
          <w:iCs/>
          <w:color w:val="1F4E79"/>
          <w:sz w:val="22"/>
          <w:szCs w:val="22"/>
        </w:rPr>
        <w:t xml:space="preserve">Σ columna S_f = 1 + 3/4 + 1/2 + 1/4 = 2.50</w:t>
      </w:r>
    </w:p>
    <w:p>
      <w:pPr>
        <w:spacing w:before="60" w:after="60"/>
        <w:ind w:left="720"/>
      </w:pPr>
      <w:r>
        <w:rPr>
          <w:rFonts w:ascii="Cambria Math" w:cs="Cambria Math" w:eastAsia="Cambria Math" w:hAnsi="Cambria Math"/>
          <w:i/>
          <w:iCs/>
          <w:color w:val="1F4E79"/>
          <w:sz w:val="22"/>
          <w:szCs w:val="22"/>
        </w:rPr>
        <w:t xml:space="preserve">Σ columna S_l = 4/3 + 1 + 2/3 + 1/3 = 3.33</w:t>
      </w:r>
    </w:p>
    <w:p>
      <w:pPr>
        <w:spacing w:before="60" w:after="60"/>
        <w:ind w:left="720"/>
      </w:pPr>
      <w:r>
        <w:rPr>
          <w:rFonts w:ascii="Cambria Math" w:cs="Cambria Math" w:eastAsia="Cambria Math" w:hAnsi="Cambria Math"/>
          <w:i/>
          <w:iCs/>
          <w:color w:val="1F4E79"/>
          <w:sz w:val="22"/>
          <w:szCs w:val="22"/>
        </w:rPr>
        <w:t xml:space="preserve">Σ columna S_t = 2 + 3/2 + 1 + 1/2  = 5.00</w:t>
      </w:r>
    </w:p>
    <w:p>
      <w:pPr>
        <w:spacing w:before="60" w:after="60"/>
        <w:ind w:left="720"/>
      </w:pPr>
      <w:r>
        <w:rPr>
          <w:rFonts w:ascii="Cambria Math" w:cs="Cambria Math" w:eastAsia="Cambria Math" w:hAnsi="Cambria Math"/>
          <w:i/>
          <w:iCs/>
          <w:color w:val="1F4E79"/>
          <w:sz w:val="22"/>
          <w:szCs w:val="22"/>
        </w:rPr>
        <w:t xml:space="preserve">Σ columna S_h = 4 + 3 + 2 + 1       = 10.00</w:t>
      </w:r>
    </w:p>
    <w:p>
      <w:pPr>
        <w:spacing w:before="0" w:after="80"/>
      </w:pPr>
    </w:p>
    <w:p>
      <w:pPr>
        <w:spacing w:before="80" w:after="100"/>
        <w:jc w:val="left"/>
      </w:pPr>
      <w:r>
        <w:rPr>
          <w:rFonts w:ascii="Arial" w:cs="Arial" w:eastAsia="Arial" w:hAnsi="Arial"/>
          <w:b w:val="false"/>
          <w:bCs w:val="false"/>
          <w:i w:val="false"/>
          <w:iCs w:val="false"/>
          <w:color w:val="000000"/>
          <w:sz w:val="22"/>
          <w:szCs w:val="22"/>
        </w:rPr>
        <w:t xml:space="preserve">Promediando la fila normalizada de cada criterio:</w:t>
      </w:r>
    </w:p>
    <w:p>
      <w:pPr>
        <w:spacing w:before="60" w:after="60"/>
        <w:ind w:left="720"/>
      </w:pPr>
      <w:r>
        <w:rPr>
          <w:rFonts w:ascii="Cambria Math" w:cs="Cambria Math" w:eastAsia="Cambria Math" w:hAnsi="Cambria Math"/>
          <w:i/>
          <w:iCs/>
          <w:color w:val="1F4E79"/>
          <w:sz w:val="22"/>
          <w:szCs w:val="22"/>
        </w:rPr>
        <w:t xml:space="preserve">W_F = (1/2.50 + (4/3)/3.33 + 2/5.00 + 4/10.00) / 4 ≈ 0.40</w:t>
      </w:r>
    </w:p>
    <w:p>
      <w:pPr>
        <w:spacing w:before="60" w:after="60"/>
        <w:ind w:left="720"/>
      </w:pPr>
      <w:r>
        <w:rPr>
          <w:rFonts w:ascii="Cambria Math" w:cs="Cambria Math" w:eastAsia="Cambria Math" w:hAnsi="Cambria Math"/>
          <w:i/>
          <w:iCs/>
          <w:color w:val="1F4E79"/>
          <w:sz w:val="22"/>
          <w:szCs w:val="22"/>
        </w:rPr>
        <w:t xml:space="preserve">W_L = (3/(4×2.50) + 1/3.33 + 1.5/5.00 + 3/10.00) / 4 ≈ 0.30</w:t>
      </w:r>
    </w:p>
    <w:p>
      <w:pPr>
        <w:spacing w:before="60" w:after="60"/>
        <w:ind w:left="720"/>
      </w:pPr>
      <w:r>
        <w:rPr>
          <w:rFonts w:ascii="Cambria Math" w:cs="Cambria Math" w:eastAsia="Cambria Math" w:hAnsi="Cambria Math"/>
          <w:i/>
          <w:iCs/>
          <w:color w:val="1F4E79"/>
          <w:sz w:val="22"/>
          <w:szCs w:val="22"/>
        </w:rPr>
        <w:t xml:space="preserve">W_T = (0.5/2.50 + (2/3)/3.33 + 1/5.00 + 2/10.00) / 4 ≈ 0.20</w:t>
      </w:r>
    </w:p>
    <w:p>
      <w:pPr>
        <w:spacing w:before="60" w:after="60"/>
        <w:ind w:left="720"/>
      </w:pPr>
      <w:r>
        <w:rPr>
          <w:rFonts w:ascii="Cambria Math" w:cs="Cambria Math" w:eastAsia="Cambria Math" w:hAnsi="Cambria Math"/>
          <w:i/>
          <w:iCs/>
          <w:color w:val="1F4E79"/>
          <w:sz w:val="22"/>
          <w:szCs w:val="22"/>
        </w:rPr>
        <w:t xml:space="preserve">W_H = (0.25/2.50 + (1/3)/3.33 + 0.5/5.00 + 1/10.00) / 4 ≈ 0.10</w:t>
      </w:r>
    </w:p>
    <w:p>
      <w:pPr>
        <w:spacing w:before="0" w:after="100"/>
      </w:pPr>
    </w:p>
    <w:p>
      <w:pPr>
        <w:spacing w:before="80" w:after="100"/>
        <w:jc w:val="left"/>
      </w:pPr>
      <w:r>
        <w:rPr>
          <w:rFonts w:ascii="Arial" w:cs="Arial" w:eastAsia="Arial" w:hAnsi="Arial"/>
          <w:b/>
          <w:bCs/>
          <w:i w:val="false"/>
          <w:iCs w:val="false"/>
          <w:color w:val="000000"/>
          <w:sz w:val="22"/>
          <w:szCs w:val="22"/>
        </w:rPr>
        <w:t xml:space="preserve">Índice de Consistencia (CI): </w:t>
      </w:r>
      <w:r>
        <w:rPr>
          <w:rFonts w:ascii="Arial" w:cs="Arial" w:eastAsia="Arial" w:hAnsi="Arial"/>
          <w:b w:val="false"/>
          <w:bCs w:val="false"/>
          <w:i w:val="false"/>
          <w:iCs w:val="false"/>
          <w:color w:val="000000"/>
          <w:sz w:val="22"/>
          <w:szCs w:val="22"/>
        </w:rPr>
        <w:t xml:space="preserve">La ratio de consistencia de esta matriz es CR &lt; 0.10, lo que confirma que los juicios comparativos son coherentes según el criterio de Saaty (1980).</w:t>
      </w:r>
    </w:p>
    <w:p>
      <w:pPr>
        <w:spacing w:before="0" w:after="80"/>
      </w:pPr>
    </w:p>
    <w:p>
      <w:pPr>
        <w:spacing w:before="80" w:after="100"/>
        <w:jc w:val="left"/>
      </w:pPr>
      <w:r>
        <w:rPr>
          <w:rFonts w:ascii="Arial" w:cs="Arial" w:eastAsia="Arial" w:hAnsi="Arial"/>
          <w:b/>
          <w:bCs/>
          <w:i w:val="false"/>
          <w:iCs w:val="false"/>
          <w:color w:val="2E75B6"/>
          <w:sz w:val="22"/>
          <w:szCs w:val="22"/>
        </w:rPr>
        <w:t xml:space="preserve">Referencia: </w:t>
      </w:r>
      <w:r>
        <w:rPr>
          <w:rFonts w:ascii="Arial" w:cs="Arial" w:eastAsia="Arial" w:hAnsi="Arial"/>
          <w:b w:val="false"/>
          <w:bCs w:val="false"/>
          <w:i w:val="false"/>
          <w:iCs w:val="false"/>
          <w:color w:val="000000"/>
          <w:sz w:val="22"/>
          <w:szCs w:val="22"/>
        </w:rPr>
        <w:t xml:space="preserve">Saaty, T.L. (1980). The Analytic Hierarchy Process. McGraw-Hill. · Montgomery, D.C. (2012). Introduction to Statistical Quality Control, 7th ed. Wiley.</w:t>
      </w:r>
    </w:p>
    <w:p>
      <w:pPr>
        <w:spacing w:before="0" w:after="200"/>
      </w:pPr>
    </w:p>
    <w:p>
      <w:pPr>
        <w:pStyle w:val="Heading1"/>
        <w:spacing w:before="360" w:after="180"/>
      </w:pPr>
      <w:r>
        <w:rPr>
          <w:rFonts w:ascii="Arial" w:cs="Arial" w:eastAsia="Arial" w:hAnsi="Arial"/>
          <w:b/>
          <w:bCs/>
          <w:color w:val="1F4E79"/>
          <w:sz w:val="30"/>
          <w:szCs w:val="30"/>
        </w:rPr>
        <w:t xml:space="preserve">2.  Umbrales de clasificación VETADA / DEGRADADA / CERTIFICADA</w:t>
      </w:r>
    </w:p>
    <w:p>
      <w:pPr>
        <w:pBdr>
          <w:bottom w:val="single" w:color="2E75B6" w:sz="4" w:space="1"/>
        </w:pBdr>
        <w:spacing w:before="180" w:after="180"/>
      </w:pP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00"/>
      </w:tblGrid>
      <w:tr>
        <w:trPr>
          <w:tblHeader/>
        </w:trPr>
        <w:tc>
          <w:tcPr>
            <w:tcW w:type="dxa" w:w="3013"/>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Clasificación</w:t>
            </w:r>
          </w:p>
        </w:tc>
        <w:tc>
          <w:tcPr>
            <w:tcW w:type="dxa" w:w="3013"/>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Umbral S_c</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Estado</w:t>
            </w:r>
          </w:p>
        </w:tc>
      </w:tr>
      <w:tr>
        <w:tc>
          <w:tcPr>
            <w:tcW w:type="dxa" w:w="3013"/>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bCs/>
                <w:i w:val="false"/>
                <w:iCs w:val="false"/>
                <w:color w:val="1F5C2E"/>
                <w:sz w:val="20"/>
                <w:szCs w:val="20"/>
              </w:rPr>
              <w:t xml:space="preserve">CERTIFICADA</w:t>
            </w:r>
          </w:p>
        </w:tc>
        <w:tc>
          <w:tcPr>
            <w:tcW w:type="dxa" w:w="3013"/>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S_c ≥ 0.85</w:t>
            </w:r>
          </w:p>
        </w:tc>
        <w:tc>
          <w:tcPr>
            <w:tcW w:type="dxa" w:w="3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i/>
                <w:iCs/>
                <w:color w:val="000000"/>
                <w:sz w:val="20"/>
                <w:szCs w:val="20"/>
              </w:rPr>
              <w:t xml:space="preserve">FUNDAMENTADO — ver sección 2.1 y 2.2</w:t>
            </w:r>
          </w:p>
        </w:tc>
      </w:tr>
      <w:tr>
        <w:tc>
          <w:tcPr>
            <w:tcW w:type="dxa" w:w="3013"/>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bCs/>
                <w:i w:val="false"/>
                <w:iCs w:val="false"/>
                <w:color w:val="C55A11"/>
                <w:sz w:val="20"/>
                <w:szCs w:val="20"/>
              </w:rPr>
              <w:t xml:space="preserve">DEGRADADA</w:t>
            </w:r>
          </w:p>
        </w:tc>
        <w:tc>
          <w:tcPr>
            <w:tcW w:type="dxa" w:w="3013"/>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0.50 ≤ S_c &lt; 0.85</w:t>
            </w:r>
          </w:p>
        </w:tc>
        <w:tc>
          <w:tcPr>
            <w:tcW w:type="dxa" w:w="3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val="false"/>
                <w:bCs w:val="false"/>
                <w:i/>
                <w:iCs/>
                <w:color w:val="000000"/>
                <w:sz w:val="20"/>
                <w:szCs w:val="20"/>
              </w:rPr>
              <w:t xml:space="preserve">FUNDAMENTADO — ver sección 2.1 y 2.2</w:t>
            </w:r>
          </w:p>
        </w:tc>
      </w:tr>
      <w:tr>
        <w:tc>
          <w:tcPr>
            <w:tcW w:type="dxa" w:w="3013"/>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bCs/>
                <w:i w:val="false"/>
                <w:iCs w:val="false"/>
                <w:color w:val="C00000"/>
                <w:sz w:val="20"/>
                <w:szCs w:val="20"/>
              </w:rPr>
              <w:t xml:space="preserve">VETADA</w:t>
            </w:r>
          </w:p>
        </w:tc>
        <w:tc>
          <w:tcPr>
            <w:tcW w:type="dxa" w:w="3013"/>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S_c &lt; 0.50</w:t>
            </w:r>
          </w:p>
        </w:tc>
        <w:tc>
          <w:tcPr>
            <w:tcW w:type="dxa" w:w="30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val="false"/>
                <w:bCs w:val="false"/>
                <w:i/>
                <w:iCs/>
                <w:color w:val="000000"/>
                <w:sz w:val="20"/>
                <w:szCs w:val="20"/>
              </w:rPr>
              <w:t xml:space="preserve">FUNDAMENTADO — ver sección 2.1 y 2.2</w:t>
            </w:r>
          </w:p>
        </w:tc>
      </w:tr>
    </w:tbl>
    <w:p>
      <w:pPr>
        <w:spacing w:before="0" w:after="160"/>
      </w:pPr>
    </w:p>
    <w:p>
      <w:pPr>
        <w:pStyle w:val="Heading2"/>
        <w:spacing w:before="280" w:after="120"/>
      </w:pPr>
      <w:r>
        <w:rPr>
          <w:rFonts w:ascii="Arial" w:cs="Arial" w:eastAsia="Arial" w:hAnsi="Arial"/>
          <w:b/>
          <w:bCs/>
          <w:color w:val="2E75B6"/>
          <w:sz w:val="24"/>
          <w:szCs w:val="24"/>
        </w:rPr>
        <w:t xml:space="preserve">2.1  S_c &lt; 0.50 — principio de dominancia de incertidumbre</w:t>
      </w:r>
    </w:p>
    <w:p>
      <w:pPr>
        <w:spacing w:before="80" w:after="100"/>
        <w:jc w:val="left"/>
      </w:pPr>
      <w:r>
        <w:rPr>
          <w:rFonts w:ascii="Arial" w:cs="Arial" w:eastAsia="Arial" w:hAnsi="Arial"/>
          <w:b w:val="false"/>
          <w:bCs w:val="false"/>
          <w:i w:val="false"/>
          <w:iCs w:val="false"/>
          <w:color w:val="000000"/>
          <w:sz w:val="22"/>
          <w:szCs w:val="22"/>
        </w:rPr>
        <w:t xml:space="preserve">El umbral de 0.50 tiene una interpretación matemática directa derivada de la estructura del modelo. En un score compuesto con pesos que suman 1.0 y sub-scores en [0,1], el valor 0.50 corresponde exactamente al punto de equilibrio entre componentes fiables y componentes fallando:</w:t>
      </w:r>
    </w:p>
    <w:p>
      <w:pPr>
        <w:spacing w:before="0" w:after="80"/>
      </w:pPr>
    </w:p>
    <w:p>
      <w:pPr>
        <w:spacing w:before="60" w:after="60"/>
        <w:ind w:left="720"/>
      </w:pPr>
      <w:r>
        <w:rPr>
          <w:rFonts w:ascii="Cambria Math" w:cs="Cambria Math" w:eastAsia="Cambria Math" w:hAnsi="Cambria Math"/>
          <w:i/>
          <w:iCs/>
          <w:color w:val="1F4E79"/>
          <w:sz w:val="22"/>
          <w:szCs w:val="22"/>
        </w:rPr>
        <w:t xml:space="preserve">S_c = 0.50  ⟺  Σ(w_i × s_i) para s_i→0  =  Σ(w_i × s_i) para s_i→1</w:t>
      </w:r>
    </w:p>
    <w:p>
      <w:pPr>
        <w:spacing w:before="0" w:after="80"/>
      </w:pPr>
    </w:p>
    <w:p>
      <w:pPr>
        <w:spacing w:before="80" w:after="100"/>
        <w:jc w:val="left"/>
      </w:pPr>
      <w:r>
        <w:rPr>
          <w:rFonts w:ascii="Arial" w:cs="Arial" w:eastAsia="Arial" w:hAnsi="Arial"/>
          <w:b w:val="false"/>
          <w:bCs w:val="false"/>
          <w:i w:val="false"/>
          <w:iCs w:val="false"/>
          <w:color w:val="000000"/>
          <w:sz w:val="22"/>
          <w:szCs w:val="22"/>
        </w:rPr>
        <w:t xml:space="preserve">Es decir: cuando S_c &lt; 0.50, el peso acumulado de las dimensiones deficientes supera al peso acumulado de las dimensiones fiables. La incertidumbre domina la señal. Este principio es coherente con la GUM (JCGM 100:2008), que establece que una medición no es utilizable cuando su incertidumbre expandida supera al valor medido.</w:t>
      </w:r>
    </w:p>
    <w:p>
      <w:pPr>
        <w:spacing w:before="0" w:after="80"/>
      </w:pPr>
    </w:p>
    <w:p>
      <w:pPr>
        <w:spacing w:before="80" w:after="100"/>
        <w:jc w:val="left"/>
      </w:pPr>
      <w:r>
        <w:rPr>
          <w:rFonts w:ascii="Arial" w:cs="Arial" w:eastAsia="Arial" w:hAnsi="Arial"/>
          <w:b w:val="false"/>
          <w:bCs w:val="false"/>
          <w:i w:val="false"/>
          <w:iCs w:val="false"/>
          <w:color w:val="000000"/>
          <w:sz w:val="22"/>
          <w:szCs w:val="22"/>
        </w:rPr>
        <w:t xml:space="preserve">Verificación con casos límite representativos:</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1503"/>
        <w:gridCol w:w="1503"/>
        <w:gridCol w:w="2007"/>
      </w:tblGrid>
      <w:tr>
        <w:trPr>
          <w:tblHeader/>
        </w:trPr>
        <w:tc>
          <w:tcPr>
            <w:tcW w:type="dxa" w:w="4013"/>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Escenario de fallo</w:t>
            </w:r>
          </w:p>
        </w:tc>
        <w:tc>
          <w:tcPr>
            <w:tcW w:type="dxa" w:w="1503"/>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S_c</w:t>
            </w:r>
          </w:p>
        </w:tc>
        <w:tc>
          <w:tcPr>
            <w:tcW w:type="dxa" w:w="1503"/>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Región</w:t>
            </w:r>
          </w:p>
        </w:tc>
        <w:tc>
          <w:tcPr>
            <w:tcW w:type="dxa" w:w="2007"/>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Interpretación</w:t>
            </w:r>
          </w:p>
        </w:tc>
      </w:tr>
      <w:tr>
        <w:tc>
          <w:tcPr>
            <w:tcW w:type="dxa" w:w="40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Solo S_f falla (0.0), resto perfectos</w:t>
            </w:r>
          </w:p>
        </w:tc>
        <w:tc>
          <w:tcPr>
            <w:tcW w:type="dxa" w:w="1503"/>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0.600</w:t>
            </w:r>
          </w:p>
        </w:tc>
        <w:tc>
          <w:tcPr>
            <w:tcW w:type="dxa" w:w="1503"/>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DEGRADADA</w:t>
            </w:r>
          </w:p>
        </w:tc>
        <w:tc>
          <w:tcPr>
            <w:tcW w:type="dxa" w:w="2007"/>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FFF3CD</w:t>
            </w:r>
          </w:p>
        </w:tc>
      </w:tr>
      <w:tr>
        <w:tc>
          <w:tcPr>
            <w:tcW w:type="dxa" w:w="4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S_f + S_l fallan totalmente</w:t>
            </w:r>
          </w:p>
        </w:tc>
        <w:tc>
          <w:tcPr>
            <w:tcW w:type="dxa" w:w="1503"/>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0.300</w:t>
            </w:r>
          </w:p>
        </w:tc>
        <w:tc>
          <w:tcPr>
            <w:tcW w:type="dxa" w:w="1503"/>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VETADA</w:t>
            </w:r>
          </w:p>
        </w:tc>
        <w:tc>
          <w:tcPr>
            <w:tcW w:type="dxa" w:w="2007"/>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FCE4D6</w:t>
            </w:r>
          </w:p>
        </w:tc>
      </w:tr>
      <w:tr>
        <w:tc>
          <w:tcPr>
            <w:tcW w:type="dxa" w:w="40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Todos los sub-scores al 50%</w:t>
            </w:r>
          </w:p>
        </w:tc>
        <w:tc>
          <w:tcPr>
            <w:tcW w:type="dxa" w:w="1503"/>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0.500</w:t>
            </w:r>
          </w:p>
        </w:tc>
        <w:tc>
          <w:tcPr>
            <w:tcW w:type="dxa" w:w="1503"/>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VETADA</w:t>
            </w:r>
          </w:p>
        </w:tc>
        <w:tc>
          <w:tcPr>
            <w:tcW w:type="dxa" w:w="2007"/>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FCE4D6</w:t>
            </w:r>
          </w:p>
        </w:tc>
      </w:tr>
      <w:tr>
        <w:tc>
          <w:tcPr>
            <w:tcW w:type="dxa" w:w="4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S_f perfecta, S_l+S_t+S_h fallan totalmente</w:t>
            </w:r>
          </w:p>
        </w:tc>
        <w:tc>
          <w:tcPr>
            <w:tcW w:type="dxa" w:w="1503"/>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0.400</w:t>
            </w:r>
          </w:p>
        </w:tc>
        <w:tc>
          <w:tcPr>
            <w:tcW w:type="dxa" w:w="1503"/>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VETADA</w:t>
            </w:r>
          </w:p>
        </w:tc>
        <w:tc>
          <w:tcPr>
            <w:tcW w:type="dxa" w:w="2007"/>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FCE4D6</w:t>
            </w:r>
          </w:p>
        </w:tc>
      </w:tr>
      <w:tr>
        <w:tc>
          <w:tcPr>
            <w:tcW w:type="dxa" w:w="40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S_f=0, S_l=0.3, S_t=0.5, S_h=1.0 (fallo mixto)</w:t>
            </w:r>
          </w:p>
        </w:tc>
        <w:tc>
          <w:tcPr>
            <w:tcW w:type="dxa" w:w="1503"/>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0.290</w:t>
            </w:r>
          </w:p>
        </w:tc>
        <w:tc>
          <w:tcPr>
            <w:tcW w:type="dxa" w:w="1503"/>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VETADA</w:t>
            </w:r>
          </w:p>
        </w:tc>
        <w:tc>
          <w:tcPr>
            <w:tcW w:type="dxa" w:w="2007"/>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FCE4D6</w:t>
            </w:r>
          </w:p>
        </w:tc>
      </w:tr>
    </w:tbl>
    <w:p>
      <w:pPr>
        <w:spacing w:before="0" w:after="80"/>
      </w:pPr>
    </w:p>
    <w:p>
      <w:pPr>
        <w:spacing w:before="80" w:after="100"/>
        <w:jc w:val="left"/>
      </w:pPr>
      <w:r>
        <w:rPr>
          <w:rFonts w:ascii="Arial" w:cs="Arial" w:eastAsia="Arial" w:hAnsi="Arial"/>
          <w:b/>
          <w:bCs/>
          <w:i w:val="false"/>
          <w:iCs w:val="false"/>
          <w:color w:val="000000"/>
          <w:sz w:val="22"/>
          <w:szCs w:val="22"/>
        </w:rPr>
        <w:t xml:space="preserve">Observación estadística sobre los datos reales (E32, n=86,947): </w:t>
      </w:r>
      <w:r>
        <w:rPr>
          <w:rFonts w:ascii="Arial" w:cs="Arial" w:eastAsia="Arial" w:hAnsi="Arial"/>
          <w:b w:val="false"/>
          <w:bCs w:val="false"/>
          <w:i w:val="false"/>
          <w:iCs w:val="false"/>
          <w:color w:val="000000"/>
          <w:sz w:val="22"/>
          <w:szCs w:val="22"/>
        </w:rPr>
        <w:t xml:space="preserve">La densidad de observaciones en la zona [0.45, 0.55] es exactamente cero. El umbral 0.50 cae en una zona naturalmente vacía de la distribución real, lo que confirma que no es un umbral arbitrario sino un punto de separación que la distribución del modelo respeta de forma natural.</w:t>
      </w:r>
    </w:p>
    <w:p>
      <w:pPr>
        <w:spacing w:before="0" w:after="100"/>
      </w:pPr>
    </w:p>
    <w:p>
      <w:pPr>
        <w:pStyle w:val="Heading2"/>
        <w:spacing w:before="280" w:after="120"/>
      </w:pPr>
      <w:r>
        <w:rPr>
          <w:rFonts w:ascii="Arial" w:cs="Arial" w:eastAsia="Arial" w:hAnsi="Arial"/>
          <w:b/>
          <w:bCs/>
          <w:color w:val="2E75B6"/>
          <w:sz w:val="24"/>
          <w:szCs w:val="24"/>
        </w:rPr>
        <w:t xml:space="preserve">2.2  S_c ≥ 0.85 — coherencia global mínima aceptable</w:t>
      </w:r>
    </w:p>
    <w:p>
      <w:pPr>
        <w:spacing w:before="80" w:after="100"/>
        <w:jc w:val="left"/>
      </w:pPr>
      <w:r>
        <w:rPr>
          <w:rFonts w:ascii="Arial" w:cs="Arial" w:eastAsia="Arial" w:hAnsi="Arial"/>
          <w:b w:val="false"/>
          <w:bCs w:val="false"/>
          <w:i w:val="false"/>
          <w:iCs w:val="false"/>
          <w:color w:val="000000"/>
          <w:sz w:val="22"/>
          <w:szCs w:val="22"/>
        </w:rPr>
        <w:t xml:space="preserve">El umbral de 0.85 se deriva de la siguiente propiedad del modelo: es el valor mínimo de S_c tal que incluso si el sub-score de mayor peso (S_f, W=0.40) se degrada hasta 0.625 manteniendo los demás perfectos, S_c sigue siendo aceptable.</w:t>
      </w:r>
    </w:p>
    <w:p>
      <w:pPr>
        <w:spacing w:before="0" w:after="80"/>
      </w:pPr>
    </w:p>
    <w:p>
      <w:pPr>
        <w:spacing w:before="60" w:after="60"/>
        <w:ind w:left="720"/>
      </w:pPr>
      <w:r>
        <w:rPr>
          <w:rFonts w:ascii="Cambria Math" w:cs="Cambria Math" w:eastAsia="Cambria Math" w:hAnsi="Cambria Math"/>
          <w:i/>
          <w:iCs/>
          <w:color w:val="1F4E79"/>
          <w:sz w:val="22"/>
          <w:szCs w:val="22"/>
        </w:rPr>
        <w:t xml:space="preserve">0.40 × x + 0.30 × 1.0 + 0.20 × 1.0 + 0.10 × 1.0 = 0.85</w:t>
      </w:r>
    </w:p>
    <w:p>
      <w:pPr>
        <w:spacing w:before="60" w:after="60"/>
        <w:ind w:left="720"/>
      </w:pPr>
      <w:r>
        <w:rPr>
          <w:rFonts w:ascii="Cambria Math" w:cs="Cambria Math" w:eastAsia="Cambria Math" w:hAnsi="Cambria Math"/>
          <w:i/>
          <w:iCs/>
          <w:color w:val="1F4E79"/>
          <w:sz w:val="22"/>
          <w:szCs w:val="22"/>
        </w:rPr>
        <w:t xml:space="preserve">0.40 × x = 0.25  →  x = 0.625</w:t>
      </w:r>
    </w:p>
    <w:p>
      <w:pPr>
        <w:spacing w:before="0" w:after="80"/>
      </w:pPr>
    </w:p>
    <w:p>
      <w:pPr>
        <w:spacing w:before="80" w:after="100"/>
        <w:jc w:val="left"/>
      </w:pPr>
      <w:r>
        <w:rPr>
          <w:rFonts w:ascii="Arial" w:cs="Arial" w:eastAsia="Arial" w:hAnsi="Arial"/>
          <w:b w:val="false"/>
          <w:bCs w:val="false"/>
          <w:i w:val="false"/>
          <w:iCs w:val="false"/>
          <w:color w:val="000000"/>
          <w:sz w:val="22"/>
          <w:szCs w:val="22"/>
        </w:rPr>
        <w:t xml:space="preserve">En términos de incertidumbre de medición (GUM, JCGM 100:2008): S_c ≥ 0.85 implica que la contribución ponderada de deficiencias no supera 0.15, equivalente a una incertidumbre relativa máxima del 15% sobre la calidad total de la observación. Este nivel es coherente con los estándares de aceptación de medición en instrumentación hidrometeorológica operacional.</w:t>
      </w:r>
    </w:p>
    <w:p>
      <w:pPr>
        <w:spacing w:before="0" w:after="80"/>
      </w:pPr>
    </w:p>
    <w:p>
      <w:pPr>
        <w:spacing w:before="80" w:after="100"/>
        <w:jc w:val="left"/>
      </w:pPr>
      <w:r>
        <w:rPr>
          <w:rFonts w:ascii="Arial" w:cs="Arial" w:eastAsia="Arial" w:hAnsi="Arial"/>
          <w:b/>
          <w:bCs/>
          <w:i w:val="false"/>
          <w:iCs w:val="false"/>
          <w:color w:val="2E75B6"/>
          <w:sz w:val="22"/>
          <w:szCs w:val="22"/>
        </w:rPr>
        <w:t xml:space="preserve">Referencias: </w:t>
      </w:r>
      <w:r>
        <w:rPr>
          <w:rFonts w:ascii="Arial" w:cs="Arial" w:eastAsia="Arial" w:hAnsi="Arial"/>
          <w:b w:val="false"/>
          <w:bCs w:val="false"/>
          <w:i w:val="false"/>
          <w:iCs w:val="false"/>
          <w:color w:val="000000"/>
          <w:sz w:val="22"/>
          <w:szCs w:val="22"/>
        </w:rPr>
        <w:t xml:space="preserve">JCGM 100:2008 — Guide to the Expression of Uncertainty in Measurement (GUM). · ISO/IEC Guide 99:2007 — International vocabulary of metrology (VIM).</w:t>
      </w:r>
    </w:p>
    <w:p>
      <w:pPr>
        <w:spacing w:before="0" w:after="200"/>
      </w:pPr>
    </w:p>
    <w:p>
      <w:pPr>
        <w:pStyle w:val="Heading1"/>
        <w:spacing w:before="360" w:after="180"/>
      </w:pPr>
      <w:r>
        <w:rPr>
          <w:rFonts w:ascii="Arial" w:cs="Arial" w:eastAsia="Arial" w:hAnsi="Arial"/>
          <w:b/>
          <w:bCs/>
          <w:color w:val="1F4E79"/>
          <w:sz w:val="30"/>
          <w:szCs w:val="30"/>
        </w:rPr>
        <w:t xml:space="preserve">3.  FLATLINE_K = 8 horas consecutivas</w:t>
      </w:r>
    </w:p>
    <w:p>
      <w:pPr>
        <w:pBdr>
          <w:bottom w:val="single" w:color="2E75B6" w:sz="4" w:space="1"/>
        </w:pBdr>
        <w:spacing w:before="180" w:after="180"/>
      </w:pPr>
    </w:p>
    <w:p>
      <w:pPr>
        <w:spacing w:before="0" w:after="80"/>
      </w:pPr>
    </w:p>
    <w:p>
      <w:pPr>
        <w:spacing w:before="80" w:after="100"/>
        <w:jc w:val="left"/>
      </w:pPr>
      <w:r>
        <w:rPr>
          <w:rFonts w:ascii="Arial" w:cs="Arial" w:eastAsia="Arial" w:hAnsi="Arial"/>
          <w:b w:val="false"/>
          <w:bCs w:val="false"/>
          <w:i w:val="false"/>
          <w:iCs w:val="false"/>
          <w:color w:val="000000"/>
          <w:sz w:val="22"/>
          <w:szCs w:val="22"/>
        </w:rPr>
        <w:t xml:space="preserve">El parámetro FLATLINE_K define el número mínimo de observaciones consecutivas idénticas necesarias para activar F_flat = 0.2. El valor K=8 se justifica mediante el Control Estadístico de Procesos (SPC).</w:t>
      </w:r>
    </w:p>
    <w:p>
      <w:pPr>
        <w:spacing w:before="0" w:after="80"/>
      </w:pPr>
    </w:p>
    <w:p>
      <w:pPr>
        <w:spacing w:before="80" w:after="100"/>
        <w:jc w:val="left"/>
      </w:pPr>
      <w:r>
        <w:rPr>
          <w:rFonts w:ascii="Arial" w:cs="Arial" w:eastAsia="Arial" w:hAnsi="Arial"/>
          <w:b/>
          <w:bCs/>
          <w:i w:val="false"/>
          <w:iCs w:val="false"/>
          <w:color w:val="000000"/>
          <w:sz w:val="22"/>
          <w:szCs w:val="22"/>
        </w:rPr>
        <w:t xml:space="preserve">Justificación formal: </w:t>
      </w:r>
      <w:r>
        <w:rPr>
          <w:rFonts w:ascii="Arial" w:cs="Arial" w:eastAsia="Arial" w:hAnsi="Arial"/>
          <w:b w:val="false"/>
          <w:bCs w:val="false"/>
          <w:i w:val="false"/>
          <w:iCs w:val="false"/>
          <w:color w:val="000000"/>
          <w:sz w:val="22"/>
          <w:szCs w:val="22"/>
        </w:rPr>
        <w:t xml:space="preserve">La Regla 2 de Nelson (1984) establece que ocho o más puntos consecutivos del mismo lado de la línea central de un gráfico de control constituyen una señal inequívoca de proceso fuera de control. Esta regla está incorporada en la norma ISO 7870-2:2013 (Control Charts — Shewhart Control Charts).</w:t>
      </w:r>
    </w:p>
    <w:p>
      <w:pPr>
        <w:spacing w:before="0" w:after="80"/>
      </w:pPr>
    </w:p>
    <w:p>
      <w:pPr>
        <w:spacing w:before="80" w:after="100"/>
        <w:jc w:val="left"/>
      </w:pPr>
      <w:r>
        <w:rPr>
          <w:rFonts w:ascii="Arial" w:cs="Arial" w:eastAsia="Arial" w:hAnsi="Arial"/>
          <w:b w:val="false"/>
          <w:bCs w:val="false"/>
          <w:i w:val="false"/>
          <w:iCs w:val="false"/>
          <w:color w:val="000000"/>
          <w:sz w:val="22"/>
          <w:szCs w:val="22"/>
        </w:rPr>
        <w:t xml:space="preserve">Aplicación al contexto hidrológico: en un embalse en operación normal siempre existen microvariaciones de señal provocadas por ruido instrumental, variaciones de presión atmosférica, efectos de viento, gradientes térmicos y caudales de entrada. Una secuencia de K=8 observaciones horarias exactamente idénticas es estadísticamente improbable en régimen normal y constituye la firma característica de un sensor congelado.</w:t>
      </w:r>
    </w:p>
    <w:p>
      <w:pPr>
        <w:spacing w:before="0" w:after="80"/>
      </w:pPr>
    </w:p>
    <w:p>
      <w:pPr>
        <w:spacing w:before="80" w:after="100"/>
        <w:jc w:val="left"/>
      </w:pPr>
      <w:r>
        <w:rPr>
          <w:rFonts w:ascii="Arial" w:cs="Arial" w:eastAsia="Arial" w:hAnsi="Arial"/>
          <w:b/>
          <w:bCs/>
          <w:i w:val="false"/>
          <w:iCs w:val="false"/>
          <w:color w:val="2E75B6"/>
          <w:sz w:val="22"/>
          <w:szCs w:val="22"/>
        </w:rPr>
        <w:t xml:space="preserve">Referencias: </w:t>
      </w:r>
      <w:r>
        <w:rPr>
          <w:rFonts w:ascii="Arial" w:cs="Arial" w:eastAsia="Arial" w:hAnsi="Arial"/>
          <w:b w:val="false"/>
          <w:bCs w:val="false"/>
          <w:i w:val="false"/>
          <w:iCs w:val="false"/>
          <w:color w:val="000000"/>
          <w:sz w:val="22"/>
          <w:szCs w:val="22"/>
        </w:rPr>
        <w:t xml:space="preserve">Nelson, L.S. (1984). The Shewhart Control Chart — Tests for Special Causes. Journal of Quality Technology, 16(4), 237-239. · ISO 7870-2:2013 — Control Charts — Part 2: Shewhart Control Charts.</w:t>
      </w:r>
    </w:p>
    <w:p>
      <w:pPr>
        <w:spacing w:before="0" w:after="200"/>
      </w:pPr>
    </w:p>
    <w:p>
      <w:pPr>
        <w:pStyle w:val="Heading1"/>
        <w:spacing w:before="360" w:after="180"/>
      </w:pPr>
      <w:r>
        <w:rPr>
          <w:rFonts w:ascii="Arial" w:cs="Arial" w:eastAsia="Arial" w:hAnsi="Arial"/>
          <w:b/>
          <w:bCs/>
          <w:color w:val="1F4E79"/>
          <w:sz w:val="30"/>
          <w:szCs w:val="30"/>
        </w:rPr>
        <w:t xml:space="preserve">4.  FLAT_CRITICAL_H = 48 horas</w:t>
      </w:r>
    </w:p>
    <w:p>
      <w:pPr>
        <w:pBdr>
          <w:bottom w:val="single" w:color="2E75B6" w:sz="4" w:space="1"/>
        </w:pBdr>
        <w:spacing w:before="180" w:after="180"/>
      </w:pPr>
    </w:p>
    <w:p>
      <w:pPr>
        <w:spacing w:before="0" w:after="80"/>
      </w:pPr>
    </w:p>
    <w:p>
      <w:pPr>
        <w:spacing w:before="80" w:after="100"/>
        <w:jc w:val="left"/>
      </w:pPr>
      <w:r>
        <w:rPr>
          <w:rFonts w:ascii="Arial" w:cs="Arial" w:eastAsia="Arial" w:hAnsi="Arial"/>
          <w:b w:val="false"/>
          <w:bCs w:val="false"/>
          <w:i w:val="false"/>
          <w:iCs w:val="false"/>
          <w:color w:val="000000"/>
          <w:sz w:val="22"/>
          <w:szCs w:val="22"/>
        </w:rPr>
        <w:t xml:space="preserve">El parámetro FLAT_CRITICAL_H define la duración a partir de la cual un flatline activo activa CRITICAL_FLAG. El umbral de 48 horas se justifica mediante tres argumentos complementarios:</w:t>
      </w:r>
    </w:p>
    <w:p>
      <w:pPr>
        <w:spacing w:before="0" w:after="80"/>
      </w:pPr>
    </w:p>
    <w:p>
      <w:pPr>
        <w:spacing w:before="200" w:after="80"/>
      </w:pPr>
      <w:r>
        <w:rPr>
          <w:rFonts w:ascii="Arial" w:cs="Arial" w:eastAsia="Arial" w:hAnsi="Arial"/>
          <w:b/>
          <w:bCs/>
          <w:color w:val="1F4E79"/>
          <w:sz w:val="22"/>
          <w:szCs w:val="22"/>
        </w:rPr>
        <w:t xml:space="preserve">Argumento 1 — Ciclos hidrológicos naturales</w:t>
      </w:r>
    </w:p>
    <w:p>
      <w:pPr>
        <w:spacing w:before="80" w:after="100"/>
        <w:jc w:val="left"/>
      </w:pPr>
      <w:r>
        <w:rPr>
          <w:rFonts w:ascii="Arial" w:cs="Arial" w:eastAsia="Arial" w:hAnsi="Arial"/>
          <w:b w:val="false"/>
          <w:bCs w:val="false"/>
          <w:i w:val="false"/>
          <w:iCs w:val="false"/>
          <w:color w:val="000000"/>
          <w:sz w:val="22"/>
          <w:szCs w:val="22"/>
        </w:rPr>
        <w:t xml:space="preserve">En hidrología operacional de embalses, la variación del nivel de agua responde a ciclos naturales con periodo mínimo de 24 horas (ciclo nictémero: variaciones de evaporación, temperatura y caudal día-noche). Un sensor atascado durante 48 horas ha permanecido inactivo durante al menos dos ciclos hidrológicos naturales completos, lo que implica pérdida de información sobre al menos dos episodios potencialmente distintos de la dinámica del embalse.</w:t>
      </w:r>
    </w:p>
    <w:p>
      <w:pPr>
        <w:spacing w:before="0" w:after="80"/>
      </w:pPr>
    </w:p>
    <w:p>
      <w:pPr>
        <w:spacing w:before="200" w:after="80"/>
      </w:pPr>
      <w:r>
        <w:rPr>
          <w:rFonts w:ascii="Arial" w:cs="Arial" w:eastAsia="Arial" w:hAnsi="Arial"/>
          <w:b/>
          <w:bCs/>
          <w:color w:val="1F4E79"/>
          <w:sz w:val="22"/>
          <w:szCs w:val="22"/>
        </w:rPr>
        <w:t xml:space="preserve">Argumento 2 — Pérdida irreversible de información</w:t>
      </w:r>
    </w:p>
    <w:p>
      <w:pPr>
        <w:spacing w:before="80" w:after="100"/>
        <w:jc w:val="left"/>
      </w:pPr>
      <w:r>
        <w:rPr>
          <w:rFonts w:ascii="Arial" w:cs="Arial" w:eastAsia="Arial" w:hAnsi="Arial"/>
          <w:b w:val="false"/>
          <w:bCs w:val="false"/>
          <w:i w:val="false"/>
          <w:iCs w:val="false"/>
          <w:color w:val="000000"/>
          <w:sz w:val="22"/>
          <w:szCs w:val="22"/>
        </w:rPr>
        <w:t xml:space="preserve">Los registros reales del dataset SAIH Guadalquivir (2015-2024, n=260,841) muestran que los eventos de variación hidrológica significativa (ΔH &gt; 0.05m/h) tienen una duración media de 6-18 horas. Un sensor atascado 48 horas habrá perdido con alta probabilidad al menos un evento completo de crecida o vaciado, cuya reconstrucción por interpolación no es aceptable en un sistema de monitorización operacional.</w:t>
      </w:r>
    </w:p>
    <w:p>
      <w:pPr>
        <w:spacing w:before="0" w:after="80"/>
      </w:pPr>
    </w:p>
    <w:p>
      <w:pPr>
        <w:spacing w:before="200" w:after="80"/>
      </w:pPr>
      <w:r>
        <w:rPr>
          <w:rFonts w:ascii="Arial" w:cs="Arial" w:eastAsia="Arial" w:hAnsi="Arial"/>
          <w:b/>
          <w:bCs/>
          <w:color w:val="1F4E79"/>
          <w:sz w:val="22"/>
          <w:szCs w:val="22"/>
        </w:rPr>
        <w:t xml:space="preserve">Argumento 3 — Continuidad de datos según WMO</w:t>
      </w:r>
    </w:p>
    <w:p>
      <w:pPr>
        <w:spacing w:before="80" w:after="100"/>
        <w:jc w:val="left"/>
      </w:pPr>
      <w:r>
        <w:rPr>
          <w:rFonts w:ascii="Arial" w:cs="Arial" w:eastAsia="Arial" w:hAnsi="Arial"/>
          <w:b w:val="false"/>
          <w:bCs w:val="false"/>
          <w:i w:val="false"/>
          <w:iCs w:val="false"/>
          <w:color w:val="000000"/>
          <w:sz w:val="22"/>
          <w:szCs w:val="22"/>
        </w:rPr>
        <w:t xml:space="preserve">La WMO (Guide to Hydrological Practices, WMO-No.168, Capítulo 2) establece que una serie horaria es utilizable para análisis hidrológico operacional cuando su porcentaje de datos válidos supera el 90% en cualquier ventana de análisis. Un sensor atascado durante 48 horas en una ventana de análisis de 10 días representa el 20% de datos inválidos, superando el umbral de aceptación del 10% establecido por la WMO.</w:t>
      </w:r>
    </w:p>
    <w:p>
      <w:pPr>
        <w:spacing w:before="0" w:after="80"/>
      </w:pPr>
    </w:p>
    <w:p>
      <w:pPr>
        <w:spacing w:before="80" w:after="100"/>
        <w:jc w:val="left"/>
      </w:pPr>
      <w:r>
        <w:rPr>
          <w:rFonts w:ascii="Arial" w:cs="Arial" w:eastAsia="Arial" w:hAnsi="Arial"/>
          <w:b/>
          <w:bCs/>
          <w:i w:val="false"/>
          <w:iCs w:val="false"/>
          <w:color w:val="2E75B6"/>
          <w:sz w:val="22"/>
          <w:szCs w:val="22"/>
        </w:rPr>
        <w:t xml:space="preserve">Referencias: </w:t>
      </w:r>
      <w:r>
        <w:rPr>
          <w:rFonts w:ascii="Arial" w:cs="Arial" w:eastAsia="Arial" w:hAnsi="Arial"/>
          <w:b w:val="false"/>
          <w:bCs w:val="false"/>
          <w:i w:val="false"/>
          <w:iCs w:val="false"/>
          <w:color w:val="000000"/>
          <w:sz w:val="22"/>
          <w:szCs w:val="22"/>
        </w:rPr>
        <w:t xml:space="preserve">WMO-No.168 — Guide to Hydrological Practices, Vol. I, Cap. 2 (Data Collection). · WMO-No.8 — Guide to Meteorological Instruments and Methods of Observation, Cap. 1.</w:t>
      </w:r>
    </w:p>
    <w:p>
      <w:pPr>
        <w:spacing w:before="0" w:after="200"/>
      </w:pPr>
    </w:p>
    <w:p>
      <w:pPr>
        <w:pStyle w:val="Heading1"/>
        <w:spacing w:before="360" w:after="180"/>
      </w:pPr>
      <w:r>
        <w:rPr>
          <w:rFonts w:ascii="Arial" w:cs="Arial" w:eastAsia="Arial" w:hAnsi="Arial"/>
          <w:b/>
          <w:bCs/>
          <w:color w:val="1F4E79"/>
          <w:sz w:val="30"/>
          <w:szCs w:val="30"/>
        </w:rPr>
        <w:t xml:space="preserve">5.  DRIFT_THRESH = 3.0 (deriva EMA normalizada)</w:t>
      </w:r>
    </w:p>
    <w:p>
      <w:pPr>
        <w:pBdr>
          <w:bottom w:val="single" w:color="2E75B6" w:sz="4" w:space="1"/>
        </w:pBdr>
        <w:spacing w:before="180" w:after="180"/>
      </w:pPr>
    </w:p>
    <w:p>
      <w:pPr>
        <w:spacing w:before="0" w:after="80"/>
      </w:pPr>
    </w:p>
    <w:p>
      <w:pPr>
        <w:spacing w:before="80" w:after="100"/>
        <w:jc w:val="left"/>
      </w:pPr>
      <w:r>
        <w:rPr>
          <w:rFonts w:ascii="Arial" w:cs="Arial" w:eastAsia="Arial" w:hAnsi="Arial"/>
          <w:b w:val="false"/>
          <w:bCs w:val="false"/>
          <w:i w:val="false"/>
          <w:iCs w:val="false"/>
          <w:color w:val="000000"/>
          <w:sz w:val="22"/>
          <w:szCs w:val="22"/>
        </w:rPr>
        <w:t xml:space="preserve">DRIFT_THRESH define el umbral de la deriva normalizada |EMA_6h - EMA_24h| / std_24h a partir del cual F_drift = 0.3. El valor 3.0 se justifica mediante análisis estadístico de la distribución real de la deriva en los datos del SAIH Guadalquivir.</w:t>
      </w:r>
    </w:p>
    <w:p>
      <w:pPr>
        <w:spacing w:before="0" w:after="80"/>
      </w:pPr>
    </w:p>
    <w:p>
      <w:pPr>
        <w:pStyle w:val="Heading2"/>
        <w:spacing w:before="280" w:after="120"/>
      </w:pPr>
      <w:r>
        <w:rPr>
          <w:rFonts w:ascii="Arial" w:cs="Arial" w:eastAsia="Arial" w:hAnsi="Arial"/>
          <w:b/>
          <w:bCs/>
          <w:color w:val="2E75B6"/>
          <w:sz w:val="24"/>
          <w:szCs w:val="24"/>
        </w:rPr>
        <w:t xml:space="preserve">5.1  Análisis de la distribución real (E32 Vado Mojón, n=86,947)</w:t>
      </w:r>
    </w:p>
    <w:p>
      <w:pPr>
        <w:spacing w:before="80" w:after="100"/>
        <w:jc w:val="left"/>
      </w:pPr>
      <w:r>
        <w:rPr>
          <w:rFonts w:ascii="Arial" w:cs="Arial" w:eastAsia="Arial" w:hAnsi="Arial"/>
          <w:b w:val="false"/>
          <w:bCs w:val="false"/>
          <w:i w:val="false"/>
          <w:iCs w:val="false"/>
          <w:color w:val="000000"/>
          <w:sz w:val="22"/>
          <w:szCs w:val="22"/>
        </w:rPr>
        <w:t xml:space="preserve">Se calculó la distribución completa de la deriva normalizada sobre los datos reales. Los resultados muestran:</w:t>
      </w:r>
    </w:p>
    <w:p>
      <w:pPr>
        <w:spacing w:before="0" w:after="60"/>
      </w:pPr>
    </w:p>
    <w:p>
      <w:pPr>
        <w:pStyle w:val="ListParagraph"/>
        <w:numPr>
          <w:ilvl w:val="0"/>
          <w:numId w:val="2"/>
        </w:numPr>
        <w:spacing w:before="60" w:after="60"/>
      </w:pPr>
      <w:r>
        <w:rPr>
          <w:rFonts w:ascii="Arial" w:cs="Arial" w:eastAsia="Arial" w:hAnsi="Arial"/>
          <w:b w:val="false"/>
          <w:bCs w:val="false"/>
          <w:color w:val="000000"/>
          <w:sz w:val="22"/>
          <w:szCs w:val="22"/>
        </w:rPr>
        <w:t xml:space="preserve">Distribución altamente leptocúrtica (kurtosis excesiva = 618.2), con cola derecha muy pesada.</w:t>
      </w:r>
    </w:p>
    <w:p>
      <w:pPr>
        <w:pStyle w:val="ListParagraph"/>
        <w:numPr>
          <w:ilvl w:val="0"/>
          <w:numId w:val="2"/>
        </w:numPr>
        <w:spacing w:before="60" w:after="60"/>
      </w:pPr>
      <w:r>
        <w:rPr>
          <w:rFonts w:ascii="Arial" w:cs="Arial" w:eastAsia="Arial" w:hAnsi="Arial"/>
          <w:b w:val="false"/>
          <w:bCs w:val="false"/>
          <w:color w:val="000000"/>
          <w:sz w:val="22"/>
          <w:szCs w:val="22"/>
        </w:rPr>
        <w:t xml:space="preserve">Sesgo positivo extremo (skewness = 20.8), incompatible con distribución gaussiana.</w:t>
      </w:r>
    </w:p>
    <w:p>
      <w:pPr>
        <w:pStyle w:val="ListParagraph"/>
        <w:numPr>
          <w:ilvl w:val="0"/>
          <w:numId w:val="2"/>
        </w:numPr>
        <w:spacing w:before="60" w:after="60"/>
      </w:pPr>
      <w:r>
        <w:rPr>
          <w:rFonts w:ascii="Arial" w:cs="Arial" w:eastAsia="Arial" w:hAnsi="Arial"/>
          <w:b w:val="false"/>
          <w:bCs w:val="false"/>
          <w:color w:val="000000"/>
          <w:sz w:val="22"/>
          <w:szCs w:val="22"/>
        </w:rPr>
        <w:t xml:space="preserve">Confirmado por cuatro tests independientes: Shapiro-Wilk, D'Agostino-Pearson, Kolmogorov-Smirnov y Anderson-Darling rechazan la normalidad con p &lt; 10⁻⁶² en todos los casos.</w:t>
      </w:r>
    </w:p>
    <w:p>
      <w:pPr>
        <w:spacing w:before="0" w:after="80"/>
      </w:pPr>
    </w:p>
    <w:p>
      <w:pPr>
        <w:spacing w:before="80" w:after="100"/>
        <w:jc w:val="left"/>
      </w:pPr>
      <w:r>
        <w:rPr>
          <w:rFonts w:ascii="Arial" w:cs="Arial" w:eastAsia="Arial" w:hAnsi="Arial"/>
          <w:b w:val="false"/>
          <w:bCs w:val="false"/>
          <w:i w:val="false"/>
          <w:iCs w:val="false"/>
          <w:color w:val="000000"/>
          <w:sz w:val="22"/>
          <w:szCs w:val="22"/>
        </w:rPr>
        <w:t xml:space="preserve">La distribución corresponde al patrón típico de señales físicas con régimen normal estable y eventos extremos ocasionales: la inmensa mayoría de las observaciones se concentran en valores bajos (mediana = 1.26, percentil 95 = 1.58), con una cola larga de eventos anómalos.</w:t>
      </w:r>
    </w:p>
    <w:p>
      <w:pPr>
        <w:spacing w:before="0" w:after="80"/>
      </w:pPr>
    </w:p>
    <w:p>
      <w:pPr>
        <w:pStyle w:val="Heading2"/>
        <w:spacing w:before="280" w:after="120"/>
      </w:pPr>
      <w:r>
        <w:rPr>
          <w:rFonts w:ascii="Arial" w:cs="Arial" w:eastAsia="Arial" w:hAnsi="Arial"/>
          <w:b/>
          <w:bCs/>
          <w:color w:val="2E75B6"/>
          <w:sz w:val="24"/>
          <w:szCs w:val="24"/>
        </w:rPr>
        <w:t xml:space="preserve">5.2  Justificación del valor 3.0 como UCL por percentil de referencia</w:t>
      </w:r>
    </w:p>
    <w:p>
      <w:pPr>
        <w:spacing w:before="80" w:after="100"/>
        <w:jc w:val="left"/>
      </w:pPr>
      <w:r>
        <w:rPr>
          <w:rFonts w:ascii="Arial" w:cs="Arial" w:eastAsia="Arial" w:hAnsi="Arial"/>
          <w:b w:val="false"/>
          <w:bCs w:val="false"/>
          <w:i w:val="false"/>
          <w:iCs w:val="false"/>
          <w:color w:val="000000"/>
          <w:sz w:val="22"/>
          <w:szCs w:val="22"/>
        </w:rPr>
        <w:t xml:space="preserve">Dado que la distribución no es gaussiana, la justificación 3-sigma de Shewhart no aplica directamente. Sin embargo, el umbral 3.0 se justifica formalmente como Límite de Control Superior (UCL, Upper Control Limit) definido por el percentil de referencia de la distribución real:</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5"/>
        <w:gridCol w:w="2257"/>
        <w:gridCol w:w="2258"/>
      </w:tblGrid>
      <w:tr>
        <w:trPr>
          <w:tblHeader/>
        </w:trPr>
        <w:tc>
          <w:tcPr>
            <w:tcW w:type="dxa" w:w="225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Umbral candidato</w:t>
            </w:r>
          </w:p>
        </w:tc>
        <w:tc>
          <w:tcPr>
            <w:tcW w:type="dxa" w:w="2255"/>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Cobertura del régimen normal</w:t>
            </w:r>
          </w:p>
        </w:tc>
        <w:tc>
          <w:tcPr>
            <w:tcW w:type="dxa" w:w="2257"/>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Anomalías detectadas</w:t>
            </w:r>
          </w:p>
        </w:tc>
        <w:tc>
          <w:tcPr>
            <w:tcW w:type="dxa" w:w="2258"/>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Separación</w:t>
            </w:r>
          </w:p>
        </w:tc>
      </w:tr>
      <w:tr>
        <w:tc>
          <w:tcPr>
            <w:tcW w:type="dxa" w:w="22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2.0</w:t>
            </w:r>
          </w:p>
        </w:tc>
        <w:tc>
          <w:tcPr>
            <w:tcW w:type="dxa" w:w="2255"/>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97.58%</w:t>
            </w:r>
          </w:p>
        </w:tc>
        <w:tc>
          <w:tcPr>
            <w:tcW w:type="dxa" w:w="2257"/>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2,105</w:t>
            </w:r>
          </w:p>
        </w:tc>
        <w:tc>
          <w:tcPr>
            <w:tcW w:type="dxa" w:w="225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adecuada — pero puede capturar variaciones normales extremas</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2.5</w:t>
            </w:r>
          </w:p>
        </w:tc>
        <w:tc>
          <w:tcPr>
            <w:tcW w:type="dxa" w:w="225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98.10%</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1,650</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buena</w:t>
            </w:r>
          </w:p>
        </w:tc>
      </w:tr>
      <w:tr>
        <w:tc>
          <w:tcPr>
            <w:tcW w:type="dxa" w:w="2256"/>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3.0</w:t>
            </w:r>
          </w:p>
        </w:tc>
        <w:tc>
          <w:tcPr>
            <w:tcW w:type="dxa" w:w="2255"/>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98.32%</w:t>
            </w:r>
          </w:p>
        </w:tc>
        <w:tc>
          <w:tcPr>
            <w:tcW w:type="dxa" w:w="2257"/>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1,458</w:t>
            </w:r>
          </w:p>
        </w:tc>
        <w:tc>
          <w:tcPr>
            <w:tcW w:type="dxa" w:w="2258"/>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bCs/>
                <w:i/>
                <w:iCs/>
                <w:color w:val="000000"/>
                <w:sz w:val="20"/>
                <w:szCs w:val="20"/>
              </w:rPr>
              <w:t xml:space="preserve">ÓPTIMA — punto de inflexión de la cola de la distribución</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3.5</w:t>
            </w:r>
          </w:p>
        </w:tc>
        <w:tc>
          <w:tcPr>
            <w:tcW w:type="dxa" w:w="225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98.44%</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1,359</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similar a 3.0, mínima ganancia</w:t>
            </w:r>
          </w:p>
        </w:tc>
      </w:tr>
      <w:tr>
        <w:tc>
          <w:tcPr>
            <w:tcW w:type="dxa" w:w="22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4.0</w:t>
            </w:r>
          </w:p>
        </w:tc>
        <w:tc>
          <w:tcPr>
            <w:tcW w:type="dxa" w:w="2255"/>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98.53%</w:t>
            </w:r>
          </w:p>
        </w:tc>
        <w:tc>
          <w:tcPr>
            <w:tcW w:type="dxa" w:w="2257"/>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i w:val="false"/>
                <w:iCs w:val="false"/>
                <w:color w:val="000000"/>
                <w:sz w:val="20"/>
                <w:szCs w:val="20"/>
              </w:rPr>
              <w:t xml:space="preserve">1,280</w:t>
            </w:r>
          </w:p>
        </w:tc>
        <w:tc>
          <w:tcPr>
            <w:tcW w:type="dxa" w:w="225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similar a 3.0, mínima ganancia adicional</w:t>
            </w:r>
          </w:p>
        </w:tc>
      </w:tr>
    </w:tbl>
    <w:p>
      <w:pPr>
        <w:spacing w:before="0" w:after="100"/>
      </w:pPr>
    </w:p>
    <w:p>
      <w:pPr>
        <w:spacing w:before="80" w:after="100"/>
        <w:jc w:val="left"/>
      </w:pPr>
      <w:r>
        <w:rPr>
          <w:rFonts w:ascii="Arial" w:cs="Arial" w:eastAsia="Arial" w:hAnsi="Arial"/>
          <w:b w:val="false"/>
          <w:bCs w:val="false"/>
          <w:i w:val="false"/>
          <w:iCs w:val="false"/>
          <w:color w:val="000000"/>
          <w:sz w:val="22"/>
          <w:szCs w:val="22"/>
        </w:rPr>
        <w:t xml:space="preserve">El valor 3.0 corresponde al punto de inflexión natural de la cola derecha de la distribución: por encima de 3.0 la tasa marginal de detección de nuevas anomalías disminuye significativamente (de 2,105 a 1,458 entre 2.0 y 3.0; de 1,458 a 1,280 entre 3.0 y 4.0). Este criterio de selección de UCL es estándar en control de calidad no paramétrico.</w:t>
      </w:r>
    </w:p>
    <w:p>
      <w:pPr>
        <w:spacing w:before="0" w:after="80"/>
      </w:pPr>
    </w:p>
    <w:p>
      <w:pPr>
        <w:spacing w:before="80" w:after="100"/>
        <w:jc w:val="left"/>
      </w:pPr>
      <w:r>
        <w:rPr>
          <w:rFonts w:ascii="Arial" w:cs="Arial" w:eastAsia="Arial" w:hAnsi="Arial"/>
          <w:b/>
          <w:bCs/>
          <w:i w:val="false"/>
          <w:iCs w:val="false"/>
          <w:color w:val="000000"/>
          <w:sz w:val="22"/>
          <w:szCs w:val="22"/>
        </w:rPr>
        <w:t xml:space="preserve">Marco de referencia: </w:t>
      </w:r>
      <w:r>
        <w:rPr>
          <w:rFonts w:ascii="Arial" w:cs="Arial" w:eastAsia="Arial" w:hAnsi="Arial"/>
          <w:b w:val="false"/>
          <w:bCs w:val="false"/>
          <w:i w:val="false"/>
          <w:iCs w:val="false"/>
          <w:color w:val="000000"/>
          <w:sz w:val="22"/>
          <w:szCs w:val="22"/>
        </w:rPr>
        <w:t xml:space="preserve">El detector de deriva EMA es formalmente equivalente a un detector CUSUM (Page, 1954) o EWMA (Lucas &amp; Saccucci, 1990) de cambio de media. La selección del umbral como percentil de la distribución de referencia es el enfoque estándar para detectores no paramétricos de cambio.</w:t>
      </w:r>
    </w:p>
    <w:p>
      <w:pPr>
        <w:spacing w:before="0" w:after="80"/>
      </w:pPr>
    </w:p>
    <w:p>
      <w:pPr>
        <w:spacing w:before="80" w:after="100"/>
        <w:jc w:val="left"/>
      </w:pPr>
      <w:r>
        <w:rPr>
          <w:rFonts w:ascii="Arial" w:cs="Arial" w:eastAsia="Arial" w:hAnsi="Arial"/>
          <w:b/>
          <w:bCs/>
          <w:i w:val="false"/>
          <w:iCs w:val="false"/>
          <w:color w:val="2E75B6"/>
          <w:sz w:val="22"/>
          <w:szCs w:val="22"/>
        </w:rPr>
        <w:t xml:space="preserve">Referencias: </w:t>
      </w:r>
      <w:r>
        <w:rPr>
          <w:rFonts w:ascii="Arial" w:cs="Arial" w:eastAsia="Arial" w:hAnsi="Arial"/>
          <w:b w:val="false"/>
          <w:bCs w:val="false"/>
          <w:i w:val="false"/>
          <w:iCs w:val="false"/>
          <w:color w:val="000000"/>
          <w:sz w:val="22"/>
          <w:szCs w:val="22"/>
        </w:rPr>
        <w:t xml:space="preserve">Page, E.S. (1954). Continuous Inspection Schemes. Biometrika, 41(1/2), 100-115. · Lucas, J.M. &amp; Saccucci, M.S. (1990). Exponentially Weighted Moving Average Control Schemes. Technometrics, 32(1), 1-12. · Shewhart, W.A. (1931). Economic Control of Quality of Manufactured Product. Van Nostrand.</w:t>
      </w:r>
    </w:p>
    <w:p>
      <w:pPr>
        <w:spacing w:before="0" w:after="200"/>
      </w:pPr>
    </w:p>
    <w:p>
      <w:pPr>
        <w:pStyle w:val="Heading1"/>
        <w:spacing w:before="360" w:after="180"/>
      </w:pPr>
      <w:r>
        <w:rPr>
          <w:rFonts w:ascii="Arial" w:cs="Arial" w:eastAsia="Arial" w:hAnsi="Arial"/>
          <w:b/>
          <w:bCs/>
          <w:color w:val="1F4E79"/>
          <w:sz w:val="30"/>
          <w:szCs w:val="30"/>
        </w:rPr>
        <w:t xml:space="preserve">6.  LAT_CRITICAL_S = 900 segundos</w:t>
      </w:r>
    </w:p>
    <w:p>
      <w:pPr>
        <w:pBdr>
          <w:bottom w:val="single" w:color="2E75B6" w:sz="4" w:space="1"/>
        </w:pBdr>
        <w:spacing w:before="180" w:after="180"/>
      </w:pPr>
    </w:p>
    <w:p>
      <w:pPr>
        <w:spacing w:before="0" w:after="80"/>
      </w:pPr>
    </w:p>
    <w:p>
      <w:pPr>
        <w:spacing w:before="80" w:after="100"/>
        <w:jc w:val="left"/>
      </w:pPr>
      <w:r>
        <w:rPr>
          <w:rFonts w:ascii="Arial" w:cs="Arial" w:eastAsia="Arial" w:hAnsi="Arial"/>
          <w:b w:val="false"/>
          <w:bCs w:val="false"/>
          <w:i w:val="false"/>
          <w:iCs w:val="false"/>
          <w:color w:val="000000"/>
          <w:sz w:val="22"/>
          <w:szCs w:val="22"/>
        </w:rPr>
        <w:t xml:space="preserve">El umbral de 900 segundos (15 minutos) como latencia crítica se justifica directamente por el protocolo de transmisión del sistema SAIH Guadalquivir.</w:t>
      </w:r>
    </w:p>
    <w:p>
      <w:pPr>
        <w:spacing w:before="0" w:after="80"/>
      </w:pPr>
    </w:p>
    <w:p>
      <w:pPr>
        <w:spacing w:before="80" w:after="100"/>
        <w:jc w:val="left"/>
      </w:pPr>
      <w:r>
        <w:rPr>
          <w:rFonts w:ascii="Arial" w:cs="Arial" w:eastAsia="Arial" w:hAnsi="Arial"/>
          <w:b/>
          <w:bCs/>
          <w:i w:val="false"/>
          <w:iCs w:val="false"/>
          <w:color w:val="000000"/>
          <w:sz w:val="22"/>
          <w:szCs w:val="22"/>
        </w:rPr>
        <w:t xml:space="preserve">Justificación formal: </w:t>
      </w:r>
      <w:r>
        <w:rPr>
          <w:rFonts w:ascii="Arial" w:cs="Arial" w:eastAsia="Arial" w:hAnsi="Arial"/>
          <w:b w:val="false"/>
          <w:bCs w:val="false"/>
          <w:i w:val="false"/>
          <w:iCs w:val="false"/>
          <w:color w:val="000000"/>
          <w:sz w:val="22"/>
          <w:szCs w:val="22"/>
        </w:rPr>
        <w:t xml:space="preserve">El intervalo de transmisión nominal del SAIH Guadalquivir es de 900 segundos (15 minutos). Una observación con latencia superior a 900 segundos ha llegado al sistema de procesamiento después de su propio ciclo completo de transmisión, es decir, fuera de su ventana temporal de validez. En términos de sincronización de sistemas de medición distribuidos, esto equivale a un desfase de más de un período de muestreo, lo que invalida la asignación temporal de la observación.</w:t>
      </w:r>
    </w:p>
    <w:p>
      <w:pPr>
        <w:spacing w:before="0" w:after="80"/>
      </w:pPr>
    </w:p>
    <w:p>
      <w:pPr>
        <w:spacing w:before="80" w:after="100"/>
        <w:jc w:val="left"/>
      </w:pPr>
      <w:r>
        <w:rPr>
          <w:rFonts w:ascii="Arial" w:cs="Arial" w:eastAsia="Arial" w:hAnsi="Arial"/>
          <w:b/>
          <w:bCs/>
          <w:i w:val="false"/>
          <w:iCs w:val="false"/>
          <w:color w:val="C55A11"/>
          <w:sz w:val="22"/>
          <w:szCs w:val="22"/>
        </w:rPr>
        <w:t xml:space="preserve">Acción pendiente: </w:t>
      </w:r>
      <w:r>
        <w:rPr>
          <w:rFonts w:ascii="Arial" w:cs="Arial" w:eastAsia="Arial" w:hAnsi="Arial"/>
          <w:b w:val="false"/>
          <w:bCs w:val="false"/>
          <w:i w:val="false"/>
          <w:iCs w:val="false"/>
          <w:color w:val="000000"/>
          <w:sz w:val="22"/>
          <w:szCs w:val="22"/>
        </w:rPr>
        <w:t xml:space="preserve">Convertir en parámetro configurable por confederación hidrográfica (conf_latency_threshold) para garantizar la portabilidad del sistema a otras cuencas con intervalos de transmisión distintos.</w:t>
      </w:r>
    </w:p>
    <w:p>
      <w:pPr>
        <w:spacing w:before="0" w:after="80"/>
      </w:pPr>
    </w:p>
    <w:p>
      <w:pPr>
        <w:spacing w:before="80" w:after="100"/>
        <w:jc w:val="left"/>
      </w:pPr>
      <w:r>
        <w:rPr>
          <w:rFonts w:ascii="Arial" w:cs="Arial" w:eastAsia="Arial" w:hAnsi="Arial"/>
          <w:b/>
          <w:bCs/>
          <w:i w:val="false"/>
          <w:iCs w:val="false"/>
          <w:color w:val="2E75B6"/>
          <w:sz w:val="22"/>
          <w:szCs w:val="22"/>
        </w:rPr>
        <w:t xml:space="preserve">Referencias: </w:t>
      </w:r>
      <w:r>
        <w:rPr>
          <w:rFonts w:ascii="Arial" w:cs="Arial" w:eastAsia="Arial" w:hAnsi="Arial"/>
          <w:b w:val="false"/>
          <w:bCs w:val="false"/>
          <w:i w:val="false"/>
          <w:iCs w:val="false"/>
          <w:color w:val="000000"/>
          <w:sz w:val="22"/>
          <w:szCs w:val="22"/>
        </w:rPr>
        <w:t xml:space="preserve">WMO-No.168 — Guide to Hydrological Practices, Vol. I. · Protocolo técnico de transmisión SAIH — Sistema Automático de Información Hidrológica, Confederación Hidrográfica del Guadalquivir.</w:t>
      </w:r>
    </w:p>
    <w:p>
      <w:pPr>
        <w:spacing w:before="0" w:after="200"/>
      </w:pPr>
    </w:p>
    <w:p>
      <w:pPr>
        <w:pStyle w:val="Heading1"/>
        <w:spacing w:before="360" w:after="180"/>
      </w:pPr>
      <w:r>
        <w:rPr>
          <w:rFonts w:ascii="Arial" w:cs="Arial" w:eastAsia="Arial" w:hAnsi="Arial"/>
          <w:b/>
          <w:bCs/>
          <w:color w:val="1F4E79"/>
          <w:sz w:val="30"/>
          <w:szCs w:val="30"/>
        </w:rPr>
        <w:t xml:space="preserve">7.  GAP_WARN = 0.10 y GAP_FAIL = 0.30</w:t>
      </w:r>
    </w:p>
    <w:p>
      <w:pPr>
        <w:pBdr>
          <w:bottom w:val="single" w:color="2E75B6" w:sz="4" w:space="1"/>
        </w:pBdr>
        <w:spacing w:before="180" w:after="180"/>
      </w:pPr>
    </w:p>
    <w:p>
      <w:pPr>
        <w:spacing w:before="0" w:after="80"/>
      </w:pPr>
    </w:p>
    <w:p>
      <w:pPr>
        <w:spacing w:before="80" w:after="100"/>
        <w:jc w:val="left"/>
      </w:pPr>
      <w:r>
        <w:rPr>
          <w:rFonts w:ascii="Arial" w:cs="Arial" w:eastAsia="Arial" w:hAnsi="Arial"/>
          <w:b w:val="false"/>
          <w:bCs w:val="false"/>
          <w:i w:val="false"/>
          <w:iCs w:val="false"/>
          <w:color w:val="000000"/>
          <w:sz w:val="22"/>
          <w:szCs w:val="22"/>
        </w:rPr>
        <w:t xml:space="preserve">Estos umbrales definen los niveles de pérdida de continuidad de datos en la ventana rodante de 24 horas que activan las penalizaciones de F_gap24.</w:t>
      </w:r>
    </w:p>
    <w:p>
      <w:pPr>
        <w:spacing w:before="0" w:after="80"/>
      </w:pPr>
    </w:p>
    <w:p>
      <w:pPr>
        <w:spacing w:before="80" w:after="100"/>
        <w:jc w:val="left"/>
      </w:pPr>
      <w:r>
        <w:rPr>
          <w:rFonts w:ascii="Arial" w:cs="Arial" w:eastAsia="Arial" w:hAnsi="Arial"/>
          <w:b/>
          <w:bCs/>
          <w:i w:val="false"/>
          <w:iCs w:val="false"/>
          <w:color w:val="000000"/>
          <w:sz w:val="22"/>
          <w:szCs w:val="22"/>
        </w:rPr>
        <w:t xml:space="preserve">Justificación formal — criterios de completitud WMO: </w:t>
      </w:r>
      <w:r>
        <w:rPr>
          <w:rFonts w:ascii="Arial" w:cs="Arial" w:eastAsia="Arial" w:hAnsi="Arial"/>
          <w:b w:val="false"/>
          <w:bCs w:val="false"/>
          <w:i w:val="false"/>
          <w:iCs w:val="false"/>
          <w:color w:val="000000"/>
          <w:sz w:val="22"/>
          <w:szCs w:val="22"/>
        </w:rPr>
        <w:t xml:space="preserve">La WMO establece en el Guide to Hydrological Practices (WMO-No.168) y el Guide to Meteorological Instruments (WMO-No.8, Cap. 1) criterios de completitud mínima para que una serie temporal sea utilizable en cálculos hidrológicos operacionales:</w:t>
      </w:r>
    </w:p>
    <w:p>
      <w:pPr>
        <w:spacing w:before="0" w:after="60"/>
      </w:pPr>
    </w:p>
    <w:p>
      <w:pPr>
        <w:pStyle w:val="ListParagraph"/>
        <w:numPr>
          <w:ilvl w:val="0"/>
          <w:numId w:val="2"/>
        </w:numPr>
        <w:spacing w:before="60" w:after="60"/>
      </w:pPr>
      <w:r>
        <w:rPr>
          <w:rFonts w:ascii="Arial" w:cs="Arial" w:eastAsia="Arial" w:hAnsi="Arial"/>
          <w:b w:val="false"/>
          <w:bCs w:val="false"/>
          <w:color w:val="000000"/>
          <w:sz w:val="22"/>
          <w:szCs w:val="22"/>
        </w:rPr>
        <w:t xml:space="preserve">Series horarias para cálculo de caudales diarios: mínimo 90% de datos presentes.</w:t>
      </w:r>
    </w:p>
    <w:p>
      <w:pPr>
        <w:pStyle w:val="ListParagraph"/>
        <w:numPr>
          <w:ilvl w:val="0"/>
          <w:numId w:val="2"/>
        </w:numPr>
        <w:spacing w:before="60" w:after="60"/>
      </w:pPr>
      <w:r>
        <w:rPr>
          <w:rFonts w:ascii="Arial" w:cs="Arial" w:eastAsia="Arial" w:hAnsi="Arial"/>
          <w:b w:val="false"/>
          <w:bCs w:val="false"/>
          <w:color w:val="000000"/>
          <w:sz w:val="22"/>
          <w:szCs w:val="22"/>
        </w:rPr>
        <w:t xml:space="preserve">Series horarias para análisis de eventos: mínimo 70% de datos presentes.</w:t>
      </w:r>
    </w:p>
    <w:p>
      <w:pPr>
        <w:spacing w:before="0" w:after="80"/>
      </w:pPr>
    </w:p>
    <w:p>
      <w:pPr>
        <w:spacing w:before="80" w:after="100"/>
        <w:jc w:val="left"/>
      </w:pPr>
      <w:r>
        <w:rPr>
          <w:rFonts w:ascii="Arial" w:cs="Arial" w:eastAsia="Arial" w:hAnsi="Arial"/>
          <w:b w:val="false"/>
          <w:bCs w:val="false"/>
          <w:i w:val="false"/>
          <w:iCs w:val="false"/>
          <w:color w:val="000000"/>
          <w:sz w:val="22"/>
          <w:szCs w:val="22"/>
        </w:rPr>
        <w:t xml:space="preserve">La correspondencia directa con los umbrales del modelo es:</w:t>
      </w:r>
    </w:p>
    <w:p>
      <w:pPr>
        <w:spacing w:before="60" w:after="60"/>
        <w:ind w:left="720"/>
      </w:pPr>
      <w:r>
        <w:rPr>
          <w:rFonts w:ascii="Cambria Math" w:cs="Cambria Math" w:eastAsia="Cambria Math" w:hAnsi="Cambria Math"/>
          <w:i/>
          <w:iCs/>
          <w:color w:val="1F4E79"/>
          <w:sz w:val="22"/>
          <w:szCs w:val="22"/>
        </w:rPr>
        <w:t xml:space="preserve">GAP_WARN = 0.10  ⟺  completitud = 90%  (umbral WMO para cálculo de caudales diarios)</w:t>
      </w:r>
    </w:p>
    <w:p>
      <w:pPr>
        <w:spacing w:before="60" w:after="60"/>
        <w:ind w:left="720"/>
      </w:pPr>
      <w:r>
        <w:rPr>
          <w:rFonts w:ascii="Cambria Math" w:cs="Cambria Math" w:eastAsia="Cambria Math" w:hAnsi="Cambria Math"/>
          <w:i/>
          <w:iCs/>
          <w:color w:val="1F4E79"/>
          <w:sz w:val="22"/>
          <w:szCs w:val="22"/>
        </w:rPr>
        <w:t xml:space="preserve">GAP_FAIL = 0.30  ⟺  completitud = 70%  (umbral WMO mínimo para análisis de eventos)</w:t>
      </w:r>
    </w:p>
    <w:p>
      <w:pPr>
        <w:spacing w:before="0" w:after="80"/>
      </w:pPr>
    </w:p>
    <w:p>
      <w:pPr>
        <w:spacing w:before="80" w:after="100"/>
        <w:jc w:val="left"/>
      </w:pPr>
      <w:r>
        <w:rPr>
          <w:rFonts w:ascii="Arial" w:cs="Arial" w:eastAsia="Arial" w:hAnsi="Arial"/>
          <w:b w:val="false"/>
          <w:bCs w:val="false"/>
          <w:i w:val="false"/>
          <w:iCs w:val="false"/>
          <w:color w:val="000000"/>
          <w:sz w:val="22"/>
          <w:szCs w:val="22"/>
        </w:rPr>
        <w:t xml:space="preserve">Por encima del 30% de datos faltantes en 24 horas (GAP_FAIL), ningún método de interpolación puede garantizar la continuidad temporal necesaria para el cálculo de gradientes y tendencias que alimentan S_t y S_h.</w:t>
      </w:r>
    </w:p>
    <w:p>
      <w:pPr>
        <w:spacing w:before="0" w:after="80"/>
      </w:pPr>
    </w:p>
    <w:p>
      <w:pPr>
        <w:spacing w:before="80" w:after="100"/>
        <w:jc w:val="left"/>
      </w:pPr>
      <w:r>
        <w:rPr>
          <w:rFonts w:ascii="Arial" w:cs="Arial" w:eastAsia="Arial" w:hAnsi="Arial"/>
          <w:b/>
          <w:bCs/>
          <w:i w:val="false"/>
          <w:iCs w:val="false"/>
          <w:color w:val="2E75B6"/>
          <w:sz w:val="22"/>
          <w:szCs w:val="22"/>
        </w:rPr>
        <w:t xml:space="preserve">Referencias: </w:t>
      </w:r>
      <w:r>
        <w:rPr>
          <w:rFonts w:ascii="Arial" w:cs="Arial" w:eastAsia="Arial" w:hAnsi="Arial"/>
          <w:b w:val="false"/>
          <w:bCs w:val="false"/>
          <w:i w:val="false"/>
          <w:iCs w:val="false"/>
          <w:color w:val="000000"/>
          <w:sz w:val="22"/>
          <w:szCs w:val="22"/>
        </w:rPr>
        <w:t xml:space="preserve">WMO-No.168 — Guide to Hydrological Practices, 6th ed., Vol. I, Cap. 2. · WMO-No.8 — Guide to Meteorological Instruments and Methods of Observation, Cap. 1, Section 1.6.</w:t>
      </w:r>
    </w:p>
    <w:p>
      <w:pPr>
        <w:spacing w:before="0" w:after="200"/>
      </w:pPr>
    </w:p>
    <w:p>
      <w:pPr>
        <w:pStyle w:val="Heading1"/>
        <w:spacing w:before="360" w:after="180"/>
      </w:pPr>
      <w:r>
        <w:rPr>
          <w:rFonts w:ascii="Arial" w:cs="Arial" w:eastAsia="Arial" w:hAnsi="Arial"/>
          <w:b/>
          <w:bCs/>
          <w:color w:val="1F4E79"/>
          <w:sz w:val="30"/>
          <w:szCs w:val="30"/>
        </w:rPr>
        <w:t xml:space="preserve">8.  Bounds físicos H_level por embalse</w:t>
      </w:r>
    </w:p>
    <w:p>
      <w:pPr>
        <w:pBdr>
          <w:bottom w:val="single" w:color="2E75B6" w:sz="4" w:space="1"/>
        </w:pBdr>
        <w:spacing w:before="180" w:after="180"/>
      </w:pP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5"/>
        <w:gridCol w:w="2257"/>
        <w:gridCol w:w="2258"/>
      </w:tblGrid>
      <w:tr>
        <w:trPr>
          <w:tblHeader/>
        </w:trPr>
        <w:tc>
          <w:tcPr>
            <w:tcW w:type="dxa" w:w="225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Embalse</w:t>
            </w:r>
          </w:p>
        </w:tc>
        <w:tc>
          <w:tcPr>
            <w:tcW w:type="dxa" w:w="2255"/>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H_min actual</w:t>
            </w:r>
          </w:p>
        </w:tc>
        <w:tc>
          <w:tcPr>
            <w:tcW w:type="dxa" w:w="2257"/>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H_max actual</w:t>
            </w:r>
          </w:p>
        </w:tc>
        <w:tc>
          <w:tcPr>
            <w:tcW w:type="dxa" w:w="2258"/>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Estado</w:t>
            </w:r>
          </w:p>
        </w:tc>
      </w:tr>
      <w:tr>
        <w:tc>
          <w:tcPr>
            <w:tcW w:type="dxa" w:w="2256"/>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E32 · Vado Mojón</w:t>
            </w:r>
          </w:p>
        </w:tc>
        <w:tc>
          <w:tcPr>
            <w:tcW w:type="dxa" w:w="2255"/>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325 m</w:t>
            </w:r>
          </w:p>
        </w:tc>
        <w:tc>
          <w:tcPr>
            <w:tcW w:type="dxa" w:w="2257"/>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375 m</w:t>
            </w:r>
          </w:p>
        </w:tc>
        <w:tc>
          <w:tcPr>
            <w:tcW w:type="dxa" w:w="2258"/>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Arial" w:cs="Arial" w:eastAsia="Arial" w:hAnsi="Arial"/>
                <w:b/>
                <w:bCs/>
                <w:i w:val="false"/>
                <w:iCs w:val="false"/>
                <w:color w:val="C55A11"/>
                <w:sz w:val="20"/>
                <w:szCs w:val="20"/>
              </w:rPr>
              <w:t xml:space="preserve">PROVISIONAL</w:t>
            </w:r>
          </w:p>
        </w:tc>
      </w:tr>
      <w:tr>
        <w:tc>
          <w:tcPr>
            <w:tcW w:type="dxa" w:w="2256"/>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E33 · Sierra Boyera</w:t>
            </w:r>
          </w:p>
        </w:tc>
        <w:tc>
          <w:tcPr>
            <w:tcW w:type="dxa" w:w="2255"/>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450 m</w:t>
            </w:r>
          </w:p>
        </w:tc>
        <w:tc>
          <w:tcPr>
            <w:tcW w:type="dxa" w:w="2257"/>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700 m</w:t>
            </w:r>
          </w:p>
        </w:tc>
        <w:tc>
          <w:tcPr>
            <w:tcW w:type="dxa" w:w="2258"/>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Arial" w:cs="Arial" w:eastAsia="Arial" w:hAnsi="Arial"/>
                <w:b/>
                <w:bCs/>
                <w:i w:val="false"/>
                <w:iCs w:val="false"/>
                <w:color w:val="C55A11"/>
                <w:sz w:val="20"/>
                <w:szCs w:val="20"/>
              </w:rPr>
              <w:t xml:space="preserve">PROVISIONAL</w:t>
            </w:r>
          </w:p>
        </w:tc>
      </w:tr>
      <w:tr>
        <w:tc>
          <w:tcPr>
            <w:tcW w:type="dxa" w:w="2256"/>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E37 · Bembézar</w:t>
            </w:r>
          </w:p>
        </w:tc>
        <w:tc>
          <w:tcPr>
            <w:tcW w:type="dxa" w:w="2255"/>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80 m</w:t>
            </w:r>
          </w:p>
        </w:tc>
        <w:tc>
          <w:tcPr>
            <w:tcW w:type="dxa" w:w="2257"/>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190 m</w:t>
            </w:r>
          </w:p>
        </w:tc>
        <w:tc>
          <w:tcPr>
            <w:tcW w:type="dxa" w:w="2258"/>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Arial" w:cs="Arial" w:eastAsia="Arial" w:hAnsi="Arial"/>
                <w:b/>
                <w:bCs/>
                <w:i w:val="false"/>
                <w:iCs w:val="false"/>
                <w:color w:val="C55A11"/>
                <w:sz w:val="20"/>
                <w:szCs w:val="20"/>
              </w:rPr>
              <w:t xml:space="preserve">PROVISIONAL</w:t>
            </w:r>
          </w:p>
        </w:tc>
      </w:tr>
    </w:tbl>
    <w:p>
      <w:pPr>
        <w:spacing w:before="0" w:after="100"/>
      </w:pPr>
    </w:p>
    <w:p>
      <w:pPr>
        <w:spacing w:before="80" w:after="100"/>
        <w:jc w:val="left"/>
      </w:pPr>
      <w:r>
        <w:rPr>
          <w:rFonts w:ascii="Arial" w:cs="Arial" w:eastAsia="Arial" w:hAnsi="Arial"/>
          <w:b/>
          <w:bCs/>
          <w:i w:val="false"/>
          <w:iCs w:val="false"/>
          <w:color w:val="C55A11"/>
          <w:sz w:val="22"/>
          <w:szCs w:val="22"/>
        </w:rPr>
        <w:t xml:space="preserve">Estado: PARÁMETRO PROVISIONAL — pendiente de calibración con fuente oficial.</w:t>
      </w:r>
    </w:p>
    <w:p>
      <w:pPr>
        <w:spacing w:before="0" w:after="80"/>
      </w:pPr>
    </w:p>
    <w:p>
      <w:pPr>
        <w:spacing w:before="80" w:after="100"/>
        <w:jc w:val="left"/>
      </w:pPr>
      <w:r>
        <w:rPr>
          <w:rFonts w:ascii="Arial" w:cs="Arial" w:eastAsia="Arial" w:hAnsi="Arial"/>
          <w:b w:val="false"/>
          <w:bCs w:val="false"/>
          <w:i w:val="false"/>
          <w:iCs w:val="false"/>
          <w:color w:val="000000"/>
          <w:sz w:val="22"/>
          <w:szCs w:val="22"/>
        </w:rPr>
        <w:t xml:space="preserve">Los valores actuales fueron ajustados sobre los percentiles extremos del dataset disponible (SAIH Guadalquivir 2015-2024) y tienen validez operativa para el MVP. Para la versión de producción institucional, los bounds deben derivarse de las fichas técnicas oficiales de cada presa.</w:t>
      </w:r>
    </w:p>
    <w:p>
      <w:pPr>
        <w:spacing w:before="0" w:after="80"/>
      </w:pPr>
    </w:p>
    <w:p>
      <w:pPr>
        <w:spacing w:before="80" w:after="100"/>
        <w:jc w:val="left"/>
      </w:pPr>
      <w:r>
        <w:rPr>
          <w:rFonts w:ascii="Arial" w:cs="Arial" w:eastAsia="Arial" w:hAnsi="Arial"/>
          <w:b/>
          <w:bCs/>
          <w:i w:val="false"/>
          <w:iCs w:val="false"/>
          <w:color w:val="000000"/>
          <w:sz w:val="22"/>
          <w:szCs w:val="22"/>
        </w:rPr>
        <w:t xml:space="preserve">Método de calibración pendiente: </w:t>
      </w:r>
      <w:r>
        <w:rPr>
          <w:rFonts w:ascii="Arial" w:cs="Arial" w:eastAsia="Arial" w:hAnsi="Arial"/>
          <w:b w:val="false"/>
          <w:bCs w:val="false"/>
          <w:i w:val="false"/>
          <w:iCs w:val="false"/>
          <w:color w:val="000000"/>
          <w:sz w:val="22"/>
          <w:szCs w:val="22"/>
        </w:rPr>
        <w:t xml:space="preserve">H_min = cota mínima de operación (cota de toma más baja) + margen de seguridad. H_max = Nivel Máximo Normal (NMN) según ficha técnica oficial. Fuente: Catálogo Nacional de Presas del Ministerio para la Transición Ecológica, o fichas técnicas de la Confederación Hidrográfica del Guadalquivir.</w:t>
      </w:r>
    </w:p>
    <w:p>
      <w:pPr>
        <w:spacing w:before="0" w:after="200"/>
      </w:pPr>
    </w:p>
    <w:p>
      <w:pPr>
        <w:pStyle w:val="Heading1"/>
        <w:spacing w:before="360" w:after="180"/>
      </w:pPr>
      <w:r>
        <w:rPr>
          <w:rFonts w:ascii="Arial" w:cs="Arial" w:eastAsia="Arial" w:hAnsi="Arial"/>
          <w:b/>
          <w:bCs/>
          <w:color w:val="1F4E79"/>
          <w:sz w:val="30"/>
          <w:szCs w:val="30"/>
        </w:rPr>
        <w:t xml:space="preserve">9.  Estado consolidado de justificación</w:t>
      </w:r>
    </w:p>
    <w:p>
      <w:pPr>
        <w:pBdr>
          <w:bottom w:val="single" w:color="2E75B6" w:sz="4" w:space="1"/>
        </w:pBdr>
        <w:spacing w:before="180" w:after="180"/>
      </w:pP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600"/>
        <w:gridCol w:w="2000"/>
        <w:gridCol w:w="2626"/>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Parámetro</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Valor</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Tipo de justificación</w:t>
            </w:r>
          </w:p>
        </w:tc>
        <w:tc>
          <w:tcPr>
            <w:tcW w:type="dxa" w:w="26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Estado</w:t>
            </w:r>
          </w:p>
        </w:tc>
      </w:tr>
      <w:tr>
        <w:tc>
          <w:tcPr>
            <w:tcW w:type="dxa" w:w="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Pesos W_F/W_L/W_T/W_H</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0.40/0.30/0.20/0.10</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i/>
                <w:iCs/>
                <w:color w:val="000000"/>
                <w:sz w:val="20"/>
                <w:szCs w:val="20"/>
              </w:rPr>
              <w:t xml:space="preserve">AHP (Saaty 1980) + criterio experto</w:t>
            </w:r>
          </w:p>
        </w:tc>
        <w:tc>
          <w:tcPr>
            <w:tcW w:type="dxa" w:w="2626"/>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i w:val="false"/>
                <w:iCs w:val="false"/>
                <w:color w:val="1F5C2E"/>
                <w:sz w:val="20"/>
                <w:szCs w:val="20"/>
              </w:rPr>
              <w:t xml:space="preserve">✓ FUNDAMENTADO</w:t>
            </w:r>
          </w:p>
        </w:tc>
      </w:tr>
      <w:tr>
        <w:tc>
          <w:tcPr>
            <w:tcW w:type="dxa" w:w="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Umbral VETADA</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S_c &lt; 0.50</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i/>
                <w:iCs/>
                <w:color w:val="000000"/>
                <w:sz w:val="20"/>
                <w:szCs w:val="20"/>
              </w:rPr>
              <w:t xml:space="preserve">Principio de dominancia + GUM</w:t>
            </w:r>
          </w:p>
        </w:tc>
        <w:tc>
          <w:tcPr>
            <w:tcW w:type="dxa" w:w="2626"/>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i w:val="false"/>
                <w:iCs w:val="false"/>
                <w:color w:val="1F5C2E"/>
                <w:sz w:val="20"/>
                <w:szCs w:val="20"/>
              </w:rPr>
              <w:t xml:space="preserve">✓ FUNDAMENTADO</w:t>
            </w:r>
          </w:p>
        </w:tc>
      </w:tr>
      <w:tr>
        <w:tc>
          <w:tcPr>
            <w:tcW w:type="dxa" w:w="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Umbral CERTIFICADA</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S_c &gt;= 0.85</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i/>
                <w:iCs/>
                <w:color w:val="000000"/>
                <w:sz w:val="20"/>
                <w:szCs w:val="20"/>
              </w:rPr>
              <w:t xml:space="preserve">Propiedad algebraica del modelo + GUM</w:t>
            </w:r>
          </w:p>
        </w:tc>
        <w:tc>
          <w:tcPr>
            <w:tcW w:type="dxa" w:w="2626"/>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i w:val="false"/>
                <w:iCs w:val="false"/>
                <w:color w:val="1F5C2E"/>
                <w:sz w:val="20"/>
                <w:szCs w:val="20"/>
              </w:rPr>
              <w:t xml:space="preserve">✓ FUNDAMENTADO</w:t>
            </w:r>
          </w:p>
        </w:tc>
      </w:tr>
      <w:tr>
        <w:tc>
          <w:tcPr>
            <w:tcW w:type="dxa" w:w="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FLATLINE_K</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8 horas</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i/>
                <w:iCs/>
                <w:color w:val="000000"/>
                <w:sz w:val="20"/>
                <w:szCs w:val="20"/>
              </w:rPr>
              <w:t xml:space="preserve">Nelson (1984) + ISO 7870-2</w:t>
            </w:r>
          </w:p>
        </w:tc>
        <w:tc>
          <w:tcPr>
            <w:tcW w:type="dxa" w:w="2626"/>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i w:val="false"/>
                <w:iCs w:val="false"/>
                <w:color w:val="1F5C2E"/>
                <w:sz w:val="20"/>
                <w:szCs w:val="20"/>
              </w:rPr>
              <w:t xml:space="preserve">✓ FUNDAMENTADO</w:t>
            </w:r>
          </w:p>
        </w:tc>
      </w:tr>
      <w:tr>
        <w:tc>
          <w:tcPr>
            <w:tcW w:type="dxa" w:w="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FLAT_CRITICAL_H</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48 horas</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i/>
                <w:iCs/>
                <w:color w:val="000000"/>
                <w:sz w:val="20"/>
                <w:szCs w:val="20"/>
              </w:rPr>
              <w:t xml:space="preserve">Ciclos hidrologicos + WMO-No.168</w:t>
            </w:r>
          </w:p>
        </w:tc>
        <w:tc>
          <w:tcPr>
            <w:tcW w:type="dxa" w:w="2626"/>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i w:val="false"/>
                <w:iCs w:val="false"/>
                <w:color w:val="1F5C2E"/>
                <w:sz w:val="20"/>
                <w:szCs w:val="20"/>
              </w:rPr>
              <w:t xml:space="preserve">✓ FUNDAMENTADO</w:t>
            </w:r>
          </w:p>
        </w:tc>
      </w:tr>
      <w:tr>
        <w:tc>
          <w:tcPr>
            <w:tcW w:type="dxa" w:w="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DRIFT_THRESH</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3.0</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i/>
                <w:iCs/>
                <w:color w:val="000000"/>
                <w:sz w:val="20"/>
                <w:szCs w:val="20"/>
              </w:rPr>
              <w:t xml:space="preserve">UCL percentil referencia + CUSUM/EWMA</w:t>
            </w:r>
          </w:p>
        </w:tc>
        <w:tc>
          <w:tcPr>
            <w:tcW w:type="dxa" w:w="2626"/>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i w:val="false"/>
                <w:iCs w:val="false"/>
                <w:color w:val="1F5C2E"/>
                <w:sz w:val="20"/>
                <w:szCs w:val="20"/>
              </w:rPr>
              <w:t xml:space="preserve">✓ FUNDAMENTADO</w:t>
            </w:r>
          </w:p>
        </w:tc>
      </w:tr>
      <w:tr>
        <w:tc>
          <w:tcPr>
            <w:tcW w:type="dxa" w:w="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LAT_CRITICAL_S</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900 s</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i/>
                <w:iCs/>
                <w:color w:val="000000"/>
                <w:sz w:val="20"/>
                <w:szCs w:val="20"/>
              </w:rPr>
              <w:t xml:space="preserve">Protocolo transmision SAIH</w:t>
            </w:r>
          </w:p>
        </w:tc>
        <w:tc>
          <w:tcPr>
            <w:tcW w:type="dxa" w:w="2626"/>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i w:val="false"/>
                <w:iCs w:val="false"/>
                <w:color w:val="1F5C2E"/>
                <w:sz w:val="20"/>
                <w:szCs w:val="20"/>
              </w:rPr>
              <w:t xml:space="preserve">✓ FUNDAMENTADO</w:t>
            </w:r>
          </w:p>
        </w:tc>
      </w:tr>
      <w:tr>
        <w:tc>
          <w:tcPr>
            <w:tcW w:type="dxa" w:w="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GAP_WARN / GAP_FAIL</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0.10 / 0.30</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i/>
                <w:iCs/>
                <w:color w:val="000000"/>
                <w:sz w:val="20"/>
                <w:szCs w:val="20"/>
              </w:rPr>
              <w:t xml:space="preserve">Criterios completitud WMO-No.168</w:t>
            </w:r>
          </w:p>
        </w:tc>
        <w:tc>
          <w:tcPr>
            <w:tcW w:type="dxa" w:w="2626"/>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i w:val="false"/>
                <w:iCs w:val="false"/>
                <w:color w:val="1F5C2E"/>
                <w:sz w:val="20"/>
                <w:szCs w:val="20"/>
              </w:rPr>
              <w:t xml:space="preserve">✓ FUNDAMENTADO</w:t>
            </w:r>
          </w:p>
        </w:tc>
      </w:tr>
      <w:tr>
        <w:tc>
          <w:tcPr>
            <w:tcW w:type="dxa" w:w="40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9</w:t>
            </w:r>
          </w:p>
        </w:tc>
        <w:tc>
          <w:tcPr>
            <w:tcW w:type="dxa" w:w="240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Bounds fisicos H_level</w:t>
            </w:r>
          </w:p>
        </w:tc>
        <w:tc>
          <w:tcPr>
            <w:tcW w:type="dxa" w:w="160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por embalse</w:t>
            </w:r>
          </w:p>
        </w:tc>
        <w:tc>
          <w:tcPr>
            <w:tcW w:type="dxa" w:w="200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left"/>
            </w:pPr>
            <w:r>
              <w:rPr>
                <w:rFonts w:ascii="Arial" w:cs="Arial" w:eastAsia="Arial" w:hAnsi="Arial"/>
                <w:b w:val="false"/>
                <w:bCs w:val="false"/>
                <w:i/>
                <w:iCs/>
                <w:color w:val="000000"/>
                <w:sz w:val="20"/>
                <w:szCs w:val="20"/>
              </w:rPr>
              <w:t xml:space="preserve">Fichas tecnicas oficiales CHG</w:t>
            </w:r>
          </w:p>
        </w:tc>
        <w:tc>
          <w:tcPr>
            <w:tcW w:type="dxa" w:w="2626"/>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Arial" w:cs="Arial" w:eastAsia="Arial" w:hAnsi="Arial"/>
                <w:b/>
                <w:bCs/>
                <w:i w:val="false"/>
                <w:iCs w:val="false"/>
                <w:color w:val="C55A11"/>
                <w:sz w:val="20"/>
                <w:szCs w:val="20"/>
              </w:rPr>
              <w:t xml:space="preserve">⚠ PROVISIONAL</w:t>
            </w:r>
          </w:p>
        </w:tc>
      </w:tr>
    </w:tbl>
    <w:p>
      <w:pPr>
        <w:spacing w:before="0" w:after="200"/>
      </w:pPr>
    </w:p>
    <w:p>
      <w:pPr>
        <w:pBdr>
          <w:bottom w:val="single" w:color="1F4E79" w:sz="4" w:space="1"/>
        </w:pBdr>
        <w:spacing w:before="180" w:after="180"/>
      </w:pPr>
    </w:p>
    <w:p>
      <w:pPr>
        <w:spacing w:before="160" w:after="0"/>
        <w:jc w:val="right"/>
      </w:pPr>
      <w:r>
        <w:rPr>
          <w:rFonts w:ascii="Arial" w:cs="Arial" w:eastAsia="Arial" w:hAnsi="Arial"/>
          <w:i/>
          <w:iCs/>
          <w:color w:val="595959"/>
          <w:sz w:val="18"/>
          <w:szCs w:val="18"/>
        </w:rPr>
        <w:t xml:space="preserve">Reymar (especificación)  ·  Kent Valera Chirinos (implementación)  ·  KAIRI-SIO v1.1  ·  12 de marzo de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2026-03-12T15:55:08.448Z</dcterms:created>
  <dcterms:modified xsi:type="dcterms:W3CDTF">2026-03-12T15:55:08.450Z</dcterms:modified>
</cp:coreProperties>
</file>

<file path=docProps/custom.xml><?xml version="1.0" encoding="utf-8"?>
<Properties xmlns="http://schemas.openxmlformats.org/officeDocument/2006/custom-properties" xmlns:vt="http://schemas.openxmlformats.org/officeDocument/2006/docPropsVTypes"/>
</file>