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i w:val="0"/>
          <w:color w:val="2E5D87"/>
          <w:sz w:val="18"/>
        </w:rPr>
        <w:t>PARSER DIAGNOSTIC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1F2937"/>
          <w:sz w:val="46"/>
        </w:rPr>
        <w:t>当前DOCX解析器原始输出</w:t>
      </w:r>
    </w:p>
    <w:p>
      <w:pPr>
        <w:spacing w:after="360"/>
      </w:pPr>
      <w:r>
        <w:rPr>
          <w:rFonts w:ascii="Microsoft YaHei" w:hAnsi="Microsoft YaHei" w:eastAsia="Microsoft YaHei"/>
          <w:b w:val="0"/>
          <w:i w:val="0"/>
          <w:color w:val="667085"/>
          <w:sz w:val="24"/>
        </w:rPr>
        <w:t>source.docx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解析器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service.core.rag.app.naive.Docx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截取阶段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before naive_merge_docx / structure awareness / chunking / indexing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正文记录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42 条</w:t>
            </w:r>
          </w:p>
        </w:tc>
      </w:tr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表格记录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9"/>
              </w:rPr>
              <w:t>2 条</w:t>
            </w:r>
          </w:p>
        </w:tc>
      </w:tr>
    </w:tbl>
    <w:p>
      <w:pPr>
        <w:spacing w:before="240" w:after="200"/>
        <w:ind w:left="216"/>
      </w:pPr>
      <w:r>
        <w:rPr>
          <w:rFonts w:ascii="Microsoft YaHei" w:hAnsi="Microsoft YaHei" w:eastAsia="Microsoft YaHei"/>
          <w:b/>
          <w:i w:val="0"/>
          <w:color w:val="2E5D87"/>
          <w:sz w:val="21"/>
        </w:rPr>
        <w:t>阅读说明：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下面内容直接来自当前生产链使用的 Docx 解析器，没有执行 naive_merge_docx、结构感知、Chunk、Embedding 或索引。当前解析器原生地将正文和表格分成两个数组，因此本报告也先展示全部正文，再展示全部表格。</w:t>
      </w:r>
    </w:p>
    <w:p>
      <w:pPr>
        <w:pStyle w:val="Heading1"/>
      </w:pPr>
      <w:r>
        <w:t>一、sections 原始输出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001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大理大学研究生学科竞赛管理与奖励办法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002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第一章 总 则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003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第一条  为鼓励我校研究生积极参与各级各类学科竞赛，提升研究生的创新思维、科研能力、实践能力和团队协作精神，充分发挥学科竞赛在研究生培养中的重要作用，推进研究生教育教学改革，使研究生学科竞赛的组织管理工作更加规范化、科学化和制度化，结合我校研究生培养实际，特制定本办法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004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第二章 分类与级别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005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第二条   根据竞赛的主办单位、学术影响力及学校支持重点，将研究生学科竞赛分为以下三类：</w:t>
        <w:br/>
        <w:t xml:space="preserve">    （一）Ⅰ类竞赛：中国研究生创新实践系列大赛、中国国际大学生创新大赛、“挑战杯”全国大学生课外学术科技作品竞赛、“挑战杯”中国大学生创业计划大赛。</w:t>
        <w:br/>
        <w:t xml:space="preserve">    （二）Ⅱ类竞赛：除I类赛事外列入“全国普通高校大学生竞赛分析报告竞赛目录”的赛事（以高等教育学会发布的最新版为准）。</w:t>
        <w:br/>
        <w:t xml:space="preserve">    （三）Ⅲ类竞赛：除Ⅰ、Ⅱ类竞赛外，各学科专业研究生教育指导委员会组织的竞赛项目、省级教育行政主管部门主办的竞赛、学校主办的校级研究生学科竞赛。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006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第三条   竞赛级别分为国家级、省部级、校级三个等级：</w:t>
        <w:br/>
        <w:t xml:space="preserve">    （一）国家级：由国家部委、团中央、全国性学术团体或学会，以及全国研究生教育指导委员会主办，面向全国高校研究生的竞赛；国际级竞赛的中国区选拔赛按国家级竞赛对待。</w:t>
        <w:br/>
        <w:t xml:space="preserve">    （二）省部级：由省级政府、省级教育行政主管部门或其委托的机构主办，面向全省高校研究生的竞赛；国家级竞赛的省级选拔赛及跨省区域性竞赛按省部级竞赛对待。</w:t>
        <w:br/>
        <w:t xml:space="preserve">    （三）校级：由学校主办，面向全校研究生的常设性学科竞赛；省级及以上竞赛的校内选拔赛按校级竞赛对待。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007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第四条   竞赛分类不能清晰界定的，由研究生处组织召开专家会议拟定初步意见，报经分管学校领导批准后认定。 第三章 组织管理机构与职责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008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第五条   研究生学科竞赛工作采取“学校组织、单位承办” 的方式实施组织与管理。研究生处作为研究生学科竞赛的主管单位，主要负责全校研究生学科竞赛的总体规划、组织协调、经费预算、监督考核和整体管理等工作。各培养单位具体负责承办赛事的宣传、选拔（推荐）、培训、组织、经费管理、竞赛总结、资料归档管理等工作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009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第六条  中国国际大学生创新大赛、全国大学生电子商务“创新、创意及创业”挑战赛、“学创杯”全国大学生创业综合模拟大赛、全国大学生创新年会以及目录内其他创新创业类赛事，由学校学生处组织、管理。“挑战杯”全国大学生课外学术科技作品竞赛、“挑战杯”中国大学生创业计划竞赛，由学校团委组织、管理。除上述六类赛事以外的Ⅰ类赛事由研究生处组织、管理；Ⅱ类和Ⅲ类赛事以学院（部、中心）为主组织和管理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010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第四章 指导教师与参赛学生管理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011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第七条   指导教师应具备良好的师德师风和较高的专业水平，由培养单位从校内教师、科研人员及校外行业专家中择优聘任。指导教师的主要职责包括制定培训计划、组织日常培训、指导作品创作、做好赛前辅导、赛后总结整理等。对存在敷衍塞责、组织不力、师德问题等情形的，可予以撤换并取消2年指导教师资格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012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第八条   凡我校在籍研究生，经培养单位选拔推荐后均可报名参加各类学科竞赛。鼓励跨学科、跨专业组队参赛。对于省级及以上重要赛事，原则上应组织校级选拔赛，择优推荐。参赛学生享有获得专业指导、使用学校资源、申请经费支持、获得奖励等权利，同时应遵守竞赛规则和学校规定，服从管理，按时参加培训比赛，恪守学术道德。经选拔确定参赛后无正当理由不得擅自退出，擅自退出的需自行承担已发生费用。对存在学术不端行为的，取消参赛资格和所获奖项，并按学校相关规定处理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013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第九条   为推动高级别奖项争创工作提质增效，教师指导工作量核算及绩效核发以所指导成果的获奖等次为依据。第一指导教师指导成果按获奖等次排序的前5项，认定指导工作量并核发相应绩效，自第6项起仅认定工作量不核发绩效；第二指导教师及后续位次指导教师所指导的成果，均不纳入工作量认定及绩效发放范围；工作量认定及绩效核发的具体标准，参照《大理大学研究生教学工作量核算标准》执行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014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第五章 经费保障与成果管理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015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第十条  竞赛经费的筹集实行“三个一部分”的办法，学校支持一部分，培养单位配套一部分，积极争取行业、企业及相关组织赞助一部分。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016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第十一条  学生处、校团委对本文第六条的相关赛事经费进行统筹安排；研究生处重点对Ⅰ类中的中国研究生创新实践系列大赛进行资助；Ⅱ和Ⅲ类赛事的经费以培养单位为主统筹负责，鼓励多渠道筹措竞赛经费。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017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第十二条  研究生处支持的经费实行先行审批制，由培养单位在赛前提出资助申请，经研究生处审批，实行包干使用或按实报销。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018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第十三条 竞赛经费的使用严格按照学校有关财务制度执行，遵循必需、节约、有效的原则，适用范围仅限于备赛和参赛过程有关的费用，如竞赛报名费、外聘专家培训费、外出参加比赛的差旅费，必要的耗材费、资料费、文印费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019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第十四条  研究生处支持的经费报销，由首席指导教师填写经费报销材料，由培养单位主要负责人签署意见，报研究生处签署意见后，在财务处办理相关财务报销手续。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020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第十五条   对于获得重大奖项的团队和个人，学校组织专题报道，扩大示范效应。鼓励将竞赛成果转化为教学资源，如案例库、实验项目、课程设计等，推动教学改革。鼓励参赛团队在竞赛成果基础上，进一步开展科学研究、申请专利、发表论文、孵化创业项目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021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第六章 奖励办法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022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第十六条  对指导教师的奖励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023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（一）研究生处对I类、Ⅱ类、Ⅲ类赛事的国赛和省赛按《大理大学研究生教学工作量核算标准》认定指导工作量及核发绩效，具体按第九条执行。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024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（二）研究生处对I类、Ⅱ类、Ⅲ类赛事的国赛、省赛、校赛按申报职称文件予以审核认定其获奖事实。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025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（三）培养单位可制定相关奖励或激励办法执行。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026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第十七条  对参赛研究生的奖励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027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（一）参加学科竞赛获奖的研究生可依据《大理大学研究生学术创新成果认定办法》，经培养单位学位评定分委会核准，报研究生处复核后给予相应的学术创新成果认定。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028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（二）凡入选参赛团队的研究生，在赛前培训及参赛过程中，可申请补课或延长作业提交时间；若竞赛时间与课程考试冲突，可凭培养单位证明申请缓考，保留平时成绩。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029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（三）学校对列入奖励范围的I、Ⅱ类学科竞赛，按相应类别和级别进行奖励，“国创、三创、学创、创年”及目录内的其他创新创业类赛事由学生处认定级别、核发奖金，“挑战杯”类赛事由校团委核发奖金，其余I类、Ⅱ类、Ⅲ类赛事由研究生处认定级别、核发奖金。学科竞赛分类定级的依据如下：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030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对于同一项目参加同一赛事的，按参加的赛事所获最高级别奖项核计奖励，不重复计算。对于既适用本奖励办法也适用校内其他奖励办法的获奖研究生（个人和团队），将按照奖励额度较高的标准给予奖励，不作重复奖励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031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（四）在I类、Ⅱ类和Ⅲ类赛事中获奖励研究生/团体按同一赛事最高奖项打包奖金奖励，团队自行分配，奖励标准参见下表。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032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学科竞赛奖励标准表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033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单位：元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034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若奖项中未设特等奖奖励，一等奖自动上升等级，其他奖项依次类推。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035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第十八条  奖金分配及发放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036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奖金分配：学科竞赛奖励的对象为获奖研究生（个人或团队），若团队获奖，奖金的分配权归第一顺位研究生，第一顺位研究生获得的奖金不得少于奖励总金额的50%，其余奖金按参与人的顺序依次递减分配。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037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奖金发放：各相关培养单位依据本奖励办法，于每年6月、12月分2次上报学科竞赛情况至归口部门；由归口部门对竞赛的级别与类别、竞赛奖励标准等进行审定后，归口部门根据表彰方案的审批情况，半年发放一次奖金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038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第十九条  各培养单位可根据本办法，结合本培养单位学科专业特点和实际情况，制定具体的实施细则，报研究生处备案后执行。院级配套办法的奖励标准不得低于本办法，经费由培养单位自行承担。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039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第七章 附 则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040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第二十条  本办法由研究生处负责解释。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041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第二十一条  本办法未尽事宜，参照学校其他相关规定执行。研究生与本科生混合组队参赛的，按参赛负责人所在培养层次适用的管理办法执行；无法确定主要负责人的，由培养单位协商确定适用办法。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667085"/>
          <w:sz w:val="20"/>
        </w:rPr>
        <w:t>Section 042</w:t>
      </w:r>
    </w:p>
    <w:p>
      <w:pPr>
        <w:keepLines w:val="0"/>
        <w:spacing w:after="16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第二十二条  本办法自发布之日起执行。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二、tables 原始输出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注意：当前解析器返回的表格不含其在DOCX正文中的原始位置，position 也为空。因此无法仅凭该输出把表格放回正确的章节。</w:t>
      </w:r>
    </w:p>
    <w:p>
      <w:pPr>
        <w:pStyle w:val="Heading2"/>
      </w:pPr>
      <w:r>
        <w:t>Table 001</w:t>
      </w:r>
    </w:p>
    <w:p>
      <w:r>
        <w:rPr>
          <w:rFonts w:ascii="Microsoft YaHei" w:hAnsi="Microsoft YaHei" w:eastAsia="Microsoft YaHei"/>
          <w:b w:val="0"/>
          <w:i w:val="0"/>
          <w:color w:val="667085"/>
          <w:sz w:val="18"/>
        </w:rPr>
        <w:t>position='' · has_image=False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100"/>
        <w:gridCol w:w="1650"/>
        <w:gridCol w:w="271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序号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竞赛名称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类别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备注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中国研究生创新实践系列大赛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国家级I类赛事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对应的省级赛为省级I类赛事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中国国际大学生创新大赛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国家级I类赛事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对应的省级赛为省级I类赛事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“挑战杯”全国大学生课外学术科技作品竞赛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国家级I类赛事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对应的省级赛为省级I类赛事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“挑战杯”中国大学生创业计划大赛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国家级I类赛事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对应的省级赛为省级I类赛事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“全国普通高校大学生竞赛分析报告竞赛目录”内赛事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国家级Ⅱ类赛事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对应的省级赛为省级Ⅱ类赛事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各学科专业研究生教育指导委员会组织的竞赛项目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国家级Ⅲ类赛事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667085"/>
          <w:sz w:val="18"/>
        </w:rPr>
        <w:t>解析器原始HTML：</w:t>
      </w:r>
    </w:p>
    <w:p>
      <w:pPr>
        <w:spacing w:after="160" w:before="60" w:line="240" w:lineRule="auto"/>
        <w:shd w:fill="F7F8FA"/>
        <w:ind w:left="115" w:right="115"/>
      </w:pPr>
      <w:r>
        <w:rPr>
          <w:rFonts w:ascii="Consolas" w:hAnsi="Consolas" w:eastAsia="Consolas"/>
          <w:b w:val="0"/>
          <w:i w:val="0"/>
          <w:color w:val="1F2937"/>
          <w:sz w:val="15"/>
        </w:rPr>
        <w:t>&lt;table&gt;&lt;tr&gt;&lt;td&gt;序号&lt;/td&gt;&lt;td&gt;竞赛名称&lt;/td&gt;&lt;td&gt;类别&lt;/td&gt;&lt;td&gt;备注&lt;/td&gt;&lt;/tr&gt;&lt;tr&gt;&lt;td&gt;1&lt;/td&gt;&lt;td&gt;中国研究生创新实践系列大赛&lt;/td&gt;&lt;td&gt;国家级I类赛事&lt;/td&gt;&lt;td&gt;对应的省级赛为省级I类赛事&lt;/td&gt;&lt;/tr&gt;&lt;tr&gt;&lt;td&gt;2&lt;/td&gt;&lt;td&gt;中国国际大学生创新大赛&lt;/td&gt;&lt;td&gt;国家级I类赛事&lt;/td&gt;&lt;td&gt;对应的省级赛为省级I类赛事&lt;/td&gt;&lt;/tr&gt;&lt;tr&gt;&lt;td&gt;3&lt;/td&gt;&lt;td&gt;“挑战杯”全国大学生课外学术科技作品竞赛&lt;/td&gt;&lt;td&gt;国家级I类赛事&lt;/td&gt;&lt;td&gt;对应的省级赛为省级I类赛事&lt;/td&gt;&lt;/tr&gt;&lt;tr&gt;&lt;td&gt;4&lt;/td&gt;&lt;td&gt;“挑战杯”中国大学生创业计划大赛&lt;/td&gt;&lt;td&gt;国家级I类赛事&lt;/td&gt;&lt;td&gt;对应的省级赛为省级I类赛事&lt;/td&gt;&lt;/tr&gt;&lt;tr&gt;&lt;td&gt;5&lt;/td&gt;&lt;td&gt;“全国普通高校大学生竞赛分析报告竞赛目录”内赛事&lt;/td&gt;&lt;td&gt;国家级Ⅱ类赛事&lt;/td&gt;&lt;td&gt;对应的省级赛为省级Ⅱ类赛事&lt;/td&gt;&lt;/tr&gt;&lt;tr&gt;&lt;td&gt;6&lt;/td&gt;&lt;td&gt;各学科专业研究生教育指导委员会组织的竞赛项目&lt;/td&gt;&lt;td&gt;国家级Ⅲ类赛事&lt;/td&gt;&lt;td&gt;&lt;/td&gt;&lt;/tr&gt;&lt;/table&gt;</w:t>
      </w:r>
    </w:p>
    <w:p>
      <w:pPr>
        <w:pStyle w:val="Heading2"/>
      </w:pPr>
      <w:r>
        <w:t>Table 002</w:t>
      </w:r>
    </w:p>
    <w:p>
      <w:r>
        <w:rPr>
          <w:rFonts w:ascii="Microsoft YaHei" w:hAnsi="Microsoft YaHei" w:eastAsia="Microsoft YaHei"/>
          <w:b w:val="0"/>
          <w:i w:val="0"/>
          <w:color w:val="667085"/>
          <w:sz w:val="18"/>
        </w:rPr>
        <w:t>position='' · has_image=False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000"/>
        <w:gridCol w:w="1472"/>
        <w:gridCol w:w="1472"/>
        <w:gridCol w:w="1472"/>
        <w:gridCol w:w="1472"/>
        <w:gridCol w:w="1472"/>
      </w:tblGrid>
      <w:t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类别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级别</w:t>
            </w:r>
          </w:p>
        </w:tc>
        <w:tc>
          <w:tcPr>
            <w:tcW w:type="dxa" w:w="1472"/>
            <w:gridSpan w:val="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学生奖励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类别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级别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特等奖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一等奖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二等奖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三等奖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I类赛事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国家级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50000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30000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I类赛事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省级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无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Ⅱ类赛事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国家级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30000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Ⅱ类赛事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省级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500</w:t>
            </w:r>
          </w:p>
        </w:tc>
        <w:tc>
          <w:tcPr>
            <w:tcW w:type="dxa" w:w="1472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无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Ⅲ类赛事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国家级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1000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500</w:t>
            </w:r>
          </w:p>
        </w:tc>
        <w:tc>
          <w:tcPr>
            <w:tcW w:type="dxa" w:w="1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</w:tbl>
    <w:p>
      <w:pPr>
        <w:spacing w:before="160" w:after="60"/>
      </w:pPr>
      <w:r>
        <w:rPr>
          <w:rFonts w:ascii="Microsoft YaHei" w:hAnsi="Microsoft YaHei" w:eastAsia="Microsoft YaHei"/>
          <w:b/>
          <w:i w:val="0"/>
          <w:color w:val="667085"/>
          <w:sz w:val="18"/>
        </w:rPr>
        <w:t>解析器原始HTML：</w:t>
      </w:r>
    </w:p>
    <w:p>
      <w:pPr>
        <w:spacing w:after="160" w:before="60" w:line="240" w:lineRule="auto"/>
        <w:shd w:fill="F7F8FA"/>
        <w:ind w:left="115" w:right="115"/>
      </w:pPr>
      <w:r>
        <w:rPr>
          <w:rFonts w:ascii="Consolas" w:hAnsi="Consolas" w:eastAsia="Consolas"/>
          <w:b w:val="0"/>
          <w:i w:val="0"/>
          <w:color w:val="1F2937"/>
          <w:sz w:val="15"/>
        </w:rPr>
        <w:t>&lt;table&gt;&lt;tr&gt;&lt;td&gt;类别&lt;/td&gt;&lt;td&gt;级别&lt;/td&gt;&lt;td colspan='5'&gt;学生奖励&lt;/td&gt;&lt;/tr&gt;&lt;tr&gt;&lt;td&gt;类别&lt;/td&gt;&lt;td&gt;级别&lt;/td&gt;&lt;td&gt;特等奖&lt;/td&gt;&lt;td&gt;一等奖&lt;/td&gt;&lt;td&gt;二等奖&lt;/td&gt;&lt;td&gt;三等奖&lt;/td&gt;&lt;/tr&gt;&lt;tr&gt;&lt;td&gt;I类赛事&lt;/td&gt;&lt;td&gt;国家级&lt;/td&gt;&lt;td&gt;50000&lt;/td&gt;&lt;td&gt;30000&lt;/td&gt;&lt;td&gt;10000&lt;/td&gt;&lt;td&gt;3000&lt;/td&gt;&lt;/tr&gt;&lt;tr&gt;&lt;td&gt;I类赛事&lt;/td&gt;&lt;td&gt;省级&lt;/td&gt;&lt;td&gt;3000&lt;/td&gt;&lt;td&gt;1000&lt;/td&gt;&lt;td&gt;500&lt;/td&gt;&lt;td&gt;无&lt;/td&gt;&lt;/tr&gt;&lt;tr&gt;&lt;td&gt;Ⅱ类赛事&lt;/td&gt;&lt;td&gt;国家级&lt;/td&gt;&lt;td&gt;30000&lt;/td&gt;&lt;td&gt;10000&lt;/td&gt;&lt;td&gt;2000&lt;/td&gt;&lt;td&gt;1000&lt;/td&gt;&lt;/tr&gt;&lt;tr&gt;&lt;td&gt;Ⅱ类赛事&lt;/td&gt;&lt;td&gt;省级&lt;/td&gt;&lt;td&gt;1000&lt;/td&gt;&lt;td&gt;500&lt;/td&gt;&lt;td colspan='2'&gt;无&lt;/td&gt;&lt;/tr&gt;&lt;tr&gt;&lt;td&gt;Ⅲ类赛事&lt;/td&gt;&lt;td&gt;国家级&lt;/td&gt;&lt;td&gt;10000&lt;/td&gt;&lt;td&gt;5000&lt;/td&gt;&lt;td&gt;1000&lt;/td&gt;&lt;td&gt;500&lt;/td&gt;&lt;/tr&gt;&lt;/table&gt;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>FinInsRAG · Parser Diagnostic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 w:val="0"/>
        <w:i w:val="0"/>
        <w:color w:val="667085"/>
        <w:sz w:val="18"/>
      </w:rPr>
      <w:t>当前DOCX解析器原始输出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D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670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