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EIE</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August</w:t>
      </w:r>
      <w:r>
        <w:t xml:space="preserve"> </w:t>
      </w:r>
      <w:r>
        <w:t xml:space="preserve">sitrep</w:t>
      </w:r>
      <w:r>
        <w:t xml:space="preserve"> </w:t>
      </w:r>
      <w:r>
        <w:t xml:space="preserve">inputs</w:t>
      </w:r>
    </w:p>
    <w:p>
      <w:pPr>
        <w:pStyle w:val="Date"/>
      </w:pPr>
      <w:r>
        <w:t xml:space="preserve">30</w:t>
      </w:r>
      <w:r>
        <w:t xml:space="preserve"> </w:t>
      </w:r>
      <w:r>
        <w:t xml:space="preserve">October</w:t>
      </w:r>
      <w:r>
        <w:t xml:space="preserve"> </w:t>
      </w:r>
      <w:r>
        <w:t xml:space="preserve">2023</w:t>
      </w:r>
    </w:p>
    <w:bookmarkStart w:id="20" w:name="sitrep"/>
    <w:p>
      <w:pPr>
        <w:pStyle w:val="Heading1"/>
      </w:pPr>
      <w:r>
        <w:t xml:space="preserve">Sitrep</w:t>
      </w:r>
    </w:p>
    <w:p>
      <w:pPr>
        <w:pStyle w:val="FirstParagraph"/>
      </w:pPr>
      <w:r>
        <w:t xml:space="preserve">A total of 24,594 children (10,711 girls and 13,883 boys) have accessed basic education with UNICEF support during September 2023 in the counties of Marsabit, Tana River, Turkana.</w:t>
      </w:r>
    </w:p>
    <w:p>
      <w:pPr>
        <w:pStyle w:val="BodyText"/>
      </w:pPr>
      <w:r>
        <w:t xml:space="preserve">Furthermore, 0 students (0 girls and 0 boys) in County benefited from distribution of school bags and education kits to support continuation of their learning.</w:t>
      </w:r>
    </w:p>
    <w:p>
      <w:pPr>
        <w:pStyle w:val="BodyText"/>
      </w:pPr>
      <w:r>
        <w:t xml:space="preserve">To enhance quality of learning and support newly enrolled learners in drought affected counties, 470 teachers (196 men and 274 women) were trained on remedial and catchup pedagogical approaches, Mental Health and Psychosocial Support (MHPSS), Gender-Based Violence (GBV) and Guidance and Counselling (G&amp;C).</w:t>
      </w:r>
    </w:p>
    <w:p>
      <w:pPr>
        <w:pStyle w:val="BodyText"/>
      </w:pPr>
      <w:r>
        <w:t xml:space="preserve">UNICEF also supported the training of 48 (41 men and 7 women) members of the Enrolment Drive Committees (EDCs) and school Board of Management (BoM) in Wajir county on life skills, child safeguarding and their roles/responsibilities, child protection and referral mechanisms.</w:t>
      </w:r>
    </w:p>
    <w:p>
      <w:pPr>
        <w:pStyle w:val="BodyText"/>
      </w:pPr>
      <w:r>
        <w:t xml:space="preserve">Furthermore, 0 children (0 girls and 0 boys) in were supported to access mentorship and life skills sessions in counties, strengthening their resilience and their coping mechanisms to the impact of drought.</w:t>
      </w:r>
    </w:p>
    <w:p>
      <w:r>
        <w:br w:type="page"/>
      </w:r>
    </w:p>
    <w:bookmarkEnd w:id="20"/>
    <w:bookmarkStart w:id="23"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133,272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83,698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321,081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269,966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26.73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142,118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23.66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73,987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44,429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178,963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148,603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127,413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195,213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176,526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32.50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55,622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47,388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93,704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85,470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31.20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96,259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36.20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Start w:id="22" w:name="downloads"/>
    <w:p>
      <w:pPr>
        <w:pStyle w:val="Heading2"/>
      </w:pPr>
      <w:r>
        <w:t xml:space="preserve">Downloads</w:t>
      </w:r>
    </w:p>
    <w:p>
      <w:pPr>
        <w:pStyle w:val="FirstParagraph"/>
      </w:pPr>
      <w:hyperlink r:id="rId21">
        <w:r>
          <w:rPr>
            <w:rStyle w:val="Hyperlink"/>
          </w:rPr>
          <w:t xml:space="preserve">5ws dataset</w:t>
        </w:r>
      </w:hyperlink>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kenya-eie-wg/eie_wg_5ws/blob/main/data/eie_5ws.csv"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kenya-eie-wg/eie_wg_5ws/blob/main/data/eie_5w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August sitrep inputs</dc:title>
  <dc:creator/>
  <cp:keywords/>
  <dcterms:created xsi:type="dcterms:W3CDTF">2023-11-13T04:54:45Z</dcterms:created>
  <dcterms:modified xsi:type="dcterms:W3CDTF">2023-11-13T04:54:45Z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30 October 2023</vt:lpwstr>
  </property>
  <property fmtid="{D5CDD505-2E9C-101B-9397-08002B2CF9AE}" pid="4" name="output">
    <vt:lpwstr/>
  </property>
</Properties>
</file>