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6.png" ContentType="image/png"/>
  <Override PartName="/word/media/rId53.png" ContentType="image/png"/>
  <Override PartName="/word/media/rId59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Structure-based functional annotation of hypothetical proteins using the AlphaFold Database and TM-align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2d541942196f82a2883fccbb769b891731fb52e"/>
    <w:p>
      <w:pPr>
        <w:pStyle w:val="Heading1"/>
      </w:pPr>
      <w:r>
        <w:t xml:space="preserve">Structure-based functional annotation of hypothetical proteins using the AlphaFold Database and TM-align: a laptop-scale, reproducible pipeline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[Student Name]¹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¹[School / Programme], [City, Country]</w:t>
      </w:r>
      <w:r>
        <w:t xml:space="preserve"> </w:t>
      </w:r>
      <w:r>
        <w:rPr>
          <w:b/>
          <w:bCs/>
        </w:rPr>
        <w:t xml:space="preserve">Correspondence:</w:t>
      </w:r>
      <w:r>
        <w:t xml:space="preserve"> </w:t>
      </w:r>
      <w:r>
        <w:t xml:space="preserve">[email]</w:t>
      </w:r>
    </w:p>
    <w:p>
      <w:pPr>
        <w:pStyle w:val="BodyText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Methods / proof-of-concept (pre-print draft)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2026-07-09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Every sequenced genome contains proteins annotated only as</w:t>
      </w:r>
      <w:r>
        <w:t xml:space="preserve"> </w:t>
      </w:r>
      <w:r>
        <w:t xml:space="preserve">“uncharacterized”</w:t>
      </w:r>
      <w:r>
        <w:t xml:space="preserve">,</w:t>
      </w:r>
      <w:r>
        <w:t xml:space="preserve"> </w:t>
      </w:r>
      <w:r>
        <w:t xml:space="preserve">“hypothetical”</w:t>
      </w:r>
      <w:r>
        <w:t xml:space="preserve">, or</w:t>
      </w:r>
      <w:r>
        <w:t xml:space="preserve"> </w:t>
      </w:r>
      <w:r>
        <w:t xml:space="preserve">“domain of unknown function”</w:t>
      </w:r>
      <w:r>
        <w:t xml:space="preserve">: their amino-acid sequence matched no characterised</w:t>
      </w:r>
      <w:r>
        <w:t xml:space="preserve"> </w:t>
      </w:r>
      <w:r>
        <w:t xml:space="preserve">protein, so no biological function was assigned. Because three-dimensional structure is conserved far</w:t>
      </w:r>
      <w:r>
        <w:t xml:space="preserve"> </w:t>
      </w:r>
      <w:r>
        <w:t xml:space="preserve">longer than sequence, a protein can closely resemble a well-studied enzyme in shape while being</w:t>
      </w:r>
      <w:r>
        <w:t xml:space="preserve"> </w:t>
      </w:r>
      <w:r>
        <w:t xml:space="preserve">undetectable by sequence search. The public release of &gt;200 million predicted structures in the</w:t>
      </w:r>
      <w:r>
        <w:t xml:space="preserve"> </w:t>
      </w:r>
      <w:r>
        <w:t xml:space="preserve">AlphaFold Protein Structure Database (AlphaFold DB) makes it possible, in principle, to re-examine</w:t>
      </w:r>
      <w:r>
        <w:t xml:space="preserve"> </w:t>
      </w:r>
      <w:r>
        <w:t xml:space="preserve">these proteins at the level of fold rather than sequence.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We present</w:t>
      </w:r>
      <w:r>
        <w:t xml:space="preserve"> </w:t>
      </w:r>
      <w:r>
        <w:rPr>
          <w:i/>
          <w:iCs/>
        </w:rPr>
        <w:t xml:space="preserve">Protein Function Rescue</w:t>
      </w:r>
      <w:r>
        <w:t xml:space="preserve">, an open, reproducible pipeline that (i) retrieves an</w:t>
      </w:r>
      <w:r>
        <w:t xml:space="preserve"> </w:t>
      </w:r>
      <w:r>
        <w:t xml:space="preserve">organism’s AlphaFold models, (ii) filters them by the AlphaFold per-residue confidence (pLDDT),</w:t>
      </w:r>
      <w:r>
        <w:t xml:space="preserve"> </w:t>
      </w:r>
      <w:r>
        <w:t xml:space="preserve">(iii) identifies the currently unannotated proteins from their UniProt records, (iv) searches each</w:t>
      </w:r>
      <w:r>
        <w:t xml:space="preserve"> </w:t>
      </w:r>
      <w:r>
        <w:t xml:space="preserve">against a reference library of functionally characterised enzymes using TM-align, (v) characterises</w:t>
      </w:r>
      <w:r>
        <w:t xml:space="preserve"> </w:t>
      </w:r>
      <w:r>
        <w:t xml:space="preserve">the best hits’ putative binding cavities with a geometric (LIGSITE-style) pocket detector, and</w:t>
      </w:r>
      <w:r>
        <w:t xml:space="preserve"> </w:t>
      </w:r>
      <w:r>
        <w:t xml:space="preserve">(vi) ranks the resulting candidate function assignments with a transparent composite score. The entire</w:t>
      </w:r>
      <w:r>
        <w:t xml:space="preserve"> </w:t>
      </w:r>
      <w:r>
        <w:t xml:space="preserve">workflow runs on a commodity laptop with no GPU and no compiled dependencies, and ships with a static</w:t>
      </w:r>
      <w:r>
        <w:t xml:space="preserve"> </w:t>
      </w:r>
      <w:r>
        <w:t xml:space="preserve">web viewer for inspecting each candidate in 3D. In a pilot on nine unannotated</w:t>
      </w:r>
      <w:r>
        <w:t xml:space="preserve"> </w:t>
      </w:r>
      <w:r>
        <w:rPr>
          <w:i/>
          <w:iCs/>
        </w:rPr>
        <w:t xml:space="preserve">Mycobacterium</w:t>
      </w:r>
      <w:r>
        <w:rPr>
          <w:i/>
          <w:iCs/>
        </w:rPr>
        <w:t xml:space="preserve"> </w:t>
      </w:r>
      <w:r>
        <w:rPr>
          <w:i/>
          <w:iCs/>
        </w:rPr>
        <w:t xml:space="preserve">tuberculosis</w:t>
      </w:r>
      <w:r>
        <w:t xml:space="preserve"> </w:t>
      </w:r>
      <w:r>
        <w:t xml:space="preserve">proteins searched against a 119-protein reference library, four proteins matched a known</w:t>
      </w:r>
      <w:r>
        <w:t xml:space="preserve"> </w:t>
      </w:r>
      <w:r>
        <w:t xml:space="preserve">fold at TM-score ≥ 0.5. The strongest candidate, an</w:t>
      </w:r>
      <w:r>
        <w:t xml:space="preserve"> </w:t>
      </w:r>
      <w:r>
        <w:t xml:space="preserve">“uncharacterized FAD-linked oxidoreductase”</w:t>
      </w:r>
      <w:r>
        <w:t xml:space="preserve"> </w:t>
      </w:r>
      <w:r>
        <w:t xml:space="preserve">(UniProt P9WIT1), matched a D-2-hydroxyglutarate dehydrogenase at TM-score 0.90 — a match consistent</w:t>
      </w:r>
      <w:r>
        <w:t xml:space="preserve"> </w:t>
      </w:r>
      <w:r>
        <w:t xml:space="preserve">with, and refining, its previously inferred enzyme class. On an independent benchmark of 227 enzymes</w:t>
      </w:r>
      <w:r>
        <w:t xml:space="preserve"> </w:t>
      </w:r>
      <w:r>
        <w:t xml:space="preserve">across 29 families and six EC classes, leave-one-out recovery assigned the exact four-level EC number</w:t>
      </w:r>
      <w:r>
        <w:t xml:space="preserve"> </w:t>
      </w:r>
      <w:r>
        <w:t xml:space="preserve">correctly in 96.5 % of cases; this matched a simple pairwise sequence-identity baseline overall (which</w:t>
      </w:r>
      <w:r>
        <w:t xml:space="preserve"> </w:t>
      </w:r>
      <w:r>
        <w:t xml:space="preserve">reached 93.8 % at the exact-reaction level) and demonstrated clear advantages for several remote-homology</w:t>
      </w:r>
      <w:r>
        <w:t xml:space="preserve"> </w:t>
      </w:r>
      <w:r>
        <w:t xml:space="preserve">cases, recovering correct functions in the sub-30 %-identity</w:t>
      </w:r>
      <w:r>
        <w:t xml:space="preserve"> </w:t>
      </w:r>
      <w:r>
        <w:t xml:space="preserve">“twilight zone”</w:t>
      </w:r>
      <w:r>
        <w:t xml:space="preserve"> </w:t>
      </w:r>
      <w:r>
        <w:t xml:space="preserve">(including metallo-</w:t>
      </w:r>
      <w:r>
        <w:t xml:space="preserve"> </w:t>
      </w:r>
      <w:r>
        <w:t xml:space="preserve">β-lactamases and a lipase and catalase at low identity) where pairwise sequence comparison is</w:t>
      </w:r>
      <w:r>
        <w:t xml:space="preserve"> </w:t>
      </w:r>
      <w:r>
        <w:t xml:space="preserve">unreliable; at the default TM-score threshold of 0.5 precision was 0.982.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Structure-based triage recovers specific, testable functional hypotheses for proteins</w:t>
      </w:r>
      <w:r>
        <w:t xml:space="preserve"> </w:t>
      </w:r>
      <w:r>
        <w:t xml:space="preserve">that sequence-based annotation leaves blank, and can be performed at classroom/laptop scale. The method</w:t>
      </w:r>
      <w:r>
        <w:t xml:space="preserve"> </w:t>
      </w:r>
      <w:r>
        <w:t xml:space="preserve">is presented as a hypothesis-generating tool; all predictions require experimental validation.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AlphaFold; structural bioinformatics; protein function prediction; hypothetical proteins;</w:t>
      </w:r>
      <w:r>
        <w:t xml:space="preserve"> </w:t>
      </w:r>
      <w:r>
        <w:t xml:space="preserve">TM-align; binding-pocket detection;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; remote homology.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gap between the number of known protein</w:t>
      </w:r>
      <w:r>
        <w:t xml:space="preserve"> </w:t>
      </w:r>
      <w:r>
        <w:rPr>
          <w:i/>
          <w:iCs/>
        </w:rPr>
        <w:t xml:space="preserve">sequences</w:t>
      </w:r>
      <w:r>
        <w:t xml:space="preserve"> </w:t>
      </w:r>
      <w:r>
        <w:t xml:space="preserve">and the number of proteins with an experimentally</w:t>
      </w:r>
      <w:r>
        <w:t xml:space="preserve"> </w:t>
      </w:r>
      <w:r>
        <w:t xml:space="preserve">established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continues to widen. A large fraction of every proteome — often 25–50 % — consists</w:t>
      </w:r>
      <w:r>
        <w:t xml:space="preserve"> </w:t>
      </w:r>
      <w:r>
        <w:t xml:space="preserve">of proteins with no assigned function, catalogued under labels such as</w:t>
      </w:r>
      <w:r>
        <w:t xml:space="preserve"> </w:t>
      </w:r>
      <w:r>
        <w:t xml:space="preserve">“hypothetical protein”</w:t>
      </w:r>
      <w:r>
        <w:t xml:space="preserve">,</w:t>
      </w:r>
      <w:r>
        <w:t xml:space="preserve"> </w:t>
      </w:r>
      <w:r>
        <w:t xml:space="preserve">“uncharacterized protein”</w:t>
      </w:r>
      <w:r>
        <w:t xml:space="preserve">, or</w:t>
      </w:r>
      <w:r>
        <w:t xml:space="preserve"> </w:t>
      </w:r>
      <w:r>
        <w:t xml:space="preserve">“domain of unknown function (DUF)”</w:t>
      </w:r>
      <w:r>
        <w:t xml:space="preserve"> </w:t>
      </w:r>
      <w:r>
        <w:t xml:space="preserve">[1]. This</w:t>
      </w:r>
      <w:r>
        <w:t xml:space="preserve"> </w:t>
      </w:r>
      <w:r>
        <w:t xml:space="preserve">“dark proteome”</w:t>
      </w:r>
      <w:r>
        <w:t xml:space="preserve"> </w:t>
      </w:r>
      <w:r>
        <w:t xml:space="preserve">is not</w:t>
      </w:r>
      <w:r>
        <w:t xml:space="preserve"> </w:t>
      </w:r>
      <w:r>
        <w:t xml:space="preserve">biological noise: it includes enzymes, transporters, and regulators of real physiological importance,</w:t>
      </w:r>
      <w:r>
        <w:t xml:space="preserve"> </w:t>
      </w:r>
      <w:r>
        <w:t xml:space="preserve">and in pathogens it may contain untapped drug or vaccine targets [1].</w:t>
      </w:r>
    </w:p>
    <w:p>
      <w:pPr>
        <w:pStyle w:val="BodyText"/>
      </w:pPr>
      <w:r>
        <w:t xml:space="preserve">Historically, function has been transferred between proteins by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homology. This approach</w:t>
      </w:r>
      <w:r>
        <w:t xml:space="preserve"> </w:t>
      </w:r>
      <w:r>
        <w:t xml:space="preserve">fails precisely where it is most needed: once two proteins have diverged past roughly 20–25 % sequence</w:t>
      </w:r>
      <w:r>
        <w:t xml:space="preserve"> </w:t>
      </w:r>
      <w:r>
        <w:t xml:space="preserve">identity, homology becomes difficult to detect from sequence alone, even though the proteins may retain</w:t>
      </w:r>
      <w:r>
        <w:t xml:space="preserve"> </w:t>
      </w:r>
      <w:r>
        <w:t xml:space="preserve">the same fold and function. Structure is empirically three to ten times more conserved than sequence</w:t>
      </w:r>
      <w:r>
        <w:t xml:space="preserve"> </w:t>
      </w:r>
      <w:r>
        <w:t xml:space="preserve">[2], so structural comparison can recover relationships that sequence comparison misses.</w:t>
      </w:r>
    </w:p>
    <w:p>
      <w:pPr>
        <w:pStyle w:val="BodyText"/>
      </w:pPr>
      <w:r>
        <w:t xml:space="preserve">Two developments now make structure-based annotation feasible at scale. First, AlphaFold [3] achieved</w:t>
      </w:r>
      <w:r>
        <w:t xml:space="preserve"> </w:t>
      </w:r>
      <w:r>
        <w:t xml:space="preserve">near-experimental accuracy in single-chain structure prediction, and the AlphaFold Protein Structure</w:t>
      </w:r>
      <w:r>
        <w:t xml:space="preserve"> </w:t>
      </w:r>
      <w:r>
        <w:t xml:space="preserve">Database (AlphaFold DB) [4] released predicted structures for essentially the entire UniProt reference</w:t>
      </w:r>
      <w:r>
        <w:t xml:space="preserve"> </w:t>
      </w:r>
      <w:r>
        <w:t xml:space="preserve">proteome set — over 200 million models — under an open licence, each accompanied by a per-residue</w:t>
      </w:r>
      <w:r>
        <w:t xml:space="preserve"> </w:t>
      </w:r>
      <w:r>
        <w:t xml:space="preserve">confidence estimate (pLDDT). Second, fast structural aligners and search tools such as Foldseek [5],</w:t>
      </w:r>
      <w:r>
        <w:t xml:space="preserve"> </w:t>
      </w:r>
      <w:r>
        <w:t xml:space="preserve">built on the TM-align algorithm and TM-score metric [6, 7], make all-versus-all structural comparison</w:t>
      </w:r>
      <w:r>
        <w:t xml:space="preserve"> </w:t>
      </w:r>
      <w:r>
        <w:t xml:space="preserve">computationally tractable.</w:t>
      </w:r>
    </w:p>
    <w:p>
      <w:pPr>
        <w:pStyle w:val="BodyText"/>
      </w:pPr>
      <w:r>
        <w:t xml:space="preserve">Beyond direct structural search, machine-learning methods now infer function directly from structure:</w:t>
      </w:r>
      <w:r>
        <w:t xml:space="preserve"> </w:t>
      </w:r>
      <w:r>
        <w:t xml:space="preserve">DeepFRI [12], for example, predicts Gene Ontology terms and EC numbers from a graph-convolutional</w:t>
      </w:r>
      <w:r>
        <w:t xml:space="preserve"> </w:t>
      </w:r>
      <w:r>
        <w:t xml:space="preserve">encoding of the fold. Such learned predictors are powerful but opaque, and — like the fast search</w:t>
      </w:r>
      <w:r>
        <w:t xml:space="preserve"> </w:t>
      </w:r>
      <w:r>
        <w:t xml:space="preserve">tools — are typically deployed with GPUs, large pre-indexed structural databases, or complex software</w:t>
      </w:r>
      <w:r>
        <w:t xml:space="preserve"> </w:t>
      </w:r>
      <w:r>
        <w:t xml:space="preserve">environments. Recent reviews and community assessments of AlphaFold’s impact on function prediction</w:t>
      </w:r>
      <w:r>
        <w:t xml:space="preserve"> </w:t>
      </w:r>
      <w:r>
        <w:t xml:space="preserve">[13, 14] make two points that frame the present work: the opportunity created by 200 million structures</w:t>
      </w:r>
      <w:r>
        <w:t xml:space="preserve"> </w:t>
      </w:r>
      <w:r>
        <w:t xml:space="preserve">is enormous, yet structure alone is not sufficient — predictions remain hypotheses that require</w:t>
      </w:r>
      <w:r>
        <w:t xml:space="preserve"> </w:t>
      </w:r>
      <w:r>
        <w:t xml:space="preserve">experimental validation, and the field is still evolving rather than solved.</w:t>
      </w:r>
    </w:p>
    <w:p>
      <w:pPr>
        <w:pStyle w:val="BodyText"/>
      </w:pPr>
      <w:r>
        <w:rPr>
          <w:b/>
          <w:bCs/>
        </w:rPr>
        <w:t xml:space="preserve">Positioning and research question.</w:t>
      </w:r>
      <w:r>
        <w:t xml:space="preserve"> </w:t>
      </w:r>
      <w:r>
        <w:t xml:space="preserve">Existing work has established that AlphaFold structures and</w:t>
      </w:r>
      <w:r>
        <w:t xml:space="preserve"> </w:t>
      </w:r>
      <w:r>
        <w:t xml:space="preserve">structural search can improve annotation, but published workflows typically depend on</w:t>
      </w:r>
      <w:r>
        <w:t xml:space="preserve"> </w:t>
      </w:r>
      <w:r>
        <w:t xml:space="preserve">high-performance-computing infrastructure, large pre-indexed structural databases, or intricate software</w:t>
      </w:r>
      <w:r>
        <w:t xml:space="preserve"> </w:t>
      </w:r>
      <w:r>
        <w:t xml:space="preserve">environments. We instead ask a different question:</w:t>
      </w:r>
      <w:r>
        <w:t xml:space="preserve"> </w:t>
      </w:r>
      <w:r>
        <w:rPr>
          <w:i/>
          <w:iCs/>
        </w:rPr>
        <w:t xml:space="preserve">can a transparent, dependency-light workflow achieve</w:t>
      </w:r>
      <w:r>
        <w:rPr>
          <w:i/>
          <w:iCs/>
        </w:rPr>
        <w:t xml:space="preserve"> </w:t>
      </w:r>
      <w:r>
        <w:rPr>
          <w:i/>
          <w:iCs/>
        </w:rPr>
        <w:t xml:space="preserve">meaningful annotation performance on commodity hardware while remaining fully reproducible?</w:t>
      </w:r>
      <w:r>
        <w:t xml:space="preserve"> </w:t>
      </w:r>
      <w:r>
        <w:t xml:space="preserve">Concretely,</w:t>
      </w:r>
      <w:r>
        <w:t xml:space="preserve"> </w:t>
      </w:r>
      <w:r>
        <w:t xml:space="preserve">we target a single laptop with no GPU, no administrator privileges, and no compiled bioinformatics</w:t>
      </w:r>
      <w:r>
        <w:t xml:space="preserve"> </w:t>
      </w:r>
      <w:r>
        <w:t xml:space="preserve">binaries, assembling the entire workflow from the pre-computed AlphaFold DB plus pure-Python components,</w:t>
      </w:r>
      <w:r>
        <w:t xml:space="preserve"> </w:t>
      </w:r>
      <w:r>
        <w:t xml:space="preserve">and we apply it to unannotated proteins of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(Mtb), a World Health</w:t>
      </w:r>
      <w:r>
        <w:t xml:space="preserve"> </w:t>
      </w:r>
      <w:r>
        <w:t xml:space="preserve">Organization priority pathogen whose genome remains rich in conserved hypothetical proteins.</w:t>
      </w:r>
    </w:p>
    <w:p>
      <w:pPr>
        <w:pStyle w:val="BodyText"/>
      </w:pPr>
      <w:r>
        <w:t xml:space="preserve">Our contribution is fourfold: (1) an explicit demonstration that meaningful structure-based function</w:t>
      </w:r>
      <w:r>
        <w:t xml:space="preserve"> </w:t>
      </w:r>
      <w:r>
        <w:t xml:space="preserve">annotation is achievable on commodity hardware, without HPC, GPUs, or large indexed databases; (2) a</w:t>
      </w:r>
      <w:r>
        <w:t xml:space="preserve"> </w:t>
      </w:r>
      <w:r>
        <w:t xml:space="preserve">transparent, end-to-end pipeline that turns raw AlphaFold models into ranked, evidence-linked functional</w:t>
      </w:r>
      <w:r>
        <w:t xml:space="preserve"> </w:t>
      </w:r>
      <w:r>
        <w:t xml:space="preserve">hypotheses, in which the compute-heavy stages (structural search, pocket detection) are replaced by</w:t>
      </w:r>
      <w:r>
        <w:t xml:space="preserve"> </w:t>
      </w:r>
      <w:r>
        <w:t xml:space="preserve">laptop-friendly, fully interpretable equivalents; (3) a controlled validation quantifying recovery</w:t>
      </w:r>
      <w:r>
        <w:t xml:space="preserve"> </w:t>
      </w:r>
      <w:r>
        <w:t xml:space="preserve">accuracy against a sequence baseline, with residue-level active-site verification and ranking-robustness</w:t>
      </w:r>
      <w:r>
        <w:t xml:space="preserve"> </w:t>
      </w:r>
      <w:r>
        <w:t xml:space="preserve">analysis; and (4) an openly available, reproducible software tool with an interactive viewer. Our</w:t>
      </w:r>
      <w:r>
        <w:t xml:space="preserve"> </w:t>
      </w:r>
      <w:r>
        <w:t xml:space="preserve">approach is deliberately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to the prior art: unlike learned predictors such as DeepFRI</w:t>
      </w:r>
      <w:r>
        <w:t xml:space="preserve"> </w:t>
      </w:r>
      <w:r>
        <w:t xml:space="preserve">[12] it is fully interpretable — every assignment is traceable to a specific structural match and to</w:t>
      </w:r>
      <w:r>
        <w:t xml:space="preserve"> </w:t>
      </w:r>
      <w:r>
        <w:t xml:space="preserve">conserved catalytic residues rather than a black-box inference — and unlike Foldseek [5] it trades raw</w:t>
      </w:r>
      <w:r>
        <w:t xml:space="preserve"> </w:t>
      </w:r>
      <w:r>
        <w:t xml:space="preserve">search speed for transparency and accessibility on everyday hardware.</w:t>
      </w:r>
    </w:p>
    <w:p>
      <w:r>
        <w:pict>
          <v:rect style="width:0;height:1.5pt" o:hralign="center" o:hrstd="t" o:hr="t"/>
        </w:pict>
      </w:r>
    </w:p>
    <w:bookmarkEnd w:id="10"/>
    <w:bookmarkStart w:id="21" w:name="methods"/>
    <w:p>
      <w:pPr>
        <w:pStyle w:val="Heading2"/>
      </w:pPr>
      <w:r>
        <w:t xml:space="preserve">2. Methods</w:t>
      </w:r>
    </w:p>
    <w:bookmarkStart w:id="11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The pipeline comprises six stages executed in sequence:</w:t>
      </w:r>
      <w:r>
        <w:t xml:space="preserve"> </w:t>
      </w:r>
      <w:r>
        <w:rPr>
          <w:b/>
          <w:bCs/>
        </w:rPr>
        <w:t xml:space="preserve">download → parse → annotate → search →</w:t>
      </w:r>
      <w:r>
        <w:rPr>
          <w:b/>
          <w:bCs/>
        </w:rPr>
        <w:t xml:space="preserve"> </w:t>
      </w:r>
      <w:r>
        <w:rPr>
          <w:b/>
          <w:bCs/>
        </w:rPr>
        <w:t xml:space="preserve">pocket → rank</w:t>
      </w:r>
      <w:r>
        <w:t xml:space="preserve"> </w:t>
      </w:r>
      <w:r>
        <w:t xml:space="preserve">(Figure 1). Each stage caches its output to disk, so any stage can be re-run</w:t>
      </w:r>
      <w:r>
        <w:t xml:space="preserve"> </w:t>
      </w:r>
      <w:r>
        <w:t xml:space="preserve">independently. The structural-search and pocket-detection stages each expose two interchangeable</w:t>
      </w:r>
      <w:r>
        <w:t xml:space="preserve"> </w:t>
      </w:r>
      <w:r>
        <w:t xml:space="preserve">back-ends — a native, pure-Python implementation (default) and an external high-performance tool — so</w:t>
      </w:r>
      <w:r>
        <w:t xml:space="preserve"> </w:t>
      </w:r>
      <w:r>
        <w:t xml:space="preserve">the identical workflow runs on a laptop or scales up on a Linux server.</w:t>
      </w:r>
    </w:p>
    <w:bookmarkEnd w:id="11"/>
    <w:bookmarkStart w:id="12" w:name="data-sources-and-structure-retrieval"/>
    <w:p>
      <w:pPr>
        <w:pStyle w:val="Heading3"/>
      </w:pPr>
      <w:r>
        <w:t xml:space="preserve">2.2 Data sources and structure retrieval</w:t>
      </w:r>
    </w:p>
    <w:p>
      <w:pPr>
        <w:pStyle w:val="FirstParagraph"/>
      </w:pPr>
      <w:r>
        <w:t xml:space="preserve">Predicted structures were obtained from AlphaFold DB [4] (model version 6). For the target organism,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H37Rv (UniProt reference proteome UP000001584, NCBI taxonomy 83332), individual</w:t>
      </w:r>
      <w:r>
        <w:t xml:space="preserve"> </w:t>
      </w:r>
      <w:r>
        <w:t xml:space="preserve">models were retrieved as mmCIF files; per-structure URLs were resolved through the AlphaFold DB API to</w:t>
      </w:r>
      <w:r>
        <w:t xml:space="preserve"> </w:t>
      </w:r>
      <w:r>
        <w:t xml:space="preserve">remain robust to database version changes. For whole-proteome runs the pipeline instead downloads the</w:t>
      </w:r>
      <w:r>
        <w:t xml:space="preserve"> </w:t>
      </w:r>
      <w:r>
        <w:t xml:space="preserve">organism’s proteome archive from the AlphaFold DB FTP site. Structures were parsed with the</w:t>
      </w:r>
      <w:r>
        <w:t xml:space="preserve"> </w:t>
      </w:r>
      <w:r>
        <w:rPr>
          <w:i/>
          <w:iCs/>
        </w:rPr>
        <w:t xml:space="preserve">gemmi</w:t>
      </w:r>
      <w:r>
        <w:t xml:space="preserve"> </w:t>
      </w:r>
      <w:r>
        <w:t xml:space="preserve">library [8].</w:t>
      </w:r>
    </w:p>
    <w:bookmarkEnd w:id="12"/>
    <w:bookmarkStart w:id="13" w:name="confidence-filtering"/>
    <w:p>
      <w:pPr>
        <w:pStyle w:val="Heading3"/>
      </w:pPr>
      <w:r>
        <w:t xml:space="preserve">2.3 Confidence filtering</w:t>
      </w:r>
    </w:p>
    <w:p>
      <w:pPr>
        <w:pStyle w:val="FirstParagraph"/>
      </w:pPr>
      <w:r>
        <w:t xml:space="preserve">AlphaFold reports a per-residue confidence, pLDDT (0–100), stored in the B-factor field of each model</w:t>
      </w:r>
      <w:r>
        <w:t xml:space="preserve"> </w:t>
      </w:r>
      <w:r>
        <w:t xml:space="preserve">[3]. For each structure we computed the mean pLDDT over Cα atoms and discarded models below a</w:t>
      </w:r>
      <w:r>
        <w:t xml:space="preserve"> </w:t>
      </w:r>
      <w:r>
        <w:t xml:space="preserve">configurable threshold (default 70), on the rationale that low-confidence models yield unreliable</w:t>
      </w:r>
      <w:r>
        <w:t xml:space="preserve"> </w:t>
      </w:r>
      <w:r>
        <w:t xml:space="preserve">structural comparisons. Residue-level pLDDT is retained and used to colour structures in the viewer so</w:t>
      </w:r>
      <w:r>
        <w:t xml:space="preserve"> </w:t>
      </w:r>
      <w:r>
        <w:t xml:space="preserve">that low-confidence regions are visually flagged.</w:t>
      </w:r>
    </w:p>
    <w:bookmarkEnd w:id="13"/>
    <w:bookmarkStart w:id="14" w:name="annotation-status"/>
    <w:p>
      <w:pPr>
        <w:pStyle w:val="Heading3"/>
      </w:pPr>
      <w:r>
        <w:t xml:space="preserve">2.4 Annotation status</w:t>
      </w:r>
    </w:p>
    <w:p>
      <w:pPr>
        <w:pStyle w:val="FirstParagraph"/>
      </w:pPr>
      <w:r>
        <w:t xml:space="preserve">Each protein’s current annotation was retrieved from UniProt [9] (protein name, evidence level, and</w:t>
      </w:r>
      <w:r>
        <w:t xml:space="preserve"> </w:t>
      </w:r>
      <w:r>
        <w:t xml:space="preserve">keywords). A protein was flagged as</w:t>
      </w:r>
      <w:r>
        <w:t xml:space="preserve"> </w:t>
      </w:r>
      <w:r>
        <w:rPr>
          <w:i/>
          <w:iCs/>
        </w:rPr>
        <w:t xml:space="preserve">unannotated</w:t>
      </w:r>
      <w:r>
        <w:t xml:space="preserve"> </w:t>
      </w:r>
      <w:r>
        <w:t xml:space="preserve">— and therefore a candidate for structural rescue —</w:t>
      </w:r>
      <w:r>
        <w:t xml:space="preserve"> </w:t>
      </w:r>
      <w:r>
        <w:t xml:space="preserve">if its recommended name contained any of the markers</w:t>
      </w:r>
      <w:r>
        <w:t xml:space="preserve"> </w:t>
      </w:r>
      <w:r>
        <w:rPr>
          <w:rStyle w:val="VerbatimChar"/>
        </w:rPr>
        <w:t xml:space="preserve">uncharacterized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hypothetical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DUF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putative uncharacterized</w:t>
      </w:r>
      <w:r>
        <w:t xml:space="preserve">, or if its UniProt protein-existence evidence was</w:t>
      </w:r>
      <w:r>
        <w:t xml:space="preserve"> </w:t>
      </w:r>
      <w:r>
        <w:t xml:space="preserve">“Predicted”</w:t>
      </w:r>
      <w:r>
        <w:t xml:space="preserve"> </w:t>
      </w:r>
      <w:r>
        <w:t xml:space="preserve">or</w:t>
      </w:r>
      <w:r>
        <w:t xml:space="preserve"> </w:t>
      </w:r>
      <w:r>
        <w:t xml:space="preserve">“Uncertain”</w:t>
      </w:r>
      <w:r>
        <w:t xml:space="preserve">. Only flagged proteins were carried forward as queries.</w:t>
      </w:r>
    </w:p>
    <w:bookmarkEnd w:id="14"/>
    <w:bookmarkStart w:id="15" w:name="structural-search-tm-align-back-end"/>
    <w:p>
      <w:pPr>
        <w:pStyle w:val="Heading3"/>
      </w:pPr>
      <w:r>
        <w:t xml:space="preserve">2.5 Structural search (TM-align back-end)</w:t>
      </w:r>
    </w:p>
    <w:p>
      <w:pPr>
        <w:pStyle w:val="FirstParagraph"/>
      </w:pPr>
      <w:r>
        <w:t xml:space="preserve">Function was transferred by structural similarity to a reference library of</w:t>
      </w:r>
      <w:r>
        <w:t xml:space="preserve"> </w:t>
      </w:r>
      <w:r>
        <w:rPr>
          <w:i/>
          <w:iCs/>
        </w:rPr>
        <w:t xml:space="preserve">functionally</w:t>
      </w:r>
      <w:r>
        <w:rPr>
          <w:i/>
          <w:iCs/>
        </w:rPr>
        <w:t xml:space="preserve"> </w:t>
      </w:r>
      <w:r>
        <w:rPr>
          <w:i/>
          <w:iCs/>
        </w:rPr>
        <w:t xml:space="preserve">characterised</w:t>
      </w:r>
      <w:r>
        <w:t xml:space="preserve"> </w:t>
      </w:r>
      <w:r>
        <w:t xml:space="preserve">proteins. The reference library was assembled automatically by querying UniProt for</w:t>
      </w:r>
      <w:r>
        <w:t xml:space="preserve"> </w:t>
      </w:r>
      <w:r>
        <w:t xml:space="preserve">reviewed (Swiss-Prot) entries carrying an Enzyme Commission (EC) number and protein-level existence</w:t>
      </w:r>
      <w:r>
        <w:t xml:space="preserve"> </w:t>
      </w:r>
      <w:r>
        <w:t xml:space="preserve">evidence (</w:t>
      </w:r>
      <w:r>
        <w:rPr>
          <w:rStyle w:val="VerbatimChar"/>
        </w:rPr>
        <w:t xml:space="preserve">(reviewed:true) AND (ec:*) AND (existence:1) AND (fragment:false)</w:t>
      </w:r>
      <w:r>
        <w:t xml:space="preserve">), ranked by annotation</w:t>
      </w:r>
      <w:r>
        <w:t xml:space="preserve"> </w:t>
      </w:r>
      <w:r>
        <w:t xml:space="preserve">score; their AlphaFold models were then downloaded. For the pilot, 120 references were requested and</w:t>
      </w:r>
      <w:r>
        <w:t xml:space="preserve"> </w:t>
      </w:r>
      <w:r>
        <w:t xml:space="preserve">119 were successfully retrieved.</w:t>
      </w:r>
    </w:p>
    <w:p>
      <w:pPr>
        <w:pStyle w:val="BodyText"/>
      </w:pPr>
      <w:r>
        <w:t xml:space="preserve">Each query structure was aligned to every reference using TM-align [6] via the</w:t>
      </w:r>
      <w:r>
        <w:t xml:space="preserve"> </w:t>
      </w:r>
      <w:r>
        <w:rPr>
          <w:i/>
          <w:iCs/>
        </w:rPr>
        <w:t xml:space="preserve">tmtools</w:t>
      </w:r>
      <w:r>
        <w:t xml:space="preserve"> </w:t>
      </w:r>
      <w:r>
        <w:t xml:space="preserve">Python</w:t>
      </w:r>
      <w:r>
        <w:t xml:space="preserve"> </w:t>
      </w:r>
      <w:r>
        <w:t xml:space="preserve">bindings, operating on Cα coordinates and sequence extracted with</w:t>
      </w:r>
      <w:r>
        <w:t xml:space="preserve"> </w:t>
      </w:r>
      <w:r>
        <w:rPr>
          <w:i/>
          <w:iCs/>
        </w:rPr>
        <w:t xml:space="preserve">gemmi</w:t>
      </w:r>
      <w:r>
        <w:t xml:space="preserve">. TM-align returns a TM-score</w:t>
      </w:r>
      <w:r>
        <w:t xml:space="preserve"> </w:t>
      </w:r>
      <w:r>
        <w:t xml:space="preserve">[7], a length-normalised measure of fold similarity in the range 0–1, where values &gt; 0.5 generally</w:t>
      </w:r>
      <w:r>
        <w:t xml:space="preserve"> </w:t>
      </w:r>
      <w:r>
        <w:t xml:space="preserve">indicate the same fold and values near 0.2 correspond to unrelated structures. Because TM-score can be</w:t>
      </w:r>
      <w:r>
        <w:t xml:space="preserve"> </w:t>
      </w:r>
      <w:r>
        <w:t xml:space="preserve">normalised by the length of either chain, we recorded the larger of the two normalisations as the</w:t>
      </w:r>
      <w:r>
        <w:t xml:space="preserve"> </w:t>
      </w:r>
      <w:r>
        <w:t xml:space="preserve">match score, so that a strong match to a smaller known domain is not penalised. For each query, the</w:t>
      </w:r>
      <w:r>
        <w:t xml:space="preserve"> </w:t>
      </w:r>
      <w:r>
        <w:t xml:space="preserve">reference with the highest TM-score was retained if it met a configurable threshold (default 0.5).</w:t>
      </w:r>
    </w:p>
    <w:p>
      <w:pPr>
        <w:pStyle w:val="BodyText"/>
      </w:pPr>
      <w:r>
        <w:t xml:space="preserve">TM-align performs an exhaustive, exact pairwise alignment; it is therefore slower than heuristic tools</w:t>
      </w:r>
      <w:r>
        <w:t xml:space="preserve"> </w:t>
      </w:r>
      <w:r>
        <w:t xml:space="preserve">but requires no database construction and no compiled dependencies. As an alternative back-end, the</w:t>
      </w:r>
      <w:r>
        <w:t xml:space="preserve"> </w:t>
      </w:r>
      <w:r>
        <w:t xml:space="preserve">pipeline can instead call Foldseek [5] against a pre-built PDB or Swiss-Prot database, which is far</w:t>
      </w:r>
      <w:r>
        <w:t xml:space="preserve"> </w:t>
      </w:r>
      <w:r>
        <w:t xml:space="preserve">faster and scales to millions of targets; the two back-ends are selected by a single configuration key.</w:t>
      </w:r>
    </w:p>
    <w:bookmarkEnd w:id="15"/>
    <w:bookmarkStart w:id="16" w:name="Xdcaa4a2a0956012386fec0e0df4804614af3d2d"/>
    <w:p>
      <w:pPr>
        <w:pStyle w:val="Heading3"/>
      </w:pPr>
      <w:r>
        <w:t xml:space="preserve">2.6 Binding-pocket detection (geometric back-end)</w:t>
      </w:r>
    </w:p>
    <w:p>
      <w:pPr>
        <w:pStyle w:val="FirstParagraph"/>
      </w:pPr>
      <w:r>
        <w:t xml:space="preserve">For each retained hit we characterised the largest putative binding cavity using a compact,</w:t>
      </w:r>
      <w:r>
        <w:t xml:space="preserve"> </w:t>
      </w:r>
      <w:r>
        <w:t xml:space="preserve">LIGSITE-style geometric algorithm [10, 11] implemented in NumPy/SciPy:</w:t>
      </w:r>
    </w:p>
    <w:p>
      <w:pPr>
        <w:pStyle w:val="Compact"/>
        <w:numPr>
          <w:ilvl w:val="0"/>
          <w:numId w:val="1001"/>
        </w:numPr>
      </w:pPr>
      <w:r>
        <w:t xml:space="preserve">The protein was rasterised onto a 3D grid (default spacing 1.2 Å, 5 Å padding); grid points within</w:t>
      </w:r>
      <w:r>
        <w:t xml:space="preserve"> </w:t>
      </w:r>
      <w:r>
        <w:t xml:space="preserve">the van der Waals radius of any heavy atom were marked</w:t>
      </w:r>
      <w:r>
        <w:t xml:space="preserve"> </w:t>
      </w:r>
      <w:r>
        <w:t xml:space="preserve">“protein”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 empty (solvent) grid point, we counted, over seven scan directions (the three axes plus</w:t>
      </w:r>
      <w:r>
        <w:t xml:space="preserve"> </w:t>
      </w:r>
      <w:r>
        <w:t xml:space="preserve">four body diagonals), how many directions had protein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sides — a protein–solvent–protein</w:t>
      </w:r>
      <w:r>
        <w:t xml:space="preserve"> </w:t>
      </w:r>
      <w:r>
        <w:t xml:space="preserve">(PSP)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event, indicating enclosure.</w:t>
      </w:r>
    </w:p>
    <w:p>
      <w:pPr>
        <w:pStyle w:val="Compact"/>
        <w:numPr>
          <w:ilvl w:val="0"/>
          <w:numId w:val="1001"/>
        </w:numPr>
      </w:pPr>
      <w:r>
        <w:t xml:space="preserve">Solvent points enclosed in at least five of seven directions were labelled pocket points.</w:t>
      </w:r>
    </w:p>
    <w:p>
      <w:pPr>
        <w:pStyle w:val="Compact"/>
        <w:numPr>
          <w:ilvl w:val="0"/>
          <w:numId w:val="1001"/>
        </w:numPr>
      </w:pPr>
      <w:r>
        <w:t xml:space="preserve">Adjacent pocket points were clustered (connected-component labelling); clusters below a minimum</w:t>
      </w:r>
      <w:r>
        <w:t xml:space="preserve"> </w:t>
      </w:r>
      <w:r>
        <w:t xml:space="preserve">volume were discarded. The number of surviving clusters gave the pocket count.</w:t>
      </w:r>
    </w:p>
    <w:p>
      <w:pPr>
        <w:pStyle w:val="FirstParagraph"/>
      </w:pPr>
      <w:r>
        <w:t xml:space="preserve">For the largest pocket we computed a geometric</w:t>
      </w:r>
      <w:r>
        <w:t xml:space="preserve"> </w:t>
      </w:r>
      <w:r>
        <w:rPr>
          <w:i/>
          <w:iCs/>
        </w:rPr>
        <w:t xml:space="preserve">cavity score</w:t>
      </w:r>
      <w:r>
        <w:t xml:space="preserve"> </w:t>
      </w:r>
      <w:r>
        <w:t xml:space="preserve">in [0, 1] by combining its volume (via a</w:t>
      </w:r>
      <w:r>
        <w:t xml:space="preserve"> </w:t>
      </w:r>
      <w:r>
        <w:t xml:space="preserve">logistic transform) with its mean enclosure (buriedness). We emphasise that this cavity score is an</w:t>
      </w:r>
      <w:r>
        <w:t xml:space="preserve"> </w:t>
      </w:r>
      <w:r>
        <w:t xml:space="preserve">unsupervised geometric estimate,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trained druggability score produced by fpocket [11]; it is</w:t>
      </w:r>
      <w:r>
        <w:t xml:space="preserve"> </w:t>
      </w:r>
      <w:r>
        <w:t xml:space="preserve">labelled as such throughout the software and in the results. As with structural search, fpocket is</w:t>
      </w:r>
      <w:r>
        <w:t xml:space="preserve"> </w:t>
      </w:r>
      <w:r>
        <w:t xml:space="preserve">available as an alternative back-end for users on Linux/macOS.</w:t>
      </w:r>
    </w:p>
    <w:bookmarkEnd w:id="16"/>
    <w:bookmarkStart w:id="17" w:name="composite-ranking"/>
    <w:p>
      <w:pPr>
        <w:pStyle w:val="Heading3"/>
      </w:pPr>
      <w:r>
        <w:t xml:space="preserve">2.7 Composite ranking</w:t>
      </w:r>
    </w:p>
    <w:p>
      <w:pPr>
        <w:pStyle w:val="FirstParagraph"/>
      </w:pPr>
      <w:r>
        <w:t xml:space="preserve">Each candidate received a composite score combining three normalised signals: structural similarity</w:t>
      </w:r>
      <w:r>
        <w:t xml:space="preserve"> </w:t>
      </w:r>
      <w:r>
        <w:t xml:space="preserve">(TM-score), model confidence (mean pLDDT / 100), and pocket quality (cavity score). With default</w:t>
      </w:r>
      <w:r>
        <w:t xml:space="preserve"> </w:t>
      </w:r>
      <w:r>
        <w:t xml:space="preserve">weights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(0.5, 0.2, 0.3), the composite is the weighted mean over the available components; if a</w:t>
      </w:r>
      <w:r>
        <w:t xml:space="preserve"> </w:t>
      </w:r>
      <w:r>
        <w:t xml:space="preserve">component is missing (e.g. no pocket detected), its weight is dropped and the remaining weights are</w:t>
      </w:r>
      <w:r>
        <w:t xml:space="preserve"> </w:t>
      </w:r>
      <w:r>
        <w:t xml:space="preserve">renormalised:</w:t>
      </w:r>
    </w:p>
    <w:p>
      <w:pPr>
        <w:pStyle w:val="BlockText"/>
      </w:pPr>
      <w:r>
        <w:t xml:space="preserve">composite = Σᵢ wᵢ vᵢ / Σᵢ wᵢ , over available components i.</w:t>
      </w:r>
    </w:p>
    <w:p>
      <w:pPr>
        <w:pStyle w:val="FirstParagraph"/>
      </w:pPr>
      <w:r>
        <w:t xml:space="preserve">Candidates were sorted by composite score in descending order.</w:t>
      </w:r>
    </w:p>
    <w:bookmarkEnd w:id="17"/>
    <w:bookmarkStart w:id="18" w:name="implementation-software-and-availability"/>
    <w:p>
      <w:pPr>
        <w:pStyle w:val="Heading3"/>
      </w:pPr>
      <w:r>
        <w:t xml:space="preserve">2.8 Implementation, software, and availability</w:t>
      </w:r>
    </w:p>
    <w:p>
      <w:pPr>
        <w:pStyle w:val="FirstParagraph"/>
      </w:pPr>
      <w:r>
        <w:t xml:space="preserve">The pipeline is written in Python 3.12 and depends only on packages installable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(</w:t>
      </w:r>
      <w:r>
        <w:rPr>
          <w:i/>
          <w:iCs/>
        </w:rPr>
        <w:t xml:space="preserve">requests</w:t>
      </w:r>
      <w:r>
        <w:t xml:space="preserve">,</w:t>
      </w:r>
      <w:r>
        <w:t xml:space="preserve"> </w:t>
      </w:r>
      <w:r>
        <w:rPr>
          <w:i/>
          <w:iCs/>
        </w:rPr>
        <w:t xml:space="preserve">gemmi</w:t>
      </w:r>
      <w:r>
        <w:t xml:space="preserve">,</w:t>
      </w:r>
      <w:r>
        <w:t xml:space="preserve"> </w:t>
      </w:r>
      <w:r>
        <w:rPr>
          <w:i/>
          <w:iCs/>
        </w:rPr>
        <w:t xml:space="preserve">pyyaml</w:t>
      </w:r>
      <w:r>
        <w:t xml:space="preserve">,</w:t>
      </w:r>
      <w:r>
        <w:t xml:space="preserve"> </w:t>
      </w:r>
      <w:r>
        <w:rPr>
          <w:i/>
          <w:iCs/>
        </w:rPr>
        <w:t xml:space="preserve">pandas</w:t>
      </w:r>
      <w:r>
        <w:t xml:space="preserve">,</w:t>
      </w:r>
      <w:r>
        <w:t xml:space="preserve"> </w:t>
      </w:r>
      <w:r>
        <w:rPr>
          <w:i/>
          <w:iCs/>
        </w:rPr>
        <w:t xml:space="preserve">tqdm</w:t>
      </w:r>
      <w:r>
        <w:t xml:space="preserve">,</w:t>
      </w:r>
      <w:r>
        <w:t xml:space="preserve"> </w:t>
      </w:r>
      <w:r>
        <w:rPr>
          <w:i/>
          <w:iCs/>
        </w:rPr>
        <w:t xml:space="preserve">numpy</w:t>
      </w:r>
      <w:r>
        <w:t xml:space="preserve">,</w:t>
      </w:r>
      <w:r>
        <w:t xml:space="preserve"> </w:t>
      </w:r>
      <w:r>
        <w:rPr>
          <w:i/>
          <w:iCs/>
        </w:rPr>
        <w:t xml:space="preserve">scipy</w:t>
      </w:r>
      <w:r>
        <w:t xml:space="preserve">,</w:t>
      </w:r>
      <w:r>
        <w:t xml:space="preserve"> </w:t>
      </w:r>
      <w:r>
        <w:rPr>
          <w:i/>
          <w:iCs/>
        </w:rPr>
        <w:t xml:space="preserve">tmtools</w:t>
      </w:r>
      <w:r>
        <w:t xml:space="preserve">,</w:t>
      </w:r>
      <w:r>
        <w:t xml:space="preserve"> </w:t>
      </w:r>
      <w:r>
        <w:rPr>
          <w:i/>
          <w:iCs/>
        </w:rPr>
        <w:t xml:space="preserve">biopython</w:t>
      </w:r>
      <w:r>
        <w:t xml:space="preserve">,</w:t>
      </w:r>
      <w:r>
        <w:t xml:space="preserve"> </w:t>
      </w:r>
      <w:r>
        <w:rPr>
          <w:i/>
          <w:iCs/>
        </w:rPr>
        <w:t xml:space="preserve">matplotlib</w:t>
      </w:r>
      <w:r>
        <w:t xml:space="preserve">).</w:t>
      </w:r>
      <w:r>
        <w:t xml:space="preserve"> </w:t>
      </w:r>
      <w:r>
        <w:t xml:space="preserve">Results are exported as JSON and CSV, and as a JavaScript data file consumed by a static, dependency-free</w:t>
      </w:r>
      <w:r>
        <w:t xml:space="preserve"> </w:t>
      </w:r>
      <w:r>
        <w:t xml:space="preserve">web viewer that renders each structure in the browser (3Dmol.js), coloured by pLDDT, alongside its</w:t>
      </w:r>
      <w:r>
        <w:t xml:space="preserve"> </w:t>
      </w:r>
      <w:r>
        <w:t xml:space="preserve">structural match, pocket statistics, and composite score. No server, database, or GPU is required. The</w:t>
      </w:r>
      <w:r>
        <w:t xml:space="preserve"> </w:t>
      </w:r>
      <w:r>
        <w:t xml:space="preserve">software, configuration, and pilot outputs are released under the MIT licence; AlphaFold data are used</w:t>
      </w:r>
      <w:r>
        <w:t xml:space="preserve"> </w:t>
      </w:r>
      <w:r>
        <w:t xml:space="preserve">under the EMBL-EBI terms and are for theoretical modelling only.</w:t>
      </w:r>
    </w:p>
    <w:bookmarkEnd w:id="18"/>
    <w:bookmarkStart w:id="19" w:name="functional-residue-verification"/>
    <w:p>
      <w:pPr>
        <w:pStyle w:val="Heading3"/>
      </w:pPr>
      <w:r>
        <w:t xml:space="preserve">2.9 Functional-residue verification</w:t>
      </w:r>
    </w:p>
    <w:p>
      <w:pPr>
        <w:pStyle w:val="FirstParagraph"/>
      </w:pPr>
      <w:r>
        <w:t xml:space="preserve">Global fold similarity is necessary but not sufficient evidence for shared function, so we added an</w:t>
      </w:r>
      <w:r>
        <w:t xml:space="preserve"> </w:t>
      </w:r>
      <w:r>
        <w:t xml:space="preserve">optional residue-level verification step. For a candidate–reference match we retrieved the reference’s</w:t>
      </w:r>
      <w:r>
        <w:t xml:space="preserve"> </w:t>
      </w:r>
      <w:r>
        <w:t xml:space="preserve">annotated functional residues from UniProt (active-site, binding-site and metal-binding features),</w:t>
      </w:r>
      <w:r>
        <w:t xml:space="preserve"> </w:t>
      </w:r>
      <w:r>
        <w:t xml:space="preserve">superposed the candidate onto the reference with the TM-align rotation/translation, and mapped each</w:t>
      </w:r>
      <w:r>
        <w:t xml:space="preserve"> </w:t>
      </w:r>
      <w:r>
        <w:t xml:space="preserve">annotated reference residue to its nearest candidate Cα. A reference functional residue was scored as</w:t>
      </w:r>
      <w:r>
        <w:t xml:space="preserve"> </w:t>
      </w:r>
      <w:r>
        <w:rPr>
          <w:i/>
          <w:iCs/>
        </w:rPr>
        <w:t xml:space="preserve">position-conserved</w:t>
      </w:r>
      <w:r>
        <w:t xml:space="preserve"> </w:t>
      </w:r>
      <w:r>
        <w:t xml:space="preserve">if a candidate Cα lay within 4 Å of it after superposition, and additionally</w:t>
      </w:r>
      <w:r>
        <w:t xml:space="preserve"> </w:t>
      </w:r>
      <w:r>
        <w:rPr>
          <w:i/>
          <w:iCs/>
        </w:rPr>
        <w:t xml:space="preserve">identity-conserved</w:t>
      </w:r>
      <w:r>
        <w:t xml:space="preserve"> </w:t>
      </w:r>
      <w:r>
        <w:t xml:space="preserve">if that candidate residue was the same amino acid. The fraction of catalytic and</w:t>
      </w:r>
      <w:r>
        <w:t xml:space="preserve"> </w:t>
      </w:r>
      <w:r>
        <w:t xml:space="preserve">metal/ligand-binding residues that are position- and identity-conserved gives residue-level evidence</w:t>
      </w:r>
      <w:r>
        <w:t xml:space="preserve"> </w:t>
      </w:r>
      <w:r>
        <w:t xml:space="preserve">that complements the global score (implemented in</w:t>
      </w:r>
      <w:r>
        <w:t xml:space="preserve"> </w:t>
      </w:r>
      <w:r>
        <w:rPr>
          <w:rStyle w:val="VerbatimChar"/>
        </w:rPr>
        <w:t xml:space="preserve">pipeline/functional_residues.py</w:t>
      </w:r>
      <w:r>
        <w:t xml:space="preserve">).</w:t>
      </w:r>
    </w:p>
    <w:bookmarkEnd w:id="19"/>
    <w:bookmarkStart w:id="20" w:name="weight-sensitivity-analysis"/>
    <w:p>
      <w:pPr>
        <w:pStyle w:val="Heading3"/>
      </w:pPr>
      <w:r>
        <w:t xml:space="preserve">2.10 Weight-sensitivity analysis</w:t>
      </w:r>
    </w:p>
    <w:p>
      <w:pPr>
        <w:pStyle w:val="FirstParagraph"/>
      </w:pPr>
      <w:r>
        <w:t xml:space="preserve">To test whether candidate rankings depend on the specific composite weights, we scored a pool of</w:t>
      </w:r>
      <w:r>
        <w:t xml:space="preserve"> </w:t>
      </w:r>
      <w:r>
        <w:t xml:space="preserve">proteins and re-ranked them under every weight vector on the three-component simplex (each weight</w:t>
      </w:r>
      <w:r>
        <w:t xml:space="preserve"> </w:t>
      </w:r>
      <w:r>
        <w:t xml:space="preserve">≥ 0.05, in 0.05 steps), measuring the Kendall rank correlation and top-10 overlap of each ranking</w:t>
      </w:r>
      <w:r>
        <w:t xml:space="preserve"> </w:t>
      </w:r>
      <w:r>
        <w:t xml:space="preserve">against the default-weight ranking (</w:t>
      </w:r>
      <w:r>
        <w:rPr>
          <w:rStyle w:val="VerbatimChar"/>
        </w:rPr>
        <w:t xml:space="preserve">benchmark/weight_sensitivity.py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results"/>
    <w:p>
      <w:pPr>
        <w:pStyle w:val="Heading2"/>
      </w:pPr>
      <w:r>
        <w:t xml:space="preserve">3. Results</w:t>
      </w:r>
    </w:p>
    <w:bookmarkStart w:id="22" w:name="pilot-dataset"/>
    <w:p>
      <w:pPr>
        <w:pStyle w:val="Heading3"/>
      </w:pPr>
      <w:r>
        <w:t xml:space="preserve">3.1 Pilot dataset</w:t>
      </w:r>
    </w:p>
    <w:p>
      <w:pPr>
        <w:pStyle w:val="FirstParagraph"/>
      </w:pPr>
      <w:r>
        <w:t xml:space="preserve">As a proof of concept we processed a pilot set of ten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proteins annotated by UniProt as</w:t>
      </w:r>
      <w:r>
        <w:t xml:space="preserve"> </w:t>
      </w:r>
      <w:r>
        <w:t xml:space="preserve">uncharacterized/hypothetical. One model fell below the mean-pLDDT threshold (70) and was discarded,</w:t>
      </w:r>
      <w:r>
        <w:t xml:space="preserve"> </w:t>
      </w:r>
      <w:r>
        <w:t xml:space="preserve">leaving nine high-confidence queries (mean pLDDT range 75.7–97.1). These were searched against the</w:t>
      </w:r>
      <w:r>
        <w:t xml:space="preserve"> </w:t>
      </w:r>
      <w:r>
        <w:t xml:space="preserve">119-protein reference library of characterised enzymes (Section 2.5). This pilot is intentionally small</w:t>
      </w:r>
      <w:r>
        <w:t xml:space="preserve"> </w:t>
      </w:r>
      <w:r>
        <w:t xml:space="preserve">and is meant to demonstrate the method and software end-to-end; whole-proteome application is</w:t>
      </w:r>
      <w:r>
        <w:t xml:space="preserve"> </w:t>
      </w:r>
      <w:r>
        <w:t xml:space="preserve">straightforward but was outside the scope of this demonstration (see Limitations).</w:t>
      </w:r>
    </w:p>
    <w:bookmarkEnd w:id="22"/>
    <w:bookmarkStart w:id="23" w:name="candidate-function-assignments"/>
    <w:p>
      <w:pPr>
        <w:pStyle w:val="Heading3"/>
      </w:pPr>
      <w:r>
        <w:t xml:space="preserve">3.2 Candidate function assignments</w:t>
      </w:r>
    </w:p>
    <w:p>
      <w:pPr>
        <w:pStyle w:val="FirstParagraph"/>
      </w:pPr>
      <w:r>
        <w:t xml:space="preserve">Four of the nine queries (44 %) produced a structural match at TM-score ≥ 0.5 (Table 1). The remaining</w:t>
      </w:r>
      <w:r>
        <w:t xml:space="preserve"> </w:t>
      </w:r>
      <w:r>
        <w:t xml:space="preserve">five had no reference above threshold and were not assigned a candidate function, as expected for a</w:t>
      </w:r>
      <w:r>
        <w:t xml:space="preserve"> </w:t>
      </w:r>
      <w:r>
        <w:t xml:space="preserve">small, general-purpose reference library.</w:t>
      </w:r>
    </w:p>
    <w:p>
      <w:pPr>
        <w:pStyle w:val="BodyText"/>
      </w:pPr>
      <w:r>
        <w:rPr>
          <w:b/>
          <w:bCs/>
        </w:rPr>
        <w:t xml:space="preserve">Table 1. Ranked candidate function assignments for the pilot set.</w:t>
      </w:r>
      <w:r>
        <w:t xml:space="preserve"> </w:t>
      </w:r>
      <w:r>
        <w:t xml:space="preserve">TM-score from TM-align; pLDDT is</w:t>
      </w:r>
      <w:r>
        <w:t xml:space="preserve"> </w:t>
      </w:r>
      <w:r>
        <w:t xml:space="preserve">the mean AlphaFold confidence; cavity score is the geometric pocket estimate (Section 2.6); composite as</w:t>
      </w:r>
      <w:r>
        <w:t xml:space="preserve"> </w:t>
      </w:r>
      <w:r>
        <w:t xml:space="preserve">in Section 2.7. Matches are hypotheses, not experimental assignments.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915"/>
        <w:gridCol w:w="1077"/>
        <w:gridCol w:w="700"/>
        <w:gridCol w:w="646"/>
        <w:gridCol w:w="1885"/>
        <w:gridCol w:w="538"/>
        <w:gridCol w:w="484"/>
        <w:gridCol w:w="754"/>
        <w:gridCol w:w="5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Query (UniProt)</w:t>
            </w:r>
          </w:p>
        </w:tc>
        <w:tc>
          <w:tcPr/>
          <w:p>
            <w:pPr>
              <w:pStyle w:val="Compact"/>
            </w:pPr>
            <w:r>
              <w:t xml:space="preserve">Current annotation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 (aa)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pLDDT</w:t>
            </w:r>
          </w:p>
        </w:tc>
        <w:tc>
          <w:tcPr/>
          <w:p>
            <w:pPr>
              <w:pStyle w:val="Compact"/>
            </w:pPr>
            <w:r>
              <w:t xml:space="preserve">Best structural match (reference)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TM-score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Cavity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P9WIT1</w:t>
            </w:r>
          </w:p>
        </w:tc>
        <w:tc>
          <w:tcPr/>
          <w:p>
            <w:pPr>
              <w:pStyle w:val="Compact"/>
            </w:pPr>
            <w:r>
              <w:t xml:space="preserve">Uncharacterized FAD-linked oxidoreductase Rv2280 (EC 1.-.-.-)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  <w:tc>
          <w:tcPr/>
          <w:p>
            <w:pPr>
              <w:pStyle w:val="Compact"/>
            </w:pPr>
            <w:r>
              <w:t xml:space="preserve">D-2-hydroxyglutarate dehydrogenase (EC 1.1.99.39)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P9WJG7</w:t>
            </w:r>
          </w:p>
        </w:tc>
        <w:tc>
          <w:tcPr/>
          <w:p>
            <w:pPr>
              <w:pStyle w:val="Compact"/>
            </w:pPr>
            <w:r>
              <w:t xml:space="preserve">Uncharacterized membrane protein ArfB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2′-cyclic-ADP-D-ribose synthase / TIR-domain NAD⁺ hydrolase (EC 3.2.2.-)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O08343</w:t>
            </w:r>
          </w:p>
        </w:tc>
        <w:tc>
          <w:tcPr/>
          <w:p>
            <w:pPr>
              <w:pStyle w:val="Compact"/>
            </w:pPr>
            <w:r>
              <w:t xml:space="preserve">Uncharacterized metal-dependent hydrolase TatD (EC 3.1.-.-)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</w:t>
            </w:r>
          </w:p>
        </w:tc>
        <w:tc>
          <w:tcPr/>
          <w:p>
            <w:pPr>
              <w:pStyle w:val="Compact"/>
            </w:pPr>
            <w:r>
              <w:t xml:space="preserve">Ochratoxinase / amidohydrolase 2 (EC 3.4.17.-)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P9WQ67</w:t>
            </w:r>
          </w:p>
        </w:tc>
        <w:tc>
          <w:tcPr/>
          <w:p>
            <w:pPr>
              <w:pStyle w:val="Compact"/>
            </w:pPr>
            <w:r>
              <w:t xml:space="preserve">Uncharacterized protein Rv3778c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</w:t>
            </w:r>
          </w:p>
        </w:tc>
        <w:tc>
          <w:tcPr/>
          <w:p>
            <w:pPr>
              <w:pStyle w:val="Compact"/>
            </w:pPr>
            <w:r>
              <w:t xml:space="preserve">Aromatic amino-acid aminotransferase (EC 2.6.1.57/58/70)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</w:t>
            </w:r>
          </w:p>
        </w:tc>
      </w:tr>
    </w:tbl>
    <w:bookmarkEnd w:id="23"/>
    <w:bookmarkStart w:id="24" w:name="consistency-of-the-top-assignments"/>
    <w:p>
      <w:pPr>
        <w:pStyle w:val="Heading3"/>
      </w:pPr>
      <w:r>
        <w:t xml:space="preserve">3.3 Consistency of the top assignments</w:t>
      </w:r>
    </w:p>
    <w:p>
      <w:pPr>
        <w:pStyle w:val="FirstParagraph"/>
      </w:pPr>
      <w:r>
        <w:t xml:space="preserve">Three of the four assignments are internally consistent with, and refine, prior sequence-based</w:t>
      </w:r>
      <w:r>
        <w:t xml:space="preserve"> </w:t>
      </w:r>
      <w:r>
        <w:t xml:space="preserve">inference: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P9WIT1</w:t>
      </w:r>
      <w:r>
        <w:t xml:space="preserve"> </w:t>
      </w:r>
      <w:r>
        <w:t xml:space="preserve">was already inferred by UniProt to be an oxidoreductase (EC class 1) but with no defined</w:t>
      </w:r>
      <w:r>
        <w:t xml:space="preserve"> </w:t>
      </w:r>
      <w:r>
        <w:t xml:space="preserve">sub-subclass (EC 1.-.-.-). Its top structural match, a D-2-hydroxyglutarate dehydrogenase</w:t>
      </w:r>
      <w:r>
        <w:t xml:space="preserve"> </w:t>
      </w:r>
      <w:r>
        <w:t xml:space="preserve">(EC 1.1.99.39), lies within the same top-level enzyme class and proposes a specific reaction — a</w:t>
      </w:r>
      <w:r>
        <w:t xml:space="preserve"> </w:t>
      </w:r>
      <w:r>
        <w:t xml:space="preserve">concrete, testable refinement supported by a high TM-score (0.90) and a high-confidence model</w:t>
      </w:r>
      <w:r>
        <w:t xml:space="preserve"> </w:t>
      </w:r>
      <w:r>
        <w:t xml:space="preserve">(pLDDT 95.5).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O08343</w:t>
      </w:r>
      <w:r>
        <w:t xml:space="preserve"> </w:t>
      </w:r>
      <w:r>
        <w:t xml:space="preserve">is annotated as a metal-dependent hydrolase of the TatD family (EC 3.1.-.-); its match to</w:t>
      </w:r>
      <w:r>
        <w:t xml:space="preserve"> </w:t>
      </w:r>
      <w:r>
        <w:t xml:space="preserve">an amidohydrolase-superfamily enzyme (EC 3.4.17.-) is structurally coherent (both are metal-dependent</w:t>
      </w:r>
      <w:r>
        <w:t xml:space="preserve"> </w:t>
      </w:r>
      <w:r>
        <w:t xml:space="preserve">hydrolases built on the TIM-barrel amidohydrolase fold), reinforcing the hydrolase assignment while</w:t>
      </w:r>
      <w:r>
        <w:t xml:space="preserve"> </w:t>
      </w:r>
      <w:r>
        <w:t xml:space="preserve">suggesting a possible peptidase/amidase activity worth testing.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P9WQ67 (Rv3778c)</w:t>
      </w:r>
      <w:r>
        <w:t xml:space="preserve"> </w:t>
      </w:r>
      <w:r>
        <w:t xml:space="preserve">carried no enzyme-class inference at all (</w:t>
      </w:r>
      <w:r>
        <w:t xml:space="preserve">“Uncharacterized protein”</w:t>
      </w:r>
      <w:r>
        <w:t xml:space="preserve">). Its match</w:t>
      </w:r>
      <w:r>
        <w:t xml:space="preserve"> </w:t>
      </w:r>
      <w:r>
        <w:t xml:space="preserve">to a PLP-dependent aromatic amino-acid aminotransferase (EC 2.6.1) is therefore a genuinely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functional hypothesis — the case in which structure-based rescue adds the most information.</w:t>
      </w:r>
    </w:p>
    <w:p>
      <w:pPr>
        <w:pStyle w:val="FirstParagraph"/>
      </w:pPr>
      <w:r>
        <w:t xml:space="preserve">The second-ranked hit,</w:t>
      </w:r>
      <w:r>
        <w:t xml:space="preserve"> </w:t>
      </w:r>
      <w:r>
        <w:rPr>
          <w:b/>
          <w:bCs/>
        </w:rPr>
        <w:t xml:space="preserve">P9WJG7</w:t>
      </w:r>
      <w:r>
        <w:t xml:space="preserve">, illustrates an important caveat rather than a confident result: at</w:t>
      </w:r>
      <w:r>
        <w:t xml:space="preserve"> </w:t>
      </w:r>
      <w:r>
        <w:t xml:space="preserve">only 50 residues its TM-score (0.86) is computed over few aligned positions and is intrinsically less</w:t>
      </w:r>
      <w:r>
        <w:t xml:space="preserve"> </w:t>
      </w:r>
      <w:r>
        <w:t xml:space="preserve">reliable, and no enclosed pocket was detected. It is retained here as a transparent example of a</w:t>
      </w:r>
      <w:r>
        <w:t xml:space="preserve"> </w:t>
      </w:r>
      <w:r>
        <w:t xml:space="preserve">low-confidence match that a user should discount.</w:t>
      </w:r>
    </w:p>
    <w:bookmarkEnd w:id="24"/>
    <w:bookmarkStart w:id="25" w:name="pocket-analysis"/>
    <w:p>
      <w:pPr>
        <w:pStyle w:val="Heading3"/>
      </w:pPr>
      <w:r>
        <w:t xml:space="preserve">3.4 Pocket analysis</w:t>
      </w:r>
    </w:p>
    <w:p>
      <w:pPr>
        <w:pStyle w:val="FirstParagraph"/>
      </w:pPr>
      <w:r>
        <w:t xml:space="preserve">The geometric detector identified enclosed cavities in the three larger high-scoring proteins</w:t>
      </w:r>
      <w:r>
        <w:t xml:space="preserve"> </w:t>
      </w:r>
      <w:r>
        <w:t xml:space="preserve">(4–6 pockets; cavity scores 0.966–0.968), consistent with globular enzymes possessing defined active</w:t>
      </w:r>
      <w:r>
        <w:t xml:space="preserve"> </w:t>
      </w:r>
      <w:r>
        <w:t xml:space="preserve">sites, and correctly reported no enclosed pocket for the 50-residue membrane peptide P9WJG7. Because the</w:t>
      </w:r>
      <w:r>
        <w:t xml:space="preserve"> </w:t>
      </w:r>
      <w:r>
        <w:t xml:space="preserve">cavity score is an unsupervised geometric measure, we use it only as a supporting signal in the</w:t>
      </w:r>
      <w:r>
        <w:t xml:space="preserve"> </w:t>
      </w:r>
      <w:r>
        <w:t xml:space="preserve">composite ranking and for visual inspection, not as a standalone druggability claim.</w:t>
      </w:r>
    </w:p>
    <w:bookmarkEnd w:id="25"/>
    <w:bookmarkStart w:id="26" w:name="software-and-interface"/>
    <w:p>
      <w:pPr>
        <w:pStyle w:val="Heading3"/>
      </w:pPr>
      <w:r>
        <w:t xml:space="preserve">3.5 Software and interface</w:t>
      </w:r>
    </w:p>
    <w:p>
      <w:pPr>
        <w:pStyle w:val="FirstParagraph"/>
      </w:pPr>
      <w:r>
        <w:t xml:space="preserve">The pipeline produced machine-readable outputs (JSON, CSV) and a static web interface that lists the</w:t>
      </w:r>
      <w:r>
        <w:t xml:space="preserve"> </w:t>
      </w:r>
      <w:r>
        <w:t xml:space="preserve">ranked candidates and renders each AlphaFold model in 3D, coloured by pLDDT, with its structural match,</w:t>
      </w:r>
      <w:r>
        <w:t xml:space="preserve"> </w:t>
      </w:r>
      <w:r>
        <w:t xml:space="preserve">match confidence, pocket statistics, and per-component scores (Figure 2). The complete pilot — download,</w:t>
      </w:r>
      <w:r>
        <w:t xml:space="preserve"> </w:t>
      </w:r>
      <w:r>
        <w:t xml:space="preserve">parsing, annotation, 9 × 119 TM-align comparisons, pocket detection, and ranking — ran on a consumer</w:t>
      </w:r>
      <w:r>
        <w:t xml:space="preserve"> </w:t>
      </w:r>
      <w:r>
        <w:t xml:space="preserve">laptop without a GPU; the structural-search stage dominated runtime at roughly one minute per query</w:t>
      </w:r>
      <w:r>
        <w:t xml:space="preserve"> </w:t>
      </w:r>
      <w:r>
        <w:t xml:space="preserve">against the 119-protein library.</w:t>
      </w:r>
    </w:p>
    <w:bookmarkEnd w:id="26"/>
    <w:bookmarkStart w:id="27" w:name="X337fcafd85cc1d614e2686deb6afcf3a148f903"/>
    <w:p>
      <w:pPr>
        <w:pStyle w:val="Heading3"/>
      </w:pPr>
      <w:r>
        <w:t xml:space="preserve">3.6 Functional-residue verification of the candidates</w:t>
      </w:r>
    </w:p>
    <w:p>
      <w:pPr>
        <w:pStyle w:val="FirstParagraph"/>
      </w:pPr>
      <w:r>
        <w:t xml:space="preserve">Global fold similarity alone leaves open whether the</w:t>
      </w:r>
      <w:r>
        <w:t xml:space="preserve"> </w:t>
      </w:r>
      <w:r>
        <w:rPr>
          <w:i/>
          <w:iCs/>
        </w:rPr>
        <w:t xml:space="preserve">active site</w:t>
      </w:r>
      <w:r>
        <w:t xml:space="preserve"> </w:t>
      </w:r>
      <w:r>
        <w:t xml:space="preserve">is shared. We therefore tested, for</w:t>
      </w:r>
      <w:r>
        <w:t xml:space="preserve"> </w:t>
      </w:r>
      <w:r>
        <w:t xml:space="preserve">each pilot candidate, whether the matched reference’s annotated catalytic and binding residues are</w:t>
      </w:r>
      <w:r>
        <w:t xml:space="preserve"> </w:t>
      </w:r>
      <w:r>
        <w:t xml:space="preserve">structurally conserved (Section 2.9; Table 2). This sharpens the picture from the global scores.</w:t>
      </w:r>
    </w:p>
    <w:p>
      <w:pPr>
        <w:pStyle w:val="BodyText"/>
      </w:pPr>
      <w:r>
        <w:t xml:space="preserve">The metal-dependent hydrolase candidate</w:t>
      </w:r>
      <w:r>
        <w:t xml:space="preserve"> </w:t>
      </w:r>
      <w:r>
        <w:rPr>
          <w:b/>
          <w:bCs/>
        </w:rPr>
        <w:t xml:space="preserve">O08343</w:t>
      </w:r>
      <w:r>
        <w:t xml:space="preserve"> </w:t>
      </w:r>
      <w:r>
        <w:t xml:space="preserve">is the strongest case: all eight annotated functional</w:t>
      </w:r>
      <w:r>
        <w:t xml:space="preserve"> </w:t>
      </w:r>
      <w:r>
        <w:t xml:space="preserve">residues of the matched amidohydrolase are position-conserved, and the two zinc-coordinating histidines</w:t>
      </w:r>
      <w:r>
        <w:t xml:space="preserve"> </w:t>
      </w:r>
      <w:r>
        <w:t xml:space="preserve">(His111→His5, His113→His7) together with a catalytic aspartate (Asp378→Asp208) are conserved in identity</w:t>
      </w:r>
      <w:r>
        <w:t xml:space="preserve"> </w:t>
      </w:r>
      <w:r>
        <w:t xml:space="preserve">as well as position — a direct structural signature of a metal-dependent hydrolase active site. The</w:t>
      </w:r>
      <w:r>
        <w:t xml:space="preserve"> </w:t>
      </w:r>
      <w:r>
        <w:t xml:space="preserve">oxidoreductase (</w:t>
      </w:r>
      <w:r>
        <w:rPr>
          <w:b/>
          <w:bCs/>
        </w:rPr>
        <w:t xml:space="preserve">P9WIT1</w:t>
      </w:r>
      <w:r>
        <w:t xml:space="preserve">) and aminotransferase (</w:t>
      </w:r>
      <w:r>
        <w:rPr>
          <w:b/>
          <w:bCs/>
        </w:rPr>
        <w:t xml:space="preserve">P9WQ67</w:t>
      </w:r>
      <w:r>
        <w:t xml:space="preserve">) candidates retain the active-site</w:t>
      </w:r>
      <w:r>
        <w:t xml:space="preserve"> </w:t>
      </w:r>
      <w:r>
        <w:rPr>
          <w:i/>
          <w:iCs/>
        </w:rPr>
        <w:t xml:space="preserve">geometry</w:t>
      </w:r>
      <w:r>
        <w:t xml:space="preserve"> </w:t>
      </w:r>
      <w:r>
        <w:t xml:space="preserve">(83 % and 100 % of functional residues position-conserved) but with diverged residue</w:t>
      </w:r>
      <w:r>
        <w:t xml:space="preserve"> </w:t>
      </w:r>
      <w:r>
        <w:t xml:space="preserve">identities, indicating a shared fold and binding-pocket architecture rather than an identical catalytic</w:t>
      </w:r>
      <w:r>
        <w:t xml:space="preserve"> </w:t>
      </w:r>
      <w:r>
        <w:t xml:space="preserve">complement — a deliberately more cautious level of support (for P9WIT1 the reference’s [4Fe-4S]-cluster</w:t>
      </w:r>
      <w:r>
        <w:t xml:space="preserve"> </w:t>
      </w:r>
      <w:r>
        <w:t xml:space="preserve">cysteines are notably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conserved, suggesting a related oxidoreductase lacking that exact cofactor).</w:t>
      </w:r>
      <w:r>
        <w:t xml:space="preserve"> </w:t>
      </w:r>
      <w:r>
        <w:t xml:space="preserve">Critically, the short 50-residue candidate</w:t>
      </w:r>
      <w:r>
        <w:t xml:space="preserve"> </w:t>
      </w:r>
      <w:r>
        <w:rPr>
          <w:b/>
          <w:bCs/>
        </w:rPr>
        <w:t xml:space="preserve">P9WJG7</w:t>
      </w:r>
      <w:r>
        <w:t xml:space="preserve">, whose global match we had already flagged as</w:t>
      </w:r>
      <w:r>
        <w:t xml:space="preserve"> </w:t>
      </w:r>
      <w:r>
        <w:t xml:space="preserve">unreliable, shows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functional-residue conservation (0/6; all reference active-site residues 36–55 Å</w:t>
      </w:r>
      <w:r>
        <w:t xml:space="preserve"> </w:t>
      </w:r>
      <w:r>
        <w:t xml:space="preserve">away after superposition), independently confirming that its high TM-score is spurious. Residue-level</w:t>
      </w:r>
      <w:r>
        <w:t xml:space="preserve"> </w:t>
      </w:r>
      <w:r>
        <w:t xml:space="preserve">verification thus both strengthens the confident assignments and automatically down-weights the</w:t>
      </w:r>
      <w:r>
        <w:t xml:space="preserve"> </w:t>
      </w:r>
      <w:r>
        <w:t xml:space="preserve">questionable one.</w:t>
      </w:r>
    </w:p>
    <w:p>
      <w:pPr>
        <w:pStyle w:val="BodyText"/>
      </w:pPr>
      <w:r>
        <w:rPr>
          <w:b/>
          <w:bCs/>
        </w:rPr>
        <w:t xml:space="preserve">Table 2. Functional-residue conservation for the pilot candidates.</w:t>
      </w:r>
      <w:r>
        <w:t xml:space="preserve"> </w:t>
      </w:r>
      <w:r>
        <w:t xml:space="preserve">Annotated active-site,</w:t>
      </w:r>
      <w:r>
        <w:t xml:space="preserve"> </w:t>
      </w:r>
      <w:r>
        <w:t xml:space="preserve">binding-site and metal-binding residues of the matched reference, checked for structural conservation in</w:t>
      </w:r>
      <w:r>
        <w:t xml:space="preserve"> </w:t>
      </w:r>
      <w:r>
        <w:t xml:space="preserve">the candidate after TM-align superposition (position-conserved: candidate Cα within 4 Å; identity: same</w:t>
      </w:r>
      <w:r>
        <w:t xml:space="preserve"> </w:t>
      </w:r>
      <w:r>
        <w:t xml:space="preserve">amino acid).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4"/>
        <w:gridCol w:w="1083"/>
        <w:gridCol w:w="1421"/>
        <w:gridCol w:w="1353"/>
        <w:gridCol w:w="1353"/>
        <w:gridCol w:w="19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Matched enzyme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Functional residues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Position-conserved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Identity-conserved</w:t>
            </w:r>
          </w:p>
        </w:tc>
        <w:tc>
          <w:tcPr/>
          <w:p>
            <w:pPr>
              <w:pStyle w:val="Compact"/>
            </w:pPr>
            <w:r>
              <w:t xml:space="preserve">Notable conserved residues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O08343</w:t>
            </w:r>
          </w:p>
        </w:tc>
        <w:tc>
          <w:tcPr/>
          <w:p>
            <w:pPr>
              <w:pStyle w:val="Compact"/>
            </w:pPr>
            <w:r>
              <w:t xml:space="preserve">Amidohydrolase (Zn)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(100 %)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(50 %)</w:t>
            </w:r>
          </w:p>
        </w:tc>
        <w:tc>
          <w:tcPr/>
          <w:p>
            <w:pPr>
              <w:pStyle w:val="Compact"/>
            </w:pPr>
            <w:r>
              <w:t xml:space="preserve">Zn-His111, Zn-His113, catalytic Asp378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P9WQ67</w:t>
            </w:r>
          </w:p>
        </w:tc>
        <w:tc>
          <w:tcPr/>
          <w:p>
            <w:pPr>
              <w:pStyle w:val="Compact"/>
            </w:pPr>
            <w:r>
              <w:t xml:space="preserve">PLP aminotransferase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(100 %)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PLP / 2-oxoglutarate site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P9WIT1</w:t>
            </w:r>
          </w:p>
        </w:tc>
        <w:tc>
          <w:tcPr/>
          <w:p>
            <w:pPr>
              <w:pStyle w:val="Compact"/>
            </w:pPr>
            <w:r>
              <w:t xml:space="preserve">D-2-hydroxyglutarate dehydrogenase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(83 %)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substrate-site geometry (4Fe-4S Cys not conserved)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P9WJG7</w:t>
            </w:r>
          </w:p>
        </w:tc>
        <w:tc>
          <w:tcPr/>
          <w:p>
            <w:pPr>
              <w:pStyle w:val="Compact"/>
            </w:pPr>
            <w:r>
              <w:t xml:space="preserve">TIR-domain NAD⁺ hydrolase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 (spurious 50-residue match)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validation-a-leave-one-out-benchmark"/>
    <w:p>
      <w:pPr>
        <w:pStyle w:val="Heading2"/>
      </w:pPr>
      <w:r>
        <w:t xml:space="preserve">4. Validation: a leave-one-out benchmark</w:t>
      </w:r>
    </w:p>
    <w:p>
      <w:pPr>
        <w:pStyle w:val="FirstParagraph"/>
      </w:pPr>
      <w:r>
        <w:t xml:space="preserve">The pilot of Section 3 shows the software produces coherent hypotheses, but coherence is not accuracy.</w:t>
      </w:r>
      <w:r>
        <w:t xml:space="preserve"> </w:t>
      </w:r>
      <w:r>
        <w:t xml:space="preserve">To quantify how often structure-based recovery is</w:t>
      </w:r>
      <w:r>
        <w:t xml:space="preserve"> </w:t>
      </w:r>
      <w:r>
        <w:rPr>
          <w:i/>
          <w:iCs/>
        </w:rPr>
        <w:t xml:space="preserve">correct</w:t>
      </w:r>
      <w:r>
        <w:t xml:space="preserve">, and whether it adds value over the</w:t>
      </w:r>
      <w:r>
        <w:t xml:space="preserve"> </w:t>
      </w:r>
      <w:r>
        <w:t xml:space="preserve">sequence-based methods it is meant to complement, we ran a controlled leave-one-out benchmark on a</w:t>
      </w:r>
      <w:r>
        <w:t xml:space="preserve"> </w:t>
      </w:r>
      <w:r>
        <w:t xml:space="preserve">labelled gold-standard set.</w:t>
      </w:r>
    </w:p>
    <w:bookmarkStart w:id="29" w:name="benchmark-design"/>
    <w:p>
      <w:pPr>
        <w:pStyle w:val="Heading3"/>
      </w:pPr>
      <w:r>
        <w:t xml:space="preserve">4.1 Benchmark design</w:t>
      </w:r>
    </w:p>
    <w:p>
      <w:pPr>
        <w:pStyle w:val="FirstParagraph"/>
      </w:pPr>
      <w:r>
        <w:t xml:space="preserve">We assembled 227 reviewed enzymes with experimentally supported Enzyme Commission (EC) annotations,</w:t>
      </w:r>
      <w:r>
        <w:t xml:space="preserve"> </w:t>
      </w:r>
      <w:r>
        <w:t xml:space="preserve">drawn from 29 EC families spanning six enzyme classes (oxidoreductases, transferases, hydrolases,</w:t>
      </w:r>
      <w:r>
        <w:t xml:space="preserve"> </w:t>
      </w:r>
      <w:r>
        <w:t xml:space="preserve">lyases, isomerases and ligases; classes 1–6), with up to eight diverse members per family — families</w:t>
      </w:r>
      <w:r>
        <w:t xml:space="preserve"> </w:t>
      </w:r>
      <w:r>
        <w:t xml:space="preserve">returning fewer than three usable members were dropped automatically — and lengths of 80–520 residues.</w:t>
      </w:r>
      <w:r>
        <w:t xml:space="preserve"> </w:t>
      </w:r>
      <w:r>
        <w:t xml:space="preserve">For every protein we performed leave-one-out prediction: its annotation was</w:t>
      </w:r>
      <w:r>
        <w:t xml:space="preserve"> </w:t>
      </w:r>
      <w:r>
        <w:t xml:space="preserve">hidden and its function was predicted from the EC number of its single best hit among all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proteins, computed two ways — (i) by TM-align structural similarity (the pipeline’s method) and (ii) by</w:t>
      </w:r>
      <w:r>
        <w:t xml:space="preserve"> </w:t>
      </w:r>
      <w:r>
        <w:t xml:space="preserve">a sequence baseline (local pairwise identity, BLOSUM62). Predictions were scored by EC agreement at each</w:t>
      </w:r>
      <w:r>
        <w:t xml:space="preserve"> </w:t>
      </w:r>
      <w:r>
        <w:t xml:space="preserve">level (1 = class … 4 = exact reaction). This isolates the effect of the comparison method, since both</w:t>
      </w:r>
      <w:r>
        <w:t xml:space="preserve"> </w:t>
      </w:r>
      <w:r>
        <w:t xml:space="preserve">operate on the identical set. Full code and the exact accession list are in</w:t>
      </w:r>
      <w:r>
        <w:t xml:space="preserve"> </w:t>
      </w:r>
      <w:r>
        <w:rPr>
          <w:rStyle w:val="VerbatimChar"/>
        </w:rPr>
        <w:t xml:space="preserve">benchmark/</w:t>
      </w:r>
      <w:r>
        <w:t xml:space="preserve">.</w:t>
      </w:r>
    </w:p>
    <w:bookmarkEnd w:id="29"/>
    <w:bookmarkStart w:id="30" w:name="X0678a78b1f556c857954555e23544fe8630b298"/>
    <w:p>
      <w:pPr>
        <w:pStyle w:val="Heading3"/>
      </w:pPr>
      <w:r>
        <w:t xml:space="preserve">4.2 Recovery accuracy and comparison to sequence</w:t>
      </w:r>
    </w:p>
    <w:p>
      <w:pPr>
        <w:pStyle w:val="FirstParagraph"/>
      </w:pPr>
      <w:r>
        <w:t xml:space="preserve">Structure-based recovery assigned the</w:t>
      </w:r>
      <w:r>
        <w:t xml:space="preserve"> </w:t>
      </w:r>
      <w:r>
        <w:rPr>
          <w:b/>
          <w:bCs/>
        </w:rPr>
        <w:t xml:space="preserve">exact four-level EC number</w:t>
      </w:r>
      <w:r>
        <w:t xml:space="preserve"> </w:t>
      </w:r>
      <w:r>
        <w:t xml:space="preserve">correctly for</w:t>
      </w:r>
      <w:r>
        <w:t xml:space="preserve"> </w:t>
      </w:r>
      <w:r>
        <w:rPr>
          <w:b/>
          <w:bCs/>
        </w:rPr>
        <w:t xml:space="preserve">219/227 proteins</w:t>
      </w:r>
      <w:r>
        <w:rPr>
          <w:b/>
          <w:bCs/>
        </w:rPr>
        <w:t xml:space="preserve"> </w:t>
      </w:r>
      <w:r>
        <w:rPr>
          <w:b/>
          <w:bCs/>
        </w:rPr>
        <w:t xml:space="preserve">(96.5 %)</w:t>
      </w:r>
      <w:r>
        <w:t xml:space="preserve">, and was stable across EC levels 1–4 (Figure 3). The simple pairwise sequence-identity</w:t>
      </w:r>
      <w:r>
        <w:t xml:space="preserve"> </w:t>
      </w:r>
      <w:r>
        <w:t xml:space="preserve">baseline was identical at the coarsest level (class, level 1: 96.5 %) but lower at finer levels, falling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93.8 % for the exact reaction</w:t>
      </w:r>
      <w:r>
        <w:t xml:space="preserve"> </w:t>
      </w:r>
      <w:r>
        <w:t xml:space="preserve">(level 4) — so structure was slightly better at pinpointing the</w:t>
      </w:r>
      <w:r>
        <w:t xml:space="preserve"> </w:t>
      </w:r>
      <w:r>
        <w:t xml:space="preserve">specific reaction, while the two methods were comparable overall. We make no claim of a large overall</w:t>
      </w:r>
      <w:r>
        <w:t xml:space="preserve"> </w:t>
      </w:r>
      <w:r>
        <w:t xml:space="preserve">improvement on easy cases, and note that a stronger sequence method (profile/HMM search; Section 6)</w:t>
      </w:r>
      <w:r>
        <w:t xml:space="preserve"> </w:t>
      </w:r>
      <w:r>
        <w:t xml:space="preserve">would likely close even this small gap. The meaningful difference appears elsewhere (Section 4.3).</w:t>
      </w:r>
    </w:p>
    <w:bookmarkEnd w:id="30"/>
    <w:bookmarkStart w:id="31" w:name="X6237b8087aa5f73f462d51c86b4c32b2c42da81"/>
    <w:p>
      <w:pPr>
        <w:pStyle w:val="Heading3"/>
      </w:pPr>
      <w:r>
        <w:t xml:space="preserve">4.3 The value of structure: recovery in the twilight zone</w:t>
      </w:r>
    </w:p>
    <w:p>
      <w:pPr>
        <w:pStyle w:val="FirstParagraph"/>
      </w:pPr>
      <w:r>
        <w:t xml:space="preserve">The methods diverge precisely where they should. Among the 219 correct structural recoveries,</w:t>
      </w:r>
      <w:r>
        <w:t xml:space="preserve"> </w:t>
      </w:r>
      <w:r>
        <w:rPr>
          <w:b/>
          <w:bCs/>
        </w:rPr>
        <w:t xml:space="preserve">24</w:t>
      </w:r>
      <w:r>
        <w:rPr>
          <w:b/>
          <w:bCs/>
        </w:rPr>
        <w:t xml:space="preserve"> </w:t>
      </w:r>
      <w:r>
        <w:rPr>
          <w:b/>
          <w:bCs/>
        </w:rPr>
        <w:t xml:space="preserve">(11 %) occurred at below 30 % sequence identity to the matched protein</w:t>
      </w:r>
      <w:r>
        <w:t xml:space="preserve"> </w:t>
      </w:r>
      <w:r>
        <w:t xml:space="preserve">(Figure 4) — the regime in</w:t>
      </w:r>
      <w:r>
        <w:t xml:space="preserve"> </w:t>
      </w:r>
      <w:r>
        <w:t xml:space="preserve">which sequence homology becomes unreliable [2]. These include metallo-β-lactamases (VIM-1/NDM-1,</w:t>
      </w:r>
      <w:r>
        <w:t xml:space="preserve"> </w:t>
      </w:r>
      <w:r>
        <w:t xml:space="preserve">~24 % identity), a glutathione S-transferase (~12 %), an aspartate aminotransferase (~13 %), and — most</w:t>
      </w:r>
      <w:r>
        <w:t xml:space="preserve"> </w:t>
      </w:r>
      <w:r>
        <w:t xml:space="preserve">strikingly — a triacylglycerol lipase, an alanine racemase and a dye-decolorizing peroxidase recovered</w:t>
      </w:r>
      <w:r>
        <w:t xml:space="preserve"> </w:t>
      </w:r>
      <w:r>
        <w:t xml:space="preserve">correctly at</w:t>
      </w:r>
      <w:r>
        <w:t xml:space="preserve"> </w:t>
      </w:r>
      <w:r>
        <w:rPr>
          <w:b/>
          <w:bCs/>
        </w:rPr>
        <w:t xml:space="preserve">3–5 % identity</w:t>
      </w:r>
      <w:r>
        <w:t xml:space="preserve">. In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of these low-identity cases the sequence baseline’s top hit</w:t>
      </w:r>
      <w:r>
        <w:t xml:space="preserve"> </w:t>
      </w:r>
      <w:r>
        <w:t xml:space="preserve">was incorrect while the structural top hit was correct (the lipase, the racemase, the peroxidase, the</w:t>
      </w:r>
      <w:r>
        <w:t xml:space="preserve"> </w:t>
      </w:r>
      <w:r>
        <w:t xml:space="preserve">glutathione S-transferase and the aminotransferase) — direct examples of structure succeeding where a</w:t>
      </w:r>
      <w:r>
        <w:t xml:space="preserve"> </w:t>
      </w:r>
      <w:r>
        <w:t xml:space="preserve">pairwise sequence comparison fails. Across the whole benchmark there was</w:t>
      </w:r>
      <w:r>
        <w:t xml:space="preserve"> </w:t>
      </w:r>
      <w:r>
        <w:rPr>
          <w:b/>
          <w:bCs/>
        </w:rPr>
        <w:t xml:space="preserve">no case</w:t>
      </w:r>
      <w:r>
        <w:t xml:space="preserve"> </w:t>
      </w:r>
      <w:r>
        <w:t xml:space="preserve">in which the</w:t>
      </w:r>
      <w:r>
        <w:t xml:space="preserve"> </w:t>
      </w:r>
      <w:r>
        <w:t xml:space="preserve">sequence baseline recovered the correct function (to ≥ 3 EC levels) and structure did not.</w:t>
      </w:r>
    </w:p>
    <w:bookmarkEnd w:id="31"/>
    <w:bookmarkStart w:id="32" w:name="calibration-of-the-tm-score-threshold"/>
    <w:p>
      <w:pPr>
        <w:pStyle w:val="Heading3"/>
      </w:pPr>
      <w:r>
        <w:t xml:space="preserve">4.4 Calibration of the TM-score threshold</w:t>
      </w:r>
    </w:p>
    <w:p>
      <w:pPr>
        <w:pStyle w:val="FirstParagraph"/>
      </w:pPr>
      <w:r>
        <w:t xml:space="preserve">Precision as a function of the TM-score acceptance threshold (Figure 5) supports the default cutoff of</w:t>
      </w:r>
      <w:r>
        <w:t xml:space="preserve"> </w:t>
      </w:r>
      <w:r>
        <w:t xml:space="preserve">0.5: at TM ≥ 0.5, precision for ≥3-level EC agreement was</w:t>
      </w:r>
      <w:r>
        <w:t xml:space="preserve"> </w:t>
      </w:r>
      <w:r>
        <w:rPr>
          <w:b/>
          <w:bCs/>
        </w:rPr>
        <w:t xml:space="preserve">0.982 (219 of 223 accepted hits correct)</w:t>
      </w:r>
      <w:r>
        <w:t xml:space="preserve"> </w:t>
      </w:r>
      <w:r>
        <w:t xml:space="preserve">at 98.2 % coverage; raising the threshold to 0.75 gave</w:t>
      </w:r>
      <w:r>
        <w:t xml:space="preserve"> </w:t>
      </w:r>
      <w:r>
        <w:rPr>
          <w:b/>
          <w:bCs/>
        </w:rPr>
        <w:t xml:space="preserve">100 % precision</w:t>
      </w:r>
      <w:r>
        <w:t xml:space="preserve"> </w:t>
      </w:r>
      <w:r>
        <w:t xml:space="preserve">at 95.2 % coverage. The four</w:t>
      </w:r>
      <w:r>
        <w:t xml:space="preserve"> </w:t>
      </w:r>
      <w:r>
        <w:t xml:space="preserve">false positives at the default threshold are instructive rather than random — each is a genuine case of</w:t>
      </w:r>
      <w:r>
        <w:t xml:space="preserve"> </w:t>
      </w:r>
      <w:r>
        <w:t xml:space="preserve">shared fold architecture without shared function: a mutual confusion between a 94-residue</w:t>
      </w:r>
      <w:r>
        <w:t xml:space="preserve"> </w:t>
      </w:r>
      <w:r>
        <w:t xml:space="preserve">pyrimidine/purine nucleoside phosphorylase and a glucose-6-phosphate isomerase (TM 0.74), a PLP-fold</w:t>
      </w:r>
      <w:r>
        <w:t xml:space="preserve"> </w:t>
      </w:r>
      <w:r>
        <w:t xml:space="preserve">alanine racemase matched to an aspartate aminotransferase, and a microsomal (MAPEG-fold) prostaglandin</w:t>
      </w:r>
      <w:r>
        <w:t xml:space="preserve"> </w:t>
      </w:r>
      <w:r>
        <w:t xml:space="preserve">E synthase. High structural scores reflect fold identity, which usually but not always implies</w:t>
      </w:r>
      <w:r>
        <w:t xml:space="preserve"> </w:t>
      </w:r>
      <w:r>
        <w:t xml:space="preserve">functional identity.</w:t>
      </w:r>
    </w:p>
    <w:bookmarkEnd w:id="32"/>
    <w:bookmarkStart w:id="33" w:name="instructive-failure-modes"/>
    <w:p>
      <w:pPr>
        <w:pStyle w:val="Heading3"/>
      </w:pPr>
      <w:r>
        <w:t xml:space="preserve">4.5 Instructive failure modes</w:t>
      </w:r>
    </w:p>
    <w:p>
      <w:pPr>
        <w:pStyle w:val="FirstParagraph"/>
      </w:pPr>
      <w:r>
        <w:t xml:space="preserve">Of the eight proteins not correctly recovered,</w:t>
      </w:r>
      <w:r>
        <w:t xml:space="preserve"> </w:t>
      </w:r>
      <w:r>
        <w:rPr>
          <w:b/>
          <w:bCs/>
        </w:rPr>
        <w:t xml:space="preserve">four had a best structural score below the 0.5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and were therefore correctly rejected rather than misassigned</w:t>
      </w:r>
      <w:r>
        <w:t xml:space="preserve">; the other four are the</w:t>
      </w:r>
      <w:r>
        <w:t xml:space="preserve"> </w:t>
      </w:r>
      <w:r>
        <w:t xml:space="preserve">false positives above. The rejected cases are all atypical members whose fold differs from the rest of</w:t>
      </w:r>
      <w:r>
        <w:t xml:space="preserve"> </w:t>
      </w:r>
      <w:r>
        <w:t xml:space="preserve">their EC family — a carboxysomal carbonic anhydrase (CsoSCA), which adopts a fold distinct from the</w:t>
      </w:r>
      <w:r>
        <w:t xml:space="preserve"> </w:t>
      </w:r>
      <w:r>
        <w:t xml:space="preserve">α-carbonic anhydrases; a lanthionine-synthetase-like protein (LANCL1) annotated as a glutathione</w:t>
      </w:r>
      <w:r>
        <w:t xml:space="preserve"> </w:t>
      </w:r>
      <w:r>
        <w:t xml:space="preserve">transferase but not sharing the GST fold; and proteins carrying secondary EC labels on a different</w:t>
      </w:r>
      <w:r>
        <w:t xml:space="preserve"> </w:t>
      </w:r>
      <w:r>
        <w:t xml:space="preserve">scaffold (e.g. a peptidoglycan-editing factor also annotated as a purine nucleoside phosphorylase). This</w:t>
      </w:r>
      <w:r>
        <w:t xml:space="preserve"> </w:t>
      </w:r>
      <w:r>
        <w:t xml:space="preserve">behaviour is desirable: the confidence threshold converts many fold-degeneracy cases into abstentions</w:t>
      </w:r>
      <w:r>
        <w:t xml:space="preserve"> </w:t>
      </w:r>
      <w:r>
        <w:t xml:space="preserve">rather than wrong high-confidence calls, exactly as the pipeline’s filtering and ranking intend.</w:t>
      </w:r>
    </w:p>
    <w:bookmarkEnd w:id="33"/>
    <w:bookmarkStart w:id="34" w:name="X77b3583a237dcdc2c17a8b2b6f7eeb52c431ada"/>
    <w:p>
      <w:pPr>
        <w:pStyle w:val="Heading3"/>
      </w:pPr>
      <w:r>
        <w:t xml:space="preserve">4.6 Robustness of the composite ranking to the weights</w:t>
      </w:r>
    </w:p>
    <w:p>
      <w:pPr>
        <w:pStyle w:val="FirstParagraph"/>
      </w:pPr>
      <w:r>
        <w:t xml:space="preserve">The composite score combines structural similarity, model confidence and pocket quality with default</w:t>
      </w:r>
      <w:r>
        <w:t xml:space="preserve"> </w:t>
      </w:r>
      <w:r>
        <w:t xml:space="preserve">weights (0.5, 0.2, 0.3); a reviewer will reasonably ask whether the ranking depends on those particular</w:t>
      </w:r>
      <w:r>
        <w:t xml:space="preserve"> </w:t>
      </w:r>
      <w:r>
        <w:t xml:space="preserve">numbers. To test this we scored a realistic pool of 40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rescue candidates (structural-</w:t>
      </w:r>
      <w:r>
        <w:t xml:space="preserve"> </w:t>
      </w:r>
      <w:r>
        <w:t xml:space="preserve">similarity scores spanning 0.45–0.84) and re-ranked them under many weight vectors (Section 2.10;</w:t>
      </w:r>
      <w:r>
        <w:t xml:space="preserve"> </w:t>
      </w:r>
      <w:r>
        <w:t xml:space="preserve">Figure 6). Within a reasonable neighbourhood of the default — structure kept dominant, each weight</w:t>
      </w:r>
      <w:r>
        <w:t xml:space="preserve"> </w:t>
      </w:r>
      <w:r>
        <w:t xml:space="preserve">varied by up to ±0.1 — the ranking was essentially unchanged: Kendall’s τ against the default ranking</w:t>
      </w:r>
      <w:r>
        <w:t xml:space="preserve"> </w:t>
      </w:r>
      <w:r>
        <w:t xml:space="preserve">had a</w:t>
      </w:r>
      <w:r>
        <w:t xml:space="preserve"> </w:t>
      </w:r>
      <w:r>
        <w:rPr>
          <w:b/>
          <w:bCs/>
        </w:rPr>
        <w:t xml:space="preserve">median of 0.98 (minimum 0.95; all 61 weightings above 0.9)</w:t>
      </w:r>
      <w:r>
        <w:t xml:space="preserve">, and the top-10 candidates were</w:t>
      </w:r>
      <w:r>
        <w:t xml:space="preserve"> </w:t>
      </w:r>
      <w:r>
        <w:t xml:space="preserve">identical for the majority of weightings (median top-10 Jaccard 1.0). Even under an adversarial stress</w:t>
      </w:r>
      <w:r>
        <w:t xml:space="preserve"> </w:t>
      </w:r>
      <w:r>
        <w:t xml:space="preserve">test over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weight simplex (171 vectors, including weightings that all but ignore structure),</w:t>
      </w:r>
      <w:r>
        <w:t xml:space="preserve"> </w:t>
      </w:r>
      <w:r>
        <w:t xml:space="preserve">the median τ remained 0.91. Candidate rankings are therefore driven by the data, not by the specific</w:t>
      </w:r>
      <w:r>
        <w:t xml:space="preserve"> </w:t>
      </w:r>
      <w:r>
        <w:t xml:space="preserve">weights: the weights tune emphasis, not outcome. (Consistent with this, the geometric cavity score has</w:t>
      </w:r>
      <w:r>
        <w:t xml:space="preserve"> </w:t>
      </w:r>
      <w:r>
        <w:t xml:space="preserve">limited dynamic range across well-folded proteins — Section 6 — so most of the ranking signal comes from</w:t>
      </w:r>
      <w:r>
        <w:t xml:space="preserve"> </w:t>
      </w:r>
      <w:r>
        <w:t xml:space="preserve">structural similarity and model confidence regardless.)</w:t>
      </w:r>
    </w:p>
    <w:bookmarkEnd w:id="34"/>
    <w:bookmarkStart w:id="35" w:name="summary"/>
    <w:p>
      <w:pPr>
        <w:pStyle w:val="Heading3"/>
      </w:pPr>
      <w:r>
        <w:t xml:space="preserve">4.7 Summary</w:t>
      </w:r>
    </w:p>
    <w:p>
      <w:pPr>
        <w:pStyle w:val="FirstParagraph"/>
      </w:pPr>
      <w:r>
        <w:t xml:space="preserve">On a labelled benchmark of 227 enzymes across 29 families and six classes the pipeline recovers exact</w:t>
      </w:r>
      <w:r>
        <w:t xml:space="preserve"> </w:t>
      </w:r>
      <w:r>
        <w:t xml:space="preserve">enzyme function in 96.5 % of leave-one-out tests. It matched a simple pairwise sequence-identity</w:t>
      </w:r>
      <w:r>
        <w:t xml:space="preserve"> </w:t>
      </w:r>
      <w:r>
        <w:t xml:space="preserve">baseline overall, was slightly better at pinpointing the exact reaction, and demonstrated clear</w:t>
      </w:r>
      <w:r>
        <w:t xml:space="preserve"> </w:t>
      </w:r>
      <w:r>
        <w:t xml:space="preserve">advantages for several remote-homology cases in the low-identity twilight zone where pairwise sequence</w:t>
      </w:r>
      <w:r>
        <w:t xml:space="preserve"> </w:t>
      </w:r>
      <w:r>
        <w:t xml:space="preserve">comparison is unreliable — while its calibrated threshold keeps precision high (0.982 at TM ≥ 0.5) and</w:t>
      </w:r>
      <w:r>
        <w:t xml:space="preserve"> </w:t>
      </w:r>
      <w:r>
        <w:t xml:space="preserve">its failures are dominated by the well-understood fold-degeneracy of the EC system, most of which the</w:t>
      </w:r>
      <w:r>
        <w:t xml:space="preserve"> </w:t>
      </w:r>
      <w:r>
        <w:t xml:space="preserve">threshold turns into abstentions rather than errors. These are quantitative results the pilot alone could not provide; we</w:t>
      </w:r>
      <w:r>
        <w:t xml:space="preserve"> </w:t>
      </w:r>
      <w:r>
        <w:t xml:space="preserve">emphasise that the sequence comparator here is a deliberately simple pairwise baseline, not a</w:t>
      </w:r>
      <w:r>
        <w:t xml:space="preserve"> </w:t>
      </w:r>
      <w:r>
        <w:t xml:space="preserve">profile/HMM method.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This work demonstrates that the two ingredients underlying modern structural bioinformatics — a</w:t>
      </w:r>
      <w:r>
        <w:t xml:space="preserve"> </w:t>
      </w:r>
      <w:r>
        <w:t xml:space="preserve">comprehensive database of predicted structures and a reliable structural aligner — are individually</w:t>
      </w:r>
      <w:r>
        <w:t xml:space="preserve"> </w:t>
      </w:r>
      <w:r>
        <w:t xml:space="preserve">lightweight enough to be combined into a functioning function-annotation pipeline on a personal</w:t>
      </w:r>
      <w:r>
        <w:t xml:space="preserve"> </w:t>
      </w:r>
      <w:r>
        <w:t xml:space="preserve">computer. By consuming pre-computed AlphaFold models rather than predicting structures, the compute cost</w:t>
      </w:r>
      <w:r>
        <w:t xml:space="preserve"> </w:t>
      </w:r>
      <w:r>
        <w:t xml:space="preserve">collapses to that of pairwise structural alignment, which TM-align performs exactly and without any</w:t>
      </w:r>
      <w:r>
        <w:t xml:space="preserve"> </w:t>
      </w:r>
      <w:r>
        <w:t xml:space="preserve">database-building step.</w:t>
      </w:r>
    </w:p>
    <w:p>
      <w:pPr>
        <w:pStyle w:val="BodyText"/>
      </w:pPr>
      <w:r>
        <w:t xml:space="preserve">The pilot results are encouraging in a specific, limited sense: the method recovered fold-level matches</w:t>
      </w:r>
      <w:r>
        <w:t xml:space="preserve"> </w:t>
      </w:r>
      <w:r>
        <w:t xml:space="preserve">that are</w:t>
      </w:r>
      <w:r>
        <w:t xml:space="preserve"> </w:t>
      </w:r>
      <w:r>
        <w:rPr>
          <w:i/>
          <w:iCs/>
        </w:rPr>
        <w:t xml:space="preserve">coherent with independent evidence</w:t>
      </w:r>
      <w:r>
        <w:t xml:space="preserve"> </w:t>
      </w:r>
      <w:r>
        <w:t xml:space="preserve">(the EC-class agreement for P9WIT1 and O08343) and, in one</w:t>
      </w:r>
      <w:r>
        <w:t xml:space="preserve"> </w:t>
      </w:r>
      <w:r>
        <w:t xml:space="preserve">case (P9WQ67), generated a functional hypothesis where sequence analysis had produced none. This is</w:t>
      </w:r>
      <w:r>
        <w:t xml:space="preserve"> </w:t>
      </w:r>
      <w:r>
        <w:t xml:space="preserve">precisely the behaviour expected of a useful triage tool — it should confirm and sharpen weak prior</w:t>
      </w:r>
      <w:r>
        <w:t xml:space="preserve"> </w:t>
      </w:r>
      <w:r>
        <w:t xml:space="preserve">signals and occasionally surface entirely new ones.</w:t>
      </w:r>
    </w:p>
    <w:p>
      <w:pPr>
        <w:pStyle w:val="BodyText"/>
      </w:pPr>
      <w:r>
        <w:t xml:space="preserve">The design also makes the speed/scale trade-off explicit and pedagogically useful. TM-align’s</w:t>
      </w:r>
      <w:r>
        <w:t xml:space="preserve"> </w:t>
      </w:r>
      <w:r>
        <w:t xml:space="preserve">exhaustive, exact alignment is ideal for a curated reference set on a laptop but does not scale to</w:t>
      </w:r>
      <w:r>
        <w:t xml:space="preserve"> </w:t>
      </w:r>
      <w:r>
        <w:t xml:space="preserve">searching millions of targets; Foldseek’s</w:t>
      </w:r>
      <w:r>
        <w:t xml:space="preserve"> </w:t>
      </w:r>
      <w:r>
        <w:rPr>
          <w:i/>
          <w:iCs/>
        </w:rPr>
        <w:t xml:space="preserve">k</w:t>
      </w:r>
      <w:r>
        <w:t xml:space="preserve">-mer-based structural search was engineered precisely for</w:t>
      </w:r>
      <w:r>
        <w:t xml:space="preserve"> </w:t>
      </w:r>
      <w:r>
        <w:t xml:space="preserve">that regime [5]. Because both are exposed as interchangeable back-ends, a user can prototype on a laptop</w:t>
      </w:r>
      <w:r>
        <w:t xml:space="preserve"> </w:t>
      </w:r>
      <w:r>
        <w:t xml:space="preserve">and later scale the identical analysis to a whole-proteome, whole-PDB search on a Linux server by</w:t>
      </w:r>
      <w:r>
        <w:t xml:space="preserve"> </w:t>
      </w:r>
      <w:r>
        <w:t xml:space="preserve">changing one configuration value. The pocket stage mirrors this: a transparent geometric detector for</w:t>
      </w:r>
      <w:r>
        <w:t xml:space="preserve"> </w:t>
      </w:r>
      <w:r>
        <w:t xml:space="preserve">laptop use, or the trained fpocket tool [11] where available.</w:t>
      </w:r>
    </w:p>
    <w:p>
      <w:pPr>
        <w:pStyle w:val="BodyText"/>
      </w:pPr>
      <w:r>
        <w:t xml:space="preserve">Compared with sequence-based annotation transfer, the structural approach’s advantage is its reach into</w:t>
      </w:r>
      <w:r>
        <w:t xml:space="preserve"> </w:t>
      </w:r>
      <w:r>
        <w:t xml:space="preserve">the</w:t>
      </w:r>
      <w:r>
        <w:t xml:space="preserve"> </w:t>
      </w:r>
      <w:r>
        <w:t xml:space="preserve">“twilight zone”</w:t>
      </w:r>
      <w:r>
        <w:t xml:space="preserve"> </w:t>
      </w:r>
      <w:r>
        <w:t xml:space="preserve">of low sequence identity [2]; its disadvantage is that fold similarity does not</w:t>
      </w:r>
      <w:r>
        <w:t xml:space="preserve"> </w:t>
      </w:r>
      <w:r>
        <w:t xml:space="preserve">guarantee identical function (convergent folds and moonlighting proteins exist), which is why every</w:t>
      </w:r>
      <w:r>
        <w:t xml:space="preserve"> </w:t>
      </w:r>
      <w:r>
        <w:t xml:space="preserve">output is framed as a hypothesis linked to its supporting evidence rather than a definitive assignment.</w:t>
      </w:r>
    </w:p>
    <w:p>
      <w:r>
        <w:pict>
          <v:rect style="width:0;height:1.5pt" o:hralign="center" o:hrstd="t" o:hr="t"/>
        </w:pict>
      </w:r>
    </w:p>
    <w:bookmarkEnd w:id="37"/>
    <w:bookmarkStart w:id="38" w:name="limitations"/>
    <w:p>
      <w:pPr>
        <w:pStyle w:val="Heading2"/>
      </w:pPr>
      <w:r>
        <w:t xml:space="preserve">6. Limitations</w:t>
      </w:r>
    </w:p>
    <w:p>
      <w:pPr>
        <w:pStyle w:val="FirstParagraph"/>
      </w:pPr>
      <w:r>
        <w:t xml:space="preserve">Several limitations bound the interpretation of these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Predictions are hypotheses.</w:t>
      </w:r>
      <w:r>
        <w:t xml:space="preserve"> </w:t>
      </w:r>
      <w:r>
        <w:t xml:space="preserve">A structural match proposes a possible function; it is not</w:t>
      </w:r>
      <w:r>
        <w:t xml:space="preserve"> </w:t>
      </w:r>
      <w:r>
        <w:t xml:space="preserve">experimental proof. AlphaFold models are themselves predictions, and low-pLDDT regions are</w:t>
      </w:r>
      <w:r>
        <w:t xml:space="preserve"> </w:t>
      </w:r>
      <w:r>
        <w:t xml:space="preserve">unreliable. None of the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assignments has been experimentally validated. AlphaFold</w:t>
      </w:r>
      <w:r>
        <w:t xml:space="preserve"> </w:t>
      </w:r>
      <w:r>
        <w:t xml:space="preserve">data are explicitly not for clinical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of the benchmark.</w:t>
      </w:r>
      <w:r>
        <w:t xml:space="preserve"> </w:t>
      </w:r>
      <w:r>
        <w:t xml:space="preserve">Validation (Section 4) was performed on 227 enzymes across 29 EC</w:t>
      </w:r>
      <w:r>
        <w:t xml:space="preserve"> </w:t>
      </w:r>
      <w:r>
        <w:t xml:space="preserve">families and six enzyme classes; while a few hundred proteins is a reasonable scale, accuracy on a</w:t>
      </w:r>
      <w:r>
        <w:t xml:space="preserve"> </w:t>
      </w:r>
      <w:r>
        <w:t xml:space="preserve">curated enzyme set is still an optimistic estimate of performance on the harder, more heterogeneous</w:t>
      </w:r>
      <w:r>
        <w:t xml:space="preserve"> </w:t>
      </w:r>
      <w:r>
        <w:t xml:space="preserve">dark proteome. The length cap (80–520 residues, imposed to keep exhaustive TM-align tractable) also</w:t>
      </w:r>
      <w:r>
        <w:t xml:space="preserve"> </w:t>
      </w:r>
      <w:r>
        <w:t xml:space="preserve">excludes the largest enzymes. The benchmark measures EC-number recovery, a proxy for function, and does</w:t>
      </w:r>
      <w:r>
        <w:t xml:space="preserve"> </w:t>
      </w:r>
      <w:r>
        <w:t xml:space="preserve">not capture non-enzymatic function, multi-domain proteins, or moonlighting activities. Larger</w:t>
      </w:r>
      <w:r>
        <w:t xml:space="preserve"> </w:t>
      </w:r>
      <w:r>
        <w:t xml:space="preserve">benchmarks — e.g. the full SCOPe/CATH superfamily hierarchy, or held-out proteins characterised after</w:t>
      </w:r>
      <w:r>
        <w:t xml:space="preserve"> </w:t>
      </w:r>
      <w:r>
        <w:t xml:space="preserve">a fixed AlphaFold DB release — and a whole-proteome application remain future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Comparison baseline.</w:t>
      </w:r>
      <w:r>
        <w:t xml:space="preserve"> </w:t>
      </w:r>
      <w:r>
        <w:t xml:space="preserve">We compared against a local sequence-identity baseline, the most accessible</w:t>
      </w:r>
      <w:r>
        <w:t xml:space="preserve"> </w:t>
      </w:r>
      <w:r>
        <w:t xml:space="preserve">sequence method; a comprehensive evaluation should also compare against profile/HMM search</w:t>
      </w:r>
      <w:r>
        <w:t xml:space="preserve"> </w:t>
      </w:r>
      <w:r>
        <w:t xml:space="preserve">(HMMER/InterProScan), the Foldseek back-end, and learned function predictors (e.g. DeepFRI),</w:t>
      </w:r>
      <w:r>
        <w:t xml:space="preserve"> </w:t>
      </w:r>
      <w:r>
        <w:t xml:space="preserve">which was beyond the scope of this laptop-based study.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Reference-library bias.</w:t>
      </w:r>
      <w:r>
        <w:t xml:space="preserve"> </w:t>
      </w:r>
      <w:r>
        <w:t xml:space="preserve">Coverage and ranking depend on which characterised proteins are in the</w:t>
      </w:r>
      <w:r>
        <w:t xml:space="preserve"> </w:t>
      </w:r>
      <w:r>
        <w:t xml:space="preserve">reference set; a small or skewed library will miss functions it does not contain.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reliability at short length.</w:t>
      </w:r>
      <w:r>
        <w:t xml:space="preserve"> </w:t>
      </w:r>
      <w:r>
        <w:t xml:space="preserve">TM-score is less reliable for very short proteins (illustrated</w:t>
      </w:r>
      <w:r>
        <w:t xml:space="preserve"> </w:t>
      </w:r>
      <w:r>
        <w:t xml:space="preserve">by the 50-residue P9WJG7); length and pLDDT should be weighed alongside TM-score.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Geometric cavity score.</w:t>
      </w:r>
      <w:r>
        <w:t xml:space="preserve"> </w:t>
      </w:r>
      <w:r>
        <w:t xml:space="preserve">The pocket score is an unsupervised geometric estimate, not a validated</w:t>
      </w:r>
      <w:r>
        <w:t xml:space="preserve"> </w:t>
      </w:r>
      <w:r>
        <w:t xml:space="preserve">druggability prediction, and should not be interpreted as the latter. It also has limited dynamic</w:t>
      </w:r>
      <w:r>
        <w:t xml:space="preserve"> </w:t>
      </w:r>
      <w:r>
        <w:t xml:space="preserve">range across well-folded proteins (most globular enzymes score similarly), so it contributes only</w:t>
      </w:r>
      <w:r>
        <w:t xml:space="preserve"> </w:t>
      </w:r>
      <w:r>
        <w:t xml:space="preserve">weakly to the composite ranking; improving pocket scoring (or substituting fpocket) is future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Fold ≠ function.</w:t>
      </w:r>
      <w:r>
        <w:t xml:space="preserve"> </w:t>
      </w:r>
      <w:r>
        <w:t xml:space="preserve">Structural similarity can arise without functional identity, as the benchmark’s</w:t>
      </w:r>
      <w:r>
        <w:t xml:space="preserve"> </w:t>
      </w:r>
      <w:r>
        <w:t xml:space="preserve">TIM-barrel false positive shows. The functional-residue verification of Sections 2.9/3.6 mitigates</w:t>
      </w:r>
      <w:r>
        <w:t xml:space="preserve"> </w:t>
      </w:r>
      <w:r>
        <w:t xml:space="preserve">this by checking catalytic and metal/ligand-binding residues, and is provided as a standard step;</w:t>
      </w:r>
      <w:r>
        <w:t xml:space="preserve"> </w:t>
      </w:r>
      <w:r>
        <w:t xml:space="preserve">however, we have not yet benchmarked its accuracy systematically, and the Cα-distance mapping it uses</w:t>
      </w:r>
      <w:r>
        <w:t xml:space="preserve"> </w:t>
      </w:r>
      <w:r>
        <w:t xml:space="preserve">is a coarse proxy for full active-site comparison.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s-and-future-work"/>
    <w:p>
      <w:pPr>
        <w:pStyle w:val="Heading2"/>
      </w:pPr>
      <w:r>
        <w:t xml:space="preserve">7. Conclusions and future work</w:t>
      </w:r>
    </w:p>
    <w:p>
      <w:pPr>
        <w:pStyle w:val="FirstParagraph"/>
      </w:pPr>
      <w:r>
        <w:t xml:space="preserve">We have described and released</w:t>
      </w:r>
      <w:r>
        <w:t xml:space="preserve"> </w:t>
      </w:r>
      <w:r>
        <w:rPr>
          <w:i/>
          <w:iCs/>
        </w:rPr>
        <w:t xml:space="preserve">Protein Function Rescue</w:t>
      </w:r>
      <w:r>
        <w:t xml:space="preserve">, a reproducible, laptop-scale pipeline that</w:t>
      </w:r>
      <w:r>
        <w:t xml:space="preserve"> </w:t>
      </w:r>
      <w:r>
        <w:t xml:space="preserve">converts pre-computed AlphaFold structures into ranked, evidence-linked functional hypotheses for</w:t>
      </w:r>
      <w:r>
        <w:t xml:space="preserve"> </w:t>
      </w:r>
      <w:r>
        <w:t xml:space="preserve">proteins that sequence-based methods leave unannotated, together with an interactive viewer. A pilot on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recovered four fold-level candidate assignments, three consistent with prior</w:t>
      </w:r>
      <w:r>
        <w:t xml:space="preserve"> </w:t>
      </w:r>
      <w:r>
        <w:t xml:space="preserve">enzyme-class inference and one a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hypothesis. A controlled leave-one-out benchmark then</w:t>
      </w:r>
      <w:r>
        <w:t xml:space="preserve"> </w:t>
      </w:r>
      <w:r>
        <w:t xml:space="preserve">quantified the approach on 227 enzymes across 29 families and six classes: 96.5 % exact-EC recovery,</w:t>
      </w:r>
      <w:r>
        <w:t xml:space="preserve"> </w:t>
      </w:r>
      <w:r>
        <w:t xml:space="preserve">matching a simple pairwise sequence-identity baseline overall (and exceeding it at the exact-reaction</w:t>
      </w:r>
      <w:r>
        <w:t xml:space="preserve"> </w:t>
      </w:r>
      <w:r>
        <w:t xml:space="preserve">level) while showing clear advantages for several remote-homology cases in the low-identity twilight</w:t>
      </w:r>
      <w:r>
        <w:t xml:space="preserve"> </w:t>
      </w:r>
      <w:r>
        <w:t xml:space="preserve">zone, with a well-calibrated confidence threshold (precision 0.982 at TM ≥ 0.5).</w:t>
      </w:r>
    </w:p>
    <w:p>
      <w:pPr>
        <w:pStyle w:val="BodyText"/>
      </w:pPr>
      <w:r>
        <w:t xml:space="preserve">Natural extensions include: (i) a whole-proteome run with the Foldseek back-end against the full PDB and</w:t>
      </w:r>
      <w:r>
        <w:t xml:space="preserve"> </w:t>
      </w:r>
      <w:r>
        <w:t xml:space="preserve">Swiss-Prot; (ii) a larger, harder benchmark (e.g. CATH/SCOPe superfamilies, time-split characterised</w:t>
      </w:r>
      <w:r>
        <w:t xml:space="preserve"> </w:t>
      </w:r>
      <w:r>
        <w:t xml:space="preserve">proteins) and comparison against profile-HMM and learned function predictors; (iii) automatic transfer</w:t>
      </w:r>
      <w:r>
        <w:t xml:space="preserve"> </w:t>
      </w:r>
      <w:r>
        <w:t xml:space="preserve">and geometric verification of catalytic residues from the matched reference; (iv) incorporation of</w:t>
      </w:r>
      <w:r>
        <w:t xml:space="preserve"> </w:t>
      </w:r>
      <w:r>
        <w:t xml:space="preserve">AlphaFold’s predicted aligned error (PAE) for domain-aware search; and (v) prioritisation of candidates</w:t>
      </w:r>
      <w:r>
        <w:t xml:space="preserve"> </w:t>
      </w:r>
      <w:r>
        <w:t xml:space="preserve">for experimental validation in collaboration with a wet laboratory.</w:t>
      </w:r>
    </w:p>
    <w:p>
      <w:r>
        <w:pict>
          <v:rect style="width:0;height:1.5pt" o:hralign="center" o:hrstd="t" o:hr="t"/>
        </w:pict>
      </w:r>
    </w:p>
    <w:bookmarkEnd w:id="39"/>
    <w:bookmarkStart w:id="40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source code, configuration, the pilot outputs (ranked candidate list as JSON/CSV, the</w:t>
      </w:r>
      <w:r>
        <w:t xml:space="preserve"> </w:t>
      </w:r>
      <w:r>
        <w:t xml:space="preserve">reference-library manifest, and the functional-residue verification), and the complete validation</w:t>
      </w:r>
      <w:r>
        <w:t xml:space="preserve"> </w:t>
      </w:r>
      <w:r>
        <w:t xml:space="preserve">benchmark (dataset accession list, per-query predictions, metrics, the weight-sensitivity and</w:t>
      </w:r>
      <w:r>
        <w:t xml:space="preserve"> </w:t>
      </w:r>
      <w:r>
        <w:t xml:space="preserve">candidate-pool analyses, and all figure-generating code under</w:t>
      </w:r>
      <w:r>
        <w:t xml:space="preserve"> </w:t>
      </w:r>
      <w:r>
        <w:rPr>
          <w:rStyle w:val="VerbatimChar"/>
        </w:rPr>
        <w:t xml:space="preserve">benchmark/</w:t>
      </w:r>
      <w:r>
        <w:t xml:space="preserve">) are available in the project</w:t>
      </w:r>
      <w:r>
        <w:t xml:space="preserve"> </w:t>
      </w:r>
      <w:r>
        <w:t xml:space="preserve">repository. Input structures are freely available from the AlphaFold Protein Structure Database</w:t>
      </w:r>
      <w:r>
        <w:t xml:space="preserve"> </w:t>
      </w:r>
      <w:r>
        <w:t xml:space="preserve">(https://alphafold.ebi.ac.uk) and protein annotations from UniProt (https://www.uniprot.org). The</w:t>
      </w:r>
      <w:r>
        <w:t xml:space="preserve"> </w:t>
      </w:r>
      <w:r>
        <w:t xml:space="preserve">reference-library and benchmark manifests list the exact UniProt accessions used, enabling exact</w:t>
      </w:r>
      <w:r>
        <w:t xml:space="preserve"> </w:t>
      </w:r>
      <w:r>
        <w:t xml:space="preserve">reproduction.</w:t>
      </w:r>
    </w:p>
    <w:p>
      <w:pPr>
        <w:pStyle w:val="BodyText"/>
      </w:pPr>
      <w:r>
        <w:rPr>
          <w:b/>
          <w:bCs/>
        </w:rPr>
        <w:t xml:space="preserve">Software versions:</w:t>
      </w:r>
      <w:r>
        <w:t xml:space="preserve"> </w:t>
      </w:r>
      <w:r>
        <w:t xml:space="preserve">Python 3.12; AlphaFold DB model version 6; tmtools 0.3.0; gemmi ≥ 0.6;</w:t>
      </w:r>
      <w:r>
        <w:t xml:space="preserve"> </w:t>
      </w:r>
      <w:r>
        <w:t xml:space="preserve">NumPy ≥ 1.24; SciPy 1.18; Biopython 1.87; Matplotlib 3.x. Default parameters: mean-pLDDT threshold 70;</w:t>
      </w:r>
      <w:r>
        <w:t xml:space="preserve"> </w:t>
      </w:r>
      <w:r>
        <w:t xml:space="preserve">TM-score threshold 0.5; reference count 120; grid spacing 1.2 Å; PSP threshold 5/7; composite weights</w:t>
      </w:r>
      <w:r>
        <w:t xml:space="preserve"> </w:t>
      </w:r>
      <w:r>
        <w:t xml:space="preserve">(0.5, 0.2, 0.3). Benchmark: 227 enzymes, 29 EC families, classes 1–6, length 80–520 residues.</w:t>
      </w:r>
    </w:p>
    <w:bookmarkEnd w:id="40"/>
    <w:bookmarkStart w:id="41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[Student Name] designed the study, implemented the pipeline, performed the analysis, and wrote the</w:t>
      </w:r>
      <w:r>
        <w:t xml:space="preserve"> </w:t>
      </w:r>
      <w:r>
        <w:t xml:space="preserve">manuscript. [Add supervisor/contributors as appropriate.]</w:t>
      </w:r>
    </w:p>
    <w:bookmarkEnd w:id="41"/>
    <w:bookmarkStart w:id="4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42"/>
    <w:bookmarkStart w:id="4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work uses data from the AlphaFold Protein Structure Database (Google DeepMind and EMBL-EBI) and</w:t>
      </w:r>
      <w:r>
        <w:t xml:space="preserve"> </w:t>
      </w:r>
      <w:r>
        <w:t xml:space="preserve">UniProt. [Add mentors, institutions, funding as appropriate.]</w:t>
      </w:r>
    </w:p>
    <w:p>
      <w:r>
        <w:pict>
          <v:rect style="width:0;height:1.5pt" o:hralign="center" o:hrstd="t" o:hr="t"/>
        </w:pict>
      </w:r>
    </w:p>
    <w:bookmarkEnd w:id="43"/>
    <w:bookmarkStart w:id="62" w:name="figures"/>
    <w:p>
      <w:pPr>
        <w:pStyle w:val="Heading2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1468073"/>
            <wp:effectExtent b="0" l="0" r="0" t="0"/>
            <wp:docPr descr="Pipeline overview" title="" id="45" name="Picture"/>
            <a:graphic>
              <a:graphicData uri="http://schemas.openxmlformats.org/drawingml/2006/picture">
                <pic:pic>
                  <pic:nvPicPr>
                    <pic:cNvPr descr="figures/fig1_pipelin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overview</w:t>
      </w:r>
    </w:p>
    <w:p>
      <w:pPr>
        <w:pStyle w:val="BodyText"/>
      </w:pPr>
      <w:r>
        <w:rPr>
          <w:b/>
          <w:bCs/>
        </w:rPr>
        <w:t xml:space="preserve">Figure 1. Pipeline overview.</w:t>
      </w:r>
      <w:r>
        <w:t xml:space="preserve"> </w:t>
      </w:r>
      <w:r>
        <w:t xml:space="preserve">Six cached stages transform raw AlphaFold models into ranked candidate</w:t>
      </w:r>
      <w:r>
        <w:t xml:space="preserve"> </w:t>
      </w:r>
      <w:r>
        <w:t xml:space="preserve">function assignments: download (AlphaFold DB) → parse (mean pLDDT, sequence) → annotate (UniProt;</w:t>
      </w:r>
      <w:r>
        <w:t xml:space="preserve"> </w:t>
      </w:r>
      <w:r>
        <w:t xml:space="preserve">flag unannotated proteins) → search (TM-align vs. a reference library of known enzymes) → pocket</w:t>
      </w:r>
      <w:r>
        <w:t xml:space="preserve"> </w:t>
      </w:r>
      <w:r>
        <w:t xml:space="preserve">(LIGSITE-style cavity detection) → rank (composite score). The search and pocket stages each have a</w:t>
      </w:r>
      <w:r>
        <w:t xml:space="preserve"> </w:t>
      </w:r>
      <w:r>
        <w:t xml:space="preserve">native laptop back-end (default) and an optional high-performance back-end (Foldseek, fpocket).</w:t>
      </w:r>
    </w:p>
    <w:p>
      <w:pPr>
        <w:pStyle w:val="CaptionedFigure"/>
      </w:pPr>
      <w:r>
        <w:drawing>
          <wp:inline>
            <wp:extent cx="5334000" cy="3417093"/>
            <wp:effectExtent b="0" l="0" r="0" t="0"/>
            <wp:docPr descr="Web viewer" title="" id="48" name="Picture"/>
            <a:graphic>
              <a:graphicData uri="http://schemas.openxmlformats.org/drawingml/2006/picture">
                <pic:pic>
                  <pic:nvPicPr>
                    <pic:cNvPr descr="figures/fig2_view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viewer</w:t>
      </w:r>
    </w:p>
    <w:p>
      <w:pPr>
        <w:pStyle w:val="BodyText"/>
      </w:pPr>
      <w:r>
        <w:rPr>
          <w:b/>
          <w:bCs/>
        </w:rPr>
        <w:t xml:space="preserve">Figure 2. Web viewer.</w:t>
      </w:r>
      <w:r>
        <w:t xml:space="preserve"> </w:t>
      </w:r>
      <w:r>
        <w:t xml:space="preserve">Static browser interface showing the ranked candidate table (left) and, for</w:t>
      </w:r>
      <w:r>
        <w:t xml:space="preserve"> </w:t>
      </w:r>
      <w:r>
        <w:t xml:space="preserve">the selected top candidate (P9WIT1), its AlphaFold structure coloured by pLDDT (blue = high confidence)</w:t>
      </w:r>
      <w:r>
        <w:t xml:space="preserve"> </w:t>
      </w:r>
      <w:r>
        <w:t xml:space="preserve">together with its best structural match (D-2-hydroxyglutarate dehydrogenase, TM-score 0.90), match</w:t>
      </w:r>
      <w:r>
        <w:t xml:space="preserve"> </w:t>
      </w:r>
      <w:r>
        <w:t xml:space="preserve">confidence, pocket statistics, and per-component scores (right).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Leave-one-out function recovery" title="" id="51" name="Picture"/>
            <a:graphic>
              <a:graphicData uri="http://schemas.openxmlformats.org/drawingml/2006/picture">
                <pic:pic>
                  <pic:nvPicPr>
                    <pic:cNvPr descr="../benchmark/results/figures/fig_ec_accurac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Leave-one-out function recovery</w:t>
      </w:r>
    </w:p>
    <w:p>
      <w:pPr>
        <w:pStyle w:val="BodyText"/>
      </w:pPr>
      <w:r>
        <w:rPr>
          <w:b/>
          <w:bCs/>
        </w:rPr>
        <w:t xml:space="preserve">Figure 3. Leave-one-out function recovery (</w:t>
      </w:r>
      <w:r>
        <w:rPr>
          <w:rStyle w:val="VerbatimChar"/>
          <w:b/>
          <w:bCs/>
        </w:rPr>
        <w:t xml:space="preserve">benchmark/results/figures/fig_ec_accuracy.png</w:t>
      </w:r>
      <w:r>
        <w:rPr>
          <w:b/>
          <w:bCs/>
        </w:rPr>
        <w:t xml:space="preserve">).</w:t>
      </w:r>
      <w:r>
        <w:t xml:space="preserve"> </w:t>
      </w:r>
      <w:r>
        <w:t xml:space="preserve">Top-1</w:t>
      </w:r>
      <w:r>
        <w:t xml:space="preserve"> </w:t>
      </w:r>
      <w:r>
        <w:t xml:space="preserve">EC-number agreement at levels 1–4 for the structural method (TM-align) versus the pairwise</w:t>
      </w:r>
      <w:r>
        <w:t xml:space="preserve"> </w:t>
      </w:r>
      <w:r>
        <w:t xml:space="preserve">sequence-identity baseline, over 227 enzymes in 29 EC families. Structure recovers the exact reaction</w:t>
      </w:r>
      <w:r>
        <w:t xml:space="preserve"> </w:t>
      </w:r>
      <w:r>
        <w:t xml:space="preserve">(level 4) for 96.5 % of proteins, versus 93.8 % for sequence; the two methods are tied at the class</w:t>
      </w:r>
      <w:r>
        <w:t xml:space="preserve"> </w:t>
      </w:r>
      <w:r>
        <w:t xml:space="preserve">level (level 1).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Structure recovers function below the sequence twilight zone" title="" id="54" name="Picture"/>
            <a:graphic>
              <a:graphicData uri="http://schemas.openxmlformats.org/drawingml/2006/picture">
                <pic:pic>
                  <pic:nvPicPr>
                    <pic:cNvPr descr="../benchmark/results/figures/fig_tm_vs_ident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 recovers function below the sequence twilight zone</w:t>
      </w:r>
    </w:p>
    <w:p>
      <w:pPr>
        <w:pStyle w:val="BodyText"/>
      </w:pPr>
      <w:r>
        <w:rPr>
          <w:b/>
          <w:bCs/>
        </w:rPr>
        <w:t xml:space="preserve">Figure 4. Structure recovers function below the sequence twilight zone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benchmark/results/figures/fig_tm_vs_identity.png</w:t>
      </w:r>
      <w:r>
        <w:rPr>
          <w:b/>
          <w:bCs/>
        </w:rPr>
        <w:t xml:space="preserve">).</w:t>
      </w:r>
      <w:r>
        <w:t xml:space="preserve"> </w:t>
      </w:r>
      <w:r>
        <w:t xml:space="preserve">Each point is one protein’s best structural hit,</w:t>
      </w:r>
      <w:r>
        <w:t xml:space="preserve"> </w:t>
      </w:r>
      <w:r>
        <w:t xml:space="preserve">plotted as TM-score against the sequence identity to that hit, coloured by whether the hit’s EC number</w:t>
      </w:r>
      <w:r>
        <w:t xml:space="preserve"> </w:t>
      </w:r>
      <w:r>
        <w:t xml:space="preserve">is correct (≥3 levels). The dashed line marks 30 % identity, below which sequence homology is</w:t>
      </w:r>
      <w:r>
        <w:t xml:space="preserve"> </w:t>
      </w:r>
      <w:r>
        <w:t xml:space="preserve">unreliable; 24 correct recoveries (green) lie to its left, including matches at ~24 % (metallo-</w:t>
      </w:r>
      <w:r>
        <w:t xml:space="preserve"> </w:t>
      </w:r>
      <w:r>
        <w:t xml:space="preserve">β-lactamases) and 3–5 % (a lipase, an alanine racemase and a peroxidase) identity. The high-TM incorrect</w:t>
      </w:r>
      <w:r>
        <w:t xml:space="preserve"> </w:t>
      </w:r>
      <w:r>
        <w:t xml:space="preserve">points (red) are the four fold-degeneracy false positives (e.g. the nucleoside-phosphorylase↔isomerase</w:t>
      </w:r>
      <w:r>
        <w:t xml:space="preserve"> </w:t>
      </w:r>
      <w:r>
        <w:t xml:space="preserve">pair at TM ≈ 0.74).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alibration of the TM-score threshold" title="" id="57" name="Picture"/>
            <a:graphic>
              <a:graphicData uri="http://schemas.openxmlformats.org/drawingml/2006/picture">
                <pic:pic>
                  <pic:nvPicPr>
                    <pic:cNvPr descr="../benchmark/results/figures/fig_precision_threshol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of the TM-score threshold</w:t>
      </w:r>
    </w:p>
    <w:p>
      <w:pPr>
        <w:pStyle w:val="BodyText"/>
      </w:pPr>
      <w:r>
        <w:rPr>
          <w:b/>
          <w:bCs/>
        </w:rPr>
        <w:t xml:space="preserve">Figure 5. Calibration of the TM-score 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benchmark/results/figures/fig_precision_threshold.png</w:t>
      </w:r>
      <w:r>
        <w:rPr>
          <w:b/>
          <w:bCs/>
        </w:rPr>
        <w:t xml:space="preserve">).</w:t>
      </w:r>
      <w:r>
        <w:t xml:space="preserve"> </w:t>
      </w:r>
      <w:r>
        <w:t xml:space="preserve">Precision (fraction of accepted hits with</w:t>
      </w:r>
      <w:r>
        <w:t xml:space="preserve"> </w:t>
      </w:r>
      <w:r>
        <w:t xml:space="preserve">≥3-level EC agreement) and coverage (fraction of proteins accepted) as functions of the TM-score</w:t>
      </w:r>
      <w:r>
        <w:t xml:space="preserve"> </w:t>
      </w:r>
      <w:r>
        <w:t xml:space="preserve">acceptance threshold. The default threshold of 0.5 gives precision 0.982 at 98.2 % coverage; 0.75 gives</w:t>
      </w:r>
      <w:r>
        <w:t xml:space="preserve"> </w:t>
      </w:r>
      <w:r>
        <w:t xml:space="preserve">100 % precision at 95.2 % coverage.</w:t>
      </w:r>
    </w:p>
    <w:p>
      <w:pPr>
        <w:pStyle w:val="CaptionedFigure"/>
      </w:pPr>
      <w:r>
        <w:drawing>
          <wp:inline>
            <wp:extent cx="5334000" cy="2250074"/>
            <wp:effectExtent b="0" l="0" r="0" t="0"/>
            <wp:docPr descr="The candidate ranking is insensitive to the composite weights" title="" id="60" name="Picture"/>
            <a:graphic>
              <a:graphicData uri="http://schemas.openxmlformats.org/drawingml/2006/picture">
                <pic:pic>
                  <pic:nvPicPr>
                    <pic:cNvPr descr="../benchmark/results/figures/fig_weight_sensitivi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candidate ranking is insensitive to the composite weights</w:t>
      </w:r>
    </w:p>
    <w:p>
      <w:pPr>
        <w:pStyle w:val="BodyText"/>
      </w:pPr>
      <w:r>
        <w:rPr>
          <w:b/>
          <w:bCs/>
        </w:rPr>
        <w:t xml:space="preserve">Figure 6. The candidate ranking is insensitive to the composite weights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benchmark/results/figures/fig_weight_sensitivity.png</w:t>
      </w:r>
      <w:r>
        <w:rPr>
          <w:b/>
          <w:bCs/>
        </w:rPr>
        <w:t xml:space="preserve">).</w:t>
      </w:r>
      <w:r>
        <w:t xml:space="preserve"> </w:t>
      </w:r>
      <w:r>
        <w:t xml:space="preserve">Left: distribution of Kendall’s τ between</w:t>
      </w:r>
      <w:r>
        <w:t xml:space="preserve"> </w:t>
      </w:r>
      <w:r>
        <w:t xml:space="preserve">the default-weight ranking and rankings under other weight vectors, for a realistic pool of 40 rescue</w:t>
      </w:r>
      <w:r>
        <w:t xml:space="preserve"> </w:t>
      </w:r>
      <w:r>
        <w:t xml:space="preserve">candidates — within a reasonable neighbourhood of the default (dark bars) τ concentrates near 1.0</w:t>
      </w:r>
      <w:r>
        <w:t xml:space="preserve"> </w:t>
      </w:r>
      <w:r>
        <w:t xml:space="preserve">(median 0.98), and even over the full simplex (light bars) it stays high (median 0.91). Right: τ across</w:t>
      </w:r>
      <w:r>
        <w:t xml:space="preserve"> </w:t>
      </w:r>
      <w:r>
        <w:t xml:space="preserve">the weight simplex (structural-similarity weight vs. pocket-quality weight); the reasonable region</w:t>
      </w:r>
      <w:r>
        <w:t xml:space="preserve"> </w:t>
      </w:r>
      <w:r>
        <w:t xml:space="preserve">(dashed box) around the default (star) is uniformly high.</w:t>
      </w:r>
    </w:p>
    <w:p>
      <w:r>
        <w:pict>
          <v:rect style="width:0;height:1.5pt" o:hralign="center" o:hrstd="t" o:hr="t"/>
        </w:pict>
      </w:r>
    </w:p>
    <w:bookmarkEnd w:id="62"/>
    <w:bookmarkStart w:id="6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Perdigão N, Heinrich J, Stolte C,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Unexpected features of the dark proteome.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National Academy of Sciences</w:t>
      </w:r>
      <w:r>
        <w:t xml:space="preserve"> </w:t>
      </w:r>
      <w:r>
        <w:t xml:space="preserve">2015; 112(52):15898–15903.</w:t>
      </w:r>
    </w:p>
    <w:p>
      <w:pPr>
        <w:pStyle w:val="Compact"/>
        <w:numPr>
          <w:ilvl w:val="0"/>
          <w:numId w:val="1004"/>
        </w:numPr>
      </w:pPr>
      <w:r>
        <w:t xml:space="preserve">Illergård K, Ardell DH, Elofsson A. Structure is three to ten times more conserved than sequence — a</w:t>
      </w:r>
      <w:r>
        <w:t xml:space="preserve"> </w:t>
      </w:r>
      <w:r>
        <w:t xml:space="preserve">study of structural response in protein cores.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2009; 77(3):499–508.</w:t>
      </w:r>
    </w:p>
    <w:p>
      <w:pPr>
        <w:pStyle w:val="Compact"/>
        <w:numPr>
          <w:ilvl w:val="0"/>
          <w:numId w:val="1004"/>
        </w:numPr>
      </w:pPr>
      <w:r>
        <w:t xml:space="preserve">Jumper J, Evans R, Pritzel A,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Highly accurate protein structure prediction with 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2021; 596:583–589.</w:t>
      </w:r>
    </w:p>
    <w:p>
      <w:pPr>
        <w:pStyle w:val="Compact"/>
        <w:numPr>
          <w:ilvl w:val="0"/>
          <w:numId w:val="1004"/>
        </w:numPr>
      </w:pPr>
      <w:r>
        <w:t xml:space="preserve">Varadi M, Anyango S, Deshpande M,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AlphaFold Protein Structure Database: massively expanding</w:t>
      </w:r>
      <w:r>
        <w:t xml:space="preserve"> </w:t>
      </w:r>
      <w:r>
        <w:t xml:space="preserve">the structural coverage of protein-sequence space with high-accuracy models.</w:t>
      </w:r>
      <w:r>
        <w:t xml:space="preserve"> </w:t>
      </w:r>
      <w:r>
        <w:rPr>
          <w:i/>
          <w:iCs/>
        </w:rPr>
        <w:t xml:space="preserve">Nucleic Acids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2022; 50(D1):D439–D444. (See also the 2024 database update.)</w:t>
      </w:r>
    </w:p>
    <w:p>
      <w:pPr>
        <w:pStyle w:val="Compact"/>
        <w:numPr>
          <w:ilvl w:val="0"/>
          <w:numId w:val="1004"/>
        </w:numPr>
      </w:pPr>
      <w:r>
        <w:t xml:space="preserve">van Kempen M, Kim SS, Tumescheit C,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Fast and accurate protein structure search with</w:t>
      </w:r>
      <w:r>
        <w:t xml:space="preserve"> </w:t>
      </w:r>
      <w:r>
        <w:t xml:space="preserve">Foldseek.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t xml:space="preserve">2024; 42:243–246.</w:t>
      </w:r>
    </w:p>
    <w:p>
      <w:pPr>
        <w:pStyle w:val="Compact"/>
        <w:numPr>
          <w:ilvl w:val="0"/>
          <w:numId w:val="1004"/>
        </w:numPr>
      </w:pPr>
      <w:r>
        <w:t xml:space="preserve">Zhang Y, Skolnick J. TM-align: a protein structure alignment algorithm based on the TM-score.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2005; 33(7):2302–2309.</w:t>
      </w:r>
    </w:p>
    <w:p>
      <w:pPr>
        <w:pStyle w:val="Compact"/>
        <w:numPr>
          <w:ilvl w:val="0"/>
          <w:numId w:val="1004"/>
        </w:numPr>
      </w:pPr>
      <w:r>
        <w:t xml:space="preserve">Zhang Y, Skolnick J. Scoring function for automated assessment of protein structure template quality.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2004; 57(4):702–710.</w:t>
      </w:r>
    </w:p>
    <w:p>
      <w:pPr>
        <w:pStyle w:val="Compact"/>
        <w:numPr>
          <w:ilvl w:val="0"/>
          <w:numId w:val="1004"/>
        </w:numPr>
      </w:pPr>
      <w:r>
        <w:t xml:space="preserve">Wojdyr M. GEMMI: A library for structural biology.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2022;</w:t>
      </w:r>
      <w:r>
        <w:t xml:space="preserve"> </w:t>
      </w:r>
      <w:r>
        <w:t xml:space="preserve">7(73):4200.</w:t>
      </w:r>
    </w:p>
    <w:p>
      <w:pPr>
        <w:pStyle w:val="Compact"/>
        <w:numPr>
          <w:ilvl w:val="0"/>
          <w:numId w:val="1004"/>
        </w:numPr>
      </w:pPr>
      <w:r>
        <w:t xml:space="preserve">The UniProt Consortium. UniProt: the Universal Protein Knowledgebase in 2023.</w:t>
      </w:r>
      <w:r>
        <w:t xml:space="preserve"> </w:t>
      </w:r>
      <w:r>
        <w:rPr>
          <w:i/>
          <w:iCs/>
        </w:rPr>
        <w:t xml:space="preserve">Nucleic Acids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2023; 51(D1):D523–D531.</w:t>
      </w:r>
    </w:p>
    <w:p>
      <w:pPr>
        <w:pStyle w:val="Compact"/>
        <w:numPr>
          <w:ilvl w:val="0"/>
          <w:numId w:val="1004"/>
        </w:numPr>
      </w:pPr>
      <w:r>
        <w:t xml:space="preserve">Hendlich M, Rippmann F, Barnickel G. LIGSITE: automatic and efficient detection of potential small</w:t>
      </w:r>
      <w:r>
        <w:t xml:space="preserve"> </w:t>
      </w:r>
      <w:r>
        <w:t xml:space="preserve">molecule-binding sites in proteins.</w:t>
      </w:r>
      <w:r>
        <w:t xml:space="preserve"> </w:t>
      </w:r>
      <w:r>
        <w:rPr>
          <w:i/>
          <w:iCs/>
        </w:rPr>
        <w:t xml:space="preserve">Journal of Molecular Graphics and Modelling</w:t>
      </w:r>
      <w:r>
        <w:t xml:space="preserve"> </w:t>
      </w:r>
      <w:r>
        <w:t xml:space="preserve">1997;</w:t>
      </w:r>
      <w:r>
        <w:t xml:space="preserve"> </w:t>
      </w:r>
      <w:r>
        <w:t xml:space="preserve">15(6):359–363.</w:t>
      </w:r>
    </w:p>
    <w:p>
      <w:pPr>
        <w:pStyle w:val="Compact"/>
        <w:numPr>
          <w:ilvl w:val="0"/>
          <w:numId w:val="1004"/>
        </w:numPr>
      </w:pPr>
      <w:r>
        <w:t xml:space="preserve">Le Guilloux V, Schmidtke P, Tufféry P. Fpocket: an open source platform for ligand pocket detection.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t xml:space="preserve">2009; 10:168.</w:t>
      </w:r>
    </w:p>
    <w:p>
      <w:pPr>
        <w:pStyle w:val="Compact"/>
        <w:numPr>
          <w:ilvl w:val="0"/>
          <w:numId w:val="1004"/>
        </w:numPr>
      </w:pPr>
      <w:r>
        <w:t xml:space="preserve">Gligorijević V, Renfrew PD, Kosciolek T,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Structure-based protein function prediction using</w:t>
      </w:r>
      <w:r>
        <w:t xml:space="preserve"> </w:t>
      </w:r>
      <w:r>
        <w:t xml:space="preserve">graph convolutional networks.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2021; 12:3168.</w:t>
      </w:r>
    </w:p>
    <w:p>
      <w:pPr>
        <w:pStyle w:val="Compact"/>
        <w:numPr>
          <w:ilvl w:val="0"/>
          <w:numId w:val="1004"/>
        </w:numPr>
      </w:pPr>
      <w:r>
        <w:t xml:space="preserve">Thornton JM, Laskowski RA, Borkakoti N. AlphaFold heralds a data-driven revolution in biology and</w:t>
      </w:r>
      <w:r>
        <w:t xml:space="preserve"> </w:t>
      </w:r>
      <w:r>
        <w:t xml:space="preserve">medicine.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2021; 27:1666–1669.</w:t>
      </w:r>
    </w:p>
    <w:p>
      <w:pPr>
        <w:pStyle w:val="Compact"/>
        <w:numPr>
          <w:ilvl w:val="0"/>
          <w:numId w:val="1004"/>
        </w:numPr>
      </w:pPr>
      <w:r>
        <w:t xml:space="preserve">Akdel M, Pires DEV, Pardo EP,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 structural biology community assessment of AlphaFold2</w:t>
      </w:r>
      <w:r>
        <w:t xml:space="preserve"> </w:t>
      </w:r>
      <w:r>
        <w:t xml:space="preserve">applications.</w:t>
      </w:r>
      <w:r>
        <w:t xml:space="preserve"> </w:t>
      </w:r>
      <w:r>
        <w:rPr>
          <w:i/>
          <w:iCs/>
        </w:rPr>
        <w:t xml:space="preserve">Nature Structural &amp; Molecular Biology</w:t>
      </w:r>
      <w:r>
        <w:t xml:space="preserve"> </w:t>
      </w:r>
      <w:r>
        <w:t xml:space="preserve">2022; 29:1056–1067.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 on references:</w:t>
      </w:r>
      <w:r>
        <w:t xml:space="preserve"> </w:t>
      </w:r>
      <w:r>
        <w:t xml:space="preserve">citation details should be verified against the primary sources before any formal</w:t>
      </w:r>
      <w:r>
        <w:t xml:space="preserve"> </w:t>
      </w:r>
      <w:r>
        <w:t xml:space="preserve">submission; author lists are abbreviated with</w:t>
      </w:r>
      <w:r>
        <w:t xml:space="preserve"> </w:t>
      </w:r>
      <w:r>
        <w:t xml:space="preserve">“et al.”</w:t>
      </w:r>
      <w:r>
        <w:t xml:space="preserve"> </w:t>
      </w: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a.-how-to-reproduce"/>
    <w:p>
      <w:pPr>
        <w:pStyle w:val="Heading2"/>
      </w:pPr>
      <w:r>
        <w:t xml:space="preserve">Appendix A. How to reproduce</w:t>
      </w:r>
    </w:p>
    <w:p>
      <w:pPr>
        <w:pStyle w:val="FirstParagraph"/>
      </w:pPr>
      <w:r>
        <w:t xml:space="preserve">Everything below runs on a commodity laptop (no GPU, no admin rights). Times are approximate on a</w:t>
      </w:r>
      <w:r>
        <w:t xml:space="preserve"> </w:t>
      </w:r>
      <w:r>
        <w:t xml:space="preserve">consumer CPU.</w:t>
      </w:r>
    </w:p>
    <w:p>
      <w:pPr>
        <w:pStyle w:val="BodyText"/>
      </w:pPr>
      <w:r>
        <w:rPr>
          <w:b/>
          <w:bCs/>
        </w:rPr>
        <w:t xml:space="preserve">Environment (~2 min).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protein-function-rescue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Reproduce the pilot (Section 3) and the interactive viewer (~5 min).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all            </w:t>
      </w:r>
      <w:r>
        <w:rPr>
          <w:rStyle w:val="CommentTok"/>
        </w:rPr>
        <w:t xml:space="preserve"># download → parse → annotate → search → pocket → rank</w:t>
      </w:r>
      <w:r>
        <w:br/>
      </w:r>
      <w:r>
        <w:rPr>
          <w:rStyle w:val="CommentTok"/>
        </w:rPr>
        <w:t xml:space="preserve"># open web/index.html in a browser (double-click) to explore the ranked candidates in 3D</w:t>
      </w:r>
    </w:p>
    <w:p>
      <w:pPr>
        <w:pStyle w:val="FirstParagraph"/>
      </w:pPr>
      <w:r>
        <w:rPr>
          <w:rStyle w:val="VerbatimChar"/>
        </w:rPr>
        <w:t xml:space="preserve">--limit N</w:t>
      </w:r>
      <w:r>
        <w:t xml:space="preserve"> </w:t>
      </w:r>
      <w:r>
        <w:t xml:space="preserve">restricts to the first N structures for a quick test. Outputs land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candidates.csv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web/data.js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Reproduce the functional-residue verification (Section 3.6, Table 2, ~1 min).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pipeline.functional_residues        </w:t>
      </w:r>
      <w:r>
        <w:rPr>
          <w:rStyle w:val="CommentTok"/>
        </w:rPr>
        <w:t xml:space="preserve"># writes results/functional_residues.json</w:t>
      </w:r>
    </w:p>
    <w:p>
      <w:pPr>
        <w:pStyle w:val="FirstParagraph"/>
      </w:pPr>
      <w:r>
        <w:rPr>
          <w:b/>
          <w:bCs/>
        </w:rPr>
        <w:t xml:space="preserve">Reproduce the validation benchmark (Section 4, Figures 3–5; ~2–3 h, resumable).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benchmark/run_benchmark.py             </w:t>
      </w:r>
      <w:r>
        <w:rPr>
          <w:rStyle w:val="CommentTok"/>
        </w:rPr>
        <w:t xml:space="preserve"># builds the labelled set, runs leave-one-out</w:t>
      </w:r>
    </w:p>
    <w:p>
      <w:pPr>
        <w:pStyle w:val="FirstParagraph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benchmark/results/metrics.json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per_query.csv</w:t>
      </w:r>
      <w:r>
        <w:t xml:space="preserve">, and the figures. The O(n²) TM-align sweep</w:t>
      </w:r>
      <w:r>
        <w:t xml:space="preserve"> </w:t>
      </w:r>
      <w:r>
        <w:t xml:space="preserve">checkpoints periodically and resumes if interrupted.</w:t>
      </w:r>
    </w:p>
    <w:p>
      <w:pPr>
        <w:pStyle w:val="BodyText"/>
      </w:pPr>
      <w:r>
        <w:rPr>
          <w:b/>
          <w:bCs/>
        </w:rPr>
        <w:t xml:space="preserve">Reproduce the weight-sensitivity analysis (Section 4.6, Figure 6; ~30 min).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benchmark/build_candidate_pool.py      </w:t>
      </w:r>
      <w:r>
        <w:rPr>
          <w:rStyle w:val="CommentTok"/>
        </w:rPr>
        <w:t xml:space="preserve"># realistic candidate pool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benchmark/weight_sensitivity.py        </w:t>
      </w:r>
      <w:r>
        <w:rPr>
          <w:rStyle w:val="CommentTok"/>
        </w:rPr>
        <w:t xml:space="preserve"># writes weight_sensitivity.json + figure</w:t>
      </w:r>
    </w:p>
    <w:p>
      <w:pPr>
        <w:pStyle w:val="FirstParagraph"/>
      </w:pPr>
      <w:r>
        <w:rPr>
          <w:b/>
          <w:bCs/>
        </w:rPr>
        <w:t xml:space="preserve">Render this manuscript to DOCX/PDF.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paper/render.py                         </w:t>
      </w:r>
      <w:r>
        <w:rPr>
          <w:rStyle w:val="CommentTok"/>
        </w:rPr>
        <w:t xml:space="preserve"># DOCX always; PDF if MS Word or a LaTeX engine is present</w:t>
      </w:r>
    </w:p>
    <w:p>
      <w:pPr>
        <w:pStyle w:val="FirstParagraph"/>
      </w:pPr>
      <w:r>
        <w:rPr>
          <w:b/>
          <w:bCs/>
        </w:rPr>
        <w:t xml:space="preserve">Switch to the high-performance back-ends (optional, Linux/macOS).</w:t>
      </w:r>
      <w:r>
        <w:t xml:space="preserve"> </w:t>
      </w:r>
      <w:r>
        <w:t xml:space="preserve">Install Foldseek and fpocket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docs/SETUP_TOOLS.md</w:t>
      </w:r>
      <w:r>
        <w:t xml:space="preserve">), then set</w:t>
      </w:r>
      <w:r>
        <w:t xml:space="preserve"> </w:t>
      </w:r>
      <w:r>
        <w:rPr>
          <w:rStyle w:val="VerbatimChar"/>
        </w:rPr>
        <w:t xml:space="preserve">structural_search.backend: foldseek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pocket.backend: fpocket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  <w:r>
        <w:t xml:space="preserve"> </w:t>
      </w:r>
      <w:r>
        <w:rPr>
          <w:b/>
          <w:bCs/>
        </w:rPr>
        <w:t xml:space="preserve">Change organism</w:t>
      </w:r>
      <w:r>
        <w:t xml:space="preserve"> </w:t>
      </w:r>
      <w:r>
        <w:t xml:space="preserve">by editing the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to any proteome</w:t>
      </w:r>
      <w:r>
        <w:t xml:space="preserve"> </w:t>
      </w:r>
      <w:r>
        <w:t xml:space="preserve">listed on the AlphaFold DB FTP.</w:t>
      </w:r>
    </w:p>
    <w:p>
      <w:pPr>
        <w:pStyle w:val="BodyText"/>
      </w:pPr>
      <w:r>
        <w:t xml:space="preserve">Exact input identities are fixed by the tracked manifests (</w:t>
      </w:r>
      <w:r>
        <w:rPr>
          <w:rStyle w:val="VerbatimChar"/>
        </w:rPr>
        <w:t xml:space="preserve">references/manifest.json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benchmark/results/dataset.json</w:t>
      </w:r>
      <w:r>
        <w:t xml:space="preserve">), so runs are reproducible up to upstream AlphaFold DB / UniProt updates.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Structure-based functional annotation of hypothetical proteins using the AlphaFold Database and TM-align</dc:title>
  <dc:creator/>
  <cp:keywords/>
  <dcterms:created xsi:type="dcterms:W3CDTF">2026-07-13T17:25:50Z</dcterms:created>
  <dcterms:modified xsi:type="dcterms:W3CDTF">2026-07-13T17:25:50Z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