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53.png" ContentType="image/png"/>
  <Override PartName="/word/media/rId50.png" ContentType="image/png"/>
  <Override PartName="/word/media/rId56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Structure-based functional annotation of hypothetical proteins using the AlphaFold Database and TM-align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2d541942196f82a2883fccbb769b891731fb52e"/>
    <w:p>
      <w:pPr>
        <w:pStyle w:val="Heading1"/>
      </w:pPr>
      <w:r>
        <w:t xml:space="preserve">Structure-based functional annotation of hypothetical proteins using the AlphaFold Database and TM-align: a laptop-scale, reproducible pipeline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[Student Name]¹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¹[School / Programme], [City, Country]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p>
      <w:pPr>
        <w:pStyle w:val="BodyText"/>
      </w:pPr>
      <w:r>
        <w:rPr>
          <w:b/>
          <w:bCs/>
        </w:rPr>
        <w:t xml:space="preserve">Manuscript type:</w:t>
      </w:r>
      <w:r>
        <w:t xml:space="preserve"> </w:t>
      </w:r>
      <w:r>
        <w:t xml:space="preserve">Methods / proof-of-concept (pre-print draft)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2026-07-09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Every sequenced genome contains proteins annotated only as</w:t>
      </w:r>
      <w:r>
        <w:t xml:space="preserve"> </w:t>
      </w:r>
      <w:r>
        <w:t xml:space="preserve">“uncharacterized”</w:t>
      </w:r>
      <w:r>
        <w:t xml:space="preserve">,</w:t>
      </w:r>
      <w:r>
        <w:t xml:space="preserve"> </w:t>
      </w:r>
      <w:r>
        <w:t xml:space="preserve">“hypothetical”</w:t>
      </w:r>
      <w:r>
        <w:t xml:space="preserve">, or</w:t>
      </w:r>
      <w:r>
        <w:t xml:space="preserve"> </w:t>
      </w:r>
      <w:r>
        <w:t xml:space="preserve">“domain of unknown function”</w:t>
      </w:r>
      <w:r>
        <w:t xml:space="preserve">: their amino-acid sequence matched no characterised</w:t>
      </w:r>
      <w:r>
        <w:t xml:space="preserve"> </w:t>
      </w:r>
      <w:r>
        <w:t xml:space="preserve">protein, so no biological function was assigned. Because three-dimensional structure is conserved far</w:t>
      </w:r>
      <w:r>
        <w:t xml:space="preserve"> </w:t>
      </w:r>
      <w:r>
        <w:t xml:space="preserve">longer than sequence, a protein can closely resemble a well-studied enzyme in shape while being</w:t>
      </w:r>
      <w:r>
        <w:t xml:space="preserve"> </w:t>
      </w:r>
      <w:r>
        <w:t xml:space="preserve">undetectable by sequence search. The public release of &gt;200 million predicted structures in the</w:t>
      </w:r>
      <w:r>
        <w:t xml:space="preserve"> </w:t>
      </w:r>
      <w:r>
        <w:t xml:space="preserve">AlphaFold Protein Structure Database (AlphaFold DB) makes it possible, in principle, to re-examine</w:t>
      </w:r>
      <w:r>
        <w:t xml:space="preserve"> </w:t>
      </w:r>
      <w:r>
        <w:t xml:space="preserve">these proteins at the level of fold rather than sequence.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an open, reproducible pipeline that (i) retrieves an</w:t>
      </w:r>
      <w:r>
        <w:t xml:space="preserve"> </w:t>
      </w:r>
      <w:r>
        <w:t xml:space="preserve">organism’s AlphaFold models, (ii) filters them by the AlphaFold per-residue confidence (pLDDT),</w:t>
      </w:r>
      <w:r>
        <w:t xml:space="preserve"> </w:t>
      </w:r>
      <w:r>
        <w:t xml:space="preserve">(iii) identifies the currently unannotated proteins from their UniProt records, (iv) searches each</w:t>
      </w:r>
      <w:r>
        <w:t xml:space="preserve"> </w:t>
      </w:r>
      <w:r>
        <w:t xml:space="preserve">against a reference library of functionally characterised enzymes using TM-align, (v) characterises</w:t>
      </w:r>
      <w:r>
        <w:t xml:space="preserve"> </w:t>
      </w:r>
      <w:r>
        <w:t xml:space="preserve">the best hits’ putative binding cavities with a geometric (LIGSITE-style) pocket detector, and</w:t>
      </w:r>
      <w:r>
        <w:t xml:space="preserve"> </w:t>
      </w:r>
      <w:r>
        <w:t xml:space="preserve">(vi) ranks the resulting candidate function assignments with a transparent composite score. The entire</w:t>
      </w:r>
      <w:r>
        <w:t xml:space="preserve"> </w:t>
      </w:r>
      <w:r>
        <w:t xml:space="preserve">workflow runs on a commodity laptop with no GPU and no compiled dependencies, and ships with a static</w:t>
      </w:r>
      <w:r>
        <w:t xml:space="preserve"> </w:t>
      </w:r>
      <w:r>
        <w:t xml:space="preserve">web viewer for inspecting each candidate in 3D. In a pilot on nine unannotated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proteins searched against a 119-protein reference library, four proteins matched a known</w:t>
      </w:r>
      <w:r>
        <w:t xml:space="preserve"> </w:t>
      </w:r>
      <w:r>
        <w:t xml:space="preserve">fold at TM-score ≥ 0.5. The strongest candidate, an</w:t>
      </w:r>
      <w:r>
        <w:t xml:space="preserve"> </w:t>
      </w:r>
      <w:r>
        <w:t xml:space="preserve">“uncharacterized FAD-linked oxidoreductase”</w:t>
      </w:r>
      <w:r>
        <w:t xml:space="preserve"> </w:t>
      </w:r>
      <w:r>
        <w:t xml:space="preserve">(UniProt P9WIT1), matched a D-2-hydroxyglutarate dehydrogenase at TM-score 0.90 — a match consistent</w:t>
      </w:r>
      <w:r>
        <w:t xml:space="preserve"> </w:t>
      </w:r>
      <w:r>
        <w:t xml:space="preserve">with, and refining, its previously inferred enzyme class. On an independent benchmark of 227 enzymes</w:t>
      </w:r>
      <w:r>
        <w:t xml:space="preserve"> </w:t>
      </w:r>
      <w:r>
        <w:t xml:space="preserve">across 29 families and six EC classes, leave-one-out recovery assigned the exact four-level EC number</w:t>
      </w:r>
      <w:r>
        <w:t xml:space="preserve"> </w:t>
      </w:r>
      <w:r>
        <w:t xml:space="preserve">correctly in 96.5 % of cases; this matched a simple pairwise sequence-identity baseline overall (which</w:t>
      </w:r>
      <w:r>
        <w:t xml:space="preserve"> </w:t>
      </w:r>
      <w:r>
        <w:t xml:space="preserve">reached 93.8 % at the exact-reaction level) and demonstrated clear advantages for several remote-homology</w:t>
      </w:r>
      <w:r>
        <w:t xml:space="preserve"> </w:t>
      </w:r>
      <w:r>
        <w:t xml:space="preserve">cases, recovering correct functions in the sub-30 %-identity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(including metallo-</w:t>
      </w:r>
      <w:r>
        <w:t xml:space="preserve"> </w:t>
      </w:r>
      <w:r>
        <w:t xml:space="preserve">β-lactamases and a lipase and catalase at low identity) where pairwise sequence comparison is</w:t>
      </w:r>
      <w:r>
        <w:t xml:space="preserve"> </w:t>
      </w:r>
      <w:r>
        <w:t xml:space="preserve">unreliable; at the default TM-score threshold of 0.5 precision was 0.982.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Structure-based triage recovers specific, testable functional hypotheses for proteins</w:t>
      </w:r>
      <w:r>
        <w:t xml:space="preserve"> </w:t>
      </w:r>
      <w:r>
        <w:t xml:space="preserve">that sequence-based annotation leaves blank, and can be performed at classroom/laptop scale. The method</w:t>
      </w:r>
      <w:r>
        <w:t xml:space="preserve"> </w:t>
      </w:r>
      <w:r>
        <w:t xml:space="preserve">is presented as a hypothesis-generating tool; all predictions require experimental validation.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AlphaFold; structural bioinformatics; protein function prediction; hypothetical proteins;</w:t>
      </w:r>
      <w:r>
        <w:t xml:space="preserve"> </w:t>
      </w:r>
      <w:r>
        <w:t xml:space="preserve">TM-align; binding-pocket detection;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; remote homology.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gap between the number of known protein</w:t>
      </w:r>
      <w:r>
        <w:t xml:space="preserve"> </w:t>
      </w:r>
      <w:r>
        <w:rPr>
          <w:i/>
          <w:iCs/>
        </w:rPr>
        <w:t xml:space="preserve">sequences</w:t>
      </w:r>
      <w:r>
        <w:t xml:space="preserve"> </w:t>
      </w:r>
      <w:r>
        <w:t xml:space="preserve">and the number of proteins with an experimentally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continues to widen. A large fraction of every proteome — often 25–50 % — consists</w:t>
      </w:r>
      <w:r>
        <w:t xml:space="preserve"> </w:t>
      </w:r>
      <w:r>
        <w:t xml:space="preserve">of proteins with no assigned function, catalogued under labels such as</w:t>
      </w:r>
      <w:r>
        <w:t xml:space="preserve"> </w:t>
      </w:r>
      <w:r>
        <w:t xml:space="preserve">“hypothetical protein”</w:t>
      </w:r>
      <w:r>
        <w:t xml:space="preserve">,</w:t>
      </w:r>
      <w:r>
        <w:t xml:space="preserve"> </w:t>
      </w:r>
      <w:r>
        <w:t xml:space="preserve">“uncharacterized protein”</w:t>
      </w:r>
      <w:r>
        <w:t xml:space="preserve">, or</w:t>
      </w:r>
      <w:r>
        <w:t xml:space="preserve"> </w:t>
      </w:r>
      <w:r>
        <w:t xml:space="preserve">“domain of unknown function (DUF)”</w:t>
      </w:r>
      <w:r>
        <w:t xml:space="preserve"> </w:t>
      </w:r>
      <w:r>
        <w:t xml:space="preserve">[1]. This</w:t>
      </w:r>
      <w:r>
        <w:t xml:space="preserve"> </w:t>
      </w:r>
      <w:r>
        <w:t xml:space="preserve">“dark proteome”</w:t>
      </w:r>
      <w:r>
        <w:t xml:space="preserve"> </w:t>
      </w:r>
      <w:r>
        <w:t xml:space="preserve">is not</w:t>
      </w:r>
      <w:r>
        <w:t xml:space="preserve"> </w:t>
      </w:r>
      <w:r>
        <w:t xml:space="preserve">biological noise: it includes enzymes, transporters, and regulators of real physiological importance,</w:t>
      </w:r>
      <w:r>
        <w:t xml:space="preserve"> </w:t>
      </w:r>
      <w:r>
        <w:t xml:space="preserve">and in pathogens it may contain untapped drug or vaccine targets [1].</w:t>
      </w:r>
    </w:p>
    <w:p>
      <w:pPr>
        <w:pStyle w:val="BodyText"/>
      </w:pPr>
      <w:r>
        <w:t xml:space="preserve">Historically, function has been transferred between proteins by</w:t>
      </w:r>
      <w:r>
        <w:t xml:space="preserve"> </w:t>
      </w:r>
      <w:r>
        <w:rPr>
          <w:i/>
          <w:iCs/>
        </w:rPr>
        <w:t xml:space="preserve">sequence</w:t>
      </w:r>
      <w:r>
        <w:t xml:space="preserve"> </w:t>
      </w:r>
      <w:r>
        <w:t xml:space="preserve">homology. This approach</w:t>
      </w:r>
      <w:r>
        <w:t xml:space="preserve"> </w:t>
      </w:r>
      <w:r>
        <w:t xml:space="preserve">fails precisely where it is most needed: once two proteins have diverged past roughly 20–25 % sequence</w:t>
      </w:r>
      <w:r>
        <w:t xml:space="preserve"> </w:t>
      </w:r>
      <w:r>
        <w:t xml:space="preserve">identity, homology becomes difficult to detect from sequence alone, even though the proteins may retain</w:t>
      </w:r>
      <w:r>
        <w:t xml:space="preserve"> </w:t>
      </w:r>
      <w:r>
        <w:t xml:space="preserve">the same fold and function. Structure is empirically three to ten times more conserved than sequence</w:t>
      </w:r>
      <w:r>
        <w:t xml:space="preserve"> </w:t>
      </w:r>
      <w:r>
        <w:t xml:space="preserve">[2], so structural comparison can recover relationships that sequence comparison misses.</w:t>
      </w:r>
    </w:p>
    <w:p>
      <w:pPr>
        <w:pStyle w:val="BodyText"/>
      </w:pPr>
      <w:r>
        <w:t xml:space="preserve">Two developments now make structure-based annotation feasible at scale. First, AlphaFold [3] achieved</w:t>
      </w:r>
      <w:r>
        <w:t xml:space="preserve"> </w:t>
      </w:r>
      <w:r>
        <w:t xml:space="preserve">near-experimental accuracy in single-chain structure prediction, and the AlphaFold Protein Structure</w:t>
      </w:r>
      <w:r>
        <w:t xml:space="preserve"> </w:t>
      </w:r>
      <w:r>
        <w:t xml:space="preserve">Database (AlphaFold DB) [4] released predicted structures for essentially the entire UniProt reference</w:t>
      </w:r>
      <w:r>
        <w:t xml:space="preserve"> </w:t>
      </w:r>
      <w:r>
        <w:t xml:space="preserve">proteome set — over 200 million models — under an open licence, each accompanied by a per-residue</w:t>
      </w:r>
      <w:r>
        <w:t xml:space="preserve"> </w:t>
      </w:r>
      <w:r>
        <w:t xml:space="preserve">confidence estimate (pLDDT). Second, fast structural aligners and search tools such as Foldseek [5],</w:t>
      </w:r>
      <w:r>
        <w:t xml:space="preserve"> </w:t>
      </w:r>
      <w:r>
        <w:t xml:space="preserve">built on the TM-align algorithm and TM-score metric [6, 7], make all-versus-all structural comparison</w:t>
      </w:r>
      <w:r>
        <w:t xml:space="preserve"> </w:t>
      </w:r>
      <w:r>
        <w:t xml:space="preserve">computationally tractable.</w:t>
      </w:r>
    </w:p>
    <w:p>
      <w:pPr>
        <w:pStyle w:val="BodyText"/>
      </w:pPr>
      <w:r>
        <w:t xml:space="preserve">Most published applications of these tools assume access to a Linux server, a GPU, or a multi-gigabyte</w:t>
      </w:r>
      <w:r>
        <w:t xml:space="preserve"> </w:t>
      </w:r>
      <w:r>
        <w:t xml:space="preserve">structural database. Here we deliberately target the opposite regime: a single laptop, no GPU, no</w:t>
      </w:r>
      <w:r>
        <w:t xml:space="preserve"> </w:t>
      </w:r>
      <w:r>
        <w:t xml:space="preserve">administrator privileges, and no compiled bioinformatics binaries. We show that a scientifically</w:t>
      </w:r>
      <w:r>
        <w:t xml:space="preserve"> </w:t>
      </w:r>
      <w:r>
        <w:t xml:space="preserve">meaningful structure-based annotation workflow can be assembled entirely from the pre-computed</w:t>
      </w:r>
      <w:r>
        <w:t xml:space="preserve"> </w:t>
      </w:r>
      <w:r>
        <w:t xml:space="preserve">AlphaFold DB plus pure-Python components, and we apply it to unannotated proteins of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(Mtb), the causative agent of tuberculosis and a World Health Organization priority</w:t>
      </w:r>
      <w:r>
        <w:t xml:space="preserve"> </w:t>
      </w:r>
      <w:r>
        <w:t xml:space="preserve">pathogen whose genome remains rich in conserved hypothetical proteins.</w:t>
      </w:r>
    </w:p>
    <w:p>
      <w:pPr>
        <w:pStyle w:val="BodyText"/>
      </w:pPr>
      <w:r>
        <w:t xml:space="preserve">The contribution of this work is threefold: (1) a transparent, end-to-end pipeline that turns raw</w:t>
      </w:r>
      <w:r>
        <w:t xml:space="preserve"> </w:t>
      </w:r>
      <w:r>
        <w:t xml:space="preserve">AlphaFold models into ranked, evidence-linked functional hypotheses; (2) a demonstration that the</w:t>
      </w:r>
      <w:r>
        <w:t xml:space="preserve"> </w:t>
      </w:r>
      <w:r>
        <w:t xml:space="preserve">compute-heavy stages (structural search, pocket detection) can be replaced by laptop-friendly,</w:t>
      </w:r>
      <w:r>
        <w:t xml:space="preserve"> </w:t>
      </w:r>
      <w:r>
        <w:t xml:space="preserve">dependency-free equivalents without sacrificing interpretability; and (3) an openly available software</w:t>
      </w:r>
      <w:r>
        <w:t xml:space="preserve"> </w:t>
      </w:r>
      <w:r>
        <w:t xml:space="preserve">tool, including an interactive viewer, suitable for reproduction and extension.</w:t>
      </w:r>
    </w:p>
    <w:p>
      <w:r>
        <w:pict>
          <v:rect style="width:0;height:1.5pt" o:hralign="center" o:hrstd="t" o:hr="t"/>
        </w:pic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overview"/>
    <w:p>
      <w:pPr>
        <w:pStyle w:val="Heading3"/>
      </w:pPr>
      <w:r>
        <w:t xml:space="preserve">2.1 Overview</w:t>
      </w:r>
    </w:p>
    <w:p>
      <w:pPr>
        <w:pStyle w:val="FirstParagraph"/>
      </w:pPr>
      <w:r>
        <w:t xml:space="preserve">The pipeline comprises six stages executed in sequence:</w:t>
      </w:r>
      <w:r>
        <w:t xml:space="preserve"> </w:t>
      </w:r>
      <w:r>
        <w:rPr>
          <w:b/>
          <w:bCs/>
        </w:rPr>
        <w:t xml:space="preserve">download → parse → annotate → search →</w:t>
      </w:r>
      <w:r>
        <w:rPr>
          <w:b/>
          <w:bCs/>
        </w:rPr>
        <w:t xml:space="preserve"> </w:t>
      </w:r>
      <w:r>
        <w:rPr>
          <w:b/>
          <w:bCs/>
        </w:rPr>
        <w:t xml:space="preserve">pocket → rank</w:t>
      </w:r>
      <w:r>
        <w:t xml:space="preserve"> </w:t>
      </w:r>
      <w:r>
        <w:t xml:space="preserve">(Figure 1). Each stage caches its output to disk, so any stage can be re-run</w:t>
      </w:r>
      <w:r>
        <w:t xml:space="preserve"> </w:t>
      </w:r>
      <w:r>
        <w:t xml:space="preserve">independently. The structural-search and pocket-detection stages each expose two interchangeable</w:t>
      </w:r>
      <w:r>
        <w:t xml:space="preserve"> </w:t>
      </w:r>
      <w:r>
        <w:t xml:space="preserve">back-ends — a native, pure-Python implementation (default) and an external high-performance tool — so</w:t>
      </w:r>
      <w:r>
        <w:t xml:space="preserve"> </w:t>
      </w:r>
      <w:r>
        <w:t xml:space="preserve">the identical workflow runs on a laptop or scales up on a Linux server.</w:t>
      </w:r>
    </w:p>
    <w:bookmarkEnd w:id="11"/>
    <w:bookmarkStart w:id="12" w:name="data-sources-and-structure-retrieval"/>
    <w:p>
      <w:pPr>
        <w:pStyle w:val="Heading3"/>
      </w:pPr>
      <w:r>
        <w:t xml:space="preserve">2.2 Data sources and structure retrieval</w:t>
      </w:r>
    </w:p>
    <w:p>
      <w:pPr>
        <w:pStyle w:val="FirstParagraph"/>
      </w:pPr>
      <w:r>
        <w:t xml:space="preserve">Predicted structures were obtained from AlphaFold DB [4] (model version 6). For the target organism,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H37Rv (UniProt reference proteome UP000001584, NCBI taxonomy 83332), individual</w:t>
      </w:r>
      <w:r>
        <w:t xml:space="preserve"> </w:t>
      </w:r>
      <w:r>
        <w:t xml:space="preserve">models were retrieved as mmCIF files; per-structure URLs were resolved through the AlphaFold DB API to</w:t>
      </w:r>
      <w:r>
        <w:t xml:space="preserve"> </w:t>
      </w:r>
      <w:r>
        <w:t xml:space="preserve">remain robust to database version changes. For whole-proteome runs the pipeline instead downloads the</w:t>
      </w:r>
      <w:r>
        <w:t xml:space="preserve"> </w:t>
      </w:r>
      <w:r>
        <w:t xml:space="preserve">organism’s proteome archive from the AlphaFold DB FTP site. Structures were parsed with the</w:t>
      </w:r>
      <w:r>
        <w:t xml:space="preserve"> </w:t>
      </w:r>
      <w:r>
        <w:rPr>
          <w:i/>
          <w:iCs/>
        </w:rPr>
        <w:t xml:space="preserve">gemmi</w:t>
      </w:r>
      <w:r>
        <w:t xml:space="preserve"> </w:t>
      </w:r>
      <w:r>
        <w:t xml:space="preserve">library [8].</w:t>
      </w:r>
    </w:p>
    <w:bookmarkEnd w:id="12"/>
    <w:bookmarkStart w:id="13" w:name="confidence-filtering"/>
    <w:p>
      <w:pPr>
        <w:pStyle w:val="Heading3"/>
      </w:pPr>
      <w:r>
        <w:t xml:space="preserve">2.3 Confidence filtering</w:t>
      </w:r>
    </w:p>
    <w:p>
      <w:pPr>
        <w:pStyle w:val="FirstParagraph"/>
      </w:pPr>
      <w:r>
        <w:t xml:space="preserve">AlphaFold reports a per-residue confidence, pLDDT (0–100), stored in the B-factor field of each model</w:t>
      </w:r>
      <w:r>
        <w:t xml:space="preserve"> </w:t>
      </w:r>
      <w:r>
        <w:t xml:space="preserve">[3]. For each structure we computed the mean pLDDT over Cα atoms and discarded models below a</w:t>
      </w:r>
      <w:r>
        <w:t xml:space="preserve"> </w:t>
      </w:r>
      <w:r>
        <w:t xml:space="preserve">configurable threshold (default 70), on the rationale that low-confidence models yield unreliable</w:t>
      </w:r>
      <w:r>
        <w:t xml:space="preserve"> </w:t>
      </w:r>
      <w:r>
        <w:t xml:space="preserve">structural comparisons. Residue-level pLDDT is retained and used to colour structures in the viewer so</w:t>
      </w:r>
      <w:r>
        <w:t xml:space="preserve"> </w:t>
      </w:r>
      <w:r>
        <w:t xml:space="preserve">that low-confidence regions are visually flagged.</w:t>
      </w:r>
    </w:p>
    <w:bookmarkEnd w:id="13"/>
    <w:bookmarkStart w:id="14" w:name="annotation-status"/>
    <w:p>
      <w:pPr>
        <w:pStyle w:val="Heading3"/>
      </w:pPr>
      <w:r>
        <w:t xml:space="preserve">2.4 Annotation status</w:t>
      </w:r>
    </w:p>
    <w:p>
      <w:pPr>
        <w:pStyle w:val="FirstParagraph"/>
      </w:pPr>
      <w:r>
        <w:t xml:space="preserve">Each protein’s current annotation was retrieved from UniProt [9] (protein name, evidence level, and</w:t>
      </w:r>
      <w:r>
        <w:t xml:space="preserve"> </w:t>
      </w:r>
      <w:r>
        <w:t xml:space="preserve">keywords). A protein was flagged as</w:t>
      </w:r>
      <w:r>
        <w:t xml:space="preserve"> </w:t>
      </w:r>
      <w:r>
        <w:rPr>
          <w:i/>
          <w:iCs/>
        </w:rPr>
        <w:t xml:space="preserve">unannotated</w:t>
      </w:r>
      <w:r>
        <w:t xml:space="preserve"> </w:t>
      </w:r>
      <w:r>
        <w:t xml:space="preserve">— and therefore a candidate for structural rescue —</w:t>
      </w:r>
      <w:r>
        <w:t xml:space="preserve"> </w:t>
      </w:r>
      <w:r>
        <w:t xml:space="preserve">if its recommended name contained any of the markers</w:t>
      </w:r>
      <w:r>
        <w:t xml:space="preserve"> </w:t>
      </w:r>
      <w:r>
        <w:rPr>
          <w:rStyle w:val="VerbatimChar"/>
        </w:rPr>
        <w:t xml:space="preserve">uncharacterized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DUF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putative uncharacterized</w:t>
      </w:r>
      <w:r>
        <w:t xml:space="preserve">, or if its UniProt protein-existence evidence was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or</w:t>
      </w:r>
      <w:r>
        <w:t xml:space="preserve"> </w:t>
      </w:r>
      <w:r>
        <w:t xml:space="preserve">“Uncertain”</w:t>
      </w:r>
      <w:r>
        <w:t xml:space="preserve">. Only flagged proteins were carried forward as queries.</w:t>
      </w:r>
    </w:p>
    <w:bookmarkEnd w:id="14"/>
    <w:bookmarkStart w:id="15" w:name="structural-search-tm-align-back-end"/>
    <w:p>
      <w:pPr>
        <w:pStyle w:val="Heading3"/>
      </w:pPr>
      <w:r>
        <w:t xml:space="preserve">2.5 Structural search (TM-align back-end)</w:t>
      </w:r>
    </w:p>
    <w:p>
      <w:pPr>
        <w:pStyle w:val="FirstParagraph"/>
      </w:pPr>
      <w:r>
        <w:t xml:space="preserve">Function was transferred by structural similarity to a reference library of</w:t>
      </w:r>
      <w:r>
        <w:t xml:space="preserve"> </w:t>
      </w:r>
      <w:r>
        <w:rPr>
          <w:i/>
          <w:iCs/>
        </w:rPr>
        <w:t xml:space="preserve">functionally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characterised</w:t>
      </w:r>
      <w:r>
        <w:t xml:space="preserve"> </w:t>
      </w:r>
      <w:r>
        <w:t xml:space="preserve">proteins. The reference library was assembled automatically by querying UniProt for</w:t>
      </w:r>
      <w:r>
        <w:t xml:space="preserve"> </w:t>
      </w:r>
      <w:r>
        <w:t xml:space="preserve">reviewed (Swiss-Prot) entries carrying an Enzyme Commission (EC) number and protein-level existence</w:t>
      </w:r>
      <w:r>
        <w:t xml:space="preserve"> </w:t>
      </w:r>
      <w:r>
        <w:t xml:space="preserve">evidence (</w:t>
      </w:r>
      <w:r>
        <w:rPr>
          <w:rStyle w:val="VerbatimChar"/>
        </w:rPr>
        <w:t xml:space="preserve">(reviewed:true) AND (ec:*) AND (existence:1) AND (fragment:false)</w:t>
      </w:r>
      <w:r>
        <w:t xml:space="preserve">), ranked by annotation</w:t>
      </w:r>
      <w:r>
        <w:t xml:space="preserve"> </w:t>
      </w:r>
      <w:r>
        <w:t xml:space="preserve">score; their AlphaFold models were then downloaded. For the pilot, 120 references were requested and</w:t>
      </w:r>
      <w:r>
        <w:t xml:space="preserve"> </w:t>
      </w:r>
      <w:r>
        <w:t xml:space="preserve">119 were successfully retrieved.</w:t>
      </w:r>
    </w:p>
    <w:p>
      <w:pPr>
        <w:pStyle w:val="BodyText"/>
      </w:pPr>
      <w:r>
        <w:t xml:space="preserve">Each query structure was aligned to every reference using TM-align [6] via the</w:t>
      </w:r>
      <w:r>
        <w:t xml:space="preserve"> </w:t>
      </w:r>
      <w:r>
        <w:rPr>
          <w:i/>
          <w:iCs/>
        </w:rPr>
        <w:t xml:space="preserve">tmtools</w:t>
      </w:r>
      <w:r>
        <w:t xml:space="preserve"> </w:t>
      </w:r>
      <w:r>
        <w:t xml:space="preserve">Python</w:t>
      </w:r>
      <w:r>
        <w:t xml:space="preserve"> </w:t>
      </w:r>
      <w:r>
        <w:t xml:space="preserve">bindings, operating on Cα coordinates and sequence extracted with</w:t>
      </w:r>
      <w:r>
        <w:t xml:space="preserve"> </w:t>
      </w:r>
      <w:r>
        <w:rPr>
          <w:i/>
          <w:iCs/>
        </w:rPr>
        <w:t xml:space="preserve">gemmi</w:t>
      </w:r>
      <w:r>
        <w:t xml:space="preserve">. TM-align returns a TM-score</w:t>
      </w:r>
      <w:r>
        <w:t xml:space="preserve"> </w:t>
      </w:r>
      <w:r>
        <w:t xml:space="preserve">[7], a length-normalised measure of fold similarity in the range 0–1, where values &gt; 0.5 generally</w:t>
      </w:r>
      <w:r>
        <w:t xml:space="preserve"> </w:t>
      </w:r>
      <w:r>
        <w:t xml:space="preserve">indicate the same fold and values near 0.2 correspond to unrelated structures. Because TM-score can be</w:t>
      </w:r>
      <w:r>
        <w:t xml:space="preserve"> </w:t>
      </w:r>
      <w:r>
        <w:t xml:space="preserve">normalised by the length of either chain, we recorded the larger of the two normalisations as the</w:t>
      </w:r>
      <w:r>
        <w:t xml:space="preserve"> </w:t>
      </w:r>
      <w:r>
        <w:t xml:space="preserve">match score, so that a strong match to a smaller known domain is not penalised. For each query, the</w:t>
      </w:r>
      <w:r>
        <w:t xml:space="preserve"> </w:t>
      </w:r>
      <w:r>
        <w:t xml:space="preserve">reference with the highest TM-score was retained if it met a configurable threshold (default 0.5).</w:t>
      </w:r>
    </w:p>
    <w:p>
      <w:pPr>
        <w:pStyle w:val="BodyText"/>
      </w:pPr>
      <w:r>
        <w:t xml:space="preserve">TM-align performs an exhaustive, exact pairwise alignment; it is therefore slower than heuristic tools</w:t>
      </w:r>
      <w:r>
        <w:t xml:space="preserve"> </w:t>
      </w:r>
      <w:r>
        <w:t xml:space="preserve">but requires no database construction and no compiled dependencies. As an alternative back-end, the</w:t>
      </w:r>
      <w:r>
        <w:t xml:space="preserve"> </w:t>
      </w:r>
      <w:r>
        <w:t xml:space="preserve">pipeline can instead call Foldseek [5] against a pre-built PDB or Swiss-Prot database, which is far</w:t>
      </w:r>
      <w:r>
        <w:t xml:space="preserve"> </w:t>
      </w:r>
      <w:r>
        <w:t xml:space="preserve">faster and scales to millions of targets; the two back-ends are selected by a single configuration key.</w:t>
      </w:r>
    </w:p>
    <w:bookmarkEnd w:id="15"/>
    <w:bookmarkStart w:id="16" w:name="Xdcaa4a2a0956012386fec0e0df4804614af3d2d"/>
    <w:p>
      <w:pPr>
        <w:pStyle w:val="Heading3"/>
      </w:pPr>
      <w:r>
        <w:t xml:space="preserve">2.6 Binding-pocket detection (geometric back-end)</w:t>
      </w:r>
    </w:p>
    <w:p>
      <w:pPr>
        <w:pStyle w:val="FirstParagraph"/>
      </w:pPr>
      <w:r>
        <w:t xml:space="preserve">For each retained hit we characterised the largest putative binding cavity using a compact,</w:t>
      </w:r>
      <w:r>
        <w:t xml:space="preserve"> </w:t>
      </w:r>
      <w:r>
        <w:t xml:space="preserve">LIGSITE-style geometric algorithm [10, 11] implemented in NumPy/SciPy:</w:t>
      </w:r>
    </w:p>
    <w:p>
      <w:pPr>
        <w:pStyle w:val="Compact"/>
        <w:numPr>
          <w:ilvl w:val="0"/>
          <w:numId w:val="1001"/>
        </w:numPr>
      </w:pPr>
      <w:r>
        <w:t xml:space="preserve">The protein was rasterised onto a 3D grid (default spacing 1.2 Å, 5 Å padding); grid points within</w:t>
      </w:r>
      <w:r>
        <w:t xml:space="preserve"> </w:t>
      </w:r>
      <w:r>
        <w:t xml:space="preserve">the van der Waals radius of any heavy atom were marked</w:t>
      </w:r>
      <w:r>
        <w:t xml:space="preserve"> </w:t>
      </w:r>
      <w:r>
        <w:t xml:space="preserve">“protein”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empty (solvent) grid point, we counted, over seven scan directions (the three axes plus</w:t>
      </w:r>
      <w:r>
        <w:t xml:space="preserve"> </w:t>
      </w:r>
      <w:r>
        <w:t xml:space="preserve">four body diagonals), how many directions had protein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a protein–solvent–protein</w:t>
      </w:r>
      <w:r>
        <w:t xml:space="preserve"> </w:t>
      </w:r>
      <w:r>
        <w:t xml:space="preserve">(PSP)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event, indicating enclosure.</w:t>
      </w:r>
    </w:p>
    <w:p>
      <w:pPr>
        <w:pStyle w:val="Compact"/>
        <w:numPr>
          <w:ilvl w:val="0"/>
          <w:numId w:val="1001"/>
        </w:numPr>
      </w:pPr>
      <w:r>
        <w:t xml:space="preserve">Solvent points enclosed in at least five of seven directions were labelled pocket points.</w:t>
      </w:r>
    </w:p>
    <w:p>
      <w:pPr>
        <w:pStyle w:val="Compact"/>
        <w:numPr>
          <w:ilvl w:val="0"/>
          <w:numId w:val="1001"/>
        </w:numPr>
      </w:pPr>
      <w:r>
        <w:t xml:space="preserve">Adjacent pocket points were clustered (connected-component labelling); clusters below a minimum</w:t>
      </w:r>
      <w:r>
        <w:t xml:space="preserve"> </w:t>
      </w:r>
      <w:r>
        <w:t xml:space="preserve">volume were discarded. The number of surviving clusters gave the pocket count.</w:t>
      </w:r>
    </w:p>
    <w:p>
      <w:pPr>
        <w:pStyle w:val="FirstParagraph"/>
      </w:pPr>
      <w:r>
        <w:t xml:space="preserve">For the largest pocket we computed a geometric</w:t>
      </w:r>
      <w:r>
        <w:t xml:space="preserve"> </w:t>
      </w:r>
      <w:r>
        <w:rPr>
          <w:i/>
          <w:iCs/>
        </w:rPr>
        <w:t xml:space="preserve">cavity score</w:t>
      </w:r>
      <w:r>
        <w:t xml:space="preserve"> </w:t>
      </w:r>
      <w:r>
        <w:t xml:space="preserve">in [0, 1] by combining its volume (via a</w:t>
      </w:r>
      <w:r>
        <w:t xml:space="preserve"> </w:t>
      </w:r>
      <w:r>
        <w:t xml:space="preserve">logistic transform) with its mean enclosure (buriedness). We emphasise that this cavity score is an</w:t>
      </w:r>
      <w:r>
        <w:t xml:space="preserve"> </w:t>
      </w:r>
      <w:r>
        <w:t xml:space="preserve">unsupervised geometric estimate,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trained druggability score produced by fpocket [11]; it is</w:t>
      </w:r>
      <w:r>
        <w:t xml:space="preserve"> </w:t>
      </w:r>
      <w:r>
        <w:t xml:space="preserve">labelled as such throughout the software and in the results. As with structural search, fpocket is</w:t>
      </w:r>
      <w:r>
        <w:t xml:space="preserve"> </w:t>
      </w:r>
      <w:r>
        <w:t xml:space="preserve">available as an alternative back-end for users on Linux/macOS.</w:t>
      </w:r>
    </w:p>
    <w:bookmarkEnd w:id="16"/>
    <w:bookmarkStart w:id="17" w:name="composite-ranking"/>
    <w:p>
      <w:pPr>
        <w:pStyle w:val="Heading3"/>
      </w:pPr>
      <w:r>
        <w:t xml:space="preserve">2.7 Composite ranking</w:t>
      </w:r>
    </w:p>
    <w:p>
      <w:pPr>
        <w:pStyle w:val="FirstParagraph"/>
      </w:pPr>
      <w:r>
        <w:t xml:space="preserve">Each candidate received a composite score combining three normalised signals: structural similarity</w:t>
      </w:r>
      <w:r>
        <w:t xml:space="preserve"> </w:t>
      </w:r>
      <w:r>
        <w:t xml:space="preserve">(TM-score), model confidence (mean pLDDT / 100), and pocket quality (cavity score). With default</w:t>
      </w:r>
      <w:r>
        <w:t xml:space="preserve"> </w:t>
      </w:r>
      <w:r>
        <w:t xml:space="preserve">weights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(0.5, 0.2, 0.3), the composite is the weighted mean over the available components; if a</w:t>
      </w:r>
      <w:r>
        <w:t xml:space="preserve"> </w:t>
      </w:r>
      <w:r>
        <w:t xml:space="preserve">component is missing (e.g. no pocket detected), its weight is dropped and the remaining weights are</w:t>
      </w:r>
      <w:r>
        <w:t xml:space="preserve"> </w:t>
      </w:r>
      <w:r>
        <w:t xml:space="preserve">renormalised:</w:t>
      </w:r>
    </w:p>
    <w:p>
      <w:pPr>
        <w:pStyle w:val="BlockText"/>
      </w:pPr>
      <w:r>
        <w:t xml:space="preserve">composite = Σᵢ wᵢ vᵢ / Σᵢ wᵢ , over available components i.</w:t>
      </w:r>
    </w:p>
    <w:p>
      <w:pPr>
        <w:pStyle w:val="FirstParagraph"/>
      </w:pPr>
      <w:r>
        <w:t xml:space="preserve">Candidates were sorted by composite score in descending order.</w:t>
      </w:r>
    </w:p>
    <w:bookmarkEnd w:id="17"/>
    <w:bookmarkStart w:id="18" w:name="implementation-software-and-availability"/>
    <w:p>
      <w:pPr>
        <w:pStyle w:val="Heading3"/>
      </w:pPr>
      <w:r>
        <w:t xml:space="preserve">2.8 Implementation, software, and availability</w:t>
      </w:r>
    </w:p>
    <w:p>
      <w:pPr>
        <w:pStyle w:val="FirstParagraph"/>
      </w:pPr>
      <w:r>
        <w:t xml:space="preserve">The pipeline is written in Python 3.12 and depends only on packages installable with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(</w:t>
      </w:r>
      <w:r>
        <w:rPr>
          <w:i/>
          <w:iCs/>
        </w:rPr>
        <w:t xml:space="preserve">requests</w:t>
      </w:r>
      <w:r>
        <w:t xml:space="preserve">,</w:t>
      </w:r>
      <w:r>
        <w:t xml:space="preserve"> </w:t>
      </w:r>
      <w:r>
        <w:rPr>
          <w:i/>
          <w:iCs/>
        </w:rPr>
        <w:t xml:space="preserve">gemmi</w:t>
      </w:r>
      <w:r>
        <w:t xml:space="preserve">,</w:t>
      </w:r>
      <w:r>
        <w:t xml:space="preserve"> </w:t>
      </w:r>
      <w:r>
        <w:rPr>
          <w:i/>
          <w:iCs/>
        </w:rPr>
        <w:t xml:space="preserve">pyyaml</w:t>
      </w:r>
      <w:r>
        <w:t xml:space="preserve">,</w:t>
      </w:r>
      <w:r>
        <w:t xml:space="preserve"> </w:t>
      </w:r>
      <w:r>
        <w:rPr>
          <w:i/>
          <w:iCs/>
        </w:rPr>
        <w:t xml:space="preserve">pandas</w:t>
      </w:r>
      <w:r>
        <w:t xml:space="preserve">,</w:t>
      </w:r>
      <w:r>
        <w:t xml:space="preserve"> </w:t>
      </w:r>
      <w:r>
        <w:rPr>
          <w:i/>
          <w:iCs/>
        </w:rPr>
        <w:t xml:space="preserve">tqdm</w:t>
      </w:r>
      <w:r>
        <w:t xml:space="preserve">,</w:t>
      </w:r>
      <w:r>
        <w:t xml:space="preserve"> </w:t>
      </w:r>
      <w:r>
        <w:rPr>
          <w:i/>
          <w:iCs/>
        </w:rPr>
        <w:t xml:space="preserve">numpy</w:t>
      </w:r>
      <w:r>
        <w:t xml:space="preserve">,</w:t>
      </w:r>
      <w:r>
        <w:t xml:space="preserve"> </w:t>
      </w:r>
      <w:r>
        <w:rPr>
          <w:i/>
          <w:iCs/>
        </w:rPr>
        <w:t xml:space="preserve">scipy</w:t>
      </w:r>
      <w:r>
        <w:t xml:space="preserve">,</w:t>
      </w:r>
      <w:r>
        <w:t xml:space="preserve"> </w:t>
      </w:r>
      <w:r>
        <w:rPr>
          <w:i/>
          <w:iCs/>
        </w:rPr>
        <w:t xml:space="preserve">tmtools</w:t>
      </w:r>
      <w:r>
        <w:t xml:space="preserve">,</w:t>
      </w:r>
      <w:r>
        <w:t xml:space="preserve"> </w:t>
      </w:r>
      <w:r>
        <w:rPr>
          <w:i/>
          <w:iCs/>
        </w:rPr>
        <w:t xml:space="preserve">biopython</w:t>
      </w:r>
      <w:r>
        <w:t xml:space="preserve">,</w:t>
      </w:r>
      <w:r>
        <w:t xml:space="preserve"> </w:t>
      </w:r>
      <w:r>
        <w:rPr>
          <w:i/>
          <w:iCs/>
        </w:rPr>
        <w:t xml:space="preserve">matplotlib</w:t>
      </w:r>
      <w:r>
        <w:t xml:space="preserve">).</w:t>
      </w:r>
      <w:r>
        <w:t xml:space="preserve"> </w:t>
      </w:r>
      <w:r>
        <w:t xml:space="preserve">Results are exported as JSON and CSV, and as a JavaScript data file consumed by a static, dependency-free</w:t>
      </w:r>
      <w:r>
        <w:t xml:space="preserve"> </w:t>
      </w:r>
      <w:r>
        <w:t xml:space="preserve">web viewer that renders each structure in the browser (3Dmol.js), coloured by pLDDT, alongside its</w:t>
      </w:r>
      <w:r>
        <w:t xml:space="preserve"> </w:t>
      </w:r>
      <w:r>
        <w:t xml:space="preserve">structural match, pocket statistics, and composite score. No server, database, or GPU is required. The</w:t>
      </w:r>
      <w:r>
        <w:t xml:space="preserve"> </w:t>
      </w:r>
      <w:r>
        <w:t xml:space="preserve">software, configuration, and pilot outputs are released under the MIT licence; AlphaFold data are used</w:t>
      </w:r>
      <w:r>
        <w:t xml:space="preserve"> </w:t>
      </w:r>
      <w:r>
        <w:t xml:space="preserve">under the EMBL-EBI terms and are for theoretical modelling only.</w:t>
      </w:r>
    </w:p>
    <w:bookmarkEnd w:id="18"/>
    <w:bookmarkStart w:id="19" w:name="functional-residue-verification"/>
    <w:p>
      <w:pPr>
        <w:pStyle w:val="Heading3"/>
      </w:pPr>
      <w:r>
        <w:t xml:space="preserve">2.9 Functional-residue verification</w:t>
      </w:r>
    </w:p>
    <w:p>
      <w:pPr>
        <w:pStyle w:val="FirstParagraph"/>
      </w:pPr>
      <w:r>
        <w:t xml:space="preserve">Global fold similarity is necessary but not sufficient evidence for shared function, so we added an</w:t>
      </w:r>
      <w:r>
        <w:t xml:space="preserve"> </w:t>
      </w:r>
      <w:r>
        <w:t xml:space="preserve">optional residue-level verification step. For a candidate–reference match we retrieved the reference’s</w:t>
      </w:r>
      <w:r>
        <w:t xml:space="preserve"> </w:t>
      </w:r>
      <w:r>
        <w:t xml:space="preserve">annotated functional residues from UniProt (active-site, binding-site and metal-binding features),</w:t>
      </w:r>
      <w:r>
        <w:t xml:space="preserve"> </w:t>
      </w:r>
      <w:r>
        <w:t xml:space="preserve">superposed the candidate onto the reference with the TM-align rotation/translation, and mapped each</w:t>
      </w:r>
      <w:r>
        <w:t xml:space="preserve"> </w:t>
      </w:r>
      <w:r>
        <w:t xml:space="preserve">annotated reference residue to its nearest candidate Cα. A reference functional residue was scored as</w:t>
      </w:r>
      <w:r>
        <w:t xml:space="preserve"> </w:t>
      </w:r>
      <w:r>
        <w:rPr>
          <w:i/>
          <w:iCs/>
        </w:rPr>
        <w:t xml:space="preserve">position-conserved</w:t>
      </w:r>
      <w:r>
        <w:t xml:space="preserve"> </w:t>
      </w:r>
      <w:r>
        <w:t xml:space="preserve">if a candidate Cα lay within 4 Å of it after superposition, and additionally</w:t>
      </w:r>
      <w:r>
        <w:t xml:space="preserve"> </w:t>
      </w:r>
      <w:r>
        <w:rPr>
          <w:i/>
          <w:iCs/>
        </w:rPr>
        <w:t xml:space="preserve">identity-conserved</w:t>
      </w:r>
      <w:r>
        <w:t xml:space="preserve"> </w:t>
      </w:r>
      <w:r>
        <w:t xml:space="preserve">if that candidate residue was the same amino acid. The fraction of catalytic and</w:t>
      </w:r>
      <w:r>
        <w:t xml:space="preserve"> </w:t>
      </w:r>
      <w:r>
        <w:t xml:space="preserve">metal/ligand-binding residues that are position- and identity-conserved gives residue-level evidence</w:t>
      </w:r>
      <w:r>
        <w:t xml:space="preserve"> </w:t>
      </w:r>
      <w:r>
        <w:t xml:space="preserve">that complements the global score (implemented in</w:t>
      </w:r>
      <w:r>
        <w:t xml:space="preserve"> </w:t>
      </w:r>
      <w:r>
        <w:rPr>
          <w:rStyle w:val="VerbatimChar"/>
        </w:rPr>
        <w:t xml:space="preserve">pipeline/functional_residues.py</w:t>
      </w:r>
      <w:r>
        <w:t xml:space="preserve">).</w:t>
      </w:r>
    </w:p>
    <w:bookmarkEnd w:id="19"/>
    <w:bookmarkStart w:id="20" w:name="weight-sensitivity-analysis"/>
    <w:p>
      <w:pPr>
        <w:pStyle w:val="Heading3"/>
      </w:pPr>
      <w:r>
        <w:t xml:space="preserve">2.10 Weight-sensitivity analysis</w:t>
      </w:r>
    </w:p>
    <w:p>
      <w:pPr>
        <w:pStyle w:val="FirstParagraph"/>
      </w:pPr>
      <w:r>
        <w:t xml:space="preserve">To test whether candidate rankings depend on the specific composite weights, we scored a pool of</w:t>
      </w:r>
      <w:r>
        <w:t xml:space="preserve"> </w:t>
      </w:r>
      <w:r>
        <w:t xml:space="preserve">proteins and re-ranked them under every weight vector on the three-component simplex (each weight</w:t>
      </w:r>
      <w:r>
        <w:t xml:space="preserve"> </w:t>
      </w:r>
      <w:r>
        <w:t xml:space="preserve">≥ 0.05, in 0.05 steps), measuring the Kendall rank correlation and top-10 overlap of each ranking</w:t>
      </w:r>
      <w:r>
        <w:t xml:space="preserve"> </w:t>
      </w:r>
      <w:r>
        <w:t xml:space="preserve">against the default-weight ranking (</w:t>
      </w:r>
      <w:r>
        <w:rPr>
          <w:rStyle w:val="VerbatimChar"/>
        </w:rPr>
        <w:t xml:space="preserve">benchmark/weight_sensitivity.py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results"/>
    <w:p>
      <w:pPr>
        <w:pStyle w:val="Heading2"/>
      </w:pPr>
      <w:r>
        <w:t xml:space="preserve">3. Results</w:t>
      </w:r>
    </w:p>
    <w:bookmarkStart w:id="22" w:name="pilot-dataset"/>
    <w:p>
      <w:pPr>
        <w:pStyle w:val="Heading3"/>
      </w:pPr>
      <w:r>
        <w:t xml:space="preserve">3.1 Pilot dataset</w:t>
      </w:r>
    </w:p>
    <w:p>
      <w:pPr>
        <w:pStyle w:val="FirstParagraph"/>
      </w:pPr>
      <w:r>
        <w:t xml:space="preserve">As a proof of concept we processed a pilot set of ten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proteins annotated by UniProt as</w:t>
      </w:r>
      <w:r>
        <w:t xml:space="preserve"> </w:t>
      </w:r>
      <w:r>
        <w:t xml:space="preserve">uncharacterized/hypothetical. One model fell below the mean-pLDDT threshold (70) and was discarded,</w:t>
      </w:r>
      <w:r>
        <w:t xml:space="preserve"> </w:t>
      </w:r>
      <w:r>
        <w:t xml:space="preserve">leaving nine high-confidence queries (mean pLDDT range 75.7–97.1). These were searched against the</w:t>
      </w:r>
      <w:r>
        <w:t xml:space="preserve"> </w:t>
      </w:r>
      <w:r>
        <w:t xml:space="preserve">119-protein reference library of characterised enzymes (Section 2.5). This pilot is intentionally small</w:t>
      </w:r>
      <w:r>
        <w:t xml:space="preserve"> </w:t>
      </w:r>
      <w:r>
        <w:t xml:space="preserve">and is meant to demonstrate the method and software end-to-end; whole-proteome application is</w:t>
      </w:r>
      <w:r>
        <w:t xml:space="preserve"> </w:t>
      </w:r>
      <w:r>
        <w:t xml:space="preserve">straightforward but was outside the scope of this demonstration (see Limitations).</w:t>
      </w:r>
    </w:p>
    <w:bookmarkEnd w:id="22"/>
    <w:bookmarkStart w:id="23" w:name="candidate-function-assignments"/>
    <w:p>
      <w:pPr>
        <w:pStyle w:val="Heading3"/>
      </w:pPr>
      <w:r>
        <w:t xml:space="preserve">3.2 Candidate function assignments</w:t>
      </w:r>
    </w:p>
    <w:p>
      <w:pPr>
        <w:pStyle w:val="FirstParagraph"/>
      </w:pPr>
      <w:r>
        <w:t xml:space="preserve">Four of the nine queries (44 %) produced a structural match at TM-score ≥ 0.5 (Table 1). The remaining</w:t>
      </w:r>
      <w:r>
        <w:t xml:space="preserve"> </w:t>
      </w:r>
      <w:r>
        <w:t xml:space="preserve">five had no reference above threshold and were not assigned a candidate function, as expected for a</w:t>
      </w:r>
      <w:r>
        <w:t xml:space="preserve"> </w:t>
      </w:r>
      <w:r>
        <w:t xml:space="preserve">small, general-purpose reference library.</w:t>
      </w:r>
    </w:p>
    <w:p>
      <w:pPr>
        <w:pStyle w:val="BodyText"/>
      </w:pPr>
      <w:r>
        <w:rPr>
          <w:b/>
          <w:bCs/>
        </w:rPr>
        <w:t xml:space="preserve">Table 1. Ranked candidate function assignments for the pilot set.</w:t>
      </w:r>
      <w:r>
        <w:t xml:space="preserve"> </w:t>
      </w:r>
      <w:r>
        <w:t xml:space="preserve">TM-score from TM-align; pLDDT is</w:t>
      </w:r>
      <w:r>
        <w:t xml:space="preserve"> </w:t>
      </w:r>
      <w:r>
        <w:t xml:space="preserve">the mean AlphaFold confidence; cavity score is the geometric pocket estimate (Section 2.6); composite as</w:t>
      </w:r>
      <w:r>
        <w:t xml:space="preserve"> </w:t>
      </w:r>
      <w:r>
        <w:t xml:space="preserve">in Section 2.7. Matches are hypotheses, not experimental assignments.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"/>
        <w:gridCol w:w="915"/>
        <w:gridCol w:w="1077"/>
        <w:gridCol w:w="700"/>
        <w:gridCol w:w="646"/>
        <w:gridCol w:w="1885"/>
        <w:gridCol w:w="538"/>
        <w:gridCol w:w="484"/>
        <w:gridCol w:w="754"/>
        <w:gridCol w:w="5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Query (UniProt)</w:t>
            </w:r>
          </w:p>
        </w:tc>
        <w:tc>
          <w:tcPr/>
          <w:p>
            <w:pPr>
              <w:pStyle w:val="Compact"/>
            </w:pPr>
            <w:r>
              <w:t xml:space="preserve">Current annotation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 (aa)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pLDDT</w:t>
            </w:r>
          </w:p>
        </w:tc>
        <w:tc>
          <w:tcPr/>
          <w:p>
            <w:pPr>
              <w:pStyle w:val="Compact"/>
            </w:pPr>
            <w:r>
              <w:t xml:space="preserve">Best structural match (reference)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TM-score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Cavity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Composite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Uncharacterized FAD-linked oxidoreductase Rv2280 (EC 1.-.-.-)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 (EC 1.1.99.39)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Uncharacterized membrane protein ArfB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2′-cyclic-ADP-D-ribose synthase / TIR-domain NAD⁺ hydrolase (EC 3.2.2.-)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Uncharacterized metal-dependent hydrolase TatD (EC 3.1.-.-)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Ochratoxinase / amidohydrolase 2 (EC 3.4.17.-)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Uncharacterized protein Rv3778c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</w:t>
            </w:r>
          </w:p>
        </w:tc>
        <w:tc>
          <w:tcPr/>
          <w:p>
            <w:pPr>
              <w:pStyle w:val="Compact"/>
            </w:pPr>
            <w:r>
              <w:t xml:space="preserve">Aromatic amino-acid aminotransferase (EC 2.6.1.57/58/70)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</w:tr>
    </w:tbl>
    <w:bookmarkEnd w:id="23"/>
    <w:bookmarkStart w:id="24" w:name="consistency-of-the-top-assignments"/>
    <w:p>
      <w:pPr>
        <w:pStyle w:val="Heading3"/>
      </w:pPr>
      <w:r>
        <w:t xml:space="preserve">3.3 Consistency of the top assignments</w:t>
      </w:r>
    </w:p>
    <w:p>
      <w:pPr>
        <w:pStyle w:val="FirstParagraph"/>
      </w:pPr>
      <w:r>
        <w:t xml:space="preserve">Three of the four assignments are internally consistent with, and refine, prior sequence-based</w:t>
      </w:r>
      <w:r>
        <w:t xml:space="preserve"> </w:t>
      </w:r>
      <w:r>
        <w:t xml:space="preserve">inference: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P9WIT1</w:t>
      </w:r>
      <w:r>
        <w:t xml:space="preserve"> </w:t>
      </w:r>
      <w:r>
        <w:t xml:space="preserve">was already inferred by UniProt to be an oxidoreductase (EC class 1) but with no defined</w:t>
      </w:r>
      <w:r>
        <w:t xml:space="preserve"> </w:t>
      </w:r>
      <w:r>
        <w:t xml:space="preserve">sub-subclass (EC 1.-.-.-). Its top structural match, a D-2-hydroxyglutarate dehydrogenase</w:t>
      </w:r>
      <w:r>
        <w:t xml:space="preserve"> </w:t>
      </w:r>
      <w:r>
        <w:t xml:space="preserve">(EC 1.1.99.39), lies within the same top-level enzyme class and proposes a specific reaction — a</w:t>
      </w:r>
      <w:r>
        <w:t xml:space="preserve"> </w:t>
      </w:r>
      <w:r>
        <w:t xml:space="preserve">concrete, testable refinement supported by a high TM-score (0.90) and a high-confidence model</w:t>
      </w:r>
      <w:r>
        <w:t xml:space="preserve"> </w:t>
      </w:r>
      <w:r>
        <w:t xml:space="preserve">(pLDDT 95.5).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O08343</w:t>
      </w:r>
      <w:r>
        <w:t xml:space="preserve"> </w:t>
      </w:r>
      <w:r>
        <w:t xml:space="preserve">is annotated as a metal-dependent hydrolase of the TatD family (EC 3.1.-.-); its match to</w:t>
      </w:r>
      <w:r>
        <w:t xml:space="preserve"> </w:t>
      </w:r>
      <w:r>
        <w:t xml:space="preserve">an amidohydrolase-superfamily enzyme (EC 3.4.17.-) is structurally coherent (both are metal-dependent</w:t>
      </w:r>
      <w:r>
        <w:t xml:space="preserve"> </w:t>
      </w:r>
      <w:r>
        <w:t xml:space="preserve">hydrolases built on the TIM-barrel amidohydrolase fold), reinforcing the hydrolase assignment while</w:t>
      </w:r>
      <w:r>
        <w:t xml:space="preserve"> </w:t>
      </w:r>
      <w:r>
        <w:t xml:space="preserve">suggesting a possible peptidase/amidase activity worth testing.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P9WQ67 (Rv3778c)</w:t>
      </w:r>
      <w:r>
        <w:t xml:space="preserve"> </w:t>
      </w:r>
      <w:r>
        <w:t xml:space="preserve">carried no enzyme-class inference at all (</w:t>
      </w:r>
      <w:r>
        <w:t xml:space="preserve">“Uncharacterized protein”</w:t>
      </w:r>
      <w:r>
        <w:t xml:space="preserve">). Its match</w:t>
      </w:r>
      <w:r>
        <w:t xml:space="preserve"> </w:t>
      </w:r>
      <w:r>
        <w:t xml:space="preserve">to a PLP-dependent aromatic amino-acid aminotransferase (EC 2.6.1) is therefore a genuinely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functional hypothesis — the case in which structure-based rescue adds the most information.</w:t>
      </w:r>
    </w:p>
    <w:p>
      <w:pPr>
        <w:pStyle w:val="FirstParagraph"/>
      </w:pPr>
      <w:r>
        <w:t xml:space="preserve">The second-ranked hit,</w:t>
      </w:r>
      <w:r>
        <w:t xml:space="preserve"> </w:t>
      </w:r>
      <w:r>
        <w:rPr>
          <w:b/>
          <w:bCs/>
        </w:rPr>
        <w:t xml:space="preserve">P9WJG7</w:t>
      </w:r>
      <w:r>
        <w:t xml:space="preserve">, illustrates an important caveat rather than a confident result: at</w:t>
      </w:r>
      <w:r>
        <w:t xml:space="preserve"> </w:t>
      </w:r>
      <w:r>
        <w:t xml:space="preserve">only 50 residues its TM-score (0.86) is computed over few aligned positions and is intrinsically less</w:t>
      </w:r>
      <w:r>
        <w:t xml:space="preserve"> </w:t>
      </w:r>
      <w:r>
        <w:t xml:space="preserve">reliable, and no enclosed pocket was detected. It is retained here as a transparent example of a</w:t>
      </w:r>
      <w:r>
        <w:t xml:space="preserve"> </w:t>
      </w:r>
      <w:r>
        <w:t xml:space="preserve">low-confidence match that a user should discount.</w:t>
      </w:r>
    </w:p>
    <w:bookmarkEnd w:id="24"/>
    <w:bookmarkStart w:id="25" w:name="pocket-analysis"/>
    <w:p>
      <w:pPr>
        <w:pStyle w:val="Heading3"/>
      </w:pPr>
      <w:r>
        <w:t xml:space="preserve">3.4 Pocket analysis</w:t>
      </w:r>
    </w:p>
    <w:p>
      <w:pPr>
        <w:pStyle w:val="FirstParagraph"/>
      </w:pPr>
      <w:r>
        <w:t xml:space="preserve">The geometric detector identified enclosed cavities in the three larger high-scoring proteins</w:t>
      </w:r>
      <w:r>
        <w:t xml:space="preserve"> </w:t>
      </w:r>
      <w:r>
        <w:t xml:space="preserve">(4–6 pockets; cavity scores 0.966–0.968), consistent with globular enzymes possessing defined active</w:t>
      </w:r>
      <w:r>
        <w:t xml:space="preserve"> </w:t>
      </w:r>
      <w:r>
        <w:t xml:space="preserve">sites, and correctly reported no enclosed pocket for the 50-residue membrane peptide P9WJG7. Because the</w:t>
      </w:r>
      <w:r>
        <w:t xml:space="preserve"> </w:t>
      </w:r>
      <w:r>
        <w:t xml:space="preserve">cavity score is an unsupervised geometric measure, we use it only as a supporting signal in the</w:t>
      </w:r>
      <w:r>
        <w:t xml:space="preserve"> </w:t>
      </w:r>
      <w:r>
        <w:t xml:space="preserve">composite ranking and for visual inspection, not as a standalone druggability claim.</w:t>
      </w:r>
    </w:p>
    <w:bookmarkEnd w:id="25"/>
    <w:bookmarkStart w:id="26" w:name="software-and-interface"/>
    <w:p>
      <w:pPr>
        <w:pStyle w:val="Heading3"/>
      </w:pPr>
      <w:r>
        <w:t xml:space="preserve">3.5 Software and interface</w:t>
      </w:r>
    </w:p>
    <w:p>
      <w:pPr>
        <w:pStyle w:val="FirstParagraph"/>
      </w:pPr>
      <w:r>
        <w:t xml:space="preserve">The pipeline produced machine-readable outputs (JSON, CSV) and a static web interface that lists the</w:t>
      </w:r>
      <w:r>
        <w:t xml:space="preserve"> </w:t>
      </w:r>
      <w:r>
        <w:t xml:space="preserve">ranked candidates and renders each AlphaFold model in 3D, coloured by pLDDT, with its structural match,</w:t>
      </w:r>
      <w:r>
        <w:t xml:space="preserve"> </w:t>
      </w:r>
      <w:r>
        <w:t xml:space="preserve">match confidence, pocket statistics, and per-component scores (Figure 2). The complete pilot — download,</w:t>
      </w:r>
      <w:r>
        <w:t xml:space="preserve"> </w:t>
      </w:r>
      <w:r>
        <w:t xml:space="preserve">parsing, annotation, 9 × 119 TM-align comparisons, pocket detection, and ranking — ran on a consumer</w:t>
      </w:r>
      <w:r>
        <w:t xml:space="preserve"> </w:t>
      </w:r>
      <w:r>
        <w:t xml:space="preserve">laptop without a GPU; the structural-search stage dominated runtime at roughly one minute per query</w:t>
      </w:r>
      <w:r>
        <w:t xml:space="preserve"> </w:t>
      </w:r>
      <w:r>
        <w:t xml:space="preserve">against the 119-protein library.</w:t>
      </w:r>
    </w:p>
    <w:bookmarkEnd w:id="26"/>
    <w:bookmarkStart w:id="27" w:name="X337fcafd85cc1d614e2686deb6afcf3a148f903"/>
    <w:p>
      <w:pPr>
        <w:pStyle w:val="Heading3"/>
      </w:pPr>
      <w:r>
        <w:t xml:space="preserve">3.6 Functional-residue verification of the candidates</w:t>
      </w:r>
    </w:p>
    <w:p>
      <w:pPr>
        <w:pStyle w:val="FirstParagraph"/>
      </w:pPr>
      <w:r>
        <w:t xml:space="preserve">Global fold similarity alone leaves open whether the</w:t>
      </w:r>
      <w:r>
        <w:t xml:space="preserve"> </w:t>
      </w:r>
      <w:r>
        <w:rPr>
          <w:i/>
          <w:iCs/>
        </w:rPr>
        <w:t xml:space="preserve">active site</w:t>
      </w:r>
      <w:r>
        <w:t xml:space="preserve"> </w:t>
      </w:r>
      <w:r>
        <w:t xml:space="preserve">is shared. We therefore tested, for</w:t>
      </w:r>
      <w:r>
        <w:t xml:space="preserve"> </w:t>
      </w:r>
      <w:r>
        <w:t xml:space="preserve">each pilot candidate, whether the matched reference’s annotated catalytic and binding residues are</w:t>
      </w:r>
      <w:r>
        <w:t xml:space="preserve"> </w:t>
      </w:r>
      <w:r>
        <w:t xml:space="preserve">structurally conserved (Section 2.9; Table 2). This sharpens the picture from the global scores.</w:t>
      </w:r>
    </w:p>
    <w:p>
      <w:pPr>
        <w:pStyle w:val="BodyText"/>
      </w:pPr>
      <w:r>
        <w:t xml:space="preserve">The metal-dependent hydrolase candidate</w:t>
      </w:r>
      <w:r>
        <w:t xml:space="preserve"> </w:t>
      </w:r>
      <w:r>
        <w:rPr>
          <w:b/>
          <w:bCs/>
        </w:rPr>
        <w:t xml:space="preserve">O08343</w:t>
      </w:r>
      <w:r>
        <w:t xml:space="preserve"> </w:t>
      </w:r>
      <w:r>
        <w:t xml:space="preserve">is the strongest case: all eight annotated functional</w:t>
      </w:r>
      <w:r>
        <w:t xml:space="preserve"> </w:t>
      </w:r>
      <w:r>
        <w:t xml:space="preserve">residues of the matched amidohydrolase are position-conserved, and the two zinc-coordinating histidines</w:t>
      </w:r>
      <w:r>
        <w:t xml:space="preserve"> </w:t>
      </w:r>
      <w:r>
        <w:t xml:space="preserve">(His111→His5, His113→His7) together with a catalytic aspartate (Asp378→Asp208) are conserved in identity</w:t>
      </w:r>
      <w:r>
        <w:t xml:space="preserve"> </w:t>
      </w:r>
      <w:r>
        <w:t xml:space="preserve">as well as position — a direct structural signature of a metal-dependent hydrolase active site. The</w:t>
      </w:r>
      <w:r>
        <w:t xml:space="preserve"> </w:t>
      </w:r>
      <w:r>
        <w:t xml:space="preserve">oxidoreductase (</w:t>
      </w:r>
      <w:r>
        <w:rPr>
          <w:b/>
          <w:bCs/>
        </w:rPr>
        <w:t xml:space="preserve">P9WIT1</w:t>
      </w:r>
      <w:r>
        <w:t xml:space="preserve">) and aminotransferase (</w:t>
      </w:r>
      <w:r>
        <w:rPr>
          <w:b/>
          <w:bCs/>
        </w:rPr>
        <w:t xml:space="preserve">P9WQ67</w:t>
      </w:r>
      <w:r>
        <w:t xml:space="preserve">) candidates retain the active-site</w:t>
      </w:r>
      <w:r>
        <w:t xml:space="preserve"> </w:t>
      </w:r>
      <w:r>
        <w:rPr>
          <w:i/>
          <w:iCs/>
        </w:rPr>
        <w:t xml:space="preserve">geometry</w:t>
      </w:r>
      <w:r>
        <w:t xml:space="preserve"> </w:t>
      </w:r>
      <w:r>
        <w:t xml:space="preserve">(83 % and 100 % of functional residues position-conserved) but with diverged residue</w:t>
      </w:r>
      <w:r>
        <w:t xml:space="preserve"> </w:t>
      </w:r>
      <w:r>
        <w:t xml:space="preserve">identities, indicating a shared fold and binding-pocket architecture rather than an identical catalytic</w:t>
      </w:r>
      <w:r>
        <w:t xml:space="preserve"> </w:t>
      </w:r>
      <w:r>
        <w:t xml:space="preserve">complement — a deliberately more cautious level of support (for P9WIT1 the reference’s [4Fe-4S]-cluster</w:t>
      </w:r>
      <w:r>
        <w:t xml:space="preserve"> </w:t>
      </w:r>
      <w:r>
        <w:t xml:space="preserve">cysteines are notably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conserved, suggesting a related oxidoreductase lacking that exact cofactor).</w:t>
      </w:r>
      <w:r>
        <w:t xml:space="preserve"> </w:t>
      </w:r>
      <w:r>
        <w:t xml:space="preserve">Critically, the short 50-residue candidate</w:t>
      </w:r>
      <w:r>
        <w:t xml:space="preserve"> </w:t>
      </w:r>
      <w:r>
        <w:rPr>
          <w:b/>
          <w:bCs/>
        </w:rPr>
        <w:t xml:space="preserve">P9WJG7</w:t>
      </w:r>
      <w:r>
        <w:t xml:space="preserve">, whose global match we had already flagged as</w:t>
      </w:r>
      <w:r>
        <w:t xml:space="preserve"> </w:t>
      </w:r>
      <w:r>
        <w:t xml:space="preserve">unreliable, shows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functional-residue conservation (0/6; all reference active-site residues 36–55 Å</w:t>
      </w:r>
      <w:r>
        <w:t xml:space="preserve"> </w:t>
      </w:r>
      <w:r>
        <w:t xml:space="preserve">away after superposition), independently confirming that its high TM-score is spurious. Residue-level</w:t>
      </w:r>
      <w:r>
        <w:t xml:space="preserve"> </w:t>
      </w:r>
      <w:r>
        <w:t xml:space="preserve">verification thus both strengthens the confident assignments and automatically down-weights the</w:t>
      </w:r>
      <w:r>
        <w:t xml:space="preserve"> </w:t>
      </w:r>
      <w:r>
        <w:t xml:space="preserve">questionable one.</w:t>
      </w:r>
    </w:p>
    <w:p>
      <w:pPr>
        <w:pStyle w:val="BodyText"/>
      </w:pPr>
      <w:r>
        <w:rPr>
          <w:b/>
          <w:bCs/>
        </w:rPr>
        <w:t xml:space="preserve">Table 2. Functional-residue conservation for the pilot candidates.</w:t>
      </w:r>
      <w:r>
        <w:t xml:space="preserve"> </w:t>
      </w:r>
      <w:r>
        <w:t xml:space="preserve">Annotated active-site,</w:t>
      </w:r>
      <w:r>
        <w:t xml:space="preserve"> </w:t>
      </w:r>
      <w:r>
        <w:t xml:space="preserve">binding-site and metal-binding residues of the matched reference, checked for structural conservation in</w:t>
      </w:r>
      <w:r>
        <w:t xml:space="preserve"> </w:t>
      </w:r>
      <w:r>
        <w:t xml:space="preserve">the candidate after TM-align superposition (position-conserved: candidate Cα within 4 Å; identity: same</w:t>
      </w:r>
      <w:r>
        <w:t xml:space="preserve"> </w:t>
      </w:r>
      <w:r>
        <w:t xml:space="preserve">amino acid).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4"/>
        <w:gridCol w:w="1083"/>
        <w:gridCol w:w="1421"/>
        <w:gridCol w:w="1353"/>
        <w:gridCol w:w="1353"/>
        <w:gridCol w:w="1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Matched 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Functional residues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Position-conserved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Identity-conserved</w:t>
            </w:r>
          </w:p>
        </w:tc>
        <w:tc>
          <w:tcPr/>
          <w:p>
            <w:pPr>
              <w:pStyle w:val="Compact"/>
            </w:pPr>
            <w:r>
              <w:t xml:space="preserve">Notable conserved residues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Amidohydrolase (Zn)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(50 %)</w:t>
            </w:r>
          </w:p>
        </w:tc>
        <w:tc>
          <w:tcPr/>
          <w:p>
            <w:pPr>
              <w:pStyle w:val="Compact"/>
            </w:pPr>
            <w:r>
              <w:t xml:space="preserve">Zn-His111, Zn-His113, catalytic Asp378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PLP aminotransferase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PLP / 2-oxoglutarate site geometry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(83 %)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substrate-site geometry (4Fe-4S Cys not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none (spurious 50-residue match)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validation-a-leave-one-out-benchmark"/>
    <w:p>
      <w:pPr>
        <w:pStyle w:val="Heading2"/>
      </w:pPr>
      <w:r>
        <w:t xml:space="preserve">4. Validation: a leave-one-out benchmark</w:t>
      </w:r>
    </w:p>
    <w:p>
      <w:pPr>
        <w:pStyle w:val="FirstParagraph"/>
      </w:pPr>
      <w:r>
        <w:t xml:space="preserve">The pilot of Section 3 shows the software produces coherent hypotheses, but coherence is not accuracy.</w:t>
      </w:r>
      <w:r>
        <w:t xml:space="preserve"> </w:t>
      </w:r>
      <w:r>
        <w:t xml:space="preserve">To quantify how often structure-based recovery is</w:t>
      </w:r>
      <w:r>
        <w:t xml:space="preserve"> </w:t>
      </w:r>
      <w:r>
        <w:rPr>
          <w:i/>
          <w:iCs/>
        </w:rPr>
        <w:t xml:space="preserve">correct</w:t>
      </w:r>
      <w:r>
        <w:t xml:space="preserve">, and whether it adds value over the</w:t>
      </w:r>
      <w:r>
        <w:t xml:space="preserve"> </w:t>
      </w:r>
      <w:r>
        <w:t xml:space="preserve">sequence-based methods it is meant to complement, we ran a controlled leave-one-out benchmark on a</w:t>
      </w:r>
      <w:r>
        <w:t xml:space="preserve"> </w:t>
      </w:r>
      <w:r>
        <w:t xml:space="preserve">labelled gold-standard set.</w:t>
      </w:r>
    </w:p>
    <w:bookmarkStart w:id="29" w:name="benchmark-design"/>
    <w:p>
      <w:pPr>
        <w:pStyle w:val="Heading3"/>
      </w:pPr>
      <w:r>
        <w:t xml:space="preserve">4.1 Benchmark design</w:t>
      </w:r>
    </w:p>
    <w:p>
      <w:pPr>
        <w:pStyle w:val="FirstParagraph"/>
      </w:pPr>
      <w:r>
        <w:t xml:space="preserve">We assembled 227 reviewed enzymes with experimentally supported Enzyme Commission (EC) annotations,</w:t>
      </w:r>
      <w:r>
        <w:t xml:space="preserve"> </w:t>
      </w:r>
      <w:r>
        <w:t xml:space="preserve">drawn from 29 EC families spanning six enzyme classes (oxidoreductases, transferases, hydrolases,</w:t>
      </w:r>
      <w:r>
        <w:t xml:space="preserve"> </w:t>
      </w:r>
      <w:r>
        <w:t xml:space="preserve">lyases, isomerases and ligases; classes 1–6), with up to eight diverse members per family — families</w:t>
      </w:r>
      <w:r>
        <w:t xml:space="preserve"> </w:t>
      </w:r>
      <w:r>
        <w:t xml:space="preserve">returning fewer than three usable members were dropped automatically — and lengths of 80–520 residues.</w:t>
      </w:r>
      <w:r>
        <w:t xml:space="preserve"> </w:t>
      </w:r>
      <w:r>
        <w:t xml:space="preserve">For every protein we performed leave-one-out prediction: its annotation was</w:t>
      </w:r>
      <w:r>
        <w:t xml:space="preserve"> </w:t>
      </w:r>
      <w:r>
        <w:t xml:space="preserve">hidden and its function was predicted from the EC number of its single best hit among all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proteins, computed two ways — (i) by TM-align structural similarity (the pipeline’s method) and (ii) by</w:t>
      </w:r>
      <w:r>
        <w:t xml:space="preserve"> </w:t>
      </w:r>
      <w:r>
        <w:t xml:space="preserve">a sequence baseline (local pairwise identity, BLOSUM62). Predictions were scored by EC agreement at each</w:t>
      </w:r>
      <w:r>
        <w:t xml:space="preserve"> </w:t>
      </w:r>
      <w:r>
        <w:t xml:space="preserve">level (1 = class … 4 = exact reaction). This isolates the effect of the comparison method, since both</w:t>
      </w:r>
      <w:r>
        <w:t xml:space="preserve"> </w:t>
      </w:r>
      <w:r>
        <w:t xml:space="preserve">operate on the identical set. Full code and the exact accession list are in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.</w:t>
      </w:r>
    </w:p>
    <w:bookmarkEnd w:id="29"/>
    <w:bookmarkStart w:id="30" w:name="X0678a78b1f556c857954555e23544fe8630b298"/>
    <w:p>
      <w:pPr>
        <w:pStyle w:val="Heading3"/>
      </w:pPr>
      <w:r>
        <w:t xml:space="preserve">4.2 Recovery accuracy and comparison to sequence</w:t>
      </w:r>
    </w:p>
    <w:p>
      <w:pPr>
        <w:pStyle w:val="FirstParagraph"/>
      </w:pPr>
      <w:r>
        <w:t xml:space="preserve">Structure-based recovery assigned the</w:t>
      </w:r>
      <w:r>
        <w:t xml:space="preserve"> </w:t>
      </w:r>
      <w:r>
        <w:rPr>
          <w:b/>
          <w:bCs/>
        </w:rPr>
        <w:t xml:space="preserve">exact four-level EC number</w:t>
      </w:r>
      <w:r>
        <w:t xml:space="preserve"> </w:t>
      </w:r>
      <w:r>
        <w:t xml:space="preserve">correctly for</w:t>
      </w:r>
      <w:r>
        <w:t xml:space="preserve"> </w:t>
      </w:r>
      <w:r>
        <w:rPr>
          <w:b/>
          <w:bCs/>
        </w:rPr>
        <w:t xml:space="preserve">219/227 proteins</w:t>
      </w:r>
      <w:r>
        <w:rPr>
          <w:b/>
          <w:bCs/>
        </w:rPr>
        <w:t xml:space="preserve"> </w:t>
      </w:r>
      <w:r>
        <w:rPr>
          <w:b/>
          <w:bCs/>
        </w:rPr>
        <w:t xml:space="preserve">(96.5 %)</w:t>
      </w:r>
      <w:r>
        <w:t xml:space="preserve">, and was stable across EC levels 1–4 (Figure 3). The simple pairwise sequence-identity</w:t>
      </w:r>
      <w:r>
        <w:t xml:space="preserve"> </w:t>
      </w:r>
      <w:r>
        <w:t xml:space="preserve">baseline was identical at the coarsest level (class, level 1: 96.5 %) but lower at finer levels, falling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93.8 % for the exact reaction</w:t>
      </w:r>
      <w:r>
        <w:t xml:space="preserve"> </w:t>
      </w:r>
      <w:r>
        <w:t xml:space="preserve">(level 4) — so structure was slightly better at pinpointing the</w:t>
      </w:r>
      <w:r>
        <w:t xml:space="preserve"> </w:t>
      </w:r>
      <w:r>
        <w:t xml:space="preserve">specific reaction, while the two methods were comparable overall. We make no claim of a large overall</w:t>
      </w:r>
      <w:r>
        <w:t xml:space="preserve"> </w:t>
      </w:r>
      <w:r>
        <w:t xml:space="preserve">improvement on easy cases, and note that a stronger sequence method (profile/HMM search; Section 6)</w:t>
      </w:r>
      <w:r>
        <w:t xml:space="preserve"> </w:t>
      </w:r>
      <w:r>
        <w:t xml:space="preserve">would likely close even this small gap. The meaningful difference appears elsewhere (Section 4.3).</w:t>
      </w:r>
    </w:p>
    <w:bookmarkEnd w:id="30"/>
    <w:bookmarkStart w:id="31" w:name="X6237b8087aa5f73f462d51c86b4c32b2c42da81"/>
    <w:p>
      <w:pPr>
        <w:pStyle w:val="Heading3"/>
      </w:pPr>
      <w:r>
        <w:t xml:space="preserve">4.3 The value of structure: recovery in the twilight zone</w:t>
      </w:r>
    </w:p>
    <w:p>
      <w:pPr>
        <w:pStyle w:val="FirstParagraph"/>
      </w:pPr>
      <w:r>
        <w:t xml:space="preserve">The methods diverge precisely where they should. Among the 219 correct structural recoveries,</w:t>
      </w:r>
      <w:r>
        <w:t xml:space="preserve"> 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(11 %) occurred at below 30 % sequence identity to the matched protein</w:t>
      </w:r>
      <w:r>
        <w:t xml:space="preserve"> </w:t>
      </w:r>
      <w:r>
        <w:t xml:space="preserve">(Figure 4) — the regime in</w:t>
      </w:r>
      <w:r>
        <w:t xml:space="preserve"> </w:t>
      </w:r>
      <w:r>
        <w:t xml:space="preserve">which sequence homology becomes unreliable [2]. These include metallo-β-lactamases (VIM-1/NDM-1,</w:t>
      </w:r>
      <w:r>
        <w:t xml:space="preserve"> </w:t>
      </w:r>
      <w:r>
        <w:t xml:space="preserve">~24 % identity), a glutathione S-transferase (~12 %), an aspartate aminotransferase (~13 %), and — most</w:t>
      </w:r>
      <w:r>
        <w:t xml:space="preserve"> </w:t>
      </w:r>
      <w:r>
        <w:t xml:space="preserve">strikingly — a triacylglycerol lipase, an alanine racemase and a dye-decolorizing peroxidase recovered</w:t>
      </w:r>
      <w:r>
        <w:t xml:space="preserve"> </w:t>
      </w:r>
      <w:r>
        <w:t xml:space="preserve">correctly at</w:t>
      </w:r>
      <w:r>
        <w:t xml:space="preserve"> </w:t>
      </w:r>
      <w:r>
        <w:rPr>
          <w:b/>
          <w:bCs/>
        </w:rPr>
        <w:t xml:space="preserve">3–5 % identity</w:t>
      </w:r>
      <w:r>
        <w:t xml:space="preserve">. In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of these low-identity cases the sequence baseline’s top hit</w:t>
      </w:r>
      <w:r>
        <w:t xml:space="preserve"> </w:t>
      </w:r>
      <w:r>
        <w:t xml:space="preserve">was incorrect while the structural top hit was correct (the lipase, the racemase, the peroxidase, the</w:t>
      </w:r>
      <w:r>
        <w:t xml:space="preserve"> </w:t>
      </w:r>
      <w:r>
        <w:t xml:space="preserve">glutathione S-transferase and the aminotransferase) — direct examples of structure succeeding where a</w:t>
      </w:r>
      <w:r>
        <w:t xml:space="preserve"> </w:t>
      </w:r>
      <w:r>
        <w:t xml:space="preserve">pairwise sequence comparison fails. Across the whole benchmark there was</w:t>
      </w:r>
      <w:r>
        <w:t xml:space="preserve"> </w:t>
      </w:r>
      <w:r>
        <w:rPr>
          <w:b/>
          <w:bCs/>
        </w:rPr>
        <w:t xml:space="preserve">no case</w:t>
      </w:r>
      <w:r>
        <w:t xml:space="preserve"> </w:t>
      </w:r>
      <w:r>
        <w:t xml:space="preserve">in which the</w:t>
      </w:r>
      <w:r>
        <w:t xml:space="preserve"> </w:t>
      </w:r>
      <w:r>
        <w:t xml:space="preserve">sequence baseline recovered the correct function (to ≥ 3 EC levels) and structure did not.</w:t>
      </w:r>
    </w:p>
    <w:bookmarkEnd w:id="31"/>
    <w:bookmarkStart w:id="32" w:name="calibration-of-the-tm-score-threshold"/>
    <w:p>
      <w:pPr>
        <w:pStyle w:val="Heading3"/>
      </w:pPr>
      <w:r>
        <w:t xml:space="preserve">4.4 Calibration of the TM-score threshold</w:t>
      </w:r>
    </w:p>
    <w:p>
      <w:pPr>
        <w:pStyle w:val="FirstParagraph"/>
      </w:pPr>
      <w:r>
        <w:t xml:space="preserve">Precision as a function of the TM-score acceptance threshold (Figure 5) supports the default cutoff of</w:t>
      </w:r>
      <w:r>
        <w:t xml:space="preserve"> </w:t>
      </w:r>
      <w:r>
        <w:t xml:space="preserve">0.5: at TM ≥ 0.5, precision for ≥3-level EC agreement was</w:t>
      </w:r>
      <w:r>
        <w:t xml:space="preserve"> </w:t>
      </w:r>
      <w:r>
        <w:rPr>
          <w:b/>
          <w:bCs/>
        </w:rPr>
        <w:t xml:space="preserve">0.982 (219 of 223 accepted hits correct)</w:t>
      </w:r>
      <w:r>
        <w:t xml:space="preserve"> </w:t>
      </w:r>
      <w:r>
        <w:t xml:space="preserve">at 98.2 % coverage; raising the threshold to 0.75 gave</w:t>
      </w:r>
      <w:r>
        <w:t xml:space="preserve"> </w:t>
      </w:r>
      <w:r>
        <w:rPr>
          <w:b/>
          <w:bCs/>
        </w:rPr>
        <w:t xml:space="preserve">100 % precision</w:t>
      </w:r>
      <w:r>
        <w:t xml:space="preserve"> </w:t>
      </w:r>
      <w:r>
        <w:t xml:space="preserve">at 95.2 % coverage. The four</w:t>
      </w:r>
      <w:r>
        <w:t xml:space="preserve"> </w:t>
      </w:r>
      <w:r>
        <w:t xml:space="preserve">false positives at the default threshold are instructive rather than random — each is a genuine case of</w:t>
      </w:r>
      <w:r>
        <w:t xml:space="preserve"> </w:t>
      </w:r>
      <w:r>
        <w:t xml:space="preserve">shared fold architecture without shared function: a mutual confusion between a 94-residue</w:t>
      </w:r>
      <w:r>
        <w:t xml:space="preserve"> </w:t>
      </w:r>
      <w:r>
        <w:t xml:space="preserve">pyrimidine/purine nucleoside phosphorylase and a glucose-6-phosphate isomerase (TM 0.74), a PLP-fold</w:t>
      </w:r>
      <w:r>
        <w:t xml:space="preserve"> </w:t>
      </w:r>
      <w:r>
        <w:t xml:space="preserve">alanine racemase matched to an aspartate aminotransferase, and a microsomal (MAPEG-fold) prostaglandin</w:t>
      </w:r>
      <w:r>
        <w:t xml:space="preserve"> </w:t>
      </w:r>
      <w:r>
        <w:t xml:space="preserve">E synthase. High structural scores reflect fold identity, which usually but not always implies</w:t>
      </w:r>
      <w:r>
        <w:t xml:space="preserve"> </w:t>
      </w:r>
      <w:r>
        <w:t xml:space="preserve">functional identity.</w:t>
      </w:r>
    </w:p>
    <w:bookmarkEnd w:id="32"/>
    <w:bookmarkStart w:id="33" w:name="instructive-failure-modes"/>
    <w:p>
      <w:pPr>
        <w:pStyle w:val="Heading3"/>
      </w:pPr>
      <w:r>
        <w:t xml:space="preserve">4.5 Instructive failure modes</w:t>
      </w:r>
    </w:p>
    <w:p>
      <w:pPr>
        <w:pStyle w:val="FirstParagraph"/>
      </w:pPr>
      <w:r>
        <w:t xml:space="preserve">Of the eight proteins not correctly recovered,</w:t>
      </w:r>
      <w:r>
        <w:t xml:space="preserve"> </w:t>
      </w:r>
      <w:r>
        <w:rPr>
          <w:b/>
          <w:bCs/>
        </w:rPr>
        <w:t xml:space="preserve">four had a best structural score below the 0.5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and were therefore correctly rejected rather than misassigned</w:t>
      </w:r>
      <w:r>
        <w:t xml:space="preserve">; the other four are the</w:t>
      </w:r>
      <w:r>
        <w:t xml:space="preserve"> </w:t>
      </w:r>
      <w:r>
        <w:t xml:space="preserve">false positives above. The rejected cases are all atypical members whose fold differs from the rest of</w:t>
      </w:r>
      <w:r>
        <w:t xml:space="preserve"> </w:t>
      </w:r>
      <w:r>
        <w:t xml:space="preserve">their EC family — a carboxysomal carbonic anhydrase (CsoSCA), which adopts a fold distinct from the</w:t>
      </w:r>
      <w:r>
        <w:t xml:space="preserve"> </w:t>
      </w:r>
      <w:r>
        <w:t xml:space="preserve">α-carbonic anhydrases; a lanthionine-synthetase-like protein (LANCL1) annotated as a glutathione</w:t>
      </w:r>
      <w:r>
        <w:t xml:space="preserve"> </w:t>
      </w:r>
      <w:r>
        <w:t xml:space="preserve">transferase but not sharing the GST fold; and proteins carrying secondary EC labels on a different</w:t>
      </w:r>
      <w:r>
        <w:t xml:space="preserve"> </w:t>
      </w:r>
      <w:r>
        <w:t xml:space="preserve">scaffold (e.g. a peptidoglycan-editing factor also annotated as a purine nucleoside phosphorylase). This</w:t>
      </w:r>
      <w:r>
        <w:t xml:space="preserve"> </w:t>
      </w:r>
      <w:r>
        <w:t xml:space="preserve">behaviour is desirable: the confidence threshold converts many fold-degeneracy cases into abstentions</w:t>
      </w:r>
      <w:r>
        <w:t xml:space="preserve"> </w:t>
      </w:r>
      <w:r>
        <w:t xml:space="preserve">rather than wrong high-confidence calls, exactly as the pipeline’s filtering and ranking intend.</w:t>
      </w:r>
    </w:p>
    <w:bookmarkEnd w:id="33"/>
    <w:bookmarkStart w:id="34" w:name="X77b3583a237dcdc2c17a8b2b6f7eeb52c431ada"/>
    <w:p>
      <w:pPr>
        <w:pStyle w:val="Heading3"/>
      </w:pPr>
      <w:r>
        <w:t xml:space="preserve">4.6 Robustness of the composite ranking to the weights</w:t>
      </w:r>
    </w:p>
    <w:p>
      <w:pPr>
        <w:pStyle w:val="FirstParagraph"/>
      </w:pPr>
      <w:r>
        <w:t xml:space="preserve">The composite score combines structural similarity, model confidence and pocket quality with default</w:t>
      </w:r>
      <w:r>
        <w:t xml:space="preserve"> </w:t>
      </w:r>
      <w:r>
        <w:t xml:space="preserve">weights (0.5, 0.2, 0.3); a reviewer will reasonably ask whether the ranking depends on those particular</w:t>
      </w:r>
      <w:r>
        <w:t xml:space="preserve"> </w:t>
      </w:r>
      <w:r>
        <w:t xml:space="preserve">numbers. To test this we scored a realistic pool of 40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rescue candidates (structural-</w:t>
      </w:r>
      <w:r>
        <w:t xml:space="preserve"> </w:t>
      </w:r>
      <w:r>
        <w:t xml:space="preserve">similarity scores spanning 0.45–0.84) and re-ranked them under many weight vectors (Section 2.10;</w:t>
      </w:r>
      <w:r>
        <w:t xml:space="preserve"> </w:t>
      </w:r>
      <w:r>
        <w:t xml:space="preserve">Figure 6). Within a reasonable neighbourhood of the default — structure kept dominant, each weight</w:t>
      </w:r>
      <w:r>
        <w:t xml:space="preserve"> </w:t>
      </w:r>
      <w:r>
        <w:t xml:space="preserve">varied by up to ±0.1 — the ranking was essentially unchanged: Kendall’s τ against the default ranking</w:t>
      </w:r>
      <w:r>
        <w:t xml:space="preserve"> </w:t>
      </w:r>
      <w:r>
        <w:t xml:space="preserve">had a</w:t>
      </w:r>
      <w:r>
        <w:t xml:space="preserve"> </w:t>
      </w:r>
      <w:r>
        <w:rPr>
          <w:b/>
          <w:bCs/>
        </w:rPr>
        <w:t xml:space="preserve">median of 0.98 (minimum 0.95; all 61 weightings above 0.9)</w:t>
      </w:r>
      <w:r>
        <w:t xml:space="preserve">, and the top-10 candidates were</w:t>
      </w:r>
      <w:r>
        <w:t xml:space="preserve"> </w:t>
      </w:r>
      <w:r>
        <w:t xml:space="preserve">identical for the majority of weightings (median top-10 Jaccard 1.0). Even under an adversarial stress</w:t>
      </w:r>
      <w:r>
        <w:t xml:space="preserve"> </w:t>
      </w:r>
      <w:r>
        <w:t xml:space="preserve">test over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weight simplex (171 vectors, including weightings that all but ignore structure),</w:t>
      </w:r>
      <w:r>
        <w:t xml:space="preserve"> </w:t>
      </w:r>
      <w:r>
        <w:t xml:space="preserve">the median τ remained 0.91. Candidate rankings are therefore driven by the data, not by the specific</w:t>
      </w:r>
      <w:r>
        <w:t xml:space="preserve"> </w:t>
      </w:r>
      <w:r>
        <w:t xml:space="preserve">weights: the weights tune emphasis, not outcome. (Consistent with this, the geometric cavity score has</w:t>
      </w:r>
      <w:r>
        <w:t xml:space="preserve"> </w:t>
      </w:r>
      <w:r>
        <w:t xml:space="preserve">limited dynamic range across well-folded proteins — Section 6 — so most of the ranking signal comes from</w:t>
      </w:r>
      <w:r>
        <w:t xml:space="preserve"> </w:t>
      </w:r>
      <w:r>
        <w:t xml:space="preserve">structural similarity and model confidence regardless.)</w:t>
      </w:r>
    </w:p>
    <w:bookmarkEnd w:id="34"/>
    <w:bookmarkStart w:id="35" w:name="summary"/>
    <w:p>
      <w:pPr>
        <w:pStyle w:val="Heading3"/>
      </w:pPr>
      <w:r>
        <w:t xml:space="preserve">4.7 Summary</w:t>
      </w:r>
    </w:p>
    <w:p>
      <w:pPr>
        <w:pStyle w:val="FirstParagraph"/>
      </w:pPr>
      <w:r>
        <w:t xml:space="preserve">On a labelled benchmark of 227 enzymes across 29 families and six classes the pipeline recovers exact</w:t>
      </w:r>
      <w:r>
        <w:t xml:space="preserve"> </w:t>
      </w:r>
      <w:r>
        <w:t xml:space="preserve">enzyme function in 96.5 % of leave-one-out tests. It matched a simple pairwise sequence-identity</w:t>
      </w:r>
      <w:r>
        <w:t xml:space="preserve"> </w:t>
      </w:r>
      <w:r>
        <w:t xml:space="preserve">baseline overall, was slightly better at pinpointing the exact reaction, and demonstrated clear</w:t>
      </w:r>
      <w:r>
        <w:t xml:space="preserve"> </w:t>
      </w:r>
      <w:r>
        <w:t xml:space="preserve">advantages for several remote-homology cases in the low-identity twilight zone where pairwise sequence</w:t>
      </w:r>
      <w:r>
        <w:t xml:space="preserve"> </w:t>
      </w:r>
      <w:r>
        <w:t xml:space="preserve">comparison is unreliable — while its calibrated threshold keeps precision high (0.982 at TM ≥ 0.5) and</w:t>
      </w:r>
      <w:r>
        <w:t xml:space="preserve"> </w:t>
      </w:r>
      <w:r>
        <w:t xml:space="preserve">its failures are dominated by the well-understood fold-degeneracy of the EC system, most of which the</w:t>
      </w:r>
      <w:r>
        <w:t xml:space="preserve"> </w:t>
      </w:r>
      <w:r>
        <w:t xml:space="preserve">threshold turns into abstentions rather than errors. These are quantitative results the pilot alone could not provide; we</w:t>
      </w:r>
      <w:r>
        <w:t xml:space="preserve"> </w:t>
      </w:r>
      <w:r>
        <w:t xml:space="preserve">emphasise that the sequence comparator here is a deliberately simple pairwise baseline, not a</w:t>
      </w:r>
      <w:r>
        <w:t xml:space="preserve"> </w:t>
      </w:r>
      <w:r>
        <w:t xml:space="preserve">profile/HMM method.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This work demonstrates that the two ingredients underlying modern structural bioinformatics — a</w:t>
      </w:r>
      <w:r>
        <w:t xml:space="preserve"> </w:t>
      </w:r>
      <w:r>
        <w:t xml:space="preserve">comprehensive database of predicted structures and a reliable structural aligner — are individually</w:t>
      </w:r>
      <w:r>
        <w:t xml:space="preserve"> </w:t>
      </w:r>
      <w:r>
        <w:t xml:space="preserve">lightweight enough to be combined into a functioning function-annotation pipeline on a personal</w:t>
      </w:r>
      <w:r>
        <w:t xml:space="preserve"> </w:t>
      </w:r>
      <w:r>
        <w:t xml:space="preserve">computer. By consuming pre-computed AlphaFold models rather than predicting structures, the compute cost</w:t>
      </w:r>
      <w:r>
        <w:t xml:space="preserve"> </w:t>
      </w:r>
      <w:r>
        <w:t xml:space="preserve">collapses to that of pairwise structural alignment, which TM-align performs exactly and without any</w:t>
      </w:r>
      <w:r>
        <w:t xml:space="preserve"> </w:t>
      </w:r>
      <w:r>
        <w:t xml:space="preserve">database-building step.</w:t>
      </w:r>
    </w:p>
    <w:p>
      <w:pPr>
        <w:pStyle w:val="BodyText"/>
      </w:pPr>
      <w:r>
        <w:t xml:space="preserve">The pilot results are encouraging in a specific, limited sense: the method recovered fold-level matches</w:t>
      </w:r>
      <w:r>
        <w:t xml:space="preserve"> </w:t>
      </w:r>
      <w:r>
        <w:t xml:space="preserve">that are</w:t>
      </w:r>
      <w:r>
        <w:t xml:space="preserve"> </w:t>
      </w:r>
      <w:r>
        <w:rPr>
          <w:i/>
          <w:iCs/>
        </w:rPr>
        <w:t xml:space="preserve">coherent with independent evidence</w:t>
      </w:r>
      <w:r>
        <w:t xml:space="preserve"> </w:t>
      </w:r>
      <w:r>
        <w:t xml:space="preserve">(the EC-class agreement for P9WIT1 and O08343) and, in one</w:t>
      </w:r>
      <w:r>
        <w:t xml:space="preserve"> </w:t>
      </w:r>
      <w:r>
        <w:t xml:space="preserve">case (P9WQ67), generated a functional hypothesis where sequence analysis had produced none. This is</w:t>
      </w:r>
      <w:r>
        <w:t xml:space="preserve"> </w:t>
      </w:r>
      <w:r>
        <w:t xml:space="preserve">precisely the behaviour expected of a useful triage tool — it should confirm and sharpen weak prior</w:t>
      </w:r>
      <w:r>
        <w:t xml:space="preserve"> </w:t>
      </w:r>
      <w:r>
        <w:t xml:space="preserve">signals and occasionally surface entirely new ones.</w:t>
      </w:r>
    </w:p>
    <w:p>
      <w:pPr>
        <w:pStyle w:val="BodyText"/>
      </w:pPr>
      <w:r>
        <w:t xml:space="preserve">The design also makes the speed/scale trade-off explicit and pedagogically useful. TM-align’s</w:t>
      </w:r>
      <w:r>
        <w:t xml:space="preserve"> </w:t>
      </w:r>
      <w:r>
        <w:t xml:space="preserve">exhaustive, exact alignment is ideal for a curated reference set on a laptop but does not scale to</w:t>
      </w:r>
      <w:r>
        <w:t xml:space="preserve"> </w:t>
      </w:r>
      <w:r>
        <w:t xml:space="preserve">searching millions of targets; Foldseek’s</w:t>
      </w:r>
      <w:r>
        <w:t xml:space="preserve"> </w:t>
      </w:r>
      <w:r>
        <w:rPr>
          <w:i/>
          <w:iCs/>
        </w:rPr>
        <w:t xml:space="preserve">k</w:t>
      </w:r>
      <w:r>
        <w:t xml:space="preserve">-mer-based structural search was engineered precisely for</w:t>
      </w:r>
      <w:r>
        <w:t xml:space="preserve"> </w:t>
      </w:r>
      <w:r>
        <w:t xml:space="preserve">that regime [5]. Because both are exposed as interchangeable back-ends, a user can prototype on a laptop</w:t>
      </w:r>
      <w:r>
        <w:t xml:space="preserve"> </w:t>
      </w:r>
      <w:r>
        <w:t xml:space="preserve">and later scale the identical analysis to a whole-proteome, whole-PDB search on a Linux server by</w:t>
      </w:r>
      <w:r>
        <w:t xml:space="preserve"> </w:t>
      </w:r>
      <w:r>
        <w:t xml:space="preserve">changing one configuration value. The pocket stage mirrors this: a transparent geometric detector for</w:t>
      </w:r>
      <w:r>
        <w:t xml:space="preserve"> </w:t>
      </w:r>
      <w:r>
        <w:t xml:space="preserve">laptop use, or the trained fpocket tool [11] where available.</w:t>
      </w:r>
    </w:p>
    <w:p>
      <w:pPr>
        <w:pStyle w:val="BodyText"/>
      </w:pPr>
      <w:r>
        <w:t xml:space="preserve">Compared with sequence-based annotation transfer, the structural approach’s advantage is its reach into</w:t>
      </w:r>
      <w:r>
        <w:t xml:space="preserve"> </w:t>
      </w:r>
      <w:r>
        <w:t xml:space="preserve">the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of low sequence identity [2]; its disadvantage is that fold similarity does not</w:t>
      </w:r>
      <w:r>
        <w:t xml:space="preserve"> </w:t>
      </w:r>
      <w:r>
        <w:t xml:space="preserve">guarantee identical function (convergent folds and moonlighting proteins exist), which is why every</w:t>
      </w:r>
      <w:r>
        <w:t xml:space="preserve"> </w:t>
      </w:r>
      <w:r>
        <w:t xml:space="preserve">output is framed as a hypothesis linked to its supporting evidence rather than a definitive assignment.</w:t>
      </w:r>
    </w:p>
    <w:p>
      <w:r>
        <w:pict>
          <v:rect style="width:0;height:1.5pt" o:hralign="center" o:hrstd="t" o:hr="t"/>
        </w:pict>
      </w:r>
    </w:p>
    <w:bookmarkEnd w:id="37"/>
    <w:bookmarkStart w:id="38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Several limitations bound the interpretation of these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Predictions are hypotheses.</w:t>
      </w:r>
      <w:r>
        <w:t xml:space="preserve"> </w:t>
      </w:r>
      <w:r>
        <w:t xml:space="preserve">A structural match proposes a possible function; it is not</w:t>
      </w:r>
      <w:r>
        <w:t xml:space="preserve"> </w:t>
      </w:r>
      <w:r>
        <w:t xml:space="preserve">experimental proof. AlphaFold models are themselves predictions, and low-pLDDT regions are</w:t>
      </w:r>
      <w:r>
        <w:t xml:space="preserve"> </w:t>
      </w:r>
      <w:r>
        <w:t xml:space="preserve">unreliable. None of the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assignments has been experimentally validated. AlphaFold</w:t>
      </w:r>
      <w:r>
        <w:t xml:space="preserve"> </w:t>
      </w:r>
      <w:r>
        <w:t xml:space="preserve">data are explicitly not for clinical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 of the benchmark.</w:t>
      </w:r>
      <w:r>
        <w:t xml:space="preserve"> </w:t>
      </w:r>
      <w:r>
        <w:t xml:space="preserve">Validation (Section 4) was performed on 227 enzymes across 29 EC</w:t>
      </w:r>
      <w:r>
        <w:t xml:space="preserve"> </w:t>
      </w:r>
      <w:r>
        <w:t xml:space="preserve">families and six enzyme classes; while a few hundred proteins is a reasonable scale, accuracy on a</w:t>
      </w:r>
      <w:r>
        <w:t xml:space="preserve"> </w:t>
      </w:r>
      <w:r>
        <w:t xml:space="preserve">curated enzyme set is still an optimistic estimate of performance on the harder, more heterogeneous</w:t>
      </w:r>
      <w:r>
        <w:t xml:space="preserve"> </w:t>
      </w:r>
      <w:r>
        <w:t xml:space="preserve">dark proteome. The length cap (80–520 residues, imposed to keep exhaustive TM-align tractable) also</w:t>
      </w:r>
      <w:r>
        <w:t xml:space="preserve"> </w:t>
      </w:r>
      <w:r>
        <w:t xml:space="preserve">excludes the largest enzymes. The benchmark measures EC-number recovery, a proxy for function, and does</w:t>
      </w:r>
      <w:r>
        <w:t xml:space="preserve"> </w:t>
      </w:r>
      <w:r>
        <w:t xml:space="preserve">not capture non-enzymatic function, multi-domain proteins, or moonlighting activities. Larger</w:t>
      </w:r>
      <w:r>
        <w:t xml:space="preserve"> </w:t>
      </w:r>
      <w:r>
        <w:t xml:space="preserve">benchmarks — e.g. the full SCOPe/CATH superfamily hierarchy, or held-out proteins characterised after</w:t>
      </w:r>
      <w:r>
        <w:t xml:space="preserve"> </w:t>
      </w:r>
      <w:r>
        <w:t xml:space="preserve">a fixed AlphaFold DB release — and a whole-proteome application remain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Comparison baseline.</w:t>
      </w:r>
      <w:r>
        <w:t xml:space="preserve"> </w:t>
      </w:r>
      <w:r>
        <w:t xml:space="preserve">We compared against a local sequence-identity baseline, the most accessible</w:t>
      </w:r>
      <w:r>
        <w:t xml:space="preserve"> </w:t>
      </w:r>
      <w:r>
        <w:t xml:space="preserve">sequence method; a comprehensive evaluation should also compare against profile/HMM search</w:t>
      </w:r>
      <w:r>
        <w:t xml:space="preserve"> </w:t>
      </w:r>
      <w:r>
        <w:t xml:space="preserve">(HMMER/InterProScan), the Foldseek back-end, and learned function predictors (e.g. DeepFRI),</w:t>
      </w:r>
      <w:r>
        <w:t xml:space="preserve"> </w:t>
      </w:r>
      <w:r>
        <w:t xml:space="preserve">which was beyond the scope of this laptop-based study.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Reference-library bias.</w:t>
      </w:r>
      <w:r>
        <w:t xml:space="preserve"> </w:t>
      </w:r>
      <w:r>
        <w:t xml:space="preserve">Coverage and ranking depend on which characterised proteins are in the</w:t>
      </w:r>
      <w:r>
        <w:t xml:space="preserve"> </w:t>
      </w:r>
      <w:r>
        <w:t xml:space="preserve">reference set; a small or skewed library will miss functions it does not contain.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reliability at short length.</w:t>
      </w:r>
      <w:r>
        <w:t xml:space="preserve"> </w:t>
      </w:r>
      <w:r>
        <w:t xml:space="preserve">TM-score is less reliable for very short proteins (illustrated</w:t>
      </w:r>
      <w:r>
        <w:t xml:space="preserve"> </w:t>
      </w:r>
      <w:r>
        <w:t xml:space="preserve">by the 50-residue P9WJG7); length and pLDDT should be weighed alongside TM-score.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cavity score.</w:t>
      </w:r>
      <w:r>
        <w:t xml:space="preserve"> </w:t>
      </w:r>
      <w:r>
        <w:t xml:space="preserve">The pocket score is an unsupervised geometric estimate, not a validated</w:t>
      </w:r>
      <w:r>
        <w:t xml:space="preserve"> </w:t>
      </w:r>
      <w:r>
        <w:t xml:space="preserve">druggability prediction, and should not be interpreted as the latter. It also has limited dynamic</w:t>
      </w:r>
      <w:r>
        <w:t xml:space="preserve"> </w:t>
      </w:r>
      <w:r>
        <w:t xml:space="preserve">range across well-folded proteins (most globular enzymes score similarly), so it contributes only</w:t>
      </w:r>
      <w:r>
        <w:t xml:space="preserve"> </w:t>
      </w:r>
      <w:r>
        <w:t xml:space="preserve">weakly to the composite ranking; improving pocket scoring (or substituting fpocket) is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Fold ≠ function.</w:t>
      </w:r>
      <w:r>
        <w:t xml:space="preserve"> </w:t>
      </w:r>
      <w:r>
        <w:t xml:space="preserve">Structural similarity can arise without functional identity, as the benchmark’s</w:t>
      </w:r>
      <w:r>
        <w:t xml:space="preserve"> </w:t>
      </w:r>
      <w:r>
        <w:t xml:space="preserve">TIM-barrel false positive shows. The functional-residue verification of Sections 2.9/3.6 mitigates</w:t>
      </w:r>
      <w:r>
        <w:t xml:space="preserve"> </w:t>
      </w:r>
      <w:r>
        <w:t xml:space="preserve">this by checking catalytic and metal/ligand-binding residues, and is provided as a standard step;</w:t>
      </w:r>
      <w:r>
        <w:t xml:space="preserve"> </w:t>
      </w:r>
      <w:r>
        <w:t xml:space="preserve">however, we have not yet benchmarked its accuracy systematically, and the Cα-distance mapping it uses</w:t>
      </w:r>
      <w:r>
        <w:t xml:space="preserve"> </w:t>
      </w:r>
      <w:r>
        <w:t xml:space="preserve">is a coarse proxy for full active-site comparison.</w:t>
      </w:r>
    </w:p>
    <w:p>
      <w:r>
        <w:pict>
          <v:rect style="width:0;height:1.5pt" o:hralign="center" o:hrstd="t" o:hr="t"/>
        </w:pict>
      </w:r>
    </w:p>
    <w:bookmarkEnd w:id="38"/>
    <w:bookmarkStart w:id="39" w:name="conclusions-and-future-work"/>
    <w:p>
      <w:pPr>
        <w:pStyle w:val="Heading2"/>
      </w:pPr>
      <w:r>
        <w:t xml:space="preserve">7. Conclusions and future work</w:t>
      </w:r>
    </w:p>
    <w:p>
      <w:pPr>
        <w:pStyle w:val="FirstParagraph"/>
      </w:pPr>
      <w:r>
        <w:t xml:space="preserve">We have described and released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 reproducible, laptop-scale pipeline that</w:t>
      </w:r>
      <w:r>
        <w:t xml:space="preserve"> </w:t>
      </w:r>
      <w:r>
        <w:t xml:space="preserve">converts pre-computed AlphaFold structures into ranked, evidence-linked functional hypotheses for</w:t>
      </w:r>
      <w:r>
        <w:t xml:space="preserve"> </w:t>
      </w:r>
      <w:r>
        <w:t xml:space="preserve">proteins that sequence-based methods leave unannotated, together with an interactive viewer. A pilot on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recovered four fold-level candidate assignments, three consistent with prior</w:t>
      </w:r>
      <w:r>
        <w:t xml:space="preserve"> </w:t>
      </w:r>
      <w:r>
        <w:t xml:space="preserve">enzyme-class inference and one a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hypothesis. A controlled leave-one-out benchmark then</w:t>
      </w:r>
      <w:r>
        <w:t xml:space="preserve"> </w:t>
      </w:r>
      <w:r>
        <w:t xml:space="preserve">quantified the approach on 227 enzymes across 29 families and six classes: 96.5 % exact-EC recovery,</w:t>
      </w:r>
      <w:r>
        <w:t xml:space="preserve"> </w:t>
      </w:r>
      <w:r>
        <w:t xml:space="preserve">matching a simple pairwise sequence-identity baseline overall (and exceeding it at the exact-reaction</w:t>
      </w:r>
      <w:r>
        <w:t xml:space="preserve"> </w:t>
      </w:r>
      <w:r>
        <w:t xml:space="preserve">level) while showing clear advantages for several remote-homology cases in the low-identity twilight</w:t>
      </w:r>
      <w:r>
        <w:t xml:space="preserve"> </w:t>
      </w:r>
      <w:r>
        <w:t xml:space="preserve">zone, with a well-calibrated confidence threshold (precision 0.982 at TM ≥ 0.5).</w:t>
      </w:r>
    </w:p>
    <w:p>
      <w:pPr>
        <w:pStyle w:val="BodyText"/>
      </w:pPr>
      <w:r>
        <w:t xml:space="preserve">Natural extensions include: (i) a whole-proteome run with the Foldseek back-end against the full PDB and</w:t>
      </w:r>
      <w:r>
        <w:t xml:space="preserve"> </w:t>
      </w:r>
      <w:r>
        <w:t xml:space="preserve">Swiss-Prot; (ii) a larger, harder benchmark (e.g. CATH/SCOPe superfamilies, time-split characterised</w:t>
      </w:r>
      <w:r>
        <w:t xml:space="preserve"> </w:t>
      </w:r>
      <w:r>
        <w:t xml:space="preserve">proteins) and comparison against profile-HMM and learned function predictors; (iii) automatic transfer</w:t>
      </w:r>
      <w:r>
        <w:t xml:space="preserve"> </w:t>
      </w:r>
      <w:r>
        <w:t xml:space="preserve">and geometric verification of catalytic residues from the matched reference; (iv) incorporation of</w:t>
      </w:r>
      <w:r>
        <w:t xml:space="preserve"> </w:t>
      </w:r>
      <w:r>
        <w:t xml:space="preserve">AlphaFold’s predicted aligned error (PAE) for domain-aware search; and (v) prioritisation of candidates</w:t>
      </w:r>
      <w:r>
        <w:t xml:space="preserve"> </w:t>
      </w:r>
      <w:r>
        <w:t xml:space="preserve">for experimental validation in collaboration with a wet laboratory.</w:t>
      </w:r>
    </w:p>
    <w:p>
      <w:r>
        <w:pict>
          <v:rect style="width:0;height:1.5pt" o:hralign="center" o:hrstd="t" o:hr="t"/>
        </w:pict>
      </w:r>
    </w:p>
    <w:bookmarkEnd w:id="39"/>
    <w:bookmarkStart w:id="40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configuration, the pilot outputs (ranked candidate list as JSON/CSV, the</w:t>
      </w:r>
      <w:r>
        <w:t xml:space="preserve"> </w:t>
      </w:r>
      <w:r>
        <w:t xml:space="preserve">reference-library manifest, and the functional-residue verification), and the complete validation</w:t>
      </w:r>
      <w:r>
        <w:t xml:space="preserve"> </w:t>
      </w:r>
      <w:r>
        <w:t xml:space="preserve">benchmark (dataset accession list, per-query predictions, metrics, the weight-sensitivity and</w:t>
      </w:r>
      <w:r>
        <w:t xml:space="preserve"> </w:t>
      </w:r>
      <w:r>
        <w:t xml:space="preserve">candidate-pool analyses, and all figure-generating code under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) are available in the project</w:t>
      </w:r>
      <w:r>
        <w:t xml:space="preserve"> </w:t>
      </w:r>
      <w:r>
        <w:t xml:space="preserve">repository. Input structures are freely available from the AlphaFold Protein Structure Database</w:t>
      </w:r>
      <w:r>
        <w:t xml:space="preserve"> </w:t>
      </w:r>
      <w:r>
        <w:t xml:space="preserve">(https://alphafold.ebi.ac.uk) and protein annotations from UniProt (https://www.uniprot.org). The</w:t>
      </w:r>
      <w:r>
        <w:t xml:space="preserve"> </w:t>
      </w:r>
      <w:r>
        <w:t xml:space="preserve">reference-library and benchmark manifests list the exact UniProt accessions used, enabling exact</w:t>
      </w:r>
      <w:r>
        <w:t xml:space="preserve"> </w:t>
      </w:r>
      <w:r>
        <w:t xml:space="preserve">reproduction.</w:t>
      </w:r>
    </w:p>
    <w:p>
      <w:pPr>
        <w:pStyle w:val="BodyText"/>
      </w:pPr>
      <w:r>
        <w:rPr>
          <w:b/>
          <w:bCs/>
        </w:rPr>
        <w:t xml:space="preserve">Software versions:</w:t>
      </w:r>
      <w:r>
        <w:t xml:space="preserve"> </w:t>
      </w:r>
      <w:r>
        <w:t xml:space="preserve">Python 3.12; AlphaFold DB model version 6; tmtools 0.3.0; gemmi ≥ 0.6;</w:t>
      </w:r>
      <w:r>
        <w:t xml:space="preserve"> </w:t>
      </w:r>
      <w:r>
        <w:t xml:space="preserve">NumPy ≥ 1.24; SciPy 1.18; Biopython 1.87; Matplotlib 3.x. Default parameters: mean-pLDDT threshold 70;</w:t>
      </w:r>
      <w:r>
        <w:t xml:space="preserve"> </w:t>
      </w:r>
      <w:r>
        <w:t xml:space="preserve">TM-score threshold 0.5; reference count 120; grid spacing 1.2 Å; PSP threshold 5/7; composite weights</w:t>
      </w:r>
      <w:r>
        <w:t xml:space="preserve"> </w:t>
      </w:r>
      <w:r>
        <w:t xml:space="preserve">(0.5, 0.2, 0.3). Benchmark: 227 enzymes, 29 EC families, classes 1–6, length 80–520 residues.</w:t>
      </w:r>
    </w:p>
    <w:bookmarkEnd w:id="40"/>
    <w:bookmarkStart w:id="4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[Student Name] designed the study, implemented the pipeline, performed the analysis, and wrote the</w:t>
      </w:r>
      <w:r>
        <w:t xml:space="preserve"> </w:t>
      </w:r>
      <w:r>
        <w:t xml:space="preserve">manuscript. [Add supervisor/contributors as appropriate.]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work uses data from the AlphaFold Protein Structure Database (Google DeepMind and EMBL-EBI) and</w:t>
      </w:r>
      <w:r>
        <w:t xml:space="preserve"> </w:t>
      </w:r>
      <w:r>
        <w:t xml:space="preserve">UniProt. [Add mentors, institutions, funding as appropriate.]</w:t>
      </w:r>
    </w:p>
    <w:p>
      <w:r>
        <w:pict>
          <v:rect style="width:0;height:1.5pt" o:hralign="center" o:hrstd="t" o:hr="t"/>
        </w:pict>
      </w:r>
    </w:p>
    <w:bookmarkEnd w:id="43"/>
    <w:bookmarkStart w:id="59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468073"/>
            <wp:effectExtent b="0" l="0" r="0" t="0"/>
            <wp:docPr descr="Pipeline overview" title="" id="45" name="Picture"/>
            <a:graphic>
              <a:graphicData uri="http://schemas.openxmlformats.org/drawingml/2006/picture">
                <pic:pic>
                  <pic:nvPicPr>
                    <pic:cNvPr descr="figures/fig1_pipeli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overview</w:t>
      </w:r>
    </w:p>
    <w:p>
      <w:pPr>
        <w:pStyle w:val="BodyText"/>
      </w:pPr>
      <w:r>
        <w:rPr>
          <w:b/>
          <w:bCs/>
        </w:rPr>
        <w:t xml:space="preserve">Figure 1. Pipeline overview.</w:t>
      </w:r>
      <w:r>
        <w:t xml:space="preserve"> </w:t>
      </w:r>
      <w:r>
        <w:t xml:space="preserve">Six cached stages transform raw AlphaFold models into ranked candidate</w:t>
      </w:r>
      <w:r>
        <w:t xml:space="preserve"> </w:t>
      </w:r>
      <w:r>
        <w:t xml:space="preserve">function assignments: download (AlphaFold DB) → parse (mean pLDDT, sequence) → annotate (UniProt;</w:t>
      </w:r>
      <w:r>
        <w:t xml:space="preserve"> </w:t>
      </w:r>
      <w:r>
        <w:t xml:space="preserve">flag unannotated proteins) → search (TM-align vs. a reference library of known enzymes) → pocket</w:t>
      </w:r>
      <w:r>
        <w:t xml:space="preserve"> </w:t>
      </w:r>
      <w:r>
        <w:t xml:space="preserve">(LIGSITE-style cavity detection) → rank (composite score). The search and pocket stages each have a</w:t>
      </w:r>
      <w:r>
        <w:t xml:space="preserve"> </w:t>
      </w:r>
      <w:r>
        <w:t xml:space="preserve">native laptop back-end (default) and an optional high-performance back-end (Foldseek, fpocket).</w:t>
      </w:r>
    </w:p>
    <w:p>
      <w:pPr>
        <w:pStyle w:val="BodyText"/>
      </w:pPr>
      <w:r>
        <w:rPr>
          <w:b/>
          <w:bCs/>
        </w:rPr>
        <w:t xml:space="preserve">Figure 2. Web viewer.</w:t>
      </w:r>
      <w:r>
        <w:t xml:space="preserve"> </w:t>
      </w:r>
      <w:r>
        <w:t xml:space="preserve">Static browser interface showing the ranked candidate table (left) and, for a</w:t>
      </w:r>
      <w:r>
        <w:t xml:space="preserve"> </w:t>
      </w:r>
      <w:r>
        <w:t xml:space="preserve">selected candidate, its AlphaFold structure coloured by pLDDT together with its best structural match,</w:t>
      </w:r>
      <w:r>
        <w:t xml:space="preserve"> </w:t>
      </w:r>
      <w:r>
        <w:t xml:space="preserve">match confidence, pocket statistics, and per-component scores (right).</w:t>
      </w:r>
      <w:r>
        <w:t xml:space="preserve"> </w:t>
      </w:r>
      <w:r>
        <w:rPr>
          <w:i/>
          <w:iCs/>
        </w:rPr>
        <w:t xml:space="preserve">[Insert screenshot from the running viewer.]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eave-one-out function recovery" title="" id="48" name="Picture"/>
            <a:graphic>
              <a:graphicData uri="http://schemas.openxmlformats.org/drawingml/2006/picture">
                <pic:pic>
                  <pic:nvPicPr>
                    <pic:cNvPr descr="../benchmark/results/figures/fig_ec_accurac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Leave-one-out function recovery</w:t>
      </w:r>
    </w:p>
    <w:p>
      <w:pPr>
        <w:pStyle w:val="BodyText"/>
      </w:pPr>
      <w:r>
        <w:rPr>
          <w:b/>
          <w:bCs/>
        </w:rPr>
        <w:t xml:space="preserve">Figure 3. Leave-one-out function recovery (</w:t>
      </w:r>
      <w:r>
        <w:rPr>
          <w:rStyle w:val="VerbatimChar"/>
          <w:b/>
          <w:bCs/>
        </w:rPr>
        <w:t xml:space="preserve">benchmark/results/figures/fig_ec_accuracy.png</w:t>
      </w:r>
      <w:r>
        <w:rPr>
          <w:b/>
          <w:bCs/>
        </w:rPr>
        <w:t xml:space="preserve">).</w:t>
      </w:r>
      <w:r>
        <w:t xml:space="preserve"> </w:t>
      </w:r>
      <w:r>
        <w:t xml:space="preserve">Top-1</w:t>
      </w:r>
      <w:r>
        <w:t xml:space="preserve"> </w:t>
      </w:r>
      <w:r>
        <w:t xml:space="preserve">EC-number agreement at levels 1–4 for the structural method (TM-align) versus the pairwise</w:t>
      </w:r>
      <w:r>
        <w:t xml:space="preserve"> </w:t>
      </w:r>
      <w:r>
        <w:t xml:space="preserve">sequence-identity baseline, over 227 enzymes in 29 EC families. Structure recovers the exact reaction</w:t>
      </w:r>
      <w:r>
        <w:t xml:space="preserve"> </w:t>
      </w:r>
      <w:r>
        <w:t xml:space="preserve">(level 4) for 96.5 % of proteins, versus 93.8 % for sequence; the two methods are tied at the class</w:t>
      </w:r>
      <w:r>
        <w:t xml:space="preserve"> </w:t>
      </w:r>
      <w:r>
        <w:t xml:space="preserve">level (level 1).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Structure recovers function below the sequence twilight zone" title="" id="51" name="Picture"/>
            <a:graphic>
              <a:graphicData uri="http://schemas.openxmlformats.org/drawingml/2006/picture">
                <pic:pic>
                  <pic:nvPicPr>
                    <pic:cNvPr descr="../benchmark/results/figures/fig_tm_vs_ident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 recovers function below the sequence twilight zone</w:t>
      </w:r>
    </w:p>
    <w:p>
      <w:pPr>
        <w:pStyle w:val="BodyText"/>
      </w:pPr>
      <w:r>
        <w:rPr>
          <w:b/>
          <w:bCs/>
        </w:rPr>
        <w:t xml:space="preserve">Figure 4. Structure recovers function below the sequence twilight zone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benchmark/results/figures/fig_tm_vs_identity.png</w:t>
      </w:r>
      <w:r>
        <w:rPr>
          <w:b/>
          <w:bCs/>
        </w:rPr>
        <w:t xml:space="preserve">).</w:t>
      </w:r>
      <w:r>
        <w:t xml:space="preserve"> </w:t>
      </w:r>
      <w:r>
        <w:t xml:space="preserve">Each point is one protein’s best structural hit,</w:t>
      </w:r>
      <w:r>
        <w:t xml:space="preserve"> </w:t>
      </w:r>
      <w:r>
        <w:t xml:space="preserve">plotted as TM-score against the sequence identity to that hit, coloured by whether the hit’s EC number</w:t>
      </w:r>
      <w:r>
        <w:t xml:space="preserve"> </w:t>
      </w:r>
      <w:r>
        <w:t xml:space="preserve">is correct (≥3 levels). The dashed line marks 30 % identity, below which sequence homology is</w:t>
      </w:r>
      <w:r>
        <w:t xml:space="preserve"> </w:t>
      </w:r>
      <w:r>
        <w:t xml:space="preserve">unreliable; 24 correct recoveries (green) lie to its left, including matches at ~24 % (metallo-</w:t>
      </w:r>
      <w:r>
        <w:t xml:space="preserve"> </w:t>
      </w:r>
      <w:r>
        <w:t xml:space="preserve">β-lactamases) and 3–5 % (a lipase, an alanine racemase and a peroxidase) identity. The high-TM incorrect</w:t>
      </w:r>
      <w:r>
        <w:t xml:space="preserve"> </w:t>
      </w:r>
      <w:r>
        <w:t xml:space="preserve">points (red) are the four fold-degeneracy false positives (e.g. the nucleoside-phosphorylase↔isomerase</w:t>
      </w:r>
      <w:r>
        <w:t xml:space="preserve"> </w:t>
      </w:r>
      <w:r>
        <w:t xml:space="preserve">pair at TM ≈ 0.74).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alibration of the TM-score threshold" title="" id="54" name="Picture"/>
            <a:graphic>
              <a:graphicData uri="http://schemas.openxmlformats.org/drawingml/2006/picture">
                <pic:pic>
                  <pic:nvPicPr>
                    <pic:cNvPr descr="../benchmark/results/figures/fig_precision_threshol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of the TM-score threshold</w:t>
      </w:r>
    </w:p>
    <w:p>
      <w:pPr>
        <w:pStyle w:val="BodyText"/>
      </w:pPr>
      <w:r>
        <w:rPr>
          <w:b/>
          <w:bCs/>
        </w:rPr>
        <w:t xml:space="preserve">Figure 5. Calibration of the TM-score 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benchmark/results/figures/fig_precision_threshold.png</w:t>
      </w:r>
      <w:r>
        <w:rPr>
          <w:b/>
          <w:bCs/>
        </w:rPr>
        <w:t xml:space="preserve">).</w:t>
      </w:r>
      <w:r>
        <w:t xml:space="preserve"> </w:t>
      </w:r>
      <w:r>
        <w:t xml:space="preserve">Precision (fraction of accepted hits with</w:t>
      </w:r>
      <w:r>
        <w:t xml:space="preserve"> </w:t>
      </w:r>
      <w:r>
        <w:t xml:space="preserve">≥3-level EC agreement) and coverage (fraction of proteins accepted) as functions of the TM-score</w:t>
      </w:r>
      <w:r>
        <w:t xml:space="preserve"> </w:t>
      </w:r>
      <w:r>
        <w:t xml:space="preserve">acceptance threshold. The default threshold of 0.5 gives precision 0.982 at 98.2 % coverage; 0.75 gives</w:t>
      </w:r>
      <w:r>
        <w:t xml:space="preserve"> </w:t>
      </w:r>
      <w:r>
        <w:t xml:space="preserve">100 % precision at 95.2 % coverage.</w:t>
      </w:r>
    </w:p>
    <w:p>
      <w:pPr>
        <w:pStyle w:val="CaptionedFigure"/>
      </w:pPr>
      <w:r>
        <w:drawing>
          <wp:inline>
            <wp:extent cx="5334000" cy="2250074"/>
            <wp:effectExtent b="0" l="0" r="0" t="0"/>
            <wp:docPr descr="The candidate ranking is insensitive to the composite weights" title="" id="57" name="Picture"/>
            <a:graphic>
              <a:graphicData uri="http://schemas.openxmlformats.org/drawingml/2006/picture">
                <pic:pic>
                  <pic:nvPicPr>
                    <pic:cNvPr descr="../benchmark/results/figures/fig_weight_sensitivit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candidate ranking is insensitive to the composite weights</w:t>
      </w:r>
    </w:p>
    <w:p>
      <w:pPr>
        <w:pStyle w:val="BodyText"/>
      </w:pPr>
      <w:r>
        <w:rPr>
          <w:b/>
          <w:bCs/>
        </w:rPr>
        <w:t xml:space="preserve">Figure 6. The candidate ranking is insensitive to the composite weights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benchmark/results/figures/fig_weight_sensitivity.png</w:t>
      </w:r>
      <w:r>
        <w:rPr>
          <w:b/>
          <w:bCs/>
        </w:rPr>
        <w:t xml:space="preserve">).</w:t>
      </w:r>
      <w:r>
        <w:t xml:space="preserve"> </w:t>
      </w:r>
      <w:r>
        <w:t xml:space="preserve">Left: distribution of Kendall’s τ between</w:t>
      </w:r>
      <w:r>
        <w:t xml:space="preserve"> </w:t>
      </w:r>
      <w:r>
        <w:t xml:space="preserve">the default-weight ranking and rankings under other weight vectors, for a realistic pool of 40 rescue</w:t>
      </w:r>
      <w:r>
        <w:t xml:space="preserve"> </w:t>
      </w:r>
      <w:r>
        <w:t xml:space="preserve">candidates — within a reasonable neighbourhood of the default (dark bars) τ concentrates near 1.0</w:t>
      </w:r>
      <w:r>
        <w:t xml:space="preserve"> </w:t>
      </w:r>
      <w:r>
        <w:t xml:space="preserve">(median 0.98), and even over the full simplex (light bars) it stays high (median 0.91). Right: τ across</w:t>
      </w:r>
      <w:r>
        <w:t xml:space="preserve"> </w:t>
      </w:r>
      <w:r>
        <w:t xml:space="preserve">the weight simplex (structural-similarity weight vs. pocket-quality weight); the reasonable region</w:t>
      </w:r>
      <w:r>
        <w:t xml:space="preserve"> </w:t>
      </w:r>
      <w:r>
        <w:t xml:space="preserve">(dashed box) around the default (star) is uniformly high.</w:t>
      </w:r>
    </w:p>
    <w:p>
      <w:r>
        <w:pict>
          <v:rect style="width:0;height:1.5pt" o:hralign="center" o:hrstd="t" o:hr="t"/>
        </w:pic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Perdigão N, Heinrich J, Stolte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Unexpected features of the dark proteome.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National Academy of Sciences</w:t>
      </w:r>
      <w:r>
        <w:t xml:space="preserve"> </w:t>
      </w:r>
      <w:r>
        <w:t xml:space="preserve">2015; 112(52):15898–15903.</w:t>
      </w:r>
    </w:p>
    <w:p>
      <w:pPr>
        <w:pStyle w:val="Compact"/>
        <w:numPr>
          <w:ilvl w:val="0"/>
          <w:numId w:val="1004"/>
        </w:numPr>
      </w:pPr>
      <w:r>
        <w:t xml:space="preserve">Illergård K, Ardell DH, Elofsson A. Structure is three to ten times more conserved than sequence — a</w:t>
      </w:r>
      <w:r>
        <w:t xml:space="preserve"> </w:t>
      </w:r>
      <w:r>
        <w:t xml:space="preserve">study of structural response in protein cores.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2009; 77(3):499–508.</w:t>
      </w:r>
    </w:p>
    <w:p>
      <w:pPr>
        <w:pStyle w:val="Compact"/>
        <w:numPr>
          <w:ilvl w:val="0"/>
          <w:numId w:val="1004"/>
        </w:numPr>
      </w:pPr>
      <w:r>
        <w:t xml:space="preserve">Jumper J, Evans R, Pritzel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2021; 596:583–589.</w:t>
      </w:r>
    </w:p>
    <w:p>
      <w:pPr>
        <w:pStyle w:val="Compact"/>
        <w:numPr>
          <w:ilvl w:val="0"/>
          <w:numId w:val="1004"/>
        </w:numPr>
      </w:pPr>
      <w:r>
        <w:t xml:space="preserve">Varadi M, Anyango S, Deshpande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AlphaFold Protein Structure Database: massively expanding</w:t>
      </w:r>
      <w:r>
        <w:t xml:space="preserve"> </w:t>
      </w:r>
      <w:r>
        <w:t xml:space="preserve">the structural coverage of protein-sequence space with high-accuracy models.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2022; 50(D1):D439–D444. (See also the 2024 database update.)</w:t>
      </w:r>
    </w:p>
    <w:p>
      <w:pPr>
        <w:pStyle w:val="Compact"/>
        <w:numPr>
          <w:ilvl w:val="0"/>
          <w:numId w:val="1004"/>
        </w:numPr>
      </w:pPr>
      <w:r>
        <w:t xml:space="preserve">van Kempen M, Kim SS, Tumescheit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Fast and accurate protein structure search with</w:t>
      </w:r>
      <w:r>
        <w:t xml:space="preserve"> </w:t>
      </w:r>
      <w:r>
        <w:t xml:space="preserve">Foldseek.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2024; 42:243–246.</w:t>
      </w:r>
    </w:p>
    <w:p>
      <w:pPr>
        <w:pStyle w:val="Compact"/>
        <w:numPr>
          <w:ilvl w:val="0"/>
          <w:numId w:val="1004"/>
        </w:numPr>
      </w:pPr>
      <w:r>
        <w:t xml:space="preserve">Zhang Y, Skolnick J. TM-align: a protein structure alignment algorithm based on the TM-score.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2005; 33(7):2302–2309.</w:t>
      </w:r>
    </w:p>
    <w:p>
      <w:pPr>
        <w:pStyle w:val="Compact"/>
        <w:numPr>
          <w:ilvl w:val="0"/>
          <w:numId w:val="1004"/>
        </w:numPr>
      </w:pPr>
      <w:r>
        <w:t xml:space="preserve">Zhang Y, Skolnick J. Scoring function for automated assessment of protein structure template quality.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 57(4):702–710.</w:t>
      </w:r>
    </w:p>
    <w:p>
      <w:pPr>
        <w:pStyle w:val="Compact"/>
        <w:numPr>
          <w:ilvl w:val="0"/>
          <w:numId w:val="1004"/>
        </w:numPr>
      </w:pPr>
      <w:r>
        <w:t xml:space="preserve">Wojdyr M. GEMMI: A library for structural biology.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2022;</w:t>
      </w:r>
      <w:r>
        <w:t xml:space="preserve"> </w:t>
      </w:r>
      <w:r>
        <w:t xml:space="preserve">7(73):4200.</w:t>
      </w:r>
    </w:p>
    <w:p>
      <w:pPr>
        <w:pStyle w:val="Compact"/>
        <w:numPr>
          <w:ilvl w:val="0"/>
          <w:numId w:val="1004"/>
        </w:numPr>
      </w:pPr>
      <w:r>
        <w:t xml:space="preserve">The UniProt Consortium. UniProt: the Universal Protein Knowledgebase in 2023.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2023; 51(D1):D523–D531.</w:t>
      </w:r>
    </w:p>
    <w:p>
      <w:pPr>
        <w:pStyle w:val="Compact"/>
        <w:numPr>
          <w:ilvl w:val="0"/>
          <w:numId w:val="1004"/>
        </w:numPr>
      </w:pPr>
      <w:r>
        <w:t xml:space="preserve">Hendlich M, Rippmann F, Barnickel G. LIGSITE: automatic and efficient detection of potential small</w:t>
      </w:r>
      <w:r>
        <w:t xml:space="preserve"> </w:t>
      </w:r>
      <w:r>
        <w:t xml:space="preserve">molecule-binding sites in proteins.</w:t>
      </w:r>
      <w:r>
        <w:t xml:space="preserve"> </w:t>
      </w:r>
      <w:r>
        <w:rPr>
          <w:i/>
          <w:iCs/>
        </w:rPr>
        <w:t xml:space="preserve">Journal of Molecular Graphics and Modelling</w:t>
      </w:r>
      <w:r>
        <w:t xml:space="preserve"> </w:t>
      </w:r>
      <w:r>
        <w:t xml:space="preserve">1997;</w:t>
      </w:r>
      <w:r>
        <w:t xml:space="preserve"> </w:t>
      </w:r>
      <w:r>
        <w:t xml:space="preserve">15(6):359–363.</w:t>
      </w:r>
    </w:p>
    <w:p>
      <w:pPr>
        <w:pStyle w:val="Compact"/>
        <w:numPr>
          <w:ilvl w:val="0"/>
          <w:numId w:val="1004"/>
        </w:numPr>
      </w:pPr>
      <w:r>
        <w:t xml:space="preserve">Le Guilloux V, Schmidtke P, Tufféry P. Fpocket: an open source platform for ligand pocket detection.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2009; 10:168.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on references:</w:t>
      </w:r>
      <w:r>
        <w:t xml:space="preserve"> </w:t>
      </w:r>
      <w:r>
        <w:t xml:space="preserve">citation details should be verified against the primary sources before any formal</w:t>
      </w:r>
      <w:r>
        <w:t xml:space="preserve"> </w:t>
      </w:r>
      <w:r>
        <w:t xml:space="preserve">submission; author lists are abbreviated with</w:t>
      </w:r>
      <w:r>
        <w:t xml:space="preserve"> </w:t>
      </w:r>
      <w:r>
        <w:t xml:space="preserve">“et al.”</w:t>
      </w:r>
      <w:r>
        <w:t xml:space="preserve"> </w:t>
      </w:r>
      <w:r>
        <w:t xml:space="preserve">where appropriate.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Structure-based functional annotation of hypothetical proteins using the AlphaFold Database and TM-align</dc:title>
  <dc:creator/>
  <cp:keywords/>
  <dcterms:created xsi:type="dcterms:W3CDTF">2026-07-11T02:34:35Z</dcterms:created>
  <dcterms:modified xsi:type="dcterms:W3CDTF">2026-07-11T02:34:35Z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