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60" w:lineRule="auto"/>
        <w:jc w:val="center"/>
        <w:rPr>
          <w:rFonts w:hint="eastAsia" w:ascii="微软雅黑" w:hAnsi="微软雅黑" w:eastAsia="微软雅黑" w:cs="微软雅黑"/>
          <w:b/>
          <w:sz w:val="36"/>
          <w:szCs w:val="18"/>
        </w:rPr>
      </w:pPr>
    </w:p>
    <w:p>
      <w:pPr>
        <w:widowControl/>
        <w:spacing w:line="360" w:lineRule="auto"/>
        <w:jc w:val="center"/>
        <w:rPr>
          <w:rFonts w:hint="eastAsia" w:ascii="微软雅黑" w:hAnsi="微软雅黑" w:eastAsia="微软雅黑" w:cs="微软雅黑"/>
          <w:b/>
          <w:sz w:val="36"/>
          <w:szCs w:val="18"/>
          <w:lang w:val="en-US" w:eastAsia="zh-CN"/>
        </w:rPr>
      </w:pPr>
      <w:r>
        <w:rPr>
          <w:rFonts w:hint="eastAsia" w:ascii="微软雅黑" w:hAnsi="微软雅黑" w:eastAsia="微软雅黑" w:cs="微软雅黑"/>
          <w:b/>
          <w:sz w:val="36"/>
          <w:szCs w:val="18"/>
        </w:rPr>
        <w:t>AIGC</w:t>
      </w:r>
      <w:r>
        <w:rPr>
          <w:rFonts w:hint="eastAsia" w:ascii="微软雅黑" w:hAnsi="微软雅黑" w:eastAsia="微软雅黑" w:cs="微软雅黑"/>
          <w:b/>
          <w:sz w:val="36"/>
          <w:szCs w:val="18"/>
          <w:lang w:val="en-US" w:eastAsia="zh-CN"/>
        </w:rPr>
        <w:t>辅助教学工具应用培训</w:t>
      </w:r>
    </w:p>
    <w:p>
      <w:pPr>
        <w:ind w:right="840"/>
        <w:jc w:val="center"/>
        <w:rPr>
          <w:rFonts w:hint="eastAsia" w:ascii="华文细黑" w:hAnsi="华文细黑" w:eastAsia="华文细黑" w:cs="华文细黑"/>
          <w:b/>
          <w:szCs w:val="21"/>
          <w:shd w:val="clear" w:color="auto" w:fill="FFFFFF" w:themeFill="background1"/>
        </w:rPr>
      </w:pPr>
    </w:p>
    <w:p>
      <w:pPr>
        <w:ind w:right="840"/>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课程背景：</w:t>
      </w:r>
      <w:bookmarkStart w:id="0" w:name="_GoBack"/>
      <w:bookmarkEnd w:id="0"/>
    </w:p>
    <w:p>
      <w:pPr>
        <w:ind w:right="840"/>
        <w:rPr>
          <w:rFonts w:hint="eastAsia" w:ascii="宋体" w:hAnsi="宋体" w:eastAsia="宋体" w:cs="宋体"/>
          <w:b/>
          <w:bCs/>
          <w:kern w:val="2"/>
          <w:sz w:val="21"/>
          <w:szCs w:val="21"/>
          <w:lang w:val="en-US" w:eastAsia="zh-CN" w:bidi="ar-SA"/>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420" w:firstLineChars="20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随着人工智能技术的发展和应用的普及，自然语言处理</w:t>
      </w:r>
      <w:r>
        <w:rPr>
          <w:rFonts w:hint="eastAsia" w:ascii="Calibri" w:hAnsi="Calibri" w:eastAsia="宋体" w:cs="Times New Roman"/>
          <w:kern w:val="2"/>
          <w:sz w:val="21"/>
          <w:szCs w:val="21"/>
          <w:lang w:val="en-US" w:eastAsia="zh-CN" w:bidi="ar"/>
        </w:rPr>
        <w:t xml:space="preserve"> </w:t>
      </w:r>
      <w:r>
        <w:rPr>
          <w:rFonts w:hint="default" w:ascii="Calibri" w:hAnsi="Calibri" w:eastAsia="宋体" w:cs="Calibri"/>
          <w:kern w:val="2"/>
          <w:sz w:val="21"/>
          <w:szCs w:val="21"/>
          <w:lang w:val="en-US" w:eastAsia="zh-CN" w:bidi="ar"/>
        </w:rPr>
        <w:t xml:space="preserve">(NLP) </w:t>
      </w:r>
      <w:r>
        <w:rPr>
          <w:rFonts w:hint="eastAsia" w:ascii="宋体" w:hAnsi="宋体" w:eastAsia="宋体" w:cs="宋体"/>
          <w:kern w:val="2"/>
          <w:sz w:val="21"/>
          <w:szCs w:val="21"/>
          <w:lang w:val="en-US" w:eastAsia="zh-CN" w:bidi="ar"/>
        </w:rPr>
        <w:t xml:space="preserve">和生成模型 </w:t>
      </w:r>
      <w:r>
        <w:rPr>
          <w:rFonts w:hint="default" w:ascii="Calibri" w:hAnsi="Calibri" w:eastAsia="宋体" w:cs="Calibri"/>
          <w:kern w:val="2"/>
          <w:sz w:val="21"/>
          <w:szCs w:val="21"/>
          <w:lang w:val="en-US" w:eastAsia="zh-CN" w:bidi="ar"/>
        </w:rPr>
        <w:t xml:space="preserve">(Generative Models) </w:t>
      </w:r>
      <w:r>
        <w:rPr>
          <w:rFonts w:hint="eastAsia" w:ascii="宋体" w:hAnsi="宋体" w:eastAsia="宋体" w:cs="宋体"/>
          <w:kern w:val="2"/>
          <w:sz w:val="21"/>
          <w:szCs w:val="21"/>
          <w:lang w:val="en-US" w:eastAsia="zh-CN" w:bidi="ar"/>
        </w:rPr>
        <w:t>等技术逐渐成为热点。在这些技术中，</w:t>
      </w:r>
      <w:r>
        <w:rPr>
          <w:rFonts w:hint="default" w:ascii="Calibri" w:hAnsi="Calibri" w:eastAsia="宋体" w:cs="Calibri"/>
          <w:kern w:val="2"/>
          <w:sz w:val="21"/>
          <w:szCs w:val="21"/>
          <w:lang w:val="en-US" w:eastAsia="zh-CN" w:bidi="ar"/>
        </w:rPr>
        <w:t xml:space="preserve">AIGC(AI-Generated Content) </w:t>
      </w:r>
      <w:r>
        <w:rPr>
          <w:rFonts w:hint="eastAsia" w:ascii="宋体" w:hAnsi="宋体" w:eastAsia="宋体" w:cs="宋体"/>
          <w:kern w:val="2"/>
          <w:sz w:val="21"/>
          <w:szCs w:val="21"/>
          <w:lang w:val="en-US" w:eastAsia="zh-CN" w:bidi="ar"/>
        </w:rPr>
        <w:t>是一项非常重要的应用，可以帮助人们快速地生成文本、图像、音频等内容。</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420" w:firstLineChars="20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随着人工智能技术的不断发展，AI在教学中的应用已经成  为了职业教育科技领域的一个热门话题,教育数字化智能化是未来趋势</w:t>
      </w:r>
      <w:r>
        <w:rPr>
          <w:spacing w:val="9"/>
        </w:rPr>
        <w:t>。</w:t>
      </w:r>
      <w:r>
        <w:rPr>
          <w:rFonts w:hint="eastAsia" w:ascii="宋体" w:hAnsi="宋体" w:eastAsia="宋体" w:cs="宋体"/>
          <w:kern w:val="2"/>
          <w:sz w:val="21"/>
          <w:szCs w:val="21"/>
          <w:lang w:val="en-US" w:eastAsia="zh-CN" w:bidi="ar"/>
        </w:rPr>
        <w:t>在职业教育中，掌握AIGC工具有重要意义和作用，可以帮助岗位提升工作效率、降低成本、辅助课研任务与项目和提升学生就业技能。</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00" w:lineRule="auto"/>
        <w:ind w:left="845" w:leftChars="0" w:right="0" w:hanging="425" w:firstLineChars="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提高工作效率：通过对大量数据的分析，自动识别和解决许多常见问题，从而减轻老师的工作负担，提高工作效率。</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00" w:lineRule="auto"/>
        <w:ind w:left="845" w:leftChars="0" w:right="0" w:hanging="425" w:firstLineChars="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降低成本：帮助老师自动化许多繁琐的任务，释放人力资源，降低劳动成本。</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00" w:lineRule="auto"/>
        <w:ind w:left="845" w:leftChars="0" w:right="0" w:hanging="425" w:firstLineChars="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辅助课研任务与项目：智能地分析和预测市场需求，帮助企业更好地规划生产和分配资源，提高资源利用效率。</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00" w:lineRule="auto"/>
        <w:ind w:left="845" w:leftChars="0" w:right="0" w:hanging="425" w:firstLineChars="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提升学生就业技能：通过对AI工具的使用与工作场景的练习，提升学生就业技能。</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420" w:firstLineChars="20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掌握AIGC工具应用不仅可以帮助个人提升职场发展前景，同时也可以帮助企业提高竞争力并适应未来的发展需求。</w:t>
      </w:r>
    </w:p>
    <w:p>
      <w:pPr>
        <w:pStyle w:val="5"/>
        <w:shd w:val="clear" w:color="auto" w:fill="FFFFFF"/>
        <w:spacing w:before="0" w:beforeAutospacing="0" w:after="0" w:afterAutospacing="0"/>
        <w:jc w:val="both"/>
        <w:rPr>
          <w:rFonts w:hint="eastAsia" w:ascii="宋体" w:hAnsi="宋体" w:eastAsia="宋体" w:cs="宋体"/>
          <w:kern w:val="2"/>
          <w:sz w:val="21"/>
          <w:szCs w:val="21"/>
          <w:lang w:val="en-US" w:eastAsia="zh-CN" w:bidi="ar-SA"/>
        </w:rPr>
      </w:pPr>
    </w:p>
    <w:p>
      <w:pPr>
        <w:spacing w:line="276" w:lineRule="auto"/>
        <w:rPr>
          <w:rFonts w:hint="eastAsia" w:ascii="宋体" w:hAnsi="宋体" w:eastAsia="宋体" w:cs="宋体"/>
          <w:szCs w:val="21"/>
        </w:rPr>
      </w:pPr>
      <w:r>
        <w:rPr>
          <w:rFonts w:hint="eastAsia" w:ascii="宋体" w:hAnsi="宋体" w:eastAsia="宋体" w:cs="宋体"/>
          <w:b/>
          <w:szCs w:val="21"/>
        </w:rPr>
        <w:t>课程对象</w:t>
      </w:r>
      <w:r>
        <w:rPr>
          <w:rFonts w:hint="eastAsia" w:ascii="宋体" w:hAnsi="宋体" w:eastAsia="宋体" w:cs="宋体"/>
          <w:szCs w:val="21"/>
        </w:rPr>
        <w:t>：</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auto"/>
        <w:ind w:left="845" w:leftChars="0" w:right="0" w:hanging="425" w:firstLineChars="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职业院系领导、教务处、科研处</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auto"/>
        <w:ind w:left="845" w:leftChars="0" w:right="0" w:hanging="425" w:firstLineChars="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专业带头人、教学资源库建设负责人</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auto"/>
        <w:ind w:left="845" w:leftChars="0" w:right="0" w:hanging="425" w:firstLineChars="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精品课程建设负责人及团队成员</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00" w:lineRule="auto"/>
        <w:ind w:left="845" w:leftChars="0" w:right="0" w:hanging="425" w:firstLineChars="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教学人员、各教研室主任、骨干教师、质量部等</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宋体" w:hAnsi="宋体" w:eastAsia="宋体" w:cs="宋体"/>
          <w:szCs w:val="21"/>
        </w:rPr>
      </w:pPr>
      <w:r>
        <w:rPr>
          <w:rFonts w:hint="eastAsia" w:ascii="宋体" w:hAnsi="宋体" w:eastAsia="宋体" w:cs="宋体"/>
          <w:b/>
          <w:szCs w:val="21"/>
        </w:rPr>
        <w:t>课程收益</w:t>
      </w:r>
      <w:r>
        <w:rPr>
          <w:rFonts w:hint="eastAsia" w:ascii="宋体" w:hAnsi="宋体" w:eastAsia="宋体" w:cs="宋体"/>
          <w:szCs w:val="21"/>
        </w:rPr>
        <w:t>：</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00" w:lineRule="auto"/>
        <w:ind w:left="845" w:leftChars="0" w:right="0" w:hanging="425" w:firstLineChars="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 xml:space="preserve">深入理解 </w:t>
      </w:r>
      <w:r>
        <w:rPr>
          <w:rFonts w:hint="default" w:ascii="宋体" w:hAnsi="宋体" w:eastAsia="宋体" w:cs="宋体"/>
          <w:kern w:val="2"/>
          <w:sz w:val="21"/>
          <w:szCs w:val="21"/>
          <w:lang w:val="en-US" w:eastAsia="zh-CN" w:bidi="ar"/>
        </w:rPr>
        <w:t xml:space="preserve">AIGC </w:t>
      </w:r>
      <w:r>
        <w:rPr>
          <w:rFonts w:hint="eastAsia" w:ascii="宋体" w:hAnsi="宋体" w:eastAsia="宋体" w:cs="宋体"/>
          <w:kern w:val="2"/>
          <w:sz w:val="21"/>
          <w:szCs w:val="21"/>
          <w:lang w:val="en-US" w:eastAsia="zh-CN" w:bidi="ar"/>
        </w:rPr>
        <w:t xml:space="preserve">技术的基本原理和应用场景；  </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00" w:lineRule="auto"/>
        <w:ind w:left="845" w:leftChars="0" w:right="0" w:hanging="425" w:firstLineChars="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 xml:space="preserve">掌握 </w:t>
      </w:r>
      <w:r>
        <w:rPr>
          <w:rFonts w:hint="default" w:ascii="宋体" w:hAnsi="宋体" w:eastAsia="宋体" w:cs="宋体"/>
          <w:kern w:val="2"/>
          <w:sz w:val="21"/>
          <w:szCs w:val="21"/>
          <w:lang w:val="en-US" w:eastAsia="zh-CN" w:bidi="ar"/>
        </w:rPr>
        <w:t xml:space="preserve">AIGC </w:t>
      </w:r>
      <w:r>
        <w:rPr>
          <w:rFonts w:hint="eastAsia" w:ascii="宋体" w:hAnsi="宋体" w:eastAsia="宋体" w:cs="宋体"/>
          <w:kern w:val="2"/>
          <w:sz w:val="21"/>
          <w:szCs w:val="21"/>
          <w:lang w:val="en-US" w:eastAsia="zh-CN" w:bidi="ar"/>
        </w:rPr>
        <w:t>辅助设计教案与资料的方法；</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00" w:lineRule="auto"/>
        <w:ind w:left="845" w:leftChars="0" w:right="0" w:hanging="425" w:firstLineChars="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 xml:space="preserve">学习AIGC辅助课题申报与项目的方法；  </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00" w:lineRule="auto"/>
        <w:ind w:left="845" w:leftChars="0" w:right="0" w:hanging="425" w:firstLineChars="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 xml:space="preserve">与自已的专业相结合，提高 </w:t>
      </w:r>
      <w:r>
        <w:rPr>
          <w:rFonts w:hint="default" w:ascii="宋体" w:hAnsi="宋体" w:eastAsia="宋体" w:cs="宋体"/>
          <w:kern w:val="2"/>
          <w:sz w:val="21"/>
          <w:szCs w:val="21"/>
          <w:lang w:val="en-US" w:eastAsia="zh-CN" w:bidi="ar"/>
        </w:rPr>
        <w:t xml:space="preserve">AIGC </w:t>
      </w:r>
      <w:r>
        <w:rPr>
          <w:rFonts w:hint="eastAsia" w:ascii="宋体" w:hAnsi="宋体" w:eastAsia="宋体" w:cs="宋体"/>
          <w:kern w:val="2"/>
          <w:sz w:val="21"/>
          <w:szCs w:val="21"/>
          <w:lang w:val="en-US" w:eastAsia="zh-CN" w:bidi="ar"/>
        </w:rPr>
        <w:t xml:space="preserve">生成的效果和质量；  </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00" w:lineRule="auto"/>
        <w:ind w:left="845" w:leftChars="0" w:right="0" w:hanging="425" w:firstLineChars="0"/>
        <w:jc w:val="left"/>
        <w:textAlignment w:val="auto"/>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 xml:space="preserve">了解 </w:t>
      </w:r>
      <w:r>
        <w:rPr>
          <w:rFonts w:hint="default" w:ascii="宋体" w:hAnsi="宋体" w:eastAsia="宋体" w:cs="宋体"/>
          <w:kern w:val="2"/>
          <w:sz w:val="21"/>
          <w:szCs w:val="21"/>
          <w:lang w:val="en-US" w:eastAsia="zh-CN" w:bidi="ar"/>
        </w:rPr>
        <w:t xml:space="preserve">AIGC </w:t>
      </w:r>
      <w:r>
        <w:rPr>
          <w:rFonts w:hint="eastAsia" w:ascii="宋体" w:hAnsi="宋体" w:eastAsia="宋体" w:cs="宋体"/>
          <w:kern w:val="2"/>
          <w:sz w:val="21"/>
          <w:szCs w:val="21"/>
          <w:lang w:val="en-US" w:eastAsia="zh-CN" w:bidi="ar"/>
        </w:rPr>
        <w:t>在教育领域的前沿技术和未来发展趋势。</w:t>
      </w:r>
    </w:p>
    <w:p>
      <w:pPr>
        <w:widowControl/>
        <w:spacing w:line="276" w:lineRule="auto"/>
        <w:ind w:firstLine="1050" w:firstLineChars="500"/>
        <w:jc w:val="left"/>
        <w:rPr>
          <w:rFonts w:hint="eastAsia" w:ascii="宋体" w:hAnsi="宋体" w:eastAsia="宋体" w:cs="宋体"/>
          <w:szCs w:val="21"/>
          <w:lang w:val="en-US" w:eastAsia="zh-CN"/>
        </w:rPr>
      </w:pPr>
    </w:p>
    <w:p>
      <w:pPr>
        <w:pStyle w:val="5"/>
        <w:spacing w:before="0" w:beforeAutospacing="0" w:after="0" w:afterAutospacing="0" w:line="276" w:lineRule="auto"/>
        <w:rPr>
          <w:rFonts w:hint="eastAsia" w:ascii="宋体" w:hAnsi="宋体" w:eastAsia="宋体" w:cs="宋体"/>
          <w:kern w:val="2"/>
          <w:sz w:val="21"/>
          <w:szCs w:val="21"/>
        </w:rPr>
      </w:pPr>
      <w:r>
        <w:rPr>
          <w:rFonts w:hint="eastAsia" w:ascii="宋体" w:hAnsi="宋体" w:eastAsia="宋体" w:cs="宋体"/>
          <w:b/>
          <w:kern w:val="2"/>
          <w:sz w:val="21"/>
          <w:szCs w:val="21"/>
        </w:rPr>
        <w:t>课程形式</w:t>
      </w:r>
      <w:r>
        <w:rPr>
          <w:rFonts w:hint="eastAsia" w:ascii="宋体" w:hAnsi="宋体" w:eastAsia="宋体" w:cs="宋体"/>
          <w:kern w:val="2"/>
          <w:sz w:val="21"/>
          <w:szCs w:val="21"/>
        </w:rPr>
        <w:t>：课堂讲授+体验式学习+案例分析+视频教学+分组研讨</w:t>
      </w:r>
    </w:p>
    <w:p>
      <w:pPr>
        <w:widowControl/>
        <w:spacing w:line="276" w:lineRule="auto"/>
        <w:jc w:val="left"/>
        <w:rPr>
          <w:rFonts w:hint="eastAsia" w:ascii="宋体" w:hAnsi="宋体" w:eastAsia="宋体" w:cs="宋体"/>
          <w:szCs w:val="21"/>
        </w:rPr>
      </w:pPr>
      <w:r>
        <w:rPr>
          <w:rFonts w:hint="eastAsia" w:ascii="宋体" w:hAnsi="宋体" w:eastAsia="宋体" w:cs="宋体"/>
          <w:b/>
          <w:szCs w:val="21"/>
        </w:rPr>
        <w:t>课程时长</w:t>
      </w:r>
      <w:r>
        <w:rPr>
          <w:rFonts w:hint="eastAsia" w:ascii="宋体" w:hAnsi="宋体" w:eastAsia="宋体" w:cs="宋体"/>
          <w:szCs w:val="21"/>
        </w:rPr>
        <w:t>：</w:t>
      </w:r>
      <w:r>
        <w:rPr>
          <w:rFonts w:hint="eastAsia" w:ascii="宋体" w:hAnsi="宋体" w:eastAsia="宋体" w:cs="宋体"/>
          <w:szCs w:val="21"/>
          <w:lang w:val="en-US" w:eastAsia="zh-CN"/>
        </w:rPr>
        <w:t>2</w:t>
      </w:r>
      <w:r>
        <w:rPr>
          <w:rFonts w:hint="eastAsia" w:ascii="宋体" w:hAnsi="宋体" w:eastAsia="宋体" w:cs="宋体"/>
          <w:szCs w:val="21"/>
        </w:rPr>
        <w:t>天</w:t>
      </w:r>
    </w:p>
    <w:p>
      <w:pPr>
        <w:rPr>
          <w:rFonts w:hint="eastAsia" w:ascii="华文细黑" w:hAnsi="华文细黑" w:eastAsia="华文细黑" w:cs="华文细黑"/>
          <w:b/>
          <w:szCs w:val="21"/>
        </w:rPr>
      </w:pPr>
      <w:r>
        <w:rPr>
          <w:rFonts w:hint="eastAsia" w:ascii="华文细黑" w:hAnsi="华文细黑" w:eastAsia="华文细黑" w:cs="华文细黑"/>
          <w:b/>
          <w:szCs w:val="21"/>
        </w:rPr>
        <w:br w:type="page"/>
      </w:r>
    </w:p>
    <w:p>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0" w:hanging="420" w:firstLineChars="0"/>
        <w:jc w:val="both"/>
        <w:textAlignment w:val="auto"/>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kern w:val="2"/>
          <w:sz w:val="24"/>
          <w:szCs w:val="24"/>
          <w:lang w:val="en-US" w:eastAsia="zh-CN" w:bidi="ar"/>
        </w:rPr>
        <w:t>AIGC概述与必备知识</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b w:val="0"/>
          <w:bCs w:val="0"/>
          <w:sz w:val="21"/>
          <w:szCs w:val="22"/>
        </w:rPr>
      </w:pPr>
      <w:r>
        <w:rPr>
          <w:rFonts w:hint="eastAsia" w:ascii="宋体" w:hAnsi="宋体" w:eastAsia="宋体" w:cs="宋体"/>
          <w:b w:val="0"/>
          <w:bCs w:val="0"/>
          <w:sz w:val="21"/>
          <w:szCs w:val="22"/>
        </w:rPr>
        <w:t>人工智能两大主要流派与技术分支</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决策式AI：人脸识别、推荐系统、语音、风控系统、辅助驾驶系统、游戏</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生成式AI:  文本、代码、语音、图像、视频、数字人、3D虚拟模型</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rPr>
      </w:pPr>
      <w:r>
        <w:rPr>
          <w:rFonts w:hint="eastAsia" w:ascii="宋体" w:hAnsi="宋体" w:eastAsia="宋体" w:cs="宋体"/>
          <w:sz w:val="20"/>
          <w:szCs w:val="20"/>
        </w:rPr>
        <w:t>GPT与之前的技术流派本质的区别</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设计（知识图谱）：</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涌现（暴力算法）：</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核心技术：机器学习+深度学习+人工神经网络学习</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rPr>
      </w:pPr>
      <w:r>
        <w:rPr>
          <w:rFonts w:hint="eastAsia" w:ascii="宋体" w:hAnsi="宋体" w:eastAsia="宋体" w:cs="宋体"/>
          <w:sz w:val="20"/>
          <w:szCs w:val="20"/>
        </w:rPr>
        <w:t>大模型预训练+行业模型训练+专家经验微调：</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无监督学习</w:t>
      </w:r>
      <w:r>
        <w:rPr>
          <w:rFonts w:hint="eastAsia" w:ascii="宋体" w:hAnsi="宋体" w:eastAsia="宋体" w:cs="宋体"/>
          <w:sz w:val="21"/>
          <w:szCs w:val="21"/>
        </w:rPr>
        <w:t>：未标注的海量数据</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词向量库：自然语言的向量数据库  </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LLM：大语言模型</w:t>
      </w:r>
      <w:r>
        <w:rPr>
          <w:rFonts w:hint="eastAsia" w:ascii="宋体" w:hAnsi="宋体" w:eastAsia="宋体" w:cs="宋体"/>
          <w:sz w:val="21"/>
          <w:szCs w:val="21"/>
          <w:lang w:val="en-US" w:eastAsia="zh-CN"/>
        </w:rPr>
        <w:t>与行业模型</w:t>
      </w:r>
      <w:r>
        <w:rPr>
          <w:rFonts w:hint="eastAsia" w:ascii="宋体" w:hAnsi="宋体" w:eastAsia="宋体" w:cs="宋体"/>
          <w:sz w:val="21"/>
          <w:szCs w:val="21"/>
        </w:rPr>
        <w:t xml:space="preserve">   </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模糊输出：行业模型</w:t>
      </w:r>
      <w:r>
        <w:rPr>
          <w:rFonts w:hint="eastAsia" w:ascii="宋体" w:hAnsi="宋体" w:eastAsia="宋体" w:cs="宋体"/>
          <w:sz w:val="21"/>
          <w:szCs w:val="21"/>
          <w:lang w:val="en-US" w:eastAsia="zh-CN"/>
        </w:rPr>
        <w:t>应用</w:t>
      </w:r>
      <w:r>
        <w:rPr>
          <w:rFonts w:hint="eastAsia" w:ascii="宋体" w:hAnsi="宋体" w:eastAsia="宋体" w:cs="宋体"/>
          <w:sz w:val="21"/>
          <w:szCs w:val="21"/>
        </w:rPr>
        <w:t>+专家经验微调</w:t>
      </w:r>
    </w:p>
    <w:p>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0" w:hanging="420" w:firstLineChars="0"/>
        <w:jc w:val="both"/>
        <w:textAlignment w:val="auto"/>
        <w:rPr>
          <w:rFonts w:hint="eastAsia" w:ascii="微软雅黑" w:hAnsi="微软雅黑" w:eastAsia="微软雅黑" w:cs="微软雅黑"/>
          <w:b w:val="0"/>
          <w:bCs w:val="0"/>
          <w:kern w:val="2"/>
          <w:sz w:val="24"/>
          <w:szCs w:val="24"/>
          <w:lang w:val="en-US" w:eastAsia="zh-CN" w:bidi="ar"/>
        </w:rPr>
      </w:pPr>
      <w:r>
        <w:rPr>
          <w:rFonts w:hint="eastAsia" w:ascii="微软雅黑" w:hAnsi="微软雅黑" w:eastAsia="微软雅黑" w:cs="微软雅黑"/>
          <w:b w:val="0"/>
          <w:bCs w:val="0"/>
          <w:kern w:val="2"/>
          <w:sz w:val="24"/>
          <w:szCs w:val="24"/>
          <w:lang w:val="en-US" w:eastAsia="zh-CN" w:bidi="ar"/>
        </w:rPr>
        <w:t>如何用AI准备设计教学资料</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快速生成教学用图表图示</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文字转化音频帮你配音</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快速生成微课视频</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文字快速制作PPT</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文字图片生成动画或者短视频</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生成直播间逐字稿</w:t>
      </w:r>
    </w:p>
    <w:p>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0" w:hanging="420" w:firstLineChars="0"/>
        <w:jc w:val="both"/>
        <w:textAlignment w:val="auto"/>
        <w:rPr>
          <w:rFonts w:hint="eastAsia" w:ascii="微软雅黑" w:hAnsi="微软雅黑" w:eastAsia="微软雅黑" w:cs="微软雅黑"/>
          <w:b w:val="0"/>
          <w:bCs w:val="0"/>
          <w:kern w:val="2"/>
          <w:sz w:val="24"/>
          <w:szCs w:val="24"/>
          <w:lang w:val="en-US" w:eastAsia="zh-CN" w:bidi="ar"/>
        </w:rPr>
      </w:pPr>
      <w:r>
        <w:rPr>
          <w:rFonts w:hint="eastAsia" w:ascii="微软雅黑" w:hAnsi="微软雅黑" w:eastAsia="微软雅黑" w:cs="微软雅黑"/>
          <w:b w:val="0"/>
          <w:bCs w:val="0"/>
          <w:kern w:val="2"/>
          <w:sz w:val="24"/>
          <w:szCs w:val="24"/>
          <w:lang w:val="en-US" w:eastAsia="zh-CN" w:bidi="ar"/>
        </w:rPr>
        <w:t>如何用AI辅助教学设计准备教案</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快速设计撰写标准化教案</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帮你设计制作相对个性化的教案</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教学中提问、案例、活动设计</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帮助你快速设计作业与评定标准</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b w:val="0"/>
          <w:bCs w:val="0"/>
          <w:kern w:val="2"/>
          <w:sz w:val="21"/>
          <w:szCs w:val="21"/>
          <w:lang w:val="en-US" w:eastAsia="zh-CN" w:bidi="ar"/>
        </w:rPr>
      </w:pPr>
      <w:r>
        <w:rPr>
          <w:rFonts w:hint="eastAsia" w:ascii="宋体" w:hAnsi="宋体" w:eastAsia="宋体" w:cs="宋体"/>
          <w:sz w:val="20"/>
          <w:szCs w:val="20"/>
          <w:lang w:val="en-US" w:eastAsia="zh-CN"/>
        </w:rPr>
        <w:t>AI帮你评价批改作业</w:t>
      </w:r>
    </w:p>
    <w:p>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0" w:hanging="420" w:firstLineChars="0"/>
        <w:jc w:val="both"/>
        <w:textAlignment w:val="auto"/>
        <w:rPr>
          <w:rFonts w:hint="eastAsia" w:ascii="微软雅黑" w:hAnsi="微软雅黑" w:eastAsia="微软雅黑" w:cs="微软雅黑"/>
          <w:b w:val="0"/>
          <w:bCs w:val="0"/>
          <w:kern w:val="2"/>
          <w:sz w:val="24"/>
          <w:szCs w:val="24"/>
          <w:lang w:val="en-US" w:eastAsia="zh-CN" w:bidi="ar"/>
        </w:rPr>
      </w:pPr>
      <w:r>
        <w:rPr>
          <w:rFonts w:hint="eastAsia" w:ascii="微软雅黑" w:hAnsi="微软雅黑" w:eastAsia="微软雅黑" w:cs="微软雅黑"/>
          <w:b w:val="0"/>
          <w:bCs w:val="0"/>
          <w:kern w:val="2"/>
          <w:sz w:val="24"/>
          <w:szCs w:val="24"/>
          <w:lang w:val="en-US" w:eastAsia="zh-CN" w:bidi="ar"/>
        </w:rPr>
        <w:t>如何</w:t>
      </w:r>
      <w:r>
        <w:rPr>
          <w:rFonts w:hint="default" w:ascii="微软雅黑" w:hAnsi="微软雅黑" w:eastAsia="微软雅黑" w:cs="微软雅黑"/>
          <w:b w:val="0"/>
          <w:bCs w:val="0"/>
          <w:kern w:val="2"/>
          <w:sz w:val="24"/>
          <w:szCs w:val="24"/>
          <w:lang w:val="en-US" w:eastAsia="zh-CN" w:bidi="ar"/>
        </w:rPr>
        <w:t>用AI辅助做课题申报总结汇报</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帮你快速阅读提炼资料</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帮你写项目总结汇报</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快速生成课题申报书</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辅助编程设计练习</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辅助设计拓展教学手段</w:t>
      </w:r>
    </w:p>
    <w:p>
      <w:pPr>
        <w:keepNext w:val="0"/>
        <w:keepLines w:val="0"/>
        <w:pageBreakBefore w:val="0"/>
        <w:widowControl w:val="0"/>
        <w:numPr>
          <w:numId w:val="0"/>
        </w:numPr>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kern w:val="2"/>
          <w:sz w:val="21"/>
          <w:szCs w:val="21"/>
          <w:lang w:val="en-US" w:eastAsia="zh-CN" w:bidi="ar"/>
        </w:rPr>
      </w:pPr>
    </w:p>
    <w:p>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0" w:hanging="420" w:firstLineChars="0"/>
        <w:jc w:val="both"/>
        <w:textAlignment w:val="auto"/>
        <w:rPr>
          <w:rFonts w:hint="eastAsia" w:ascii="微软雅黑" w:hAnsi="微软雅黑" w:eastAsia="微软雅黑" w:cs="微软雅黑"/>
          <w:b w:val="0"/>
          <w:bCs w:val="0"/>
          <w:kern w:val="2"/>
          <w:sz w:val="24"/>
          <w:szCs w:val="24"/>
          <w:lang w:val="en-US" w:eastAsia="zh-CN" w:bidi="ar"/>
        </w:rPr>
      </w:pPr>
      <w:r>
        <w:rPr>
          <w:rFonts w:hint="eastAsia" w:ascii="微软雅黑" w:hAnsi="微软雅黑" w:eastAsia="微软雅黑" w:cs="微软雅黑"/>
          <w:b w:val="0"/>
          <w:bCs w:val="0"/>
          <w:kern w:val="2"/>
          <w:sz w:val="24"/>
          <w:szCs w:val="24"/>
          <w:lang w:val="en-US" w:eastAsia="zh-CN" w:bidi="ar"/>
        </w:rPr>
        <w:t>AIGC实践项目和案例分析</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rPr>
      </w:pPr>
      <w:r>
        <w:rPr>
          <w:rFonts w:hint="eastAsia" w:ascii="宋体" w:hAnsi="宋体" w:eastAsia="宋体" w:cs="宋体"/>
          <w:sz w:val="20"/>
          <w:szCs w:val="20"/>
        </w:rPr>
        <w:t>解放生产力：个人智能助理（脑力工作者）</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PC：电脑</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互联网：上网</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移动互联网：手机</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人工智能时代：调教大模型 越用越智能</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rPr>
      </w:pPr>
      <w:r>
        <w:rPr>
          <w:rFonts w:hint="eastAsia" w:ascii="宋体" w:hAnsi="宋体" w:eastAsia="宋体" w:cs="宋体"/>
          <w:sz w:val="20"/>
          <w:szCs w:val="20"/>
        </w:rPr>
        <w:t>AIGC是数字化转型升级的最后100米</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设计与涌现：具体岗位/应用场景</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投资导向推动与需求导向拉动：投入产出比</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大中型企业/小微企业/个体</w:t>
      </w:r>
    </w:p>
    <w:p>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0" w:hanging="420" w:firstLineChars="0"/>
        <w:jc w:val="both"/>
        <w:textAlignment w:val="auto"/>
        <w:rPr>
          <w:rFonts w:hint="eastAsia" w:ascii="微软雅黑" w:hAnsi="微软雅黑" w:eastAsia="微软雅黑" w:cs="微软雅黑"/>
          <w:b w:val="0"/>
          <w:bCs w:val="0"/>
          <w:kern w:val="2"/>
          <w:sz w:val="24"/>
          <w:szCs w:val="24"/>
          <w:lang w:val="en-US" w:eastAsia="zh-CN" w:bidi="ar"/>
        </w:rPr>
      </w:pPr>
      <w:r>
        <w:rPr>
          <w:rFonts w:hint="eastAsia" w:ascii="微软雅黑" w:hAnsi="微软雅黑" w:eastAsia="微软雅黑" w:cs="微软雅黑"/>
          <w:b w:val="0"/>
          <w:bCs w:val="0"/>
          <w:kern w:val="2"/>
          <w:sz w:val="24"/>
          <w:szCs w:val="24"/>
          <w:lang w:val="en-US" w:eastAsia="zh-CN" w:bidi="ar"/>
        </w:rPr>
        <w:t>AIGC赋能职业发展趋势</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rPr>
      </w:pPr>
      <w:r>
        <w:rPr>
          <w:rFonts w:hint="eastAsia" w:ascii="宋体" w:hAnsi="宋体" w:eastAsia="宋体" w:cs="宋体"/>
          <w:sz w:val="20"/>
          <w:szCs w:val="20"/>
        </w:rPr>
        <w:t>中国与美国AI发展路径的差异与优劣势</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TC的工具软件与AI融合：</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TB的行业应用场景赋能：</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微软集成GPT应用与华为盘古大模型的差异</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rPr>
      </w:pPr>
      <w:r>
        <w:rPr>
          <w:rFonts w:hint="eastAsia" w:ascii="宋体" w:hAnsi="宋体" w:eastAsia="宋体" w:cs="宋体"/>
          <w:sz w:val="20"/>
          <w:szCs w:val="20"/>
        </w:rPr>
        <w:t>AIGC与行业融合度</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游戏、视频、媒体</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电商</w:t>
      </w:r>
      <w:r>
        <w:rPr>
          <w:rFonts w:hint="eastAsia" w:ascii="宋体" w:hAnsi="宋体" w:eastAsia="宋体" w:cs="宋体"/>
          <w:sz w:val="20"/>
          <w:szCs w:val="20"/>
          <w:lang w:eastAsia="zh-CN"/>
        </w:rPr>
        <w:t>、</w:t>
      </w:r>
      <w:r>
        <w:rPr>
          <w:rFonts w:hint="eastAsia" w:ascii="宋体" w:hAnsi="宋体" w:eastAsia="宋体" w:cs="宋体"/>
          <w:sz w:val="20"/>
          <w:szCs w:val="20"/>
        </w:rPr>
        <w:t>金融</w:t>
      </w:r>
      <w:r>
        <w:rPr>
          <w:rFonts w:hint="eastAsia" w:ascii="宋体" w:hAnsi="宋体" w:eastAsia="宋体" w:cs="宋体"/>
          <w:sz w:val="20"/>
          <w:szCs w:val="20"/>
          <w:lang w:eastAsia="zh-CN"/>
        </w:rPr>
        <w:t>、</w:t>
      </w:r>
      <w:r>
        <w:rPr>
          <w:rFonts w:hint="eastAsia" w:ascii="宋体" w:hAnsi="宋体" w:eastAsia="宋体" w:cs="宋体"/>
          <w:sz w:val="20"/>
          <w:szCs w:val="20"/>
        </w:rPr>
        <w:t>教育</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医疗</w:t>
      </w:r>
      <w:r>
        <w:rPr>
          <w:rFonts w:hint="eastAsia" w:ascii="宋体" w:hAnsi="宋体" w:eastAsia="宋体" w:cs="宋体"/>
          <w:sz w:val="20"/>
          <w:szCs w:val="20"/>
          <w:lang w:eastAsia="zh-CN"/>
        </w:rPr>
        <w:t>、</w:t>
      </w:r>
      <w:r>
        <w:rPr>
          <w:rFonts w:hint="eastAsia" w:ascii="宋体" w:hAnsi="宋体" w:eastAsia="宋体" w:cs="宋体"/>
          <w:sz w:val="20"/>
          <w:szCs w:val="20"/>
        </w:rPr>
        <w:t>汽车交通</w:t>
      </w:r>
      <w:r>
        <w:rPr>
          <w:rFonts w:hint="eastAsia" w:ascii="宋体" w:hAnsi="宋体" w:eastAsia="宋体" w:cs="宋体"/>
          <w:sz w:val="20"/>
          <w:szCs w:val="20"/>
          <w:lang w:eastAsia="zh-CN"/>
        </w:rPr>
        <w:t>、</w:t>
      </w:r>
      <w:r>
        <w:rPr>
          <w:rFonts w:hint="eastAsia" w:ascii="宋体" w:hAnsi="宋体" w:eastAsia="宋体" w:cs="宋体"/>
          <w:sz w:val="20"/>
          <w:szCs w:val="20"/>
        </w:rPr>
        <w:t>智能制造</w:t>
      </w:r>
    </w:p>
    <w:p>
      <w:pPr>
        <w:keepNext w:val="0"/>
        <w:keepLines w:val="0"/>
        <w:pageBreakBefore w:val="0"/>
        <w:widowControl w:val="0"/>
        <w:numPr>
          <w:ilvl w:val="1"/>
          <w:numId w:val="4"/>
        </w:numPr>
        <w:kinsoku/>
        <w:wordWrap/>
        <w:overflowPunct/>
        <w:topLinePunct w:val="0"/>
        <w:autoSpaceDE/>
        <w:autoSpaceDN/>
        <w:bidi w:val="0"/>
        <w:adjustRightInd/>
        <w:snapToGrid/>
        <w:spacing w:line="300" w:lineRule="auto"/>
        <w:ind w:left="780" w:leftChars="0" w:hanging="360" w:firstLineChars="0"/>
        <w:jc w:val="both"/>
        <w:textAlignment w:val="auto"/>
        <w:rPr>
          <w:rFonts w:hint="eastAsia" w:ascii="宋体" w:hAnsi="宋体" w:eastAsia="宋体" w:cs="宋体"/>
        </w:rPr>
      </w:pPr>
      <w:r>
        <w:rPr>
          <w:rFonts w:hint="eastAsia" w:ascii="宋体" w:hAnsi="宋体" w:eastAsia="宋体" w:cs="宋体"/>
          <w:sz w:val="20"/>
          <w:szCs w:val="20"/>
        </w:rPr>
        <w:t>什么人用AIGC更有优势</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跨界复合型人才</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工业时代：专业细分  专家精深</w:t>
      </w:r>
    </w:p>
    <w:p>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1260" w:leftChars="0" w:hanging="420" w:firstLineChars="0"/>
        <w:jc w:val="both"/>
        <w:textAlignment w:val="auto"/>
        <w:rPr>
          <w:rFonts w:hint="eastAsia" w:ascii="宋体" w:hAnsi="宋体" w:eastAsia="宋体" w:cs="宋体"/>
          <w:sz w:val="20"/>
          <w:szCs w:val="20"/>
        </w:rPr>
      </w:pPr>
      <w:r>
        <w:rPr>
          <w:rFonts w:hint="eastAsia" w:ascii="宋体" w:hAnsi="宋体" w:eastAsia="宋体" w:cs="宋体"/>
          <w:sz w:val="20"/>
          <w:szCs w:val="20"/>
        </w:rPr>
        <w:t>智能时代：跨学科整合 创造性提出问题、解决问题</w:t>
      </w:r>
    </w:p>
    <w:p>
      <w:pPr>
        <w:rPr>
          <w:rFonts w:hint="eastAsia" w:ascii="华文细黑" w:hAnsi="华文细黑" w:eastAsia="华文细黑" w:cs="华文细黑"/>
          <w:lang w:val="en-US" w:eastAsia="zh-CN"/>
        </w:rPr>
      </w:pPr>
      <w:r>
        <w:rPr>
          <w:rFonts w:hint="eastAsia" w:ascii="华文细黑" w:hAnsi="华文细黑" w:eastAsia="华文细黑" w:cs="华文细黑"/>
          <w:lang w:val="en-US" w:eastAsia="zh-CN"/>
        </w:rPr>
        <w:br w:type="page"/>
      </w:r>
    </w:p>
    <w:p>
      <w:pPr>
        <w:widowControl/>
        <w:jc w:val="left"/>
        <w:rPr>
          <w:rFonts w:hint="eastAsia" w:ascii="华文细黑" w:hAnsi="华文细黑" w:eastAsia="华文细黑" w:cs="华文细黑"/>
          <w:b/>
          <w:sz w:val="24"/>
          <w:szCs w:val="21"/>
        </w:rPr>
      </w:pPr>
      <w:r>
        <w:rPr>
          <w:rFonts w:hint="eastAsia" w:ascii="华文细黑" w:hAnsi="华文细黑" w:eastAsia="华文细黑" w:cs="华文细黑"/>
          <w:b/>
          <w:sz w:val="24"/>
          <w:szCs w:val="21"/>
        </w:rPr>
        <w:t>讲师介绍：</w:t>
      </w:r>
    </w:p>
    <w:p>
      <w:pPr>
        <w:spacing w:line="276" w:lineRule="auto"/>
        <w:rPr>
          <w:rFonts w:hint="eastAsia" w:ascii="华文细黑" w:hAnsi="华文细黑" w:eastAsia="华文细黑" w:cs="华文细黑"/>
          <w:b/>
          <w:sz w:val="32"/>
        </w:rPr>
      </w:pPr>
      <w:r>
        <w:rPr>
          <w:rFonts w:hint="eastAsia" w:ascii="华文细黑" w:hAnsi="华文细黑" w:eastAsia="华文细黑" w:cs="华文细黑"/>
          <w:b/>
          <w:sz w:val="32"/>
        </w:rPr>
        <w:drawing>
          <wp:anchor distT="0" distB="0" distL="114300" distR="114300" simplePos="0" relativeHeight="251659264" behindDoc="0" locked="0" layoutInCell="1" allowOverlap="1">
            <wp:simplePos x="0" y="0"/>
            <wp:positionH relativeFrom="column">
              <wp:posOffset>-220345</wp:posOffset>
            </wp:positionH>
            <wp:positionV relativeFrom="paragraph">
              <wp:posOffset>85725</wp:posOffset>
            </wp:positionV>
            <wp:extent cx="2157730" cy="3023235"/>
            <wp:effectExtent l="0" t="0" r="4445" b="5715"/>
            <wp:wrapSquare wrapText="bothSides"/>
            <wp:docPr id="3" name="图片 1" descr="C:\Users\Aaron_2021\Desktop\图片2.jp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Aaron_2021\Desktop\图片2.jpg图片2"/>
                    <pic:cNvPicPr>
                      <a:picLocks noChangeAspect="1" noChangeArrowheads="1"/>
                    </pic:cNvPicPr>
                  </pic:nvPicPr>
                  <pic:blipFill>
                    <a:blip r:embed="rId5"/>
                    <a:srcRect/>
                    <a:stretch>
                      <a:fillRect/>
                    </a:stretch>
                  </pic:blipFill>
                  <pic:spPr>
                    <a:xfrm>
                      <a:off x="0" y="0"/>
                      <a:ext cx="2157730" cy="3023235"/>
                    </a:xfrm>
                    <a:prstGeom prst="rect">
                      <a:avLst/>
                    </a:prstGeom>
                    <a:noFill/>
                  </pic:spPr>
                </pic:pic>
              </a:graphicData>
            </a:graphic>
          </wp:anchor>
        </w:drawing>
      </w:r>
      <w:r>
        <w:rPr>
          <w:rFonts w:hint="eastAsia" w:ascii="华文细黑" w:hAnsi="华文细黑" w:eastAsia="华文细黑" w:cs="华文细黑"/>
          <w:b/>
          <w:sz w:val="32"/>
        </w:rPr>
        <w:t>熊建军</w:t>
      </w:r>
    </w:p>
    <w:p>
      <w:pPr>
        <w:spacing w:line="276" w:lineRule="auto"/>
        <w:rPr>
          <w:rFonts w:hint="eastAsia" w:ascii="华文细黑" w:hAnsi="华文细黑" w:eastAsia="华文细黑" w:cs="华文细黑"/>
        </w:rPr>
      </w:pPr>
      <w:r>
        <w:rPr>
          <w:rFonts w:hint="eastAsia" w:ascii="华文细黑" w:hAnsi="华文细黑" w:eastAsia="华文细黑" w:cs="华文细黑"/>
        </w:rPr>
        <w:t>资深培训师 顾问</w:t>
      </w:r>
    </w:p>
    <w:p>
      <w:pPr>
        <w:spacing w:line="276" w:lineRule="auto"/>
        <w:rPr>
          <w:rFonts w:hint="eastAsia" w:ascii="华文细黑" w:hAnsi="华文细黑" w:eastAsia="华文细黑" w:cs="华文细黑"/>
        </w:rPr>
      </w:pPr>
      <w:r>
        <w:rPr>
          <w:rFonts w:hint="eastAsia" w:ascii="华文细黑" w:hAnsi="华文细黑" w:eastAsia="华文细黑" w:cs="华文细黑"/>
        </w:rPr>
        <w:t xml:space="preserve">北京大学  清华大学  </w:t>
      </w:r>
    </w:p>
    <w:p>
      <w:pPr>
        <w:spacing w:line="276" w:lineRule="auto"/>
        <w:rPr>
          <w:rFonts w:hint="eastAsia" w:ascii="华文细黑" w:hAnsi="华文细黑" w:eastAsia="华文细黑" w:cs="华文细黑"/>
        </w:rPr>
      </w:pPr>
      <w:r>
        <w:rPr>
          <w:rFonts w:hint="eastAsia" w:ascii="华文细黑" w:hAnsi="华文细黑" w:eastAsia="华文细黑" w:cs="华文细黑"/>
        </w:rPr>
        <w:t>厦门大学  山东大学             客座教授</w:t>
      </w:r>
    </w:p>
    <w:p>
      <w:pPr>
        <w:spacing w:line="276" w:lineRule="auto"/>
        <w:rPr>
          <w:rFonts w:hint="eastAsia" w:ascii="华文细黑" w:hAnsi="华文细黑" w:eastAsia="华文细黑" w:cs="华文细黑"/>
        </w:rPr>
      </w:pPr>
      <w:r>
        <w:rPr>
          <w:rFonts w:hint="eastAsia" w:ascii="华文细黑" w:hAnsi="华文细黑" w:eastAsia="华文细黑" w:cs="华文细黑"/>
        </w:rPr>
        <w:t xml:space="preserve">工商银行杭州金融研修学院 </w:t>
      </w:r>
    </w:p>
    <w:p>
      <w:pPr>
        <w:spacing w:line="276" w:lineRule="auto"/>
        <w:rPr>
          <w:rFonts w:hint="eastAsia" w:ascii="华文细黑" w:hAnsi="华文细黑" w:eastAsia="华文细黑" w:cs="华文细黑"/>
        </w:rPr>
      </w:pPr>
      <w:r>
        <w:rPr>
          <w:rFonts w:hint="eastAsia" w:ascii="华文细黑" w:hAnsi="华文细黑" w:eastAsia="华文细黑" w:cs="华文细黑"/>
        </w:rPr>
        <w:t>工商银行  建设银行  中国银行</w:t>
      </w:r>
    </w:p>
    <w:p>
      <w:pPr>
        <w:spacing w:line="276" w:lineRule="auto"/>
        <w:rPr>
          <w:rFonts w:hint="eastAsia" w:ascii="华文细黑" w:hAnsi="华文细黑" w:eastAsia="华文细黑" w:cs="华文细黑"/>
        </w:rPr>
      </w:pPr>
      <w:r>
        <w:rPr>
          <w:rFonts w:hint="eastAsia" w:ascii="华文细黑" w:hAnsi="华文细黑" w:eastAsia="华文细黑" w:cs="华文细黑"/>
        </w:rPr>
        <w:t>国家电网  南方电网  中国石化    特聘讲师</w:t>
      </w:r>
    </w:p>
    <w:p>
      <w:pPr>
        <w:pStyle w:val="10"/>
        <w:spacing w:line="276" w:lineRule="auto"/>
        <w:ind w:left="987" w:firstLine="0" w:firstLineChars="0"/>
        <w:rPr>
          <w:rFonts w:hint="eastAsia" w:ascii="华文细黑" w:hAnsi="华文细黑" w:eastAsia="华文细黑" w:cs="华文细黑"/>
          <w:szCs w:val="21"/>
        </w:rPr>
      </w:pPr>
      <w:r>
        <w:rPr>
          <w:rFonts w:hint="eastAsia" w:ascii="华文细黑" w:hAnsi="华文细黑" w:eastAsia="华文细黑" w:cs="华文细黑"/>
        </w:rPr>
        <w:t>熊建军先生，资深培训师，拥有十八年的培训、辅导、顾问经历，曾任职于中国联通、正略钧策、中外管理，</w:t>
      </w:r>
      <w:r>
        <w:rPr>
          <w:rFonts w:hint="eastAsia" w:ascii="华文细黑" w:hAnsi="华文细黑" w:eastAsia="华文细黑" w:cs="华文细黑"/>
          <w:szCs w:val="21"/>
        </w:rPr>
        <w:t>广泛涉猎于领导力与人才培养、商学院教育、战略、金融、互联网、商业模式、资本等诸多领域。目前专注于创新思维与战略，</w:t>
      </w:r>
      <w:r>
        <w:rPr>
          <w:rFonts w:hint="eastAsia" w:ascii="华文细黑" w:hAnsi="华文细黑" w:eastAsia="华文细黑" w:cs="华文细黑"/>
          <w:szCs w:val="21"/>
          <w:lang w:val="en-US" w:eastAsia="zh-CN"/>
        </w:rPr>
        <w:t>AIGC应用落地、</w:t>
      </w:r>
      <w:r>
        <w:rPr>
          <w:rFonts w:hint="eastAsia" w:ascii="华文细黑" w:hAnsi="华文细黑" w:eastAsia="华文细黑" w:cs="华文细黑"/>
          <w:szCs w:val="21"/>
        </w:rPr>
        <w:t>企业数字化建设，数字化</w:t>
      </w:r>
      <w:r>
        <w:rPr>
          <w:rFonts w:hint="eastAsia" w:ascii="华文细黑" w:hAnsi="华文细黑" w:eastAsia="华文细黑" w:cs="华文细黑"/>
          <w:szCs w:val="21"/>
          <w:lang w:val="en-US" w:eastAsia="zh-CN"/>
        </w:rPr>
        <w:t>与AI创新</w:t>
      </w:r>
      <w:r>
        <w:rPr>
          <w:rFonts w:hint="eastAsia" w:ascii="华文细黑" w:hAnsi="华文细黑" w:eastAsia="华文细黑" w:cs="华文细黑"/>
          <w:szCs w:val="21"/>
        </w:rPr>
        <w:t>人才培养等领域。</w:t>
      </w:r>
    </w:p>
    <w:p>
      <w:pPr>
        <w:spacing w:line="276" w:lineRule="auto"/>
        <w:rPr>
          <w:rFonts w:hint="eastAsia" w:ascii="宋体" w:hAnsi="宋体" w:eastAsia="宋体" w:cs="宋体"/>
        </w:rPr>
      </w:pPr>
    </w:p>
    <w:p>
      <w:pPr>
        <w:spacing w:line="276" w:lineRule="auto"/>
        <w:ind w:firstLine="411" w:firstLineChars="196"/>
        <w:rPr>
          <w:rFonts w:hint="eastAsia" w:ascii="宋体" w:hAnsi="宋体" w:eastAsia="宋体" w:cs="宋体"/>
        </w:rPr>
      </w:pPr>
      <w:r>
        <w:rPr>
          <w:rFonts w:hint="eastAsia" w:ascii="宋体" w:hAnsi="宋体" w:eastAsia="宋体" w:cs="宋体"/>
        </w:rPr>
        <w:t>熊建军老师常年受聘于国内</w:t>
      </w:r>
      <w:r>
        <w:rPr>
          <w:rFonts w:hint="eastAsia" w:ascii="宋体" w:hAnsi="宋体" w:eastAsia="宋体" w:cs="宋体"/>
          <w:lang w:val="en-US" w:eastAsia="zh-CN"/>
        </w:rPr>
        <w:t>985</w:t>
      </w:r>
      <w:r>
        <w:rPr>
          <w:rFonts w:hint="eastAsia" w:ascii="宋体" w:hAnsi="宋体" w:eastAsia="宋体" w:cs="宋体"/>
        </w:rPr>
        <w:t>大学的商学院、EMBA、MBA、EDP授课，及担任顾问、指导，其《创新战略与组织变革》、《创新思维与新业务增长》《数字化转型创新》、《互联网+商业模式创新》课程广受企业欢迎，十年累积有超过10000家企业高管受众，遍布央企、国企、外资与民营上市公司。</w:t>
      </w:r>
    </w:p>
    <w:p>
      <w:pPr>
        <w:spacing w:line="276" w:lineRule="auto"/>
        <w:jc w:val="center"/>
        <w:rPr>
          <w:rFonts w:hint="eastAsia" w:ascii="宋体" w:hAnsi="宋体" w:eastAsia="宋体" w:cs="宋体"/>
          <w:b/>
        </w:rPr>
      </w:pPr>
      <w:r>
        <w:rPr>
          <w:rFonts w:hint="eastAsia" w:ascii="宋体" w:hAnsi="宋体" w:eastAsia="宋体" w:cs="宋体"/>
        </w:rPr>
        <w:drawing>
          <wp:inline distT="0" distB="0" distL="0" distR="0">
            <wp:extent cx="3813810" cy="2889250"/>
            <wp:effectExtent l="0" t="0" r="8890" b="6350"/>
            <wp:docPr id="2" name="图片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
                    <pic:cNvPicPr>
                      <a:picLocks noChangeAspect="1" noChangeArrowheads="1"/>
                    </pic:cNvPicPr>
                  </pic:nvPicPr>
                  <pic:blipFill>
                    <a:blip r:embed="rId6" cstate="print"/>
                    <a:srcRect t="11872" b="4767"/>
                    <a:stretch>
                      <a:fillRect/>
                    </a:stretch>
                  </pic:blipFill>
                  <pic:spPr>
                    <a:xfrm>
                      <a:off x="0" y="0"/>
                      <a:ext cx="3813810" cy="2889250"/>
                    </a:xfrm>
                    <a:prstGeom prst="rect">
                      <a:avLst/>
                    </a:prstGeom>
                    <a:noFill/>
                    <a:ln w="9525">
                      <a:noFill/>
                      <a:miter lim="800000"/>
                      <a:headEnd/>
                      <a:tailEnd/>
                    </a:ln>
                  </pic:spPr>
                </pic:pic>
              </a:graphicData>
            </a:graphic>
          </wp:inline>
        </w:drawing>
      </w:r>
    </w:p>
    <w:p>
      <w:pPr>
        <w:spacing w:line="276" w:lineRule="auto"/>
        <w:ind w:firstLine="411" w:firstLineChars="196"/>
        <w:rPr>
          <w:rFonts w:hint="eastAsia" w:ascii="宋体" w:hAnsi="宋体" w:eastAsia="宋体" w:cs="宋体"/>
        </w:rPr>
      </w:pPr>
    </w:p>
    <w:p>
      <w:pPr>
        <w:spacing w:line="276" w:lineRule="auto"/>
        <w:ind w:firstLine="411" w:firstLineChars="196"/>
        <w:rPr>
          <w:rFonts w:hint="eastAsia" w:ascii="宋体" w:hAnsi="宋体" w:eastAsia="宋体" w:cs="宋体"/>
        </w:rPr>
      </w:pPr>
      <w:r>
        <w:rPr>
          <w:rFonts w:hint="eastAsia" w:ascii="宋体" w:hAnsi="宋体" w:eastAsia="宋体" w:cs="宋体"/>
        </w:rPr>
        <w:t>熊建军老师是中国工商银行、中国建设银行、光大银行指定的高层后备干部与核心人才培养专家。在十年中，累积为三家银行培养了上万名总行级行业专家与领军人才，行长助理与高级客户经理。</w:t>
      </w:r>
    </w:p>
    <w:p>
      <w:pPr>
        <w:spacing w:line="276" w:lineRule="auto"/>
        <w:rPr>
          <w:rFonts w:hint="eastAsia" w:ascii="宋体" w:hAnsi="宋体" w:eastAsia="宋体" w:cs="宋体"/>
          <w:b/>
        </w:rPr>
      </w:pPr>
      <w:r>
        <w:rPr>
          <w:rFonts w:hint="eastAsia" w:ascii="宋体" w:hAnsi="宋体" w:eastAsia="宋体" w:cs="宋体"/>
          <w:b/>
        </w:rPr>
        <w:t xml:space="preserve">             </w:t>
      </w:r>
    </w:p>
    <w:p>
      <w:pPr>
        <w:spacing w:line="276" w:lineRule="auto"/>
        <w:rPr>
          <w:rFonts w:hint="eastAsia" w:ascii="宋体" w:hAnsi="宋体" w:eastAsia="宋体" w:cs="宋体"/>
          <w:b/>
        </w:rPr>
      </w:pPr>
      <w:r>
        <w:rPr>
          <w:rFonts w:hint="eastAsia" w:ascii="宋体" w:hAnsi="宋体" w:eastAsia="宋体" w:cs="宋体"/>
          <w:b/>
        </w:rPr>
        <w:t xml:space="preserve">    </w:t>
      </w:r>
      <w:r>
        <w:rPr>
          <w:rFonts w:hint="eastAsia" w:ascii="宋体" w:hAnsi="宋体" w:eastAsia="宋体" w:cs="宋体"/>
          <w:b/>
        </w:rPr>
        <w:drawing>
          <wp:inline distT="0" distB="0" distL="0" distR="0">
            <wp:extent cx="4935220" cy="2490470"/>
            <wp:effectExtent l="0" t="0" r="5080" b="11430"/>
            <wp:docPr id="4" name="图片 2" descr="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0 (1)"/>
                    <pic:cNvPicPr>
                      <a:picLocks noChangeAspect="1" noChangeArrowheads="1"/>
                    </pic:cNvPicPr>
                  </pic:nvPicPr>
                  <pic:blipFill>
                    <a:blip r:embed="rId7" cstate="print"/>
                    <a:srcRect t="14516" b="51391"/>
                    <a:stretch>
                      <a:fillRect/>
                    </a:stretch>
                  </pic:blipFill>
                  <pic:spPr>
                    <a:xfrm>
                      <a:off x="0" y="0"/>
                      <a:ext cx="4935220" cy="2490470"/>
                    </a:xfrm>
                    <a:prstGeom prst="rect">
                      <a:avLst/>
                    </a:prstGeom>
                    <a:noFill/>
                    <a:ln w="9525">
                      <a:noFill/>
                      <a:miter lim="800000"/>
                      <a:headEnd/>
                      <a:tailEnd/>
                    </a:ln>
                  </pic:spPr>
                </pic:pic>
              </a:graphicData>
            </a:graphic>
          </wp:inline>
        </w:drawing>
      </w:r>
    </w:p>
    <w:p>
      <w:pPr>
        <w:rPr>
          <w:rFonts w:hint="eastAsia" w:ascii="宋体" w:hAnsi="宋体" w:eastAsia="宋体" w:cs="宋体"/>
        </w:rPr>
      </w:pPr>
    </w:p>
    <w:p>
      <w:pPr>
        <w:spacing w:line="276" w:lineRule="auto"/>
        <w:ind w:firstLine="420"/>
        <w:rPr>
          <w:rFonts w:hint="eastAsia" w:ascii="宋体" w:hAnsi="宋体" w:eastAsia="宋体" w:cs="宋体"/>
          <w:b/>
        </w:rPr>
      </w:pPr>
      <w:r>
        <w:rPr>
          <w:rFonts w:hint="eastAsia" w:ascii="宋体" w:hAnsi="宋体" w:eastAsia="宋体" w:cs="宋体"/>
        </w:rPr>
        <w:t>熊建军老师同时担任多家央企及上市公司特聘讲师，包括、国家电网高级管理者培训中心、南方电网、中航工业集团、中建一局集团、兵装工业集团等。</w:t>
      </w:r>
    </w:p>
    <w:p>
      <w:pPr>
        <w:spacing w:line="276" w:lineRule="auto"/>
        <w:jc w:val="center"/>
        <w:rPr>
          <w:rFonts w:hint="eastAsia" w:ascii="宋体" w:hAnsi="宋体" w:eastAsia="宋体" w:cs="宋体"/>
          <w:b/>
        </w:rPr>
      </w:pPr>
      <w:r>
        <w:rPr>
          <w:rFonts w:hint="eastAsia" w:ascii="宋体" w:hAnsi="宋体" w:eastAsia="宋体" w:cs="宋体"/>
          <w:b/>
        </w:rPr>
        <w:t xml:space="preserve">    </w:t>
      </w:r>
      <w:r>
        <w:rPr>
          <w:rFonts w:hint="eastAsia" w:ascii="宋体" w:hAnsi="宋体" w:eastAsia="宋体" w:cs="宋体"/>
          <w:b/>
        </w:rPr>
        <w:drawing>
          <wp:inline distT="0" distB="0" distL="0" distR="0">
            <wp:extent cx="4887595" cy="3166745"/>
            <wp:effectExtent l="0" t="0" r="1905" b="8255"/>
            <wp:docPr id="5" name="图片 5" descr="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 (1)"/>
                    <pic:cNvPicPr>
                      <a:picLocks noChangeAspect="1" noChangeArrowheads="1"/>
                    </pic:cNvPicPr>
                  </pic:nvPicPr>
                  <pic:blipFill>
                    <a:blip r:embed="rId7" cstate="print"/>
                    <a:srcRect t="56237"/>
                    <a:stretch>
                      <a:fillRect/>
                    </a:stretch>
                  </pic:blipFill>
                  <pic:spPr>
                    <a:xfrm>
                      <a:off x="0" y="0"/>
                      <a:ext cx="4887595" cy="3166745"/>
                    </a:xfrm>
                    <a:prstGeom prst="rect">
                      <a:avLst/>
                    </a:prstGeom>
                    <a:noFill/>
                    <a:ln w="9525">
                      <a:noFill/>
                      <a:miter lim="800000"/>
                      <a:headEnd/>
                      <a:tailEnd/>
                    </a:ln>
                  </pic:spPr>
                </pic:pic>
              </a:graphicData>
            </a:graphic>
          </wp:inline>
        </w:drawing>
      </w:r>
    </w:p>
    <w:p>
      <w:pPr>
        <w:spacing w:line="276" w:lineRule="auto"/>
        <w:ind w:firstLine="420"/>
        <w:rPr>
          <w:rFonts w:hint="eastAsia" w:ascii="宋体" w:hAnsi="宋体" w:eastAsia="宋体" w:cs="宋体"/>
        </w:rPr>
      </w:pPr>
      <w:r>
        <w:rPr>
          <w:rFonts w:hint="eastAsia" w:ascii="宋体" w:hAnsi="宋体" w:eastAsia="宋体" w:cs="宋体"/>
        </w:rPr>
        <w:t>熊建军老师对于技术与商业的前沿性研究与实践案例非常具有启发性，其授课深入浅出、幽默风趣，辅导案例一针见血，学员往往当堂便会产生成果。</w:t>
      </w:r>
    </w:p>
    <w:p>
      <w:pPr>
        <w:spacing w:line="276" w:lineRule="auto"/>
        <w:ind w:firstLine="420"/>
        <w:rPr>
          <w:rFonts w:hint="eastAsia" w:ascii="宋体" w:hAnsi="宋体" w:eastAsia="宋体" w:cs="宋体"/>
        </w:rPr>
      </w:pPr>
      <w:r>
        <w:rPr>
          <w:rFonts w:hint="eastAsia" w:ascii="宋体" w:hAnsi="宋体" w:eastAsia="宋体" w:cs="宋体"/>
        </w:rPr>
        <w:t xml:space="preserve">                                                   ——北京大学经济学院</w:t>
      </w:r>
    </w:p>
    <w:p>
      <w:pPr>
        <w:spacing w:line="276" w:lineRule="auto"/>
        <w:ind w:firstLine="420"/>
        <w:rPr>
          <w:rFonts w:hint="eastAsia" w:ascii="宋体" w:hAnsi="宋体" w:eastAsia="宋体" w:cs="宋体"/>
        </w:rPr>
      </w:pPr>
      <w:r>
        <w:rPr>
          <w:rFonts w:hint="eastAsia" w:ascii="宋体" w:hAnsi="宋体" w:eastAsia="宋体" w:cs="宋体"/>
        </w:rPr>
        <w:t>熊建军老师对于传统产业的转型升级有着独到的见解，尤其在于技术与业务的融合，案例分析与辅导落地型很强，并且能够针对不同行业与规模的企业给予针对性点评，深受学员好评。</w:t>
      </w:r>
    </w:p>
    <w:p>
      <w:pPr>
        <w:spacing w:line="276" w:lineRule="auto"/>
        <w:ind w:firstLine="420"/>
        <w:rPr>
          <w:rFonts w:hint="eastAsia" w:ascii="宋体" w:hAnsi="宋体" w:eastAsia="宋体" w:cs="宋体"/>
        </w:rPr>
      </w:pPr>
      <w:r>
        <w:rPr>
          <w:rFonts w:hint="eastAsia" w:ascii="宋体" w:hAnsi="宋体" w:eastAsia="宋体" w:cs="宋体"/>
        </w:rPr>
        <w:t xml:space="preserve">                                              ——厦门大学管理学院 EDP中心</w:t>
      </w:r>
    </w:p>
    <w:p>
      <w:pPr>
        <w:spacing w:line="276" w:lineRule="auto"/>
        <w:ind w:firstLine="420"/>
        <w:rPr>
          <w:rFonts w:hint="eastAsia" w:ascii="宋体" w:hAnsi="宋体" w:eastAsia="宋体" w:cs="宋体"/>
        </w:rPr>
      </w:pPr>
      <w:r>
        <w:rPr>
          <w:rFonts w:hint="eastAsia" w:ascii="宋体" w:hAnsi="宋体" w:eastAsia="宋体" w:cs="宋体"/>
        </w:rPr>
        <w:t>熊建军老师，十多年来，为中国工商银行培养了近2000名总行级行业专家与领军人才，帮助他们将实践经验转化为知识体系，在普惠金融与数字化经营方向做出了有益的探索。</w:t>
      </w:r>
    </w:p>
    <w:p>
      <w:pPr>
        <w:spacing w:line="276" w:lineRule="auto"/>
        <w:ind w:firstLine="420"/>
        <w:rPr>
          <w:rFonts w:hint="eastAsia" w:ascii="宋体" w:hAnsi="宋体" w:eastAsia="宋体" w:cs="宋体"/>
        </w:rPr>
      </w:pPr>
      <w:r>
        <w:rPr>
          <w:rFonts w:hint="eastAsia" w:ascii="宋体" w:hAnsi="宋体" w:eastAsia="宋体" w:cs="宋体"/>
        </w:rPr>
        <w:t xml:space="preserve">                                            ——中国工商银行总行教育部  </w:t>
      </w:r>
    </w:p>
    <w:p>
      <w:pPr>
        <w:spacing w:line="276" w:lineRule="auto"/>
        <w:ind w:firstLine="420"/>
        <w:rPr>
          <w:rFonts w:hint="eastAsia" w:ascii="宋体" w:hAnsi="宋体" w:eastAsia="宋体" w:cs="宋体"/>
        </w:rPr>
      </w:pPr>
      <w:r>
        <w:rPr>
          <w:rFonts w:hint="eastAsia" w:ascii="宋体" w:hAnsi="宋体" w:eastAsia="宋体" w:cs="宋体"/>
        </w:rPr>
        <w:t>熊建军老师对于数字化转型的创新与实践有深刻理解，并且对于数字化复合型中高级管理者的辅导有丰富经验，有力的支持了国家电网能源互联网的高级人才培养。</w:t>
      </w:r>
    </w:p>
    <w:p>
      <w:pPr>
        <w:spacing w:line="276" w:lineRule="auto"/>
        <w:ind w:firstLine="420"/>
        <w:rPr>
          <w:rFonts w:hint="eastAsia" w:ascii="宋体" w:hAnsi="宋体" w:eastAsia="宋体" w:cs="宋体"/>
        </w:rPr>
      </w:pPr>
      <w:r>
        <w:rPr>
          <w:rFonts w:hint="eastAsia" w:ascii="宋体" w:hAnsi="宋体" w:eastAsia="宋体" w:cs="宋体"/>
          <w:b/>
        </w:rPr>
        <w:t xml:space="preserve">                                            </w:t>
      </w:r>
      <w:r>
        <w:rPr>
          <w:rFonts w:hint="eastAsia" w:ascii="宋体" w:hAnsi="宋体" w:eastAsia="宋体" w:cs="宋体"/>
        </w:rPr>
        <w:t xml:space="preserve">——国家电网高级管理者培训中心 </w:t>
      </w:r>
    </w:p>
    <w:p>
      <w:pPr>
        <w:spacing w:line="276" w:lineRule="auto"/>
        <w:rPr>
          <w:rFonts w:hint="eastAsia" w:ascii="宋体" w:hAnsi="宋体" w:eastAsia="宋体" w:cs="宋体"/>
        </w:rPr>
      </w:pPr>
      <w:r>
        <w:rPr>
          <w:rFonts w:hint="eastAsia" w:ascii="宋体" w:hAnsi="宋体" w:eastAsia="宋体" w:cs="宋体"/>
          <w:b/>
        </w:rPr>
        <w:t>代表型客户</w:t>
      </w:r>
      <w:r>
        <w:rPr>
          <w:rFonts w:hint="eastAsia" w:ascii="宋体" w:hAnsi="宋体" w:eastAsia="宋体" w:cs="宋体"/>
        </w:rPr>
        <w:t>：</w:t>
      </w:r>
    </w:p>
    <w:p>
      <w:pPr>
        <w:spacing w:line="276" w:lineRule="auto"/>
        <w:rPr>
          <w:rFonts w:hint="eastAsia" w:ascii="宋体" w:hAnsi="宋体" w:eastAsia="宋体" w:cs="宋体"/>
        </w:rPr>
      </w:pPr>
      <w:r>
        <w:rPr>
          <w:rFonts w:hint="eastAsia" w:ascii="宋体" w:hAnsi="宋体" w:eastAsia="宋体" w:cs="宋体"/>
        </w:rPr>
        <w:t>政府：国家行政学院、科技部、财政部、中央党校井岗山分校</w:t>
      </w:r>
    </w:p>
    <w:p>
      <w:pPr>
        <w:spacing w:line="276" w:lineRule="auto"/>
        <w:rPr>
          <w:rFonts w:hint="eastAsia" w:ascii="宋体" w:hAnsi="宋体" w:eastAsia="宋体" w:cs="宋体"/>
        </w:rPr>
      </w:pPr>
      <w:r>
        <w:rPr>
          <w:rFonts w:hint="eastAsia" w:ascii="宋体" w:hAnsi="宋体" w:eastAsia="宋体" w:cs="宋体"/>
        </w:rPr>
        <w:t>学院：国家会计学院、北京大学、清华大学、长江商学院、厦门大学</w:t>
      </w:r>
    </w:p>
    <w:p>
      <w:pPr>
        <w:spacing w:line="276" w:lineRule="auto"/>
        <w:rPr>
          <w:rFonts w:hint="eastAsia" w:ascii="宋体" w:hAnsi="宋体" w:eastAsia="宋体" w:cs="宋体"/>
        </w:rPr>
      </w:pPr>
      <w:r>
        <w:rPr>
          <w:rFonts w:hint="eastAsia" w:ascii="宋体" w:hAnsi="宋体" w:eastAsia="宋体" w:cs="宋体"/>
        </w:rPr>
        <w:t>央企：国家电网、南方电网、中国移动、中国电信、中石油、中石化、中建一局</w:t>
      </w:r>
    </w:p>
    <w:p>
      <w:pPr>
        <w:spacing w:line="276" w:lineRule="auto"/>
        <w:rPr>
          <w:rFonts w:hint="eastAsia" w:ascii="宋体" w:hAnsi="宋体" w:eastAsia="宋体" w:cs="宋体"/>
        </w:rPr>
      </w:pPr>
      <w:r>
        <w:rPr>
          <w:rFonts w:hint="eastAsia" w:ascii="宋体" w:hAnsi="宋体" w:eastAsia="宋体" w:cs="宋体"/>
        </w:rPr>
        <w:t>银行：工商银行、建设银行、农业银行、招商银行、兴业银行、光大银行、民生银行</w:t>
      </w:r>
    </w:p>
    <w:p>
      <w:pPr>
        <w:spacing w:line="276" w:lineRule="auto"/>
        <w:rPr>
          <w:rFonts w:hint="eastAsia" w:ascii="宋体" w:hAnsi="宋体" w:eastAsia="宋体" w:cs="宋体"/>
        </w:rPr>
      </w:pPr>
      <w:r>
        <w:rPr>
          <w:rFonts w:hint="eastAsia" w:ascii="宋体" w:hAnsi="宋体" w:eastAsia="宋体" w:cs="宋体"/>
        </w:rPr>
        <w:t>民企：联想、海尔大学、TCL大学、美的、蒙牛、清华同方、新浪</w:t>
      </w:r>
    </w:p>
    <w:p>
      <w:pPr>
        <w:spacing w:line="276" w:lineRule="auto"/>
        <w:rPr>
          <w:rFonts w:hint="eastAsia" w:ascii="宋体" w:hAnsi="宋体" w:eastAsia="宋体" w:cs="宋体"/>
        </w:rPr>
      </w:pPr>
      <w:r>
        <w:rPr>
          <w:rFonts w:hint="eastAsia" w:ascii="宋体" w:hAnsi="宋体" w:eastAsia="宋体" w:cs="宋体"/>
        </w:rPr>
        <w:t>外企：IBM、NOKIA、MOTOROLA、HP、BP、SCHNEIDER、APP、GSK</w:t>
      </w:r>
    </w:p>
    <w:p>
      <w:pPr>
        <w:spacing w:line="276" w:lineRule="auto"/>
        <w:rPr>
          <w:rFonts w:hint="eastAsia" w:ascii="宋体" w:hAnsi="宋体" w:eastAsia="宋体" w:cs="宋体"/>
        </w:rPr>
      </w:pPr>
      <w:r>
        <w:rPr>
          <w:rFonts w:hint="eastAsia" w:ascii="宋体" w:hAnsi="宋体" w:eastAsia="宋体" w:cs="宋体"/>
        </w:rPr>
        <w:t>研究：中科院心理所、中国运载火箭技术研究院、智能电网研究院</w:t>
      </w:r>
    </w:p>
    <w:p>
      <w:pPr>
        <w:rPr>
          <w:rFonts w:hint="eastAsia" w:ascii="华文细黑" w:hAnsi="华文细黑" w:eastAsia="华文细黑" w:cs="华文细黑"/>
          <w:lang w:val="en-US" w:eastAsia="zh-CN"/>
        </w:rPr>
      </w:pPr>
      <w:r>
        <w:rPr>
          <w:rFonts w:hint="eastAsia" w:ascii="宋体" w:hAnsi="宋体" w:eastAsia="宋体" w:cs="宋体"/>
        </w:rPr>
        <w:t xml:space="preserve">新闻：中央电视台新闻会客厅栏目、北京电视台、南方报业              </w:t>
      </w:r>
      <w:r>
        <w:rPr>
          <w:rFonts w:hint="eastAsia" w:ascii="华文细黑" w:hAnsi="华文细黑" w:eastAsia="华文细黑" w:cs="华文细黑"/>
        </w:rPr>
        <w:t xml:space="preserve">                       </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5ACCA1"/>
    <w:multiLevelType w:val="singleLevel"/>
    <w:tmpl w:val="E95ACCA1"/>
    <w:lvl w:ilvl="0" w:tentative="0">
      <w:start w:val="1"/>
      <w:numFmt w:val="decimal"/>
      <w:lvlText w:val="%1."/>
      <w:lvlJc w:val="left"/>
      <w:pPr>
        <w:tabs>
          <w:tab w:val="left" w:pos="420"/>
        </w:tabs>
        <w:ind w:left="845" w:hanging="425"/>
      </w:pPr>
      <w:rPr>
        <w:rFonts w:hint="default"/>
      </w:rPr>
    </w:lvl>
  </w:abstractNum>
  <w:abstractNum w:abstractNumId="1">
    <w:nsid w:val="261E422F"/>
    <w:multiLevelType w:val="singleLevel"/>
    <w:tmpl w:val="261E422F"/>
    <w:lvl w:ilvl="0" w:tentative="0">
      <w:start w:val="1"/>
      <w:numFmt w:val="decimal"/>
      <w:lvlText w:val="%1."/>
      <w:lvlJc w:val="left"/>
      <w:pPr>
        <w:tabs>
          <w:tab w:val="left" w:pos="420"/>
        </w:tabs>
        <w:ind w:left="845" w:hanging="425"/>
      </w:pPr>
      <w:rPr>
        <w:rFonts w:hint="default"/>
      </w:rPr>
    </w:lvl>
  </w:abstractNum>
  <w:abstractNum w:abstractNumId="2">
    <w:nsid w:val="35E4F7AE"/>
    <w:multiLevelType w:val="singleLevel"/>
    <w:tmpl w:val="35E4F7AE"/>
    <w:lvl w:ilvl="0" w:tentative="0">
      <w:start w:val="1"/>
      <w:numFmt w:val="decimal"/>
      <w:lvlText w:val="%1."/>
      <w:lvlJc w:val="left"/>
      <w:pPr>
        <w:tabs>
          <w:tab w:val="left" w:pos="420"/>
        </w:tabs>
        <w:ind w:left="845" w:hanging="425"/>
      </w:pPr>
      <w:rPr>
        <w:rFonts w:hint="default"/>
      </w:rPr>
    </w:lvl>
  </w:abstractNum>
  <w:abstractNum w:abstractNumId="3">
    <w:nsid w:val="3A9E72A0"/>
    <w:multiLevelType w:val="multilevel"/>
    <w:tmpl w:val="3A9E72A0"/>
    <w:lvl w:ilvl="0" w:tentative="0">
      <w:start w:val="1"/>
      <w:numFmt w:val="japaneseCounting"/>
      <w:lvlText w:val="%1、"/>
      <w:lvlJc w:val="left"/>
      <w:pPr>
        <w:ind w:left="420" w:hanging="420"/>
      </w:pPr>
      <w:rPr>
        <w:rFonts w:hint="default"/>
      </w:rPr>
    </w:lvl>
    <w:lvl w:ilvl="1" w:tentative="0">
      <w:start w:val="1"/>
      <w:numFmt w:val="decimal"/>
      <w:lvlText w:val="%2、"/>
      <w:lvlJc w:val="left"/>
      <w:pPr>
        <w:ind w:left="780" w:hanging="360"/>
      </w:pPr>
      <w:rPr>
        <w:rFonts w:hint="default" w:ascii="宋体" w:hAnsi="宋体" w:eastAsia="宋体" w:cs="宋体"/>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6453C19"/>
    <w:multiLevelType w:val="singleLevel"/>
    <w:tmpl w:val="66453C19"/>
    <w:lvl w:ilvl="0" w:tentative="0">
      <w:start w:val="1"/>
      <w:numFmt w:val="bullet"/>
      <w:lvlText w:val="▪"/>
      <w:lvlJc w:val="left"/>
      <w:pPr>
        <w:tabs>
          <w:tab w:val="left" w:pos="840"/>
        </w:tabs>
        <w:ind w:left="1260" w:leftChars="0" w:hanging="420" w:firstLineChars="0"/>
      </w:pPr>
      <w:rPr>
        <w:rFonts w:hint="default" w:ascii="Arial" w:hAnsi="Arial"/>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liYTc2Yjc5NzgyNTM3NDBkNzUwNzE1YWY1NjgzM2MifQ=="/>
  </w:docVars>
  <w:rsids>
    <w:rsidRoot w:val="00A83E56"/>
    <w:rsid w:val="0000641D"/>
    <w:rsid w:val="0000647F"/>
    <w:rsid w:val="000146D2"/>
    <w:rsid w:val="00020334"/>
    <w:rsid w:val="00020A21"/>
    <w:rsid w:val="00031FE7"/>
    <w:rsid w:val="000346BC"/>
    <w:rsid w:val="00042483"/>
    <w:rsid w:val="00054282"/>
    <w:rsid w:val="00057187"/>
    <w:rsid w:val="00060F97"/>
    <w:rsid w:val="00095513"/>
    <w:rsid w:val="000C23FF"/>
    <w:rsid w:val="000E1B04"/>
    <w:rsid w:val="00102DFC"/>
    <w:rsid w:val="00114AF8"/>
    <w:rsid w:val="00123F02"/>
    <w:rsid w:val="00130A42"/>
    <w:rsid w:val="001339B1"/>
    <w:rsid w:val="0018130F"/>
    <w:rsid w:val="00181EBE"/>
    <w:rsid w:val="0018781F"/>
    <w:rsid w:val="001B4AE1"/>
    <w:rsid w:val="001C29CB"/>
    <w:rsid w:val="001D5156"/>
    <w:rsid w:val="001F73EE"/>
    <w:rsid w:val="00213566"/>
    <w:rsid w:val="0021546E"/>
    <w:rsid w:val="002324DC"/>
    <w:rsid w:val="00237D47"/>
    <w:rsid w:val="00240214"/>
    <w:rsid w:val="00250EE8"/>
    <w:rsid w:val="00253C08"/>
    <w:rsid w:val="00255273"/>
    <w:rsid w:val="0028449E"/>
    <w:rsid w:val="00286647"/>
    <w:rsid w:val="00292B5A"/>
    <w:rsid w:val="00292DE6"/>
    <w:rsid w:val="002B25C6"/>
    <w:rsid w:val="002C42F8"/>
    <w:rsid w:val="002E2CD9"/>
    <w:rsid w:val="002E56F2"/>
    <w:rsid w:val="002F1153"/>
    <w:rsid w:val="003134D6"/>
    <w:rsid w:val="003208AA"/>
    <w:rsid w:val="00327DB5"/>
    <w:rsid w:val="003304F9"/>
    <w:rsid w:val="00336D6F"/>
    <w:rsid w:val="0034104D"/>
    <w:rsid w:val="00341FA0"/>
    <w:rsid w:val="003442AA"/>
    <w:rsid w:val="00354FA7"/>
    <w:rsid w:val="00362B43"/>
    <w:rsid w:val="00386273"/>
    <w:rsid w:val="00393973"/>
    <w:rsid w:val="003A4F90"/>
    <w:rsid w:val="003A6A9D"/>
    <w:rsid w:val="003C7F7D"/>
    <w:rsid w:val="003D1665"/>
    <w:rsid w:val="003D5E96"/>
    <w:rsid w:val="003E4776"/>
    <w:rsid w:val="003F0248"/>
    <w:rsid w:val="003F1C55"/>
    <w:rsid w:val="003F2CFB"/>
    <w:rsid w:val="003F38D0"/>
    <w:rsid w:val="00400103"/>
    <w:rsid w:val="004046D0"/>
    <w:rsid w:val="00426BB4"/>
    <w:rsid w:val="00435C8B"/>
    <w:rsid w:val="00461426"/>
    <w:rsid w:val="0047362E"/>
    <w:rsid w:val="0048325E"/>
    <w:rsid w:val="00483C18"/>
    <w:rsid w:val="00485446"/>
    <w:rsid w:val="00486298"/>
    <w:rsid w:val="004933D9"/>
    <w:rsid w:val="004A713B"/>
    <w:rsid w:val="004D4005"/>
    <w:rsid w:val="004D6FE0"/>
    <w:rsid w:val="004F48AD"/>
    <w:rsid w:val="00511E5E"/>
    <w:rsid w:val="005219B6"/>
    <w:rsid w:val="00526236"/>
    <w:rsid w:val="00537F27"/>
    <w:rsid w:val="005566AC"/>
    <w:rsid w:val="00556DE2"/>
    <w:rsid w:val="00563C6C"/>
    <w:rsid w:val="0058319B"/>
    <w:rsid w:val="005860CD"/>
    <w:rsid w:val="00590E34"/>
    <w:rsid w:val="005A3DBE"/>
    <w:rsid w:val="005C0246"/>
    <w:rsid w:val="005C4B52"/>
    <w:rsid w:val="005E191A"/>
    <w:rsid w:val="005E7C49"/>
    <w:rsid w:val="005F2D32"/>
    <w:rsid w:val="005F5D4C"/>
    <w:rsid w:val="005F72A1"/>
    <w:rsid w:val="0061331E"/>
    <w:rsid w:val="006214B4"/>
    <w:rsid w:val="00635454"/>
    <w:rsid w:val="006558E4"/>
    <w:rsid w:val="006579C3"/>
    <w:rsid w:val="00677079"/>
    <w:rsid w:val="00682E09"/>
    <w:rsid w:val="006C6602"/>
    <w:rsid w:val="006D2440"/>
    <w:rsid w:val="007225DB"/>
    <w:rsid w:val="00735A3C"/>
    <w:rsid w:val="0074250D"/>
    <w:rsid w:val="007470AB"/>
    <w:rsid w:val="007733F5"/>
    <w:rsid w:val="007C4936"/>
    <w:rsid w:val="007C598A"/>
    <w:rsid w:val="007D37B5"/>
    <w:rsid w:val="007D78F9"/>
    <w:rsid w:val="007F2172"/>
    <w:rsid w:val="00814A3C"/>
    <w:rsid w:val="00820CB4"/>
    <w:rsid w:val="00822BFF"/>
    <w:rsid w:val="00823E83"/>
    <w:rsid w:val="00845589"/>
    <w:rsid w:val="0084732A"/>
    <w:rsid w:val="0085322E"/>
    <w:rsid w:val="008540CF"/>
    <w:rsid w:val="008665B1"/>
    <w:rsid w:val="00882E55"/>
    <w:rsid w:val="00884209"/>
    <w:rsid w:val="00890AA2"/>
    <w:rsid w:val="008B118D"/>
    <w:rsid w:val="008B430C"/>
    <w:rsid w:val="008B7038"/>
    <w:rsid w:val="008C3AC1"/>
    <w:rsid w:val="008D1CA3"/>
    <w:rsid w:val="008E778B"/>
    <w:rsid w:val="008F5447"/>
    <w:rsid w:val="009148E4"/>
    <w:rsid w:val="00942C8F"/>
    <w:rsid w:val="0096237C"/>
    <w:rsid w:val="00965A90"/>
    <w:rsid w:val="009700CA"/>
    <w:rsid w:val="00997D78"/>
    <w:rsid w:val="009B2284"/>
    <w:rsid w:val="009D5EE3"/>
    <w:rsid w:val="00A1694B"/>
    <w:rsid w:val="00A2377A"/>
    <w:rsid w:val="00A34FC4"/>
    <w:rsid w:val="00A6284D"/>
    <w:rsid w:val="00A63C8B"/>
    <w:rsid w:val="00A6536B"/>
    <w:rsid w:val="00A70BFE"/>
    <w:rsid w:val="00A8259C"/>
    <w:rsid w:val="00A83E56"/>
    <w:rsid w:val="00A846E5"/>
    <w:rsid w:val="00A86791"/>
    <w:rsid w:val="00AC07C5"/>
    <w:rsid w:val="00AC1CEC"/>
    <w:rsid w:val="00AD0EF8"/>
    <w:rsid w:val="00B04BFD"/>
    <w:rsid w:val="00B10BF7"/>
    <w:rsid w:val="00B10F88"/>
    <w:rsid w:val="00B24FAC"/>
    <w:rsid w:val="00B52B91"/>
    <w:rsid w:val="00B65FBF"/>
    <w:rsid w:val="00B72C0A"/>
    <w:rsid w:val="00B8321E"/>
    <w:rsid w:val="00BA6395"/>
    <w:rsid w:val="00BB7E9A"/>
    <w:rsid w:val="00BD53EE"/>
    <w:rsid w:val="00BE1DB1"/>
    <w:rsid w:val="00BF1723"/>
    <w:rsid w:val="00C02C82"/>
    <w:rsid w:val="00C0727F"/>
    <w:rsid w:val="00C159E7"/>
    <w:rsid w:val="00C2028D"/>
    <w:rsid w:val="00C42C71"/>
    <w:rsid w:val="00C44A14"/>
    <w:rsid w:val="00C45A42"/>
    <w:rsid w:val="00C541CA"/>
    <w:rsid w:val="00C62587"/>
    <w:rsid w:val="00C65F9B"/>
    <w:rsid w:val="00C850B7"/>
    <w:rsid w:val="00C90491"/>
    <w:rsid w:val="00C91B65"/>
    <w:rsid w:val="00CB5AEB"/>
    <w:rsid w:val="00CC0D1D"/>
    <w:rsid w:val="00CE2E54"/>
    <w:rsid w:val="00CE665D"/>
    <w:rsid w:val="00D01A58"/>
    <w:rsid w:val="00D06F3C"/>
    <w:rsid w:val="00D169FA"/>
    <w:rsid w:val="00D16EAF"/>
    <w:rsid w:val="00D22FF2"/>
    <w:rsid w:val="00D25EEE"/>
    <w:rsid w:val="00D26BD5"/>
    <w:rsid w:val="00D50FBA"/>
    <w:rsid w:val="00D554AE"/>
    <w:rsid w:val="00D64AD0"/>
    <w:rsid w:val="00D67B41"/>
    <w:rsid w:val="00D67D2C"/>
    <w:rsid w:val="00D770A0"/>
    <w:rsid w:val="00DA042B"/>
    <w:rsid w:val="00DA2F26"/>
    <w:rsid w:val="00DC7D3F"/>
    <w:rsid w:val="00DD6227"/>
    <w:rsid w:val="00DE2C46"/>
    <w:rsid w:val="00DE6249"/>
    <w:rsid w:val="00E13460"/>
    <w:rsid w:val="00E15652"/>
    <w:rsid w:val="00E25CEB"/>
    <w:rsid w:val="00E26FDA"/>
    <w:rsid w:val="00E442D6"/>
    <w:rsid w:val="00E44BCB"/>
    <w:rsid w:val="00E469E8"/>
    <w:rsid w:val="00E47B40"/>
    <w:rsid w:val="00E56B3E"/>
    <w:rsid w:val="00E741CC"/>
    <w:rsid w:val="00E76C9C"/>
    <w:rsid w:val="00E8219F"/>
    <w:rsid w:val="00E9514D"/>
    <w:rsid w:val="00EA40B3"/>
    <w:rsid w:val="00EB4A05"/>
    <w:rsid w:val="00EC010B"/>
    <w:rsid w:val="00EC2344"/>
    <w:rsid w:val="00ED1EC5"/>
    <w:rsid w:val="00EE0E2F"/>
    <w:rsid w:val="00EE1378"/>
    <w:rsid w:val="00EE4FF1"/>
    <w:rsid w:val="00EF2D62"/>
    <w:rsid w:val="00F0278F"/>
    <w:rsid w:val="00F13A56"/>
    <w:rsid w:val="00F16267"/>
    <w:rsid w:val="00F408A0"/>
    <w:rsid w:val="00F75357"/>
    <w:rsid w:val="00F81820"/>
    <w:rsid w:val="00FA3794"/>
    <w:rsid w:val="00FC3603"/>
    <w:rsid w:val="00FE18F0"/>
    <w:rsid w:val="00FE21F2"/>
    <w:rsid w:val="00FF6529"/>
    <w:rsid w:val="011473B7"/>
    <w:rsid w:val="0C7D1503"/>
    <w:rsid w:val="1045133B"/>
    <w:rsid w:val="14FE5F5C"/>
    <w:rsid w:val="16A2304B"/>
    <w:rsid w:val="16ED44DA"/>
    <w:rsid w:val="23452FA8"/>
    <w:rsid w:val="260C6B46"/>
    <w:rsid w:val="2DBD6C6F"/>
    <w:rsid w:val="2FD82F0E"/>
    <w:rsid w:val="342A4121"/>
    <w:rsid w:val="34B24045"/>
    <w:rsid w:val="418F4758"/>
    <w:rsid w:val="42F51D2A"/>
    <w:rsid w:val="4426594D"/>
    <w:rsid w:val="46DF12D2"/>
    <w:rsid w:val="492B03C7"/>
    <w:rsid w:val="4BDD40B0"/>
    <w:rsid w:val="4C1D3DF2"/>
    <w:rsid w:val="4EEA464B"/>
    <w:rsid w:val="5FE10B16"/>
    <w:rsid w:val="609447CF"/>
    <w:rsid w:val="66D32F43"/>
    <w:rsid w:val="68B0096E"/>
    <w:rsid w:val="6AB15B03"/>
    <w:rsid w:val="7DD323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widowControl/>
      <w:spacing w:line="576" w:lineRule="auto"/>
      <w:jc w:val="left"/>
      <w:outlineLvl w:val="0"/>
    </w:pPr>
    <w:rPr>
      <w:b/>
      <w:spacing w:val="-2"/>
      <w:sz w:val="24"/>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bCs/>
    </w:rPr>
  </w:style>
  <w:style w:type="paragraph" w:styleId="10">
    <w:name w:val="List Paragraph"/>
    <w:basedOn w:val="1"/>
    <w:qFormat/>
    <w:uiPriority w:val="34"/>
    <w:pPr>
      <w:ind w:firstLine="420" w:firstLineChars="200"/>
    </w:pPr>
  </w:style>
  <w:style w:type="character" w:customStyle="1" w:styleId="11">
    <w:name w:val="页眉 字符"/>
    <w:basedOn w:val="8"/>
    <w:link w:val="4"/>
    <w:qFormat/>
    <w:uiPriority w:val="99"/>
    <w:rPr>
      <w:sz w:val="18"/>
      <w:szCs w:val="18"/>
    </w:rPr>
  </w:style>
  <w:style w:type="character" w:customStyle="1" w:styleId="12">
    <w:name w:val="页脚 字符"/>
    <w:basedOn w:val="8"/>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16BB0-8E10-4C34-8DE5-9849F5F88400}">
  <ds:schemaRefs/>
</ds:datastoreItem>
</file>

<file path=docProps/app.xml><?xml version="1.0" encoding="utf-8"?>
<Properties xmlns="http://schemas.openxmlformats.org/officeDocument/2006/extended-properties" xmlns:vt="http://schemas.openxmlformats.org/officeDocument/2006/docPropsVTypes">
  <Template>Normal</Template>
  <Pages>6</Pages>
  <Words>2609</Words>
  <Characters>2839</Characters>
  <Lines>16</Lines>
  <Paragraphs>4</Paragraphs>
  <TotalTime>9</TotalTime>
  <ScaleCrop>false</ScaleCrop>
  <LinksUpToDate>false</LinksUpToDate>
  <CharactersWithSpaces>3153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2023-04-11T12:39:00Z</dcterms:created>
  <dc:creator>MAX</dc:creator>
  <cp:lastModifiedBy>大熊</cp:lastModifiedBy>
  <dcterms:modified xsi:type="dcterms:W3CDTF">2023-11-13T13:11:57Z</dcterms:modified>
  <cp:revision>453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43009680B29446FB93C3EEBC98D31DA8_13</vt:lpwstr>
  </property>
</Properties>
</file>