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480" w:lineRule="auto"/>
        <w:jc w:val="center"/>
        <w:rPr>
          <w:b w:val="1"/>
          <w:sz w:val="40"/>
          <w:szCs w:val="40"/>
          <w:highlight w:val="white"/>
        </w:rPr>
      </w:pPr>
      <w:r w:rsidDel="00000000" w:rsidR="00000000" w:rsidRPr="00000000">
        <w:rPr>
          <w:b w:val="1"/>
          <w:sz w:val="40"/>
          <w:szCs w:val="40"/>
        </w:rPr>
        <w:drawing>
          <wp:inline distB="0" distT="0" distL="0" distR="0">
            <wp:extent cx="3898006" cy="900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3983" l="0" r="0" t="13984"/>
                    <a:stretch>
                      <a:fillRect/>
                    </a:stretch>
                  </pic:blipFill>
                  <pic:spPr>
                    <a:xfrm>
                      <a:off x="0" y="0"/>
                      <a:ext cx="3898006" cy="90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480" w:lineRule="auto"/>
        <w:jc w:val="center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FACULTAD DE INGENIERÍA</w:t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Escuela Académico Profesional de </w:t>
      </w:r>
      <w:r w:rsidDel="00000000" w:rsidR="00000000" w:rsidRPr="00000000">
        <w:rPr>
          <w:b w:val="1"/>
          <w:sz w:val="32"/>
          <w:szCs w:val="32"/>
          <w:shd w:fill="e3efff" w:val="clear"/>
          <w:rtl w:val="0"/>
        </w:rPr>
        <w:t xml:space="preserve">Ingeniería</w:t>
      </w: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 de Sistemas e Informática</w:t>
      </w:r>
    </w:p>
    <w:p w:rsidR="00000000" w:rsidDel="00000000" w:rsidP="00000000" w:rsidRDefault="00000000" w:rsidRPr="00000000" w14:paraId="00000004">
      <w:pPr>
        <w:pStyle w:val="Heading1"/>
        <w:spacing w:after="0" w:before="240" w:line="480" w:lineRule="auto"/>
        <w:jc w:val="center"/>
        <w:rPr>
          <w:b w:val="1"/>
          <w:color w:val="ffffff"/>
          <w:sz w:val="10"/>
          <w:szCs w:val="10"/>
          <w:highlight w:val="white"/>
        </w:rPr>
      </w:pPr>
      <w:bookmarkStart w:colFirst="0" w:colLast="0" w:name="_5egvisjte60" w:id="0"/>
      <w:bookmarkEnd w:id="0"/>
      <w:r w:rsidDel="00000000" w:rsidR="00000000" w:rsidRPr="00000000">
        <w:rPr>
          <w:b w:val="1"/>
          <w:color w:val="ffffff"/>
          <w:sz w:val="10"/>
          <w:szCs w:val="10"/>
          <w:highlight w:val="white"/>
          <w:rtl w:val="0"/>
        </w:rPr>
        <w:t xml:space="preserve">PORTADA</w:t>
      </w:r>
    </w:p>
    <w:p w:rsidR="00000000" w:rsidDel="00000000" w:rsidP="00000000" w:rsidRDefault="00000000" w:rsidRPr="00000000" w14:paraId="00000005">
      <w:pPr>
        <w:spacing w:after="120" w:line="360" w:lineRule="auto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shd w:fill="fceaf0" w:val="clear"/>
          <w:rtl w:val="0"/>
        </w:rPr>
        <w:t xml:space="preserve">Proyecto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480" w:lineRule="auto"/>
        <w:jc w:val="center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“TUTOR VIRTUAL DE LECTURA CRÍTICA”</w:t>
      </w:r>
    </w:p>
    <w:p w:rsidR="00000000" w:rsidDel="00000000" w:rsidP="00000000" w:rsidRDefault="00000000" w:rsidRPr="00000000" w14:paraId="00000007">
      <w:pPr>
        <w:spacing w:after="160" w:line="240" w:lineRule="auto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PRESENTADO POR:</w:t>
      </w:r>
    </w:p>
    <w:p w:rsidR="00000000" w:rsidDel="00000000" w:rsidP="00000000" w:rsidRDefault="00000000" w:rsidRPr="00000000" w14:paraId="00000008">
      <w:pPr>
        <w:spacing w:after="160" w:line="240" w:lineRule="auto"/>
        <w:ind w:firstLine="2125.9842519685035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firstLine="1831.1811023622045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Calderon Espejo Eduardo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firstLine="1831.1811023622045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Campos Aquino Alexandra Karim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firstLine="1831.1811023622045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Espejo Mayhua Jhoanes Lenin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firstLine="1831.1811023622045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Huali Cuyotupa Josep Steven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firstLine="1831.1811023622045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Huaman Capcha Estefani Abigail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firstLine="1831.1811023622045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Rodriguez Santiago Luis Gerardo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firstLine="1831.1811023622045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Salinas Gamión Marlon Andres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160" w:line="360" w:lineRule="auto"/>
        <w:ind w:left="720" w:firstLine="1831.1811023622045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Yaranga Ruiz Kenyi Mauri</w:t>
      </w:r>
    </w:p>
    <w:p w:rsidR="00000000" w:rsidDel="00000000" w:rsidP="00000000" w:rsidRDefault="00000000" w:rsidRPr="00000000" w14:paraId="00000011">
      <w:pPr>
        <w:spacing w:after="160" w:line="240" w:lineRule="auto"/>
        <w:rPr>
          <w:b w:val="1"/>
          <w:sz w:val="28"/>
          <w:szCs w:val="28"/>
          <w:shd w:fill="d7f2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40" w:lineRule="auto"/>
        <w:jc w:val="center"/>
        <w:rPr>
          <w:b w:val="1"/>
          <w:sz w:val="28"/>
          <w:szCs w:val="28"/>
          <w:shd w:fill="d7f2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360" w:lineRule="auto"/>
        <w:jc w:val="center"/>
        <w:rPr>
          <w:b w:val="1"/>
          <w:sz w:val="28"/>
          <w:szCs w:val="28"/>
          <w:shd w:fill="d7f2f7" w:val="clear"/>
        </w:rPr>
      </w:pPr>
      <w:r w:rsidDel="00000000" w:rsidR="00000000" w:rsidRPr="00000000">
        <w:rPr>
          <w:b w:val="1"/>
          <w:sz w:val="28"/>
          <w:szCs w:val="28"/>
          <w:shd w:fill="d7f2f7" w:val="clear"/>
          <w:rtl w:val="0"/>
        </w:rPr>
        <w:t xml:space="preserve">Ingeniero de Sistemas e Informática</w:t>
      </w:r>
    </w:p>
    <w:p w:rsidR="00000000" w:rsidDel="00000000" w:rsidP="00000000" w:rsidRDefault="00000000" w:rsidRPr="00000000" w14:paraId="00000014">
      <w:pPr>
        <w:spacing w:after="160" w:line="480" w:lineRule="auto"/>
        <w:rPr>
          <w:shd w:fill="d7f2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40" w:lineRule="auto"/>
        <w:jc w:val="center"/>
        <w:rPr>
          <w:b w:val="1"/>
          <w:sz w:val="24"/>
          <w:szCs w:val="24"/>
          <w:shd w:fill="d7f2f7" w:val="clear"/>
        </w:rPr>
      </w:pPr>
      <w:r w:rsidDel="00000000" w:rsidR="00000000" w:rsidRPr="00000000">
        <w:rPr>
          <w:b w:val="1"/>
          <w:sz w:val="24"/>
          <w:szCs w:val="24"/>
          <w:shd w:fill="d7f2f7" w:val="clear"/>
          <w:rtl w:val="0"/>
        </w:rPr>
        <w:t xml:space="preserve">Huancayo – Perú</w:t>
      </w:r>
    </w:p>
    <w:p w:rsidR="00000000" w:rsidDel="00000000" w:rsidP="00000000" w:rsidRDefault="00000000" w:rsidRPr="00000000" w14:paraId="00000016">
      <w:pPr>
        <w:spacing w:after="160" w:line="36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sz w:val="24"/>
          <w:szCs w:val="24"/>
          <w:shd w:fill="d7f2f7" w:val="clear"/>
          <w:rtl w:val="0"/>
        </w:rPr>
        <w:t xml:space="preserve">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center"/>
        <w:rPr>
          <w:rFonts w:ascii="Calibri" w:cs="Calibri" w:eastAsia="Calibri" w:hAnsi="Calibri"/>
          <w:b w:val="1"/>
          <w:i w:val="1"/>
          <w:color w:val="0000f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ff"/>
          <w:sz w:val="28"/>
          <w:szCs w:val="28"/>
          <w:rtl w:val="0"/>
        </w:rPr>
        <w:t xml:space="preserve">DECLARACIÓN DE LA VISIÓN</w:t>
      </w:r>
    </w:p>
    <w:p w:rsidR="00000000" w:rsidDel="00000000" w:rsidP="00000000" w:rsidRDefault="00000000" w:rsidRPr="00000000" w14:paraId="00000018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Para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estudiantes y docentes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quienes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buscan potenciar su capacidad de análisis crítico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y mejorar la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comprensión lectora mediante una metodología innovadora,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el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Tutor Virtual de Lectura Crítica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es una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plataforma educativa avanzada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utiliza Inteligencia Artificial (IA) para generar preguntas de análisis profundo, identificar sesgos y falacias en los textos, y evaluar automáticamente la comprensión de los estudiantes.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 diferencia de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los sistemas tradicionales de enseñanza que solo entregan contenido estático,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Nuestro producto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ofrecerá una automatización completa con N8N, que gestionará la asignación de actividades, enviará recordatorios personalizados y proporcionará reportes detallados del progreso de los estudiantes, ayudando a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desarrollar hábitos de lectura crítica de manera eficiente y accesible.</w:t>
      </w:r>
    </w:p>
    <w:p w:rsidR="00000000" w:rsidDel="00000000" w:rsidP="00000000" w:rsidRDefault="00000000" w:rsidRPr="00000000" w14:paraId="0000001A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Calibri" w:cs="Calibri" w:eastAsia="Calibri" w:hAnsi="Calibri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