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42A45" w:rsidP="00114598" w:rsidRDefault="00902BC9" w14:paraId="049AFF74" w14:textId="77777777">
      <w:pPr>
        <w:spacing w:after="60"/>
        <w:jc w:val="center"/>
      </w:pPr>
      <w:r>
        <w:rPr>
          <w:b/>
          <w:bCs/>
          <w:color w:val="1F3864"/>
          <w:sz w:val="40"/>
          <w:szCs w:val="40"/>
        </w:rPr>
        <w:t>RELÈVE</w:t>
      </w:r>
    </w:p>
    <w:p w:rsidR="00642A45" w:rsidP="00114598" w:rsidRDefault="00902BC9" w14:paraId="4946B578" w14:textId="77777777">
      <w:pPr>
        <w:spacing w:after="40"/>
        <w:jc w:val="center"/>
      </w:pPr>
      <w:r>
        <w:rPr>
          <w:color w:val="1F3864"/>
          <w:sz w:val="26"/>
          <w:szCs w:val="26"/>
        </w:rPr>
        <w:t>Analyse de marché : concurrence et positionnement</w:t>
      </w:r>
    </w:p>
    <w:p w:rsidR="00642A45" w:rsidP="00114598" w:rsidRDefault="00642A45" w14:paraId="50FCC785" w14:textId="73ECBD20">
      <w:pPr>
        <w:spacing w:after="40"/>
        <w:jc w:val="cente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642A45" w14:paraId="03B54432" w14:textId="77777777">
        <w:tc>
          <w:tcPr>
            <w:tcW w:w="9360" w:type="dxa"/>
            <w:shd w:val="clear" w:color="auto" w:fill="D9E2F3"/>
            <w:tcMar>
              <w:top w:w="140" w:type="dxa"/>
              <w:left w:w="180" w:type="dxa"/>
              <w:bottom w:w="140" w:type="dxa"/>
              <w:right w:w="180" w:type="dxa"/>
            </w:tcMar>
          </w:tcPr>
          <w:p w:rsidR="00642A45" w:rsidRDefault="00902BC9" w14:paraId="0C7F1E2C" w14:textId="04E88C8F">
            <w:pPr>
              <w:spacing w:line="264" w:lineRule="auto"/>
              <w:jc w:val="both"/>
            </w:pPr>
            <w:r>
              <w:rPr>
                <w:i/>
                <w:iCs/>
                <w:color w:val="262626"/>
                <w:sz w:val="19"/>
                <w:szCs w:val="19"/>
              </w:rPr>
              <w:t>EHPAD : établissement d'hébergement pour personnes âgées dépendantes. Établissement de santé : hôpital public, établissement privé à but non lucratif ou clinique privée</w:t>
            </w:r>
          </w:p>
        </w:tc>
      </w:tr>
    </w:tbl>
    <w:p w:rsidR="00642A45" w:rsidRDefault="00642A45" w14:paraId="5C05ED35" w14:textId="77777777">
      <w:pPr>
        <w:spacing w:after="200" w:line="276" w:lineRule="auto"/>
        <w:jc w:val="both"/>
      </w:pPr>
    </w:p>
    <w:p w:rsidR="00642A45" w:rsidRDefault="00902BC9" w14:paraId="6A69E930" w14:textId="77777777">
      <w:pPr>
        <w:pStyle w:val="Titre1"/>
        <w:spacing w:before="320" w:after="160"/>
      </w:pPr>
      <w:r>
        <w:rPr>
          <w:b/>
          <w:bCs/>
          <w:color w:val="1F3864"/>
          <w:sz w:val="26"/>
          <w:szCs w:val="26"/>
        </w:rPr>
        <w:t>1. Objet du document</w:t>
      </w:r>
    </w:p>
    <w:p w:rsidR="00642A45" w:rsidRDefault="00902BC9" w14:paraId="7C23B598" w14:textId="77777777">
      <w:pPr>
        <w:spacing w:after="160" w:line="276" w:lineRule="auto"/>
        <w:jc w:val="both"/>
      </w:pPr>
      <w:r>
        <w:t>Ce document situe Relève par rapport aux acteurs déjà présents sur l'intérim et le remplacement des aides-soignants en établissement. Il traite la concurrence et le positionnement. Les chiffres du marché, la tension de recrutement et le cadre réglementaire figurent dans le document Étude de marché, qui le complète.</w:t>
      </w:r>
    </w:p>
    <w:p w:rsidR="00642A45" w:rsidRDefault="00902BC9" w14:paraId="00FA7C49" w14:textId="77777777">
      <w:pPr>
        <w:pStyle w:val="Titre1"/>
        <w:spacing w:before="320" w:after="160"/>
      </w:pPr>
      <w:r>
        <w:rPr>
          <w:b/>
          <w:bCs/>
          <w:color w:val="1F3864"/>
          <w:sz w:val="26"/>
          <w:szCs w:val="26"/>
        </w:rPr>
        <w:t>2. Le paysage concurrentiel</w:t>
      </w:r>
    </w:p>
    <w:p w:rsidR="00642A45" w:rsidRDefault="00902BC9" w14:paraId="247EBDEF" w14:textId="77777777">
      <w:pPr>
        <w:pStyle w:val="Titre2"/>
        <w:spacing w:before="240" w:after="120"/>
      </w:pPr>
      <w:r>
        <w:rPr>
          <w:b/>
          <w:bCs/>
          <w:color w:val="1F3864"/>
          <w:sz w:val="23"/>
          <w:szCs w:val="23"/>
        </w:rPr>
        <w:t>2.1 Les acteurs historiques de l'intérim généraliste</w:t>
      </w:r>
    </w:p>
    <w:p w:rsidR="00642A45" w:rsidRDefault="00902BC9" w14:paraId="2D494342" w14:textId="77777777">
      <w:pPr>
        <w:spacing w:after="160" w:line="276" w:lineRule="auto"/>
        <w:jc w:val="both"/>
      </w:pPr>
      <w:r>
        <w:t xml:space="preserve">Adecco </w:t>
      </w:r>
      <w:proofErr w:type="spellStart"/>
      <w:r>
        <w:t>Medical</w:t>
      </w:r>
      <w:proofErr w:type="spellEnd"/>
      <w:r>
        <w:t>, Randstad et Manpower interviennent sur l'intérim médical et paramédical. Leurs outils sont souvent généralistes et lourds, pensés pour tous les métiers à la fois. Rien n'y traite spécifiquement le remplacement rapide d'un aide-soignant absent en EHPAD, en clinique ou à l'hôpital, ni le contrôle d'éligibilité désormais imposé par la loi.</w:t>
      </w:r>
    </w:p>
    <w:p w:rsidR="00642A45" w:rsidRDefault="00902BC9" w14:paraId="2D494342" w14:textId="77777777">
      <w:pPr>
        <w:spacing w:after="160" w:line="276" w:lineRule="auto"/>
        <w:jc w:val="both"/>
      </w:pPr>
      <w:r>
        <w:t>À l'hôpital et en clinique, ces agences captent l'essentiel de l'intérim paramédical, qui représentait 825 millions d'euros en 2023 selon la Cour des comptes, pour 830 000 missions d'une durée moyenne de 2,3 jours. C'est un marché réel et déjà structuré. Relève y entre par un angle précis : les missions courtes de remplacement d'aides-soignants, avec le contrôle légal intégré.</w:t>
      </w:r>
      <w:proofErr w:type="spellStart"/>
      <w:proofErr w:type="spellEnd"/>
    </w:p>
    <w:p w:rsidR="00642A45" w:rsidRDefault="00902BC9" w14:paraId="6EA5FA40" w14:textId="77777777">
      <w:pPr>
        <w:pStyle w:val="Titre2"/>
        <w:spacing w:before="240" w:after="120"/>
      </w:pPr>
      <w:r>
        <w:rPr>
          <w:b/>
          <w:bCs/>
          <w:color w:val="1F3864"/>
          <w:sz w:val="23"/>
          <w:szCs w:val="23"/>
        </w:rPr>
        <w:t>2.2 Les plateformes sectorielles récentes</w:t>
      </w:r>
    </w:p>
    <w:p w:rsidR="00642A45" w:rsidRDefault="00902BC9" w14:paraId="707E6571" w14:textId="7922CDDA">
      <w:pPr>
        <w:spacing w:after="160" w:line="276" w:lineRule="auto"/>
        <w:jc w:val="both"/>
      </w:pPr>
      <w:r w:rsidR="418D62A6">
        <w:rPr/>
        <w:t>Brigad, Extracadabra ou Staffmatch montrent qu'une plateforme ciblée sur un seul secteur trouve sa place face aux généralistes. Relève reprend cette logique et l'applique à un métier précis, l'aide-soignant en EHPAD, en clinique et à l'hôpital. Ces acteurs n'interviennent pas sur notre périmètre : ils prouvent que le modèle fonctionne, sans être des concurrents directs.</w:t>
      </w:r>
    </w:p>
    <w:p w:rsidR="00642A45" w:rsidRDefault="00902BC9" w14:paraId="3C068FC5" w14:textId="77777777">
      <w:pPr>
        <w:pStyle w:val="Titre1"/>
        <w:spacing w:before="320" w:after="160"/>
      </w:pPr>
      <w:r>
        <w:rPr>
          <w:b/>
          <w:bCs/>
          <w:color w:val="1F3864"/>
          <w:sz w:val="26"/>
          <w:szCs w:val="26"/>
        </w:rPr>
        <w:t>3. Les concurrents directs</w:t>
      </w:r>
    </w:p>
    <w:p w:rsidR="00642A45" w:rsidRDefault="00902BC9" w14:paraId="62C64BCF" w14:textId="77777777">
      <w:pPr>
        <w:pStyle w:val="Titre2"/>
        <w:spacing w:before="240" w:after="120"/>
      </w:pPr>
      <w:r>
        <w:rPr>
          <w:b/>
          <w:bCs/>
          <w:color w:val="1F3864"/>
          <w:sz w:val="23"/>
          <w:szCs w:val="23"/>
        </w:rPr>
        <w:t xml:space="preserve">3.1 </w:t>
      </w:r>
      <w:proofErr w:type="spellStart"/>
      <w:r>
        <w:rPr>
          <w:b/>
          <w:bCs/>
          <w:color w:val="1F3864"/>
          <w:sz w:val="23"/>
          <w:szCs w:val="23"/>
        </w:rPr>
        <w:t>Hublo</w:t>
      </w:r>
      <w:proofErr w:type="spellEnd"/>
    </w:p>
    <w:p w:rsidR="00642A45" w:rsidRDefault="00902BC9" w14:paraId="6C573CD5" w14:textId="77777777">
      <w:pPr>
        <w:spacing w:after="160" w:line="276" w:lineRule="auto"/>
        <w:jc w:val="both"/>
      </w:pPr>
      <w:proofErr w:type="spellStart"/>
      <w:r>
        <w:t>Hublo</w:t>
      </w:r>
      <w:proofErr w:type="spellEnd"/>
      <w:r>
        <w:t xml:space="preserve"> est la référence du remplacement en établissement de santé et médico-social, et notre concurrent le plus direct. Son modèle n'est pas de l'intérim : les professionnels adhèrent à un réseau, postulent aux missions publiées via l'application, puis sont embauchés directement par l'établissement, en CDD ou en vacation, sans passer par une agence. L'établissement paie un abonnement annuel. C'est un logiciel de gestion des remplacements adossé à un grand réseau, pas une entreprise de travail temporaire.</w:t>
      </w:r>
    </w:p>
    <w:p w:rsidR="00642A45" w:rsidRDefault="00902BC9" w14:paraId="69C5A226" w14:textId="0FD66A51">
      <w:pPr>
        <w:spacing w:after="160" w:line="276" w:lineRule="auto"/>
        <w:jc w:val="both"/>
      </w:pPr>
      <w:r w:rsidR="418D62A6">
        <w:rPr/>
        <w:t>Hublo</w:t>
      </w:r>
      <w:r w:rsidR="418D62A6">
        <w:rPr/>
        <w:t xml:space="preserve"> communique sur un réseau de plus d'un million de soignants inscrits et sur plus de deux mille EHPAD connectés. Ces chiffres proviennent de l'entreprise elle-même. Pour son vivier externe, </w:t>
      </w:r>
      <w:r w:rsidR="418D62A6">
        <w:rPr/>
        <w:t>Hublo</w:t>
      </w:r>
      <w:r w:rsidR="418D62A6">
        <w:rPr/>
        <w:t xml:space="preserve"> affiche une facturation au placement de trente euros hors taxes par aide-soignant.</w:t>
      </w:r>
    </w:p>
    <w:p w:rsidR="00642A45" w:rsidRDefault="00902BC9" w14:paraId="5DEA85DD" w14:textId="77777777">
      <w:pPr>
        <w:spacing w:after="160" w:line="276" w:lineRule="auto"/>
        <w:jc w:val="both"/>
      </w:pPr>
      <w:r>
        <w:t xml:space="preserve">Ce qu'il faut en retenir pour Relève tient en deux nuances. La force de </w:t>
      </w:r>
      <w:proofErr w:type="spellStart"/>
      <w:r>
        <w:t>Hublo</w:t>
      </w:r>
      <w:proofErr w:type="spellEnd"/>
      <w:r>
        <w:t xml:space="preserve"> n'est pas juridique : le salariat direct est solide, et il coûte même moins cher à l'usage. Mais son modèle suppose que l'établissement ait déjà constitué un vivier de remplaçants, ou qu'il sache l'animer, et il laisse à l'établissement la charge de vérifier lui-même l'éligibilité de chaque professionnel au regard de la loi </w:t>
      </w:r>
      <w:proofErr w:type="spellStart"/>
      <w:r>
        <w:t>Valletoux</w:t>
      </w:r>
      <w:proofErr w:type="spellEnd"/>
      <w:r>
        <w:t>. C'est sur ces deux points que Relève se distingue.</w:t>
      </w:r>
    </w:p>
    <w:p w:rsidR="00114598" w:rsidRDefault="00114598" w14:paraId="4653C2D7" w14:textId="77777777">
      <w:pPr>
        <w:spacing w:after="160" w:line="276" w:lineRule="auto"/>
        <w:jc w:val="both"/>
      </w:pPr>
    </w:p>
    <w:p w:rsidR="00114598" w:rsidRDefault="00114598" w14:paraId="77B76D36" w14:textId="77777777">
      <w:pPr>
        <w:spacing w:after="160" w:line="276" w:lineRule="auto"/>
        <w:jc w:val="both"/>
      </w:pPr>
    </w:p>
    <w:p w:rsidR="00642A45" w:rsidRDefault="00902BC9" w14:paraId="091E4502" w14:textId="77777777">
      <w:pPr>
        <w:pStyle w:val="Titre2"/>
        <w:spacing w:before="240" w:after="120"/>
      </w:pPr>
      <w:r>
        <w:rPr>
          <w:b/>
          <w:bCs/>
          <w:color w:val="1F3864"/>
          <w:sz w:val="23"/>
          <w:szCs w:val="23"/>
        </w:rPr>
        <w:lastRenderedPageBreak/>
        <w:t xml:space="preserve">3.2 </w:t>
      </w:r>
      <w:proofErr w:type="spellStart"/>
      <w:r>
        <w:rPr>
          <w:b/>
          <w:bCs/>
          <w:color w:val="1F3864"/>
          <w:sz w:val="23"/>
          <w:szCs w:val="23"/>
        </w:rPr>
        <w:t>Mediflash</w:t>
      </w:r>
      <w:proofErr w:type="spellEnd"/>
    </w:p>
    <w:p w:rsidR="00642A45" w:rsidRDefault="00902BC9" w14:paraId="694A0968" w14:textId="77777777">
      <w:pPr>
        <w:spacing w:after="160" w:line="276" w:lineRule="auto"/>
        <w:jc w:val="both"/>
      </w:pPr>
      <w:proofErr w:type="spellStart"/>
      <w:r>
        <w:t>Mediflash</w:t>
      </w:r>
      <w:proofErr w:type="spellEnd"/>
      <w:r>
        <w:t xml:space="preserve"> met en relation des professionnels sous statut d'auto-entrepreneur avec des établissements sanitaires et médico-sociaux, sur le modèle des plateformes de type Uber. L'argument commercial repose sur un coût réduit pour l'établissement, l'absence de charges patronales, et une rémunération supérieure pour le professionnel, que </w:t>
      </w:r>
      <w:proofErr w:type="spellStart"/>
      <w:r>
        <w:t>Mediflash</w:t>
      </w:r>
      <w:proofErr w:type="spellEnd"/>
      <w:r>
        <w:t xml:space="preserve"> évalue à environ vingt pour cent.</w:t>
      </w:r>
    </w:p>
    <w:p w:rsidR="00642A45" w:rsidP="000368C3" w:rsidRDefault="00902BC9" w14:paraId="51E0C7C6" w14:textId="5B73CB9D">
      <w:pPr>
        <w:spacing w:after="160" w:line="276" w:lineRule="auto"/>
        <w:jc w:val="both"/>
      </w:pPr>
      <w:r>
        <w:t>Ce modèle est contesté, et de plus en plus fermement. Le gouvernement le considère comme illégal pour les soignants en établissement. La commission d'enquête parlementaire sur les Uber Files a auditionné les cofondateurs et cite l'entreprise dans son rapport. L'inspection du travail du Grand Est a écrit à des dizaines d'EHPAD pour signaler du travail illégal. Le raisonnement est simple : un aide-soignant exerce sous la responsabilité d'un cadre, ce qui crée un lien de subordination incompatible avec le stat</w:t>
      </w:r>
      <w:r>
        <w:t>ut d'indépendant.</w:t>
      </w:r>
    </w:p>
    <w:p w:rsidR="00642A45" w:rsidRDefault="00902BC9" w14:paraId="375CE3E0" w14:textId="77777777">
      <w:pPr>
        <w:spacing w:after="160" w:line="276" w:lineRule="auto"/>
        <w:jc w:val="both"/>
      </w:pPr>
      <w:r>
        <w:t>Ce concurrent nous sert de contre-exemple. Choisir un vrai contrat de mission plutôt qu'un contournement du salariat nous coûte en marge, et nous le savons. Mais c'est un choix durable, et défendable devant un jury.</w:t>
      </w:r>
    </w:p>
    <w:p w:rsidR="00642A45" w:rsidRDefault="00902BC9" w14:paraId="019EE644" w14:textId="77777777">
      <w:pPr>
        <w:pStyle w:val="Titre1"/>
        <w:spacing w:before="320" w:after="160"/>
      </w:pPr>
      <w:r>
        <w:rPr>
          <w:b/>
          <w:bCs/>
          <w:color w:val="1F3864"/>
          <w:sz w:val="26"/>
          <w:szCs w:val="26"/>
        </w:rPr>
        <w:t>4. Tableau comparatif</w:t>
      </w:r>
    </w:p>
    <w:p w:rsidR="00642A45" w:rsidRDefault="00902BC9" w14:paraId="47F462AB" w14:textId="77777777">
      <w:pPr>
        <w:spacing w:after="160" w:line="276" w:lineRule="auto"/>
        <w:jc w:val="both"/>
      </w:pPr>
      <w:r>
        <w:t>La colonne Relève décrit une cible, pas un produit existant. Les deux premières colonnes décrivent des acteurs réels.</w:t>
      </w:r>
    </w:p>
    <w:tbl>
      <w:tblPr>
        <w:tblW w:w="936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left w:w="10" w:type="dxa"/>
          <w:right w:w="10" w:type="dxa"/>
        </w:tblCellMar>
        <w:tblLook w:val="04A0" w:firstRow="1" w:lastRow="0" w:firstColumn="1" w:lastColumn="0" w:noHBand="0" w:noVBand="1"/>
      </w:tblPr>
      <w:tblGrid>
        <w:gridCol w:w="1900"/>
        <w:gridCol w:w="2450"/>
        <w:gridCol w:w="2450"/>
        <w:gridCol w:w="2560"/>
      </w:tblGrid>
      <w:tr w:rsidR="00642A45" w14:paraId="35B346FB" w14:textId="77777777">
        <w:trPr>
          <w:tblHeader/>
        </w:trPr>
        <w:tc>
          <w:tcPr>
            <w:tcW w:w="1900" w:type="dxa"/>
            <w:shd w:val="clear" w:color="auto" w:fill="1F3864"/>
            <w:tcMar>
              <w:top w:w="100" w:type="dxa"/>
              <w:left w:w="110" w:type="dxa"/>
              <w:bottom w:w="100" w:type="dxa"/>
              <w:right w:w="110" w:type="dxa"/>
            </w:tcMar>
          </w:tcPr>
          <w:p w:rsidR="00642A45" w:rsidRDefault="00902BC9" w14:paraId="057A1B29" w14:textId="77777777">
            <w:pPr>
              <w:jc w:val="center"/>
            </w:pPr>
            <w:r>
              <w:rPr>
                <w:b/>
                <w:bCs/>
                <w:color w:val="FFFFFF"/>
                <w:sz w:val="18"/>
                <w:szCs w:val="18"/>
              </w:rPr>
              <w:t>Critère</w:t>
            </w:r>
          </w:p>
        </w:tc>
        <w:tc>
          <w:tcPr>
            <w:tcW w:w="2450" w:type="dxa"/>
            <w:shd w:val="clear" w:color="auto" w:fill="1F3864"/>
            <w:tcMar>
              <w:top w:w="100" w:type="dxa"/>
              <w:left w:w="110" w:type="dxa"/>
              <w:bottom w:w="100" w:type="dxa"/>
              <w:right w:w="110" w:type="dxa"/>
            </w:tcMar>
          </w:tcPr>
          <w:p w:rsidR="00642A45" w:rsidRDefault="00902BC9" w14:paraId="38709517" w14:textId="77777777">
            <w:pPr>
              <w:jc w:val="center"/>
            </w:pPr>
            <w:proofErr w:type="spellStart"/>
            <w:r>
              <w:rPr>
                <w:b/>
                <w:bCs/>
                <w:color w:val="FFFFFF"/>
                <w:sz w:val="18"/>
                <w:szCs w:val="18"/>
              </w:rPr>
              <w:t>Hublo</w:t>
            </w:r>
            <w:proofErr w:type="spellEnd"/>
          </w:p>
        </w:tc>
        <w:tc>
          <w:tcPr>
            <w:tcW w:w="2450" w:type="dxa"/>
            <w:shd w:val="clear" w:color="auto" w:fill="1F3864"/>
            <w:tcMar>
              <w:top w:w="100" w:type="dxa"/>
              <w:left w:w="110" w:type="dxa"/>
              <w:bottom w:w="100" w:type="dxa"/>
              <w:right w:w="110" w:type="dxa"/>
            </w:tcMar>
          </w:tcPr>
          <w:p w:rsidR="00642A45" w:rsidRDefault="00902BC9" w14:paraId="521458BD" w14:textId="77777777">
            <w:pPr>
              <w:jc w:val="center"/>
            </w:pPr>
            <w:proofErr w:type="spellStart"/>
            <w:r>
              <w:rPr>
                <w:b/>
                <w:bCs/>
                <w:color w:val="FFFFFF"/>
                <w:sz w:val="18"/>
                <w:szCs w:val="18"/>
              </w:rPr>
              <w:t>Mediflash</w:t>
            </w:r>
            <w:proofErr w:type="spellEnd"/>
          </w:p>
        </w:tc>
        <w:tc>
          <w:tcPr>
            <w:tcW w:w="2560" w:type="dxa"/>
            <w:shd w:val="clear" w:color="auto" w:fill="1F3864"/>
            <w:tcMar>
              <w:top w:w="100" w:type="dxa"/>
              <w:left w:w="110" w:type="dxa"/>
              <w:bottom w:w="100" w:type="dxa"/>
              <w:right w:w="110" w:type="dxa"/>
            </w:tcMar>
          </w:tcPr>
          <w:p w:rsidR="00642A45" w:rsidRDefault="00902BC9" w14:paraId="719D2C24" w14:textId="77777777">
            <w:pPr>
              <w:jc w:val="center"/>
            </w:pPr>
            <w:r>
              <w:rPr>
                <w:b/>
                <w:bCs/>
                <w:color w:val="FFFFFF"/>
                <w:sz w:val="18"/>
                <w:szCs w:val="18"/>
              </w:rPr>
              <w:t>Relève</w:t>
            </w:r>
          </w:p>
        </w:tc>
      </w:tr>
      <w:tr w:rsidR="00642A45" w14:paraId="7298287F" w14:textId="77777777">
        <w:tc>
          <w:tcPr>
            <w:tcW w:w="1900" w:type="dxa"/>
            <w:shd w:val="clear" w:color="auto" w:fill="FFFFFF"/>
            <w:tcMar>
              <w:top w:w="90" w:type="dxa"/>
              <w:left w:w="110" w:type="dxa"/>
              <w:bottom w:w="90" w:type="dxa"/>
              <w:right w:w="110" w:type="dxa"/>
            </w:tcMar>
          </w:tcPr>
          <w:p w:rsidR="00642A45" w:rsidRDefault="00902BC9" w14:paraId="39B6E639" w14:textId="77777777">
            <w:r>
              <w:rPr>
                <w:b/>
                <w:bCs/>
                <w:sz w:val="17"/>
                <w:szCs w:val="17"/>
              </w:rPr>
              <w:t>Statut contractuel</w:t>
            </w:r>
          </w:p>
        </w:tc>
        <w:tc>
          <w:tcPr>
            <w:tcW w:w="2450" w:type="dxa"/>
            <w:shd w:val="clear" w:color="auto" w:fill="FFFFFF"/>
            <w:tcMar>
              <w:top w:w="90" w:type="dxa"/>
              <w:left w:w="110" w:type="dxa"/>
              <w:bottom w:w="90" w:type="dxa"/>
              <w:right w:w="110" w:type="dxa"/>
            </w:tcMar>
          </w:tcPr>
          <w:p w:rsidR="00642A45" w:rsidRDefault="00902BC9" w14:paraId="38AAE6C8" w14:textId="77777777">
            <w:r>
              <w:rPr>
                <w:sz w:val="17"/>
                <w:szCs w:val="17"/>
              </w:rPr>
              <w:t xml:space="preserve">Salariat direct par l'établissement (CDD, vacation), après mise en relation via le réseau </w:t>
            </w:r>
            <w:proofErr w:type="spellStart"/>
            <w:r>
              <w:rPr>
                <w:sz w:val="17"/>
                <w:szCs w:val="17"/>
              </w:rPr>
              <w:t>Hublo</w:t>
            </w:r>
            <w:proofErr w:type="spellEnd"/>
            <w:r>
              <w:rPr>
                <w:sz w:val="17"/>
                <w:szCs w:val="17"/>
              </w:rPr>
              <w:t>.</w:t>
            </w:r>
          </w:p>
        </w:tc>
        <w:tc>
          <w:tcPr>
            <w:tcW w:w="2450" w:type="dxa"/>
            <w:shd w:val="clear" w:color="auto" w:fill="FFFFFF"/>
            <w:tcMar>
              <w:top w:w="90" w:type="dxa"/>
              <w:left w:w="110" w:type="dxa"/>
              <w:bottom w:w="90" w:type="dxa"/>
              <w:right w:w="110" w:type="dxa"/>
            </w:tcMar>
          </w:tcPr>
          <w:p w:rsidR="00642A45" w:rsidRDefault="00902BC9" w14:paraId="0F646AD7" w14:textId="77777777">
            <w:r>
              <w:rPr>
                <w:sz w:val="17"/>
                <w:szCs w:val="17"/>
              </w:rPr>
              <w:t>Auto-entrepreneur. Statut jugé illégal par le gouvernement pour les soignants en établissement.</w:t>
            </w:r>
          </w:p>
        </w:tc>
        <w:tc>
          <w:tcPr>
            <w:tcW w:w="2560" w:type="dxa"/>
            <w:shd w:val="clear" w:color="auto" w:fill="D9E2F3"/>
            <w:tcMar>
              <w:top w:w="90" w:type="dxa"/>
              <w:left w:w="110" w:type="dxa"/>
              <w:bottom w:w="90" w:type="dxa"/>
              <w:right w:w="110" w:type="dxa"/>
            </w:tcMar>
          </w:tcPr>
          <w:p w:rsidR="00642A45" w:rsidRDefault="00902BC9" w14:paraId="1A6367F7" w14:textId="77777777">
            <w:r>
              <w:rPr>
                <w:sz w:val="17"/>
                <w:szCs w:val="17"/>
              </w:rPr>
              <w:t>Contrat de mission d'intérim, cadre établi par le Code du travail.</w:t>
            </w:r>
          </w:p>
        </w:tc>
      </w:tr>
      <w:tr w:rsidR="00642A45" w14:paraId="23E68037" w14:textId="77777777">
        <w:tc>
          <w:tcPr>
            <w:tcW w:w="1900" w:type="dxa"/>
            <w:shd w:val="clear" w:color="auto" w:fill="F2F2F2"/>
            <w:tcMar>
              <w:top w:w="90" w:type="dxa"/>
              <w:left w:w="110" w:type="dxa"/>
              <w:bottom w:w="90" w:type="dxa"/>
              <w:right w:w="110" w:type="dxa"/>
            </w:tcMar>
          </w:tcPr>
          <w:p w:rsidR="00642A45" w:rsidRDefault="00902BC9" w14:paraId="52569210" w14:textId="77777777">
            <w:r>
              <w:rPr>
                <w:b/>
                <w:bCs/>
                <w:sz w:val="17"/>
                <w:szCs w:val="17"/>
              </w:rPr>
              <w:t>Modèle économique</w:t>
            </w:r>
          </w:p>
        </w:tc>
        <w:tc>
          <w:tcPr>
            <w:tcW w:w="2450" w:type="dxa"/>
            <w:shd w:val="clear" w:color="auto" w:fill="F2F2F2"/>
            <w:tcMar>
              <w:top w:w="90" w:type="dxa"/>
              <w:left w:w="110" w:type="dxa"/>
              <w:bottom w:w="90" w:type="dxa"/>
              <w:right w:w="110" w:type="dxa"/>
            </w:tcMar>
          </w:tcPr>
          <w:p w:rsidR="00642A45" w:rsidRDefault="00902BC9" w14:paraId="5E2E484D" w14:textId="77777777">
            <w:r>
              <w:rPr>
                <w:sz w:val="17"/>
                <w:szCs w:val="17"/>
              </w:rPr>
              <w:t>Abonnement annuel payé par l'établissement, plus une facturation au placement pour le vivier externe (30 euros HT par aide-soignant, selon Hublo).</w:t>
            </w:r>
          </w:p>
        </w:tc>
        <w:tc>
          <w:tcPr>
            <w:tcW w:w="2450" w:type="dxa"/>
            <w:shd w:val="clear" w:color="auto" w:fill="F2F2F2"/>
            <w:tcMar>
              <w:top w:w="90" w:type="dxa"/>
              <w:left w:w="110" w:type="dxa"/>
              <w:bottom w:w="90" w:type="dxa"/>
              <w:right w:w="110" w:type="dxa"/>
            </w:tcMar>
          </w:tcPr>
          <w:p w:rsidR="00642A45" w:rsidRDefault="00902BC9" w14:paraId="30989FAB" w14:textId="77777777">
            <w:r>
              <w:rPr>
                <w:sz w:val="17"/>
                <w:szCs w:val="17"/>
              </w:rPr>
              <w:t>Commission sur mission. Argument commercial : un coût réduit pour l'établissement grâce à l'absence de charges patronales.</w:t>
            </w:r>
          </w:p>
        </w:tc>
        <w:tc>
          <w:tcPr>
            <w:tcW w:w="2560" w:type="dxa"/>
            <w:shd w:val="clear" w:color="auto" w:fill="D9E2F3"/>
            <w:tcMar>
              <w:top w:w="90" w:type="dxa"/>
              <w:left w:w="110" w:type="dxa"/>
              <w:bottom w:w="90" w:type="dxa"/>
              <w:right w:w="110" w:type="dxa"/>
            </w:tcMar>
          </w:tcPr>
          <w:p w:rsidR="00642A45" w:rsidRDefault="00902BC9" w14:paraId="6A3239F6" w14:textId="77777777">
            <w:r>
              <w:rPr>
                <w:sz w:val="17"/>
                <w:szCs w:val="17"/>
              </w:rPr>
              <w:t>Facturation de l'heure travaillée avec un coefficient de délégation. Relève est l'employeur et verse le salaire.</w:t>
            </w:r>
          </w:p>
        </w:tc>
      </w:tr>
      <w:tr w:rsidR="00642A45" w14:paraId="54D5B5F6" w14:textId="77777777">
        <w:tc>
          <w:tcPr>
            <w:tcW w:w="1900" w:type="dxa"/>
            <w:shd w:val="clear" w:color="auto" w:fill="FFFFFF"/>
            <w:tcMar>
              <w:top w:w="90" w:type="dxa"/>
              <w:left w:w="110" w:type="dxa"/>
              <w:bottom w:w="90" w:type="dxa"/>
              <w:right w:w="110" w:type="dxa"/>
            </w:tcMar>
          </w:tcPr>
          <w:p w:rsidR="00642A45" w:rsidRDefault="00902BC9" w14:paraId="5CD17C65" w14:textId="77777777">
            <w:r>
              <w:rPr>
                <w:b/>
                <w:bCs/>
                <w:sz w:val="17"/>
                <w:szCs w:val="17"/>
              </w:rPr>
              <w:t xml:space="preserve">Contrôle légal </w:t>
            </w:r>
            <w:proofErr w:type="spellStart"/>
            <w:r>
              <w:rPr>
                <w:b/>
                <w:bCs/>
                <w:sz w:val="17"/>
                <w:szCs w:val="17"/>
              </w:rPr>
              <w:t>Valletoux</w:t>
            </w:r>
            <w:proofErr w:type="spellEnd"/>
          </w:p>
        </w:tc>
        <w:tc>
          <w:tcPr>
            <w:tcW w:w="2450" w:type="dxa"/>
            <w:shd w:val="clear" w:color="auto" w:fill="FFFFFF"/>
            <w:tcMar>
              <w:top w:w="90" w:type="dxa"/>
              <w:left w:w="110" w:type="dxa"/>
              <w:bottom w:w="90" w:type="dxa"/>
              <w:right w:w="110" w:type="dxa"/>
            </w:tcMar>
          </w:tcPr>
          <w:p w:rsidR="00642A45" w:rsidRDefault="00902BC9" w14:paraId="6B9E144B" w14:textId="77777777">
            <w:r>
              <w:rPr>
                <w:sz w:val="17"/>
                <w:szCs w:val="17"/>
              </w:rPr>
              <w:t>Non intégré. L'établissement embauche en direct et reste responsable de la vérification.</w:t>
            </w:r>
          </w:p>
        </w:tc>
        <w:tc>
          <w:tcPr>
            <w:tcW w:w="2450" w:type="dxa"/>
            <w:shd w:val="clear" w:color="auto" w:fill="FFFFFF"/>
            <w:tcMar>
              <w:top w:w="90" w:type="dxa"/>
              <w:left w:w="110" w:type="dxa"/>
              <w:bottom w:w="90" w:type="dxa"/>
              <w:right w:w="110" w:type="dxa"/>
            </w:tcMar>
          </w:tcPr>
          <w:p w:rsidR="00642A45" w:rsidRDefault="00902BC9" w14:paraId="2A7D66C7" w14:textId="77777777">
            <w:r>
              <w:rPr>
                <w:sz w:val="17"/>
                <w:szCs w:val="17"/>
              </w:rPr>
              <w:t>Contournée par le statut d'indépendant, ce qui est précisément l'objet des poursuites.</w:t>
            </w:r>
          </w:p>
        </w:tc>
        <w:tc>
          <w:tcPr>
            <w:tcW w:w="2560" w:type="dxa"/>
            <w:shd w:val="clear" w:color="auto" w:fill="D9E2F3"/>
            <w:tcMar>
              <w:top w:w="90" w:type="dxa"/>
              <w:left w:w="110" w:type="dxa"/>
              <w:bottom w:w="90" w:type="dxa"/>
              <w:right w:w="110" w:type="dxa"/>
            </w:tcMar>
          </w:tcPr>
          <w:p w:rsidR="00642A45" w:rsidRDefault="00902BC9" w14:paraId="27DC9891" w14:textId="77777777">
            <w:r>
              <w:rPr>
                <w:sz w:val="17"/>
                <w:szCs w:val="17"/>
              </w:rPr>
              <w:t>Intégré au cœur du produit. Le filtre d'éligibilité est notre obligation légale en tant qu'agence.</w:t>
            </w:r>
          </w:p>
        </w:tc>
      </w:tr>
      <w:tr w:rsidR="00642A45" w14:paraId="4EF6905E" w14:textId="77777777">
        <w:tc>
          <w:tcPr>
            <w:tcW w:w="1900" w:type="dxa"/>
            <w:shd w:val="clear" w:color="auto" w:fill="F2F2F2"/>
            <w:tcMar>
              <w:top w:w="90" w:type="dxa"/>
              <w:left w:w="110" w:type="dxa"/>
              <w:bottom w:w="90" w:type="dxa"/>
              <w:right w:w="110" w:type="dxa"/>
            </w:tcMar>
          </w:tcPr>
          <w:p w:rsidR="00642A45" w:rsidRDefault="00902BC9" w14:paraId="25B27C8E" w14:textId="77777777">
            <w:r>
              <w:rPr>
                <w:b/>
                <w:bCs/>
                <w:sz w:val="17"/>
                <w:szCs w:val="17"/>
              </w:rPr>
              <w:t>Sécurité juridique</w:t>
            </w:r>
          </w:p>
        </w:tc>
        <w:tc>
          <w:tcPr>
            <w:tcW w:w="2450" w:type="dxa"/>
            <w:shd w:val="clear" w:color="auto" w:fill="F2F2F2"/>
            <w:tcMar>
              <w:top w:w="90" w:type="dxa"/>
              <w:left w:w="110" w:type="dxa"/>
              <w:bottom w:w="90" w:type="dxa"/>
              <w:right w:w="110" w:type="dxa"/>
            </w:tcMar>
          </w:tcPr>
          <w:p w:rsidR="00642A45" w:rsidRDefault="00902BC9" w14:paraId="4B61136D" w14:textId="77777777">
            <w:r>
              <w:rPr>
                <w:sz w:val="17"/>
                <w:szCs w:val="17"/>
              </w:rPr>
              <w:t>Solide. Le salariat classique ne prête pas à discussion.</w:t>
            </w:r>
          </w:p>
        </w:tc>
        <w:tc>
          <w:tcPr>
            <w:tcW w:w="2450" w:type="dxa"/>
            <w:shd w:val="clear" w:color="auto" w:fill="F2F2F2"/>
            <w:tcMar>
              <w:top w:w="90" w:type="dxa"/>
              <w:left w:w="110" w:type="dxa"/>
              <w:bottom w:w="90" w:type="dxa"/>
              <w:right w:w="110" w:type="dxa"/>
            </w:tcMar>
          </w:tcPr>
          <w:p w:rsidR="00642A45" w:rsidRDefault="00902BC9" w14:paraId="66330D25" w14:textId="77777777">
            <w:r>
              <w:rPr>
                <w:sz w:val="17"/>
                <w:szCs w:val="17"/>
              </w:rPr>
              <w:t>Fragile. Statut contesté, courriers de l'inspection du travail, décision du Conseil d'État défavorable.</w:t>
            </w:r>
          </w:p>
        </w:tc>
        <w:tc>
          <w:tcPr>
            <w:tcW w:w="2560" w:type="dxa"/>
            <w:shd w:val="clear" w:color="auto" w:fill="D9E2F3"/>
            <w:tcMar>
              <w:top w:w="90" w:type="dxa"/>
              <w:left w:w="110" w:type="dxa"/>
              <w:bottom w:w="90" w:type="dxa"/>
              <w:right w:w="110" w:type="dxa"/>
            </w:tcMar>
          </w:tcPr>
          <w:p w:rsidR="00642A45" w:rsidRDefault="00902BC9" w14:paraId="4F8C2865" w14:textId="77777777">
            <w:r>
              <w:rPr>
                <w:sz w:val="17"/>
                <w:szCs w:val="17"/>
              </w:rPr>
              <w:t>Solide, sous réserve d'obtenir la garantie financière obligatoire des entreprises de travail temporaire.</w:t>
            </w:r>
          </w:p>
        </w:tc>
      </w:tr>
      <w:tr w:rsidR="00642A45" w14:paraId="4C75D221" w14:textId="77777777">
        <w:tc>
          <w:tcPr>
            <w:tcW w:w="1900" w:type="dxa"/>
            <w:shd w:val="clear" w:color="auto" w:fill="FFFFFF"/>
            <w:tcMar>
              <w:top w:w="90" w:type="dxa"/>
              <w:left w:w="110" w:type="dxa"/>
              <w:bottom w:w="90" w:type="dxa"/>
              <w:right w:w="110" w:type="dxa"/>
            </w:tcMar>
          </w:tcPr>
          <w:p w:rsidR="00642A45" w:rsidRDefault="00902BC9" w14:paraId="640D52A5" w14:textId="77777777">
            <w:r>
              <w:rPr>
                <w:b/>
                <w:bCs/>
                <w:sz w:val="17"/>
                <w:szCs w:val="17"/>
              </w:rPr>
              <w:t>Cible</w:t>
            </w:r>
          </w:p>
        </w:tc>
        <w:tc>
          <w:tcPr>
            <w:tcW w:w="2450" w:type="dxa"/>
            <w:shd w:val="clear" w:color="auto" w:fill="FFFFFF"/>
            <w:tcMar>
              <w:top w:w="90" w:type="dxa"/>
              <w:left w:w="110" w:type="dxa"/>
              <w:bottom w:w="90" w:type="dxa"/>
              <w:right w:w="110" w:type="dxa"/>
            </w:tcMar>
          </w:tcPr>
          <w:p w:rsidR="00642A45" w:rsidRDefault="00902BC9" w14:paraId="6E285E61" w14:textId="77777777">
            <w:r>
              <w:rPr>
                <w:sz w:val="17"/>
                <w:szCs w:val="17"/>
              </w:rPr>
              <w:t>Paramédical et médico-social généraliste : EHPAD, SSIAD, cliniques, hôpitaux.</w:t>
            </w:r>
          </w:p>
        </w:tc>
        <w:tc>
          <w:tcPr>
            <w:tcW w:w="2450" w:type="dxa"/>
            <w:shd w:val="clear" w:color="auto" w:fill="FFFFFF"/>
            <w:tcMar>
              <w:top w:w="90" w:type="dxa"/>
              <w:left w:w="110" w:type="dxa"/>
              <w:bottom w:w="90" w:type="dxa"/>
              <w:right w:w="110" w:type="dxa"/>
            </w:tcMar>
          </w:tcPr>
          <w:p w:rsidR="00642A45" w:rsidRDefault="00902BC9" w14:paraId="1DB9924C" w14:textId="77777777">
            <w:r>
              <w:rPr>
                <w:sz w:val="17"/>
                <w:szCs w:val="17"/>
              </w:rPr>
              <w:t>Soignants du médico-social en établissement : infirmiers, aides-soignants, AES.</w:t>
            </w:r>
          </w:p>
        </w:tc>
        <w:tc>
          <w:tcPr>
            <w:tcW w:w="2560" w:type="dxa"/>
            <w:shd w:val="clear" w:color="auto" w:fill="D9E2F3"/>
            <w:tcMar>
              <w:top w:w="90" w:type="dxa"/>
              <w:left w:w="110" w:type="dxa"/>
              <w:bottom w:w="90" w:type="dxa"/>
              <w:right w:w="110" w:type="dxa"/>
            </w:tcMar>
          </w:tcPr>
          <w:p w:rsidR="00642A45" w:rsidRDefault="00902BC9" w14:paraId="732E2607" w14:textId="77777777">
            <w:r>
              <w:rPr>
                <w:sz w:val="17"/>
                <w:szCs w:val="17"/>
              </w:rPr>
              <w:t>Aides-soignants en EHPAD, cliniques et hôpitaux, en priorité pour le remplacement des absences.</w:t>
            </w:r>
          </w:p>
        </w:tc>
      </w:tr>
      <w:tr w:rsidR="00642A45" w14:paraId="59FDAD96" w14:textId="77777777">
        <w:tc>
          <w:tcPr>
            <w:tcW w:w="1900" w:type="dxa"/>
            <w:shd w:val="clear" w:color="auto" w:fill="F2F2F2"/>
            <w:tcMar>
              <w:top w:w="90" w:type="dxa"/>
              <w:left w:w="110" w:type="dxa"/>
              <w:bottom w:w="90" w:type="dxa"/>
              <w:right w:w="110" w:type="dxa"/>
            </w:tcMar>
          </w:tcPr>
          <w:p w:rsidR="00642A45" w:rsidRDefault="00902BC9" w14:paraId="5F0B11EE" w14:textId="77777777">
            <w:r>
              <w:rPr>
                <w:b/>
                <w:bCs/>
                <w:sz w:val="17"/>
                <w:szCs w:val="17"/>
              </w:rPr>
              <w:t>Ce que l'établissement doit fournir</w:t>
            </w:r>
          </w:p>
        </w:tc>
        <w:tc>
          <w:tcPr>
            <w:tcW w:w="2450" w:type="dxa"/>
            <w:shd w:val="clear" w:color="auto" w:fill="F2F2F2"/>
            <w:tcMar>
              <w:top w:w="90" w:type="dxa"/>
              <w:left w:w="110" w:type="dxa"/>
              <w:bottom w:w="90" w:type="dxa"/>
              <w:right w:w="110" w:type="dxa"/>
            </w:tcMar>
          </w:tcPr>
          <w:p w:rsidR="00642A45" w:rsidRDefault="00902BC9" w14:paraId="46BBBE6A" w14:textId="77777777">
            <w:r>
              <w:rPr>
                <w:sz w:val="17"/>
                <w:szCs w:val="17"/>
              </w:rPr>
              <w:t>Un vivier de remplaçants qu'il constitue et anime lui-même, ou l'adhésion à un réseau existant.</w:t>
            </w:r>
          </w:p>
        </w:tc>
        <w:tc>
          <w:tcPr>
            <w:tcW w:w="2450" w:type="dxa"/>
            <w:shd w:val="clear" w:color="auto" w:fill="F2F2F2"/>
            <w:tcMar>
              <w:top w:w="90" w:type="dxa"/>
              <w:left w:w="110" w:type="dxa"/>
              <w:bottom w:w="90" w:type="dxa"/>
              <w:right w:w="110" w:type="dxa"/>
            </w:tcMar>
          </w:tcPr>
          <w:p w:rsidR="00642A45" w:rsidRDefault="00902BC9" w14:paraId="2B84B204" w14:textId="77777777">
            <w:r>
              <w:rPr>
                <w:sz w:val="17"/>
                <w:szCs w:val="17"/>
              </w:rPr>
              <w:t>Rien, hormis la publication du besoin.</w:t>
            </w:r>
          </w:p>
        </w:tc>
        <w:tc>
          <w:tcPr>
            <w:tcW w:w="2560" w:type="dxa"/>
            <w:shd w:val="clear" w:color="auto" w:fill="D9E2F3"/>
            <w:tcMar>
              <w:top w:w="90" w:type="dxa"/>
              <w:left w:w="110" w:type="dxa"/>
              <w:bottom w:w="90" w:type="dxa"/>
              <w:right w:w="110" w:type="dxa"/>
            </w:tcMar>
          </w:tcPr>
          <w:p w:rsidR="00642A45" w:rsidRDefault="00902BC9" w14:paraId="1CADFE33" w14:textId="77777777">
            <w:r>
              <w:rPr>
                <w:sz w:val="17"/>
                <w:szCs w:val="17"/>
              </w:rPr>
              <w:t>Rien. Relève apporte son propre vivier, déjà vérifié et légalement éligible.</w:t>
            </w:r>
          </w:p>
        </w:tc>
      </w:tr>
      <w:tr w:rsidR="00642A45" w14:paraId="543ABE5C" w14:textId="77777777">
        <w:tc>
          <w:tcPr>
            <w:tcW w:w="1900" w:type="dxa"/>
            <w:shd w:val="clear" w:color="auto" w:fill="FFFFFF"/>
            <w:tcMar>
              <w:top w:w="90" w:type="dxa"/>
              <w:left w:w="110" w:type="dxa"/>
              <w:bottom w:w="90" w:type="dxa"/>
              <w:right w:w="110" w:type="dxa"/>
            </w:tcMar>
          </w:tcPr>
          <w:p w:rsidR="00642A45" w:rsidRDefault="00902BC9" w14:paraId="73F94322" w14:textId="77777777">
            <w:r>
              <w:rPr>
                <w:b/>
                <w:bCs/>
                <w:sz w:val="17"/>
                <w:szCs w:val="17"/>
              </w:rPr>
              <w:t>Rapidité</w:t>
            </w:r>
          </w:p>
        </w:tc>
        <w:tc>
          <w:tcPr>
            <w:tcW w:w="2450" w:type="dxa"/>
            <w:shd w:val="clear" w:color="auto" w:fill="FFFFFF"/>
            <w:tcMar>
              <w:top w:w="90" w:type="dxa"/>
              <w:left w:w="110" w:type="dxa"/>
              <w:bottom w:w="90" w:type="dxa"/>
              <w:right w:w="110" w:type="dxa"/>
            </w:tcMar>
          </w:tcPr>
          <w:p w:rsidR="00642A45" w:rsidRDefault="00902BC9" w14:paraId="3C9161EB" w14:textId="77777777">
            <w:r>
              <w:rPr>
                <w:sz w:val="17"/>
                <w:szCs w:val="17"/>
              </w:rPr>
              <w:t>Rapide une fois le vivier constitué. Le délai réel dépend de cette phase amont.</w:t>
            </w:r>
          </w:p>
        </w:tc>
        <w:tc>
          <w:tcPr>
            <w:tcW w:w="2450" w:type="dxa"/>
            <w:shd w:val="clear" w:color="auto" w:fill="FFFFFF"/>
            <w:tcMar>
              <w:top w:w="90" w:type="dxa"/>
              <w:left w:w="110" w:type="dxa"/>
              <w:bottom w:w="90" w:type="dxa"/>
              <w:right w:w="110" w:type="dxa"/>
            </w:tcMar>
          </w:tcPr>
          <w:p w:rsidR="00642A45" w:rsidRDefault="00902BC9" w14:paraId="306643DF" w14:textId="77777777">
            <w:r>
              <w:rPr>
                <w:sz w:val="17"/>
                <w:szCs w:val="17"/>
              </w:rPr>
              <w:t>Quasi instantanée.</w:t>
            </w:r>
          </w:p>
        </w:tc>
        <w:tc>
          <w:tcPr>
            <w:tcW w:w="2560" w:type="dxa"/>
            <w:shd w:val="clear" w:color="auto" w:fill="D9E2F3"/>
            <w:tcMar>
              <w:top w:w="90" w:type="dxa"/>
              <w:left w:w="110" w:type="dxa"/>
              <w:bottom w:w="90" w:type="dxa"/>
              <w:right w:w="110" w:type="dxa"/>
            </w:tcMar>
          </w:tcPr>
          <w:p w:rsidR="00642A45" w:rsidRDefault="00902BC9" w14:paraId="5E469122" w14:textId="77777777">
            <w:r>
              <w:rPr>
                <w:sz w:val="17"/>
                <w:szCs w:val="17"/>
              </w:rPr>
              <w:t xml:space="preserve">Rapide par </w:t>
            </w:r>
            <w:proofErr w:type="spellStart"/>
            <w:r>
              <w:rPr>
                <w:sz w:val="17"/>
                <w:szCs w:val="17"/>
              </w:rPr>
              <w:t>scoring</w:t>
            </w:r>
            <w:proofErr w:type="spellEnd"/>
            <w:r>
              <w:rPr>
                <w:sz w:val="17"/>
                <w:szCs w:val="17"/>
              </w:rPr>
              <w:t xml:space="preserve"> automatique sur la qualification, la zone et les disponibilités.</w:t>
            </w:r>
          </w:p>
        </w:tc>
      </w:tr>
    </w:tbl>
    <w:p w:rsidR="00642A45" w:rsidRDefault="00642A45" w14:paraId="6CA5B6AC" w14:textId="77777777">
      <w:pPr>
        <w:spacing w:after="200" w:line="276" w:lineRule="auto"/>
        <w:jc w:val="both"/>
      </w:pPr>
    </w:p>
    <w:p w:rsidR="000368C3" w:rsidRDefault="000368C3" w14:paraId="08A0570D" w14:textId="77777777">
      <w:pPr>
        <w:spacing w:after="200" w:line="276" w:lineRule="auto"/>
        <w:jc w:val="both"/>
      </w:pPr>
    </w:p>
    <w:p w:rsidR="000368C3" w:rsidRDefault="000368C3" w14:paraId="296C873F" w14:textId="77777777">
      <w:pPr>
        <w:spacing w:after="200" w:line="276" w:lineRule="auto"/>
        <w:jc w:val="both"/>
      </w:pPr>
    </w:p>
    <w:p w:rsidR="00642A45" w:rsidRDefault="00902BC9" w14:paraId="2C5DC9DD" w14:textId="77777777">
      <w:pPr>
        <w:pStyle w:val="Titre1"/>
        <w:spacing w:before="320" w:after="160"/>
      </w:pPr>
      <w:r>
        <w:rPr>
          <w:b/>
          <w:bCs/>
          <w:color w:val="1F3864"/>
          <w:sz w:val="26"/>
          <w:szCs w:val="26"/>
        </w:rPr>
        <w:lastRenderedPageBreak/>
        <w:t>5. Notre positionnement</w:t>
      </w:r>
    </w:p>
    <w:p w:rsidR="00642A45" w:rsidRDefault="00902BC9" w14:paraId="2515F3FC" w14:textId="69AFB583">
      <w:pPr>
        <w:spacing w:after="160" w:line="276" w:lineRule="auto"/>
        <w:jc w:val="both"/>
      </w:pPr>
      <w:r w:rsidR="418D62A6">
        <w:rPr/>
        <w:t xml:space="preserve">Relève est une agence d'intérim numérique spécialisée sur les aides-soignants, centrée sur le remplacement rapide. Trois éléments nous distinguent, et deux d'entre eux répondent directement aux faiblesses de </w:t>
      </w:r>
      <w:r w:rsidR="418D62A6">
        <w:rPr/>
        <w:t>Hublo</w:t>
      </w:r>
      <w:r w:rsidR="418D62A6">
        <w:rPr/>
        <w:t>.</w:t>
      </w:r>
    </w:p>
    <w:p w:rsidR="00642A45" w:rsidRDefault="00902BC9" w14:paraId="563DD613" w14:textId="0747D958">
      <w:pPr>
        <w:spacing w:after="160" w:line="276" w:lineRule="auto"/>
        <w:jc w:val="both"/>
      </w:pPr>
      <w:r w:rsidR="418D62A6">
        <w:rPr/>
        <w:t xml:space="preserve">Le premier est le contrat : une vraie mission d'intérim, donc une protection sociale pour le professionnel, là où </w:t>
      </w:r>
      <w:r w:rsidR="418D62A6">
        <w:rPr/>
        <w:t>Mediflash</w:t>
      </w:r>
      <w:r w:rsidR="418D62A6">
        <w:rPr/>
        <w:t xml:space="preserve"> s'appuie sur l'auto-entrepreneuriat. Le deuxième est le vivier : nous l'apportons, alors que Hublo demande à l'établissement de constituer le sien. </w:t>
      </w:r>
      <w:r w:rsidR="05F998C0">
        <w:rPr/>
        <w:t>Un établissement médical</w:t>
      </w:r>
      <w:r w:rsidR="05F998C0">
        <w:rPr/>
        <w:t xml:space="preserve"> </w:t>
      </w:r>
      <w:r w:rsidR="418D62A6">
        <w:rPr/>
        <w:t>sous tension, avec un cadre de santé déjà débordé, n'a ni le temps ni les moyens d'animer un réseau de remplaçants.</w:t>
      </w:r>
    </w:p>
    <w:p w:rsidR="00642A45" w:rsidRDefault="00902BC9" w14:paraId="1D4A7457" w14:textId="160D44DC">
      <w:pPr>
        <w:spacing w:after="160" w:line="276" w:lineRule="auto"/>
        <w:jc w:val="both"/>
      </w:pPr>
      <w:r w:rsidR="418D62A6">
        <w:rPr/>
        <w:t>Le troisième est le contrôle légal, et c'est notre différenciateur le plus net sur ce secteur. La loi Valletoux impose depuis le 1er juillet 2024 deux ans d'exercice avant une première mission d'intérim, et elle place l'obligation de vérification sur l'entreprise de travail temporaire. Relève étant une agence, ce contrôle est notre obligation légale, et nous l'avons transformé en fonctionnalité : un aide-soignant non éligible n'apparaît jamais dans une proposition. Hublo, qui n'est pas une agence, ne porte pas cette obligation et laisse l'établissement s'en charger seul.</w:t>
      </w:r>
    </w:p>
    <w:p w:rsidR="00642A45" w:rsidRDefault="00902BC9" w14:paraId="4C5DF47D" w14:textId="77777777">
      <w:pPr>
        <w:pStyle w:val="Titre2"/>
        <w:spacing w:before="240" w:after="120"/>
      </w:pPr>
      <w:r>
        <w:rPr>
          <w:b/>
          <w:bCs/>
          <w:color w:val="1F3864"/>
          <w:sz w:val="23"/>
          <w:szCs w:val="23"/>
        </w:rPr>
        <w:t>5.1 Ce que nous devons assumer</w:t>
      </w:r>
    </w:p>
    <w:p w:rsidR="00642A45" w:rsidRDefault="00902BC9" w14:paraId="4B7932CE" w14:textId="77777777">
      <w:pPr>
        <w:spacing w:after="160" w:line="276" w:lineRule="auto"/>
        <w:jc w:val="both"/>
      </w:pPr>
      <w:r>
        <w:t xml:space="preserve">Notre modèle coûte plus cher à l'heure que celui de </w:t>
      </w:r>
      <w:proofErr w:type="spellStart"/>
      <w:r>
        <w:t>Hublo</w:t>
      </w:r>
      <w:proofErr w:type="spellEnd"/>
      <w:r>
        <w:t>, puisque nous prenons une marge de délégation. Nous l'assumons sur deux arguments : l'établissement ne paie rien tant qu'aucune mission n'est passée, et il n'a ni recrutement à mener ni vérification légale à faire lui-même.</w:t>
      </w:r>
    </w:p>
    <w:p w:rsidR="00642A45" w:rsidRDefault="00902BC9" w14:paraId="039EE90C" w14:textId="77777777">
      <w:pPr>
        <w:spacing w:after="160" w:line="276" w:lineRule="auto"/>
        <w:jc w:val="both"/>
      </w:pPr>
      <w:r>
        <w:t>Le statut d'entreprise de travail temporaire impose par ailleurs une garantie financière couvrant les salaires et les cotisations en cas de défaillance. C'est une barrière réelle à l'entrée, que le jury peut évoquer, et que nous devons savoir nommer.</w:t>
      </w:r>
    </w:p>
    <w:p w:rsidR="00642A45" w:rsidRDefault="00902BC9" w14:paraId="039EE90C" w14:textId="77777777">
      <w:pPr>
        <w:spacing w:after="160" w:line="276" w:lineRule="auto"/>
        <w:jc w:val="both"/>
      </w:pPr>
      <w:r>
        <w:t>Enfin, les hôpitaux publics ne s'ouvrent pas comme les autres établissements. Leurs contrats avec une agence d'intérim relèvent en principe de la commande publique, et leurs dépenses d'intérim sont désormais plafonnées. Nous commencerons donc par les cliniques privées, qui recourent davantage à l'intérim et achètent plus librement, puis par les EHPAD. Les hôpitaux publics sont une cible de moyen terme. Le détail figure dans l'étude de marché.</w:t>
      </w:r>
    </w:p>
    <w:p w:rsidR="00642A45" w:rsidRDefault="00902BC9" w14:paraId="025F2D88" w14:textId="77777777">
      <w:pPr>
        <w:pStyle w:val="Titre1"/>
        <w:spacing w:before="320" w:after="160"/>
      </w:pPr>
      <w:r>
        <w:rPr>
          <w:b/>
          <w:bCs/>
          <w:color w:val="1F3864"/>
          <w:sz w:val="26"/>
          <w:szCs w:val="26"/>
        </w:rPr>
        <w:t>6. Proposition de valeur</w:t>
      </w:r>
    </w:p>
    <w:p w:rsidR="00642A45" w:rsidP="14741356" w:rsidRDefault="00902BC9" w14:paraId="124C7238" w14:textId="026AD788">
      <w:pPr>
        <w:pBdr>
          <w:left w:val="single" w:color="1F3864" w:sz="12" w:space="10"/>
        </w:pBdr>
        <w:spacing w:after="160" w:line="276" w:lineRule="auto"/>
        <w:ind w:left="400"/>
      </w:pPr>
      <w:r w:rsidR="418D62A6">
        <w:rPr/>
        <w:t xml:space="preserve">Relève permet à </w:t>
      </w:r>
      <w:r w:rsidR="25D659B6">
        <w:rPr/>
        <w:t>un établissement médical</w:t>
      </w:r>
      <w:r w:rsidR="25D659B6">
        <w:rPr/>
        <w:t xml:space="preserve"> </w:t>
      </w:r>
      <w:r w:rsidR="418D62A6">
        <w:rPr/>
        <w:t>de remplacer un aide-soignant absent par un professionnel qualifié, disponible et légalement éligible, sous un vrai contrat de mission.</w:t>
      </w:r>
    </w:p>
    <w:p w:rsidR="00CA3E1D" w:rsidRDefault="00CA3E1D" w14:paraId="0927CC2B" w14:textId="77777777">
      <w:pPr>
        <w:spacing w:after="160" w:line="276" w:lineRule="auto"/>
        <w:jc w:val="both"/>
      </w:pPr>
    </w:p>
    <w:p w:rsidR="00642A45" w:rsidRDefault="00902BC9" w14:paraId="365C45BA" w14:textId="77777777">
      <w:pPr>
        <w:pStyle w:val="Titre1"/>
        <w:spacing w:before="320" w:after="160"/>
      </w:pPr>
      <w:r>
        <w:rPr>
          <w:b/>
          <w:bCs/>
          <w:color w:val="1F3864"/>
          <w:sz w:val="26"/>
          <w:szCs w:val="26"/>
        </w:rPr>
        <w:t>7. Sources</w:t>
      </w:r>
    </w:p>
    <w:p w:rsidR="00642A45" w:rsidP="14741356" w:rsidRDefault="00902BC9" w14:paraId="0CEBC7F1" w14:textId="77777777">
      <w:pPr>
        <w:spacing w:after="100" w:line="276" w:lineRule="auto"/>
        <w:jc w:val="both"/>
        <w:rPr>
          <w:color w:val="auto"/>
          <w:u w:val="none"/>
        </w:rPr>
      </w:pPr>
      <w:hyperlink r:id="R7bdf742676d24cea">
        <w:r w:rsidRPr="14741356" w:rsidR="418D62A6">
          <w:rPr>
            <w:rStyle w:val="Lienhypertexte"/>
            <w:color w:val="auto"/>
            <w:u w:val="none"/>
          </w:rPr>
          <w:t>Hublo</w:t>
        </w:r>
        <w:r w:rsidRPr="14741356" w:rsidR="418D62A6">
          <w:rPr>
            <w:rStyle w:val="Lienhypertexte"/>
            <w:color w:val="auto"/>
            <w:u w:val="none"/>
          </w:rPr>
          <w:t xml:space="preserve"> : site de l'entreprise, pages Remplacements et EHPAD médico-social, consultées en septembre 2026.</w:t>
        </w:r>
      </w:hyperlink>
    </w:p>
    <w:p w:rsidR="00642A45" w:rsidP="14741356" w:rsidRDefault="00902BC9" w14:paraId="4C621415" w14:textId="77777777">
      <w:pPr>
        <w:spacing w:after="100" w:line="276" w:lineRule="auto"/>
        <w:jc w:val="both"/>
        <w:rPr>
          <w:color w:val="auto"/>
          <w:u w:val="none"/>
        </w:rPr>
      </w:pPr>
      <w:hyperlink r:id="R66209b235ae24a9d">
        <w:r w:rsidRPr="14741356" w:rsidR="418D62A6">
          <w:rPr>
            <w:rStyle w:val="Lienhypertexte"/>
            <w:color w:val="auto"/>
            <w:u w:val="none"/>
          </w:rPr>
          <w:t>Mediflash</w:t>
        </w:r>
        <w:r w:rsidRPr="14741356" w:rsidR="418D62A6">
          <w:rPr>
            <w:rStyle w:val="Lienhypertexte"/>
            <w:color w:val="auto"/>
            <w:u w:val="none"/>
          </w:rPr>
          <w:t xml:space="preserve">, cadre juridique : Le Média Social, Ubérisation du médico-social, le cas </w:t>
        </w:r>
        <w:r w:rsidRPr="14741356" w:rsidR="418D62A6">
          <w:rPr>
            <w:rStyle w:val="Lienhypertexte"/>
            <w:color w:val="auto"/>
            <w:u w:val="none"/>
          </w:rPr>
          <w:t>Mediflash</w:t>
        </w:r>
        <w:r w:rsidRPr="14741356" w:rsidR="418D62A6">
          <w:rPr>
            <w:rStyle w:val="Lienhypertexte"/>
            <w:color w:val="auto"/>
            <w:u w:val="none"/>
          </w:rPr>
          <w:t xml:space="preserve">. Rapport de la commission d'enquête parlementaire relative aux Uber Files. Rue89 Strasbourg, dossier </w:t>
        </w:r>
        <w:r w:rsidRPr="14741356" w:rsidR="418D62A6">
          <w:rPr>
            <w:rStyle w:val="Lienhypertexte"/>
            <w:color w:val="auto"/>
            <w:u w:val="none"/>
          </w:rPr>
          <w:t>Mediflash</w:t>
        </w:r>
        <w:r w:rsidRPr="14741356" w:rsidR="418D62A6">
          <w:rPr>
            <w:rStyle w:val="Lienhypertexte"/>
            <w:color w:val="auto"/>
            <w:u w:val="none"/>
          </w:rPr>
          <w:t>, sur les courriers de l'inspection du travail du Grand Est.</w:t>
        </w:r>
      </w:hyperlink>
    </w:p>
    <w:p w:rsidR="00642A45" w:rsidP="14741356" w:rsidRDefault="00902BC9" w14:paraId="69A957EC" w14:textId="77777777">
      <w:pPr>
        <w:spacing w:after="100" w:line="276" w:lineRule="auto"/>
        <w:jc w:val="both"/>
        <w:rPr>
          <w:color w:val="auto"/>
          <w:u w:val="none"/>
        </w:rPr>
      </w:pPr>
      <w:hyperlink r:id="R5073ac30f5854c31">
        <w:r w:rsidRPr="14741356" w:rsidR="418D62A6">
          <w:rPr>
            <w:rStyle w:val="Lienhypertexte"/>
            <w:color w:val="auto"/>
            <w:u w:val="none"/>
          </w:rPr>
          <w:t>Mediflash</w:t>
        </w:r>
        <w:r w:rsidRPr="14741356" w:rsidR="418D62A6">
          <w:rPr>
            <w:rStyle w:val="Lienhypertexte"/>
            <w:color w:val="auto"/>
            <w:u w:val="none"/>
          </w:rPr>
          <w:t xml:space="preserve">, chiffres : déclarations du cofondateur reprises par </w:t>
        </w:r>
        <w:r w:rsidRPr="14741356" w:rsidR="418D62A6">
          <w:rPr>
            <w:rStyle w:val="Lienhypertexte"/>
            <w:color w:val="auto"/>
            <w:u w:val="none"/>
          </w:rPr>
          <w:t>Gerontonews</w:t>
        </w:r>
        <w:r w:rsidRPr="14741356" w:rsidR="418D62A6">
          <w:rPr>
            <w:rStyle w:val="Lienhypertexte"/>
            <w:color w:val="auto"/>
            <w:u w:val="none"/>
          </w:rPr>
          <w:t>.</w:t>
        </w:r>
      </w:hyperlink>
    </w:p>
    <w:p w:rsidR="1760428E" w:rsidP="14741356" w:rsidRDefault="1760428E" w14:paraId="34A7DB4C" w14:textId="7A811929">
      <w:pPr>
        <w:spacing w:after="100" w:line="276" w:lineRule="auto"/>
        <w:jc w:val="both"/>
        <w:rPr>
          <w:color w:val="auto"/>
          <w:u w:val="none"/>
        </w:rPr>
      </w:pPr>
      <w:r w:rsidRPr="14741356" w:rsidR="1760428E">
        <w:rPr>
          <w:color w:val="auto"/>
          <w:u w:val="none"/>
        </w:rPr>
        <w:t>Conseil d'État, 11 février 2025, n° 491128, sur l'incompatibilité du statut d'indépendant avec l'exercice d'aide-soignant en établissement (consultable sur legifrance.gouv.fr).</w:t>
      </w:r>
    </w:p>
    <w:p w:rsidR="00642A45" w:rsidP="14741356" w:rsidRDefault="00902BC9" w14:paraId="0A290A3F" w14:textId="77777777">
      <w:pPr>
        <w:spacing w:after="160" w:line="276" w:lineRule="auto"/>
        <w:jc w:val="both"/>
        <w:rPr>
          <w:color w:val="auto"/>
          <w:u w:val="none"/>
        </w:rPr>
      </w:pPr>
      <w:hyperlink r:id="R9529a71d666c4869">
        <w:r w:rsidRPr="14741356" w:rsidR="418D62A6">
          <w:rPr>
            <w:rStyle w:val="Lienhypertexte"/>
            <w:color w:val="auto"/>
            <w:u w:val="none"/>
          </w:rPr>
          <w:t xml:space="preserve">Loi </w:t>
        </w:r>
        <w:r w:rsidRPr="14741356" w:rsidR="418D62A6">
          <w:rPr>
            <w:rStyle w:val="Lienhypertexte"/>
            <w:color w:val="auto"/>
            <w:u w:val="none"/>
          </w:rPr>
          <w:t>Valletoux</w:t>
        </w:r>
        <w:r w:rsidRPr="14741356" w:rsidR="418D62A6">
          <w:rPr>
            <w:rStyle w:val="Lienhypertexte"/>
            <w:color w:val="auto"/>
            <w:u w:val="none"/>
          </w:rPr>
          <w:t xml:space="preserve"> et décret n° 2024-583 du 24 juin 2024 : voir le détail dans notre étude de marché.</w:t>
        </w:r>
      </w:hyperlink>
    </w:p>
    <w:sectPr w:rsidR="00642A45">
      <w:footerReference w:type="default" r:id="rId7"/>
      <w:pgSz w:w="11906" w:h="16838" w:orient="portrait"/>
      <w:pgMar w:top="1100" w:right="1080" w:bottom="11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02BC9" w:rsidRDefault="00902BC9" w14:paraId="1ADAE2F7" w14:textId="77777777">
      <w:r>
        <w:separator/>
      </w:r>
    </w:p>
  </w:endnote>
  <w:endnote w:type="continuationSeparator" w:id="0">
    <w:p w:rsidR="00902BC9" w:rsidRDefault="00902BC9" w14:paraId="2E4ADE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42A45" w:rsidRDefault="00902BC9" w14:paraId="305EB8AB" w14:textId="77777777">
    <w:pPr>
      <w:jc w:val="center"/>
    </w:pPr>
    <w:r>
      <w:rPr>
        <w:color w:val="808080"/>
        <w:sz w:val="16"/>
        <w:szCs w:val="16"/>
      </w:rPr>
      <w:t xml:space="preserve">Relève. Analyse de marché. Page </w:t>
    </w:r>
    <w:r>
      <w:rPr>
        <w:color w:val="808080"/>
        <w:sz w:val="16"/>
        <w:szCs w:val="16"/>
      </w:rPr>
      <w:fldChar w:fldCharType="begin"/>
    </w:r>
    <w:r>
      <w:rPr>
        <w:color w:val="808080"/>
        <w:sz w:val="16"/>
        <w:szCs w:val="16"/>
      </w:rPr>
      <w:instrText>PAGE</w:instrText>
    </w:r>
    <w:r>
      <w:rPr>
        <w:color w:val="808080"/>
        <w:sz w:val="16"/>
        <w:szCs w:val="16"/>
      </w:rPr>
      <w:fldChar w:fldCharType="separate"/>
    </w:r>
    <w:r w:rsidR="0011459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02BC9" w:rsidRDefault="00902BC9" w14:paraId="6C933E93" w14:textId="77777777">
      <w:r>
        <w:separator/>
      </w:r>
    </w:p>
  </w:footnote>
  <w:footnote w:type="continuationSeparator" w:id="0">
    <w:p w:rsidR="00902BC9" w:rsidRDefault="00902BC9" w14:paraId="600727F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B43B24"/>
    <w:multiLevelType w:val="hybridMultilevel"/>
    <w:tmpl w:val="30021834"/>
    <w:lvl w:ilvl="0" w:tplc="026AF32C">
      <w:start w:val="1"/>
      <w:numFmt w:val="bullet"/>
      <w:lvlText w:val="●"/>
      <w:lvlJc w:val="left"/>
      <w:pPr>
        <w:ind w:left="720" w:hanging="360"/>
      </w:pPr>
    </w:lvl>
    <w:lvl w:ilvl="1" w:tplc="9984E464">
      <w:start w:val="1"/>
      <w:numFmt w:val="bullet"/>
      <w:lvlText w:val="○"/>
      <w:lvlJc w:val="left"/>
      <w:pPr>
        <w:ind w:left="1440" w:hanging="360"/>
      </w:pPr>
    </w:lvl>
    <w:lvl w:ilvl="2" w:tplc="51B615E0">
      <w:start w:val="1"/>
      <w:numFmt w:val="bullet"/>
      <w:lvlText w:val="■"/>
      <w:lvlJc w:val="left"/>
      <w:pPr>
        <w:ind w:left="2160" w:hanging="360"/>
      </w:pPr>
    </w:lvl>
    <w:lvl w:ilvl="3" w:tplc="9216BD00">
      <w:start w:val="1"/>
      <w:numFmt w:val="bullet"/>
      <w:lvlText w:val="●"/>
      <w:lvlJc w:val="left"/>
      <w:pPr>
        <w:ind w:left="2880" w:hanging="360"/>
      </w:pPr>
    </w:lvl>
    <w:lvl w:ilvl="4" w:tplc="3DF89C38">
      <w:start w:val="1"/>
      <w:numFmt w:val="bullet"/>
      <w:lvlText w:val="○"/>
      <w:lvlJc w:val="left"/>
      <w:pPr>
        <w:ind w:left="3600" w:hanging="360"/>
      </w:pPr>
    </w:lvl>
    <w:lvl w:ilvl="5" w:tplc="BD40E11A">
      <w:start w:val="1"/>
      <w:numFmt w:val="bullet"/>
      <w:lvlText w:val="■"/>
      <w:lvlJc w:val="left"/>
      <w:pPr>
        <w:ind w:left="4320" w:hanging="360"/>
      </w:pPr>
    </w:lvl>
    <w:lvl w:ilvl="6" w:tplc="686EE3A0">
      <w:start w:val="1"/>
      <w:numFmt w:val="bullet"/>
      <w:lvlText w:val="●"/>
      <w:lvlJc w:val="left"/>
      <w:pPr>
        <w:ind w:left="5040" w:hanging="360"/>
      </w:pPr>
    </w:lvl>
    <w:lvl w:ilvl="7" w:tplc="03DA28AA">
      <w:start w:val="1"/>
      <w:numFmt w:val="bullet"/>
      <w:lvlText w:val="●"/>
      <w:lvlJc w:val="left"/>
      <w:pPr>
        <w:ind w:left="5760" w:hanging="360"/>
      </w:pPr>
    </w:lvl>
    <w:lvl w:ilvl="8" w:tplc="5E2AD678">
      <w:start w:val="1"/>
      <w:numFmt w:val="bullet"/>
      <w:lvlText w:val="●"/>
      <w:lvlJc w:val="left"/>
      <w:pPr>
        <w:ind w:left="6480" w:hanging="360"/>
      </w:pPr>
    </w:lvl>
  </w:abstractNum>
  <w:num w:numId="1" w16cid:durableId="13129079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A45"/>
    <w:rsid w:val="000368C3"/>
    <w:rsid w:val="00114598"/>
    <w:rsid w:val="00151D28"/>
    <w:rsid w:val="002F69CF"/>
    <w:rsid w:val="00642A45"/>
    <w:rsid w:val="00902BC9"/>
    <w:rsid w:val="00A03E2D"/>
    <w:rsid w:val="00A6629D"/>
    <w:rsid w:val="00B307AE"/>
    <w:rsid w:val="00CA3E1D"/>
    <w:rsid w:val="00CB33B7"/>
    <w:rsid w:val="00DA0AA7"/>
    <w:rsid w:val="00EB178C"/>
    <w:rsid w:val="05F998C0"/>
    <w:rsid w:val="09D1D127"/>
    <w:rsid w:val="0C80840F"/>
    <w:rsid w:val="11D62249"/>
    <w:rsid w:val="14198769"/>
    <w:rsid w:val="14741356"/>
    <w:rsid w:val="174190F4"/>
    <w:rsid w:val="1760428E"/>
    <w:rsid w:val="218061DC"/>
    <w:rsid w:val="25D659B6"/>
    <w:rsid w:val="27EE5535"/>
    <w:rsid w:val="38205378"/>
    <w:rsid w:val="399EB3C4"/>
    <w:rsid w:val="3C6B3B99"/>
    <w:rsid w:val="418D62A6"/>
    <w:rsid w:val="51C1E57E"/>
    <w:rsid w:val="558587DE"/>
    <w:rsid w:val="5F7BEF47"/>
    <w:rsid w:val="6673B368"/>
    <w:rsid w:val="6C1D2677"/>
    <w:rsid w:val="7194B5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BFECF7E"/>
  <w15:docId w15:val="{9728E560-76F3-394E-B250-DF844B825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styleId="NotedefinCar" w:customStyle="1">
    <w:name w:val="Note de fin Car"/>
    <w:link w:val="Notedefin"/>
    <w:uiPriority w:val="99"/>
    <w:semiHidden/>
    <w:unhideWhenUsed/>
    <w:rPr>
      <w:sz w:val="20"/>
      <w:szCs w:val="20"/>
    </w:rPr>
  </w:style>
  <w:style w:type="paragraph" w:styleId="En-tte">
    <w:name w:val="header"/>
    <w:basedOn w:val="Normal"/>
    <w:link w:val="En-tteCar"/>
    <w:uiPriority w:val="99"/>
    <w:unhideWhenUsed/>
    <w:rsid w:val="00114598"/>
    <w:pPr>
      <w:tabs>
        <w:tab w:val="center" w:pos="4536"/>
        <w:tab w:val="right" w:pos="9072"/>
      </w:tabs>
    </w:pPr>
  </w:style>
  <w:style w:type="character" w:styleId="En-tteCar" w:customStyle="1">
    <w:name w:val="En-tête Car"/>
    <w:basedOn w:val="Policepardfaut"/>
    <w:link w:val="En-tte"/>
    <w:uiPriority w:val="99"/>
    <w:rsid w:val="00114598"/>
  </w:style>
  <w:style w:type="paragraph" w:styleId="Pieddepage">
    <w:name w:val="footer"/>
    <w:basedOn w:val="Normal"/>
    <w:link w:val="PieddepageCar"/>
    <w:uiPriority w:val="99"/>
    <w:unhideWhenUsed/>
    <w:rsid w:val="00114598"/>
    <w:pPr>
      <w:tabs>
        <w:tab w:val="center" w:pos="4536"/>
        <w:tab w:val="right" w:pos="9072"/>
      </w:tabs>
    </w:pPr>
  </w:style>
  <w:style w:type="character" w:styleId="PieddepageCar" w:customStyle="1">
    <w:name w:val="Pied de page Car"/>
    <w:basedOn w:val="Policepardfaut"/>
    <w:link w:val="Pieddepage"/>
    <w:uiPriority w:val="99"/>
    <w:rsid w:val="00114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7bdf742676d24cea" Type="http://schemas.openxmlformats.org/officeDocument/2006/relationships/hyperlink" Target="https://hublo.com/fr/a-propos" TargetMode="External"/><Relationship Id="R66209b235ae24a9d" Type="http://schemas.openxmlformats.org/officeDocument/2006/relationships/hyperlink" Target="https://www.lemediasocial.fr/uberisation-du-medico-social-le-cas-mediflash_FVvajZ" TargetMode="External"/><Relationship Id="R5073ac30f5854c31" Type="http://schemas.openxmlformats.org/officeDocument/2006/relationships/hyperlink" Target="https://www.gerontonews.com/Message?id=404" TargetMode="External"/><Relationship Id="Rde80378f119e4ad9" Type="http://schemas.openxmlformats.org/officeDocument/2006/relationships/hyperlink" Target="https://www.legifrance.gouv.fr/search?typeRecherche=date&amp;searchField=ALL&amp;query=491128&amp;searchProximity=&amp;searchType=ALL&amp;typePagination=DEFAUT&amp;pageSize=25&amp;page=1&amp;isAdvancedResult=false" TargetMode="External"/><Relationship Id="R9529a71d666c4869" Type="http://schemas.openxmlformats.org/officeDocument/2006/relationships/hyperlink" Target="https://www.legifrance.gouv.fr/search?typeRecherche=date&amp;searchField=ALL&amp;query=2024-583&amp;searchProximity=&amp;searchType=ALL&amp;typePagination=DEFAUT&amp;pageSize=25&amp;page=1&amp;isAdvancedResult=false"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Emma Ben boujmaa</lastModifiedBy>
  <revision>9</revision>
  <dcterms:created xsi:type="dcterms:W3CDTF">2026-09-18T14:55:00.0000000Z</dcterms:created>
  <dcterms:modified xsi:type="dcterms:W3CDTF">2026-09-21T09:36:46.8445519Z</dcterms:modified>
</coreProperties>
</file>