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color w:val="36363d"/>
          <w:sz w:val="32"/>
          <w:szCs w:val="32"/>
        </w:rPr>
      </w:pPr>
      <w:r>
        <w:rPr>
          <w:color w:val="36363d"/>
          <w:sz w:val="32"/>
          <w:szCs w:val="32"/>
        </w:rPr>
        <w:t>Blin</w:t>
      </w:r>
      <w:r>
        <w:rPr>
          <w:color w:val="36363d"/>
          <w:sz w:val="32"/>
          <w:szCs w:val="32"/>
          <w:lang w:val="en-US"/>
        </w:rPr>
        <w:t>d/</w:t>
      </w:r>
      <w:r>
        <w:rPr>
          <w:color w:val="36363d"/>
          <w:sz w:val="32"/>
          <w:szCs w:val="32"/>
        </w:rPr>
        <w:t>Time-Based SQL Injection: Testing and Data Extraction</w:t>
      </w:r>
    </w:p>
    <w:p w14:paraId="B78F87E2">
      <w:pPr>
        <w:pStyle w:val="style0"/>
        <w:numPr>
          <w:ilvl w:val="0"/>
          <w:numId w:val="0"/>
        </w:numPr>
        <w:rPr>
          <w:color w:val="36363d"/>
          <w:sz w:val="32"/>
          <w:szCs w:val="32"/>
        </w:rPr>
      </w:pPr>
    </w:p>
    <w:p w14:paraId="FD8B8D9B">
      <w:pPr>
        <w:pStyle w:val="style0"/>
        <w:spacing w:after="100"/>
        <w:jc w:val="center"/>
        <w:rPr>
          <w:b w:val="false"/>
          <w:bCs w:val="false"/>
          <w:sz w:val="28"/>
          <w:szCs w:val="28"/>
        </w:rPr>
      </w:pPr>
      <w:r>
        <w:rPr>
          <w:b/>
          <w:bCs/>
          <w:sz w:val="28"/>
          <w:szCs w:val="28"/>
        </w:rPr>
        <w:t xml:space="preserve">Name: </w:t>
      </w:r>
      <w:r>
        <w:rPr>
          <w:b w:val="false"/>
          <w:bCs w:val="false"/>
          <w:sz w:val="28"/>
          <w:szCs w:val="28"/>
          <w:lang w:val="en-US"/>
        </w:rPr>
        <w:t xml:space="preserve">Kaba Peter Neba </w:t>
      </w:r>
    </w:p>
    <w:p w14:paraId="47FE57FB">
      <w:pPr>
        <w:pStyle w:val="style0"/>
        <w:spacing w:after="100"/>
        <w:jc w:val="center"/>
        <w:rPr>
          <w:b/>
          <w:bCs/>
          <w:sz w:val="28"/>
          <w:szCs w:val="28"/>
        </w:rPr>
      </w:pPr>
      <w:r>
        <w:rPr>
          <w:b/>
          <w:bCs/>
          <w:sz w:val="28"/>
          <w:szCs w:val="28"/>
        </w:rPr>
        <w:t xml:space="preserve">Task: </w:t>
      </w:r>
      <w:r>
        <w:rPr>
          <w:sz w:val="28"/>
          <w:szCs w:val="28"/>
        </w:rPr>
        <w:t>Blind and time-based SQL injection testing with database extractio</w:t>
      </w:r>
      <w:r>
        <w:rPr>
          <w:sz w:val="28"/>
          <w:szCs w:val="28"/>
          <w:lang w:val="en-US"/>
        </w:rPr>
        <w:t>n</w:t>
      </w:r>
    </w:p>
    <w:p w14:paraId="CF0D99C0">
      <w:pPr>
        <w:pStyle w:val="style4097"/>
        <w:spacing w:before="300" w:after="150"/>
        <w:jc w:val="center"/>
        <w:rPr>
          <w:color w:val="36363d"/>
        </w:rPr>
      </w:pPr>
      <w:r>
        <w:rPr>
          <w:color w:val="36363d"/>
        </w:rPr>
        <w:t>Methodology</w:t>
      </w:r>
    </w:p>
    <w:p w14:paraId="2ED4D146">
      <w:pPr>
        <w:pStyle w:val="style4098"/>
        <w:spacing w:before="250" w:after="120"/>
        <w:rPr>
          <w:color w:val="36363d"/>
        </w:rPr>
      </w:pPr>
      <w:r>
        <w:rPr>
          <w:color w:val="36363d"/>
        </w:rPr>
        <w:t>Setting Up the Test Environment</w:t>
      </w:r>
    </w:p>
    <w:p w14:paraId="1D97486D">
      <w:pPr>
        <w:pStyle w:val="style0"/>
        <w:spacing w:after="150"/>
        <w:rPr/>
      </w:pPr>
      <w:r>
        <w:t>The Apache and MariaDB services were started on the Kali Linux system, and DVWA was loaded in the local browser. The DVWA security setting was set to "low" for this exercise.</w:t>
      </w:r>
    </w:p>
    <w:p w14:paraId="C9908A49">
      <w:pPr>
        <w:pStyle w:val="style0"/>
        <w:spacing w:before="200" w:after="100"/>
        <w:jc w:val="center"/>
        <w:rPr/>
      </w:pPr>
      <w:r>
        <w:rPr/>
        <w:drawing>
          <wp:inline distL="0" distT="0" distB="0" distR="0">
            <wp:extent cx="5238750" cy="2343150"/>
            <wp:effectExtent l="0" t="0" r="0" b="0"/>
            <wp:docPr id="1026"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srcRect l="0" t="0" r="0" b="0"/>
                    <a:stretch/>
                  </pic:blipFill>
                  <pic:spPr>
                    <a:xfrm rot="0">
                      <a:off x="0" y="0"/>
                      <a:ext cx="5238750" cy="2343150"/>
                    </a:xfrm>
                    <a:prstGeom prst="rect"/>
                  </pic:spPr>
                </pic:pic>
              </a:graphicData>
            </a:graphic>
          </wp:inline>
        </w:drawing>
      </w:r>
    </w:p>
    <w:p w14:paraId="98E0C82C">
      <w:pPr>
        <w:pStyle w:val="style0"/>
        <w:spacing w:after="200"/>
        <w:jc w:val="center"/>
        <w:rPr/>
      </w:pPr>
      <w:r>
        <w:rPr>
          <w:i/>
          <w:iCs/>
          <w:sz w:val="20"/>
          <w:szCs w:val="20"/>
        </w:rPr>
        <w:t>Figure 1: Apache and MariaDB services running</w:t>
      </w:r>
    </w:p>
    <w:p w14:paraId="866688AB">
      <w:pPr>
        <w:pStyle w:val="style4098"/>
        <w:spacing w:before="250" w:after="120"/>
        <w:rPr>
          <w:color w:val="36363d"/>
        </w:rPr>
      </w:pPr>
      <w:r>
        <w:rPr>
          <w:color w:val="36363d"/>
        </w:rPr>
        <w:t>Establishing a Baseline Response</w:t>
      </w:r>
    </w:p>
    <w:p w14:paraId="DAD75D2D">
      <w:pPr>
        <w:pStyle w:val="style0"/>
        <w:spacing w:after="150"/>
        <w:rPr/>
      </w:pPr>
      <w:r>
        <w:t>The Blind SQL Injection module in DVWA was opened, and a valid user ID (1) was submitted first. This gave a reference response against which later, payload-driven responses could be compared.</w:t>
      </w:r>
    </w:p>
    <w:p w14:paraId="213345C6">
      <w:pPr>
        <w:pStyle w:val="style0"/>
        <w:spacing w:before="200" w:after="100"/>
        <w:jc w:val="center"/>
        <w:rPr/>
      </w:pPr>
      <w:r>
        <w:rPr/>
        <w:drawing>
          <wp:inline distL="0" distT="0" distB="0" distR="0">
            <wp:extent cx="5238750" cy="3133725"/>
            <wp:effectExtent l="0" t="0" r="0" b="0"/>
            <wp:docPr id="1027"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cstate="print"/>
                    <a:srcRect l="0" t="0" r="0" b="0"/>
                    <a:stretch/>
                  </pic:blipFill>
                  <pic:spPr>
                    <a:xfrm rot="0">
                      <a:off x="0" y="0"/>
                      <a:ext cx="5238750" cy="3133725"/>
                    </a:xfrm>
                    <a:prstGeom prst="rect"/>
                  </pic:spPr>
                </pic:pic>
              </a:graphicData>
            </a:graphic>
          </wp:inline>
        </w:drawing>
      </w:r>
    </w:p>
    <w:p w14:paraId="21F5AB9F">
      <w:pPr>
        <w:pStyle w:val="style0"/>
        <w:spacing w:after="200"/>
        <w:jc w:val="center"/>
        <w:rPr/>
      </w:pPr>
      <w:r>
        <w:rPr>
          <w:i/>
          <w:iCs/>
          <w:sz w:val="20"/>
          <w:szCs w:val="20"/>
        </w:rPr>
        <w:t>Figure 2: Standard request to the Blind SQL Injection page</w:t>
      </w:r>
    </w:p>
    <w:p w14:paraId="E6999A5B">
      <w:pPr>
        <w:pStyle w:val="style4097"/>
        <w:spacing w:before="300" w:after="150"/>
        <w:rPr>
          <w:color w:val="36363d"/>
        </w:rPr>
      </w:pPr>
      <w:r>
        <w:rPr>
          <w:color w:val="36363d"/>
        </w:rPr>
        <w:t>Boolean-Based Blind SQL Injection</w:t>
      </w:r>
    </w:p>
    <w:p w14:paraId="02CD0923">
      <w:pPr>
        <w:pStyle w:val="style0"/>
        <w:spacing w:after="150"/>
        <w:rPr/>
      </w:pPr>
      <w:r>
        <w:t>Two contrasting SQL conditions were submitted to the form. A condition written to evaluate as TRUE produced a response confirming the entry was accepted. A condition written to evaluate as FALSE caused the response to change accordingly.</w:t>
      </w:r>
    </w:p>
    <w:p w14:paraId="D9747AA0">
      <w:pPr>
        <w:pStyle w:val="style0"/>
        <w:spacing w:after="150"/>
        <w:rPr/>
      </w:pPr>
      <w:r>
        <w:t>This confirmed that, even though the raw SQL query and underlying data were never shown directly, the page's response could still be used to work out whether an injected condition held true or false.</w:t>
      </w:r>
    </w:p>
    <w:p w14:paraId="7901D166">
      <w:pPr>
        <w:pStyle w:val="style0"/>
        <w:spacing w:before="200" w:after="100"/>
        <w:jc w:val="center"/>
        <w:rPr/>
      </w:pPr>
      <w:r>
        <w:rPr/>
        <w:drawing>
          <wp:inline distL="0" distT="0" distB="0" distR="0">
            <wp:extent cx="5238750" cy="2828925"/>
            <wp:effectExtent l="0" t="0" r="0" b="0"/>
            <wp:docPr id="1028"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4" cstate="print"/>
                    <a:srcRect l="0" t="0" r="0" b="0"/>
                    <a:stretch/>
                  </pic:blipFill>
                  <pic:spPr>
                    <a:xfrm rot="0">
                      <a:off x="0" y="0"/>
                      <a:ext cx="5238750" cy="2828925"/>
                    </a:xfrm>
                    <a:prstGeom prst="rect"/>
                  </pic:spPr>
                </pic:pic>
              </a:graphicData>
            </a:graphic>
          </wp:inline>
        </w:drawing>
      </w:r>
    </w:p>
    <w:p w14:paraId="D182D0D2">
      <w:pPr>
        <w:pStyle w:val="style0"/>
        <w:spacing w:after="200"/>
        <w:jc w:val="center"/>
        <w:rPr/>
      </w:pPr>
      <w:r>
        <w:rPr>
          <w:i/>
          <w:iCs/>
          <w:sz w:val="20"/>
          <w:szCs w:val="20"/>
        </w:rPr>
        <w:t>Figure 3: Result of a TRUE Boolean condition</w:t>
      </w:r>
    </w:p>
    <w:p w14:paraId="C8DA02BD">
      <w:pPr>
        <w:pStyle w:val="style0"/>
        <w:spacing w:before="200" w:after="100"/>
        <w:jc w:val="center"/>
        <w:rPr/>
      </w:pPr>
      <w:r>
        <w:rPr/>
        <w:drawing>
          <wp:inline distL="0" distT="0" distB="0" distR="0">
            <wp:extent cx="5238750" cy="2876550"/>
            <wp:effectExtent l="0" t="0" r="0" b="0"/>
            <wp:docPr id="1029"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5" cstate="print"/>
                    <a:srcRect l="0" t="0" r="0" b="0"/>
                    <a:stretch/>
                  </pic:blipFill>
                  <pic:spPr>
                    <a:xfrm rot="0">
                      <a:off x="0" y="0"/>
                      <a:ext cx="5238750" cy="2876550"/>
                    </a:xfrm>
                    <a:prstGeom prst="rect"/>
                  </pic:spPr>
                </pic:pic>
              </a:graphicData>
            </a:graphic>
          </wp:inline>
        </w:drawing>
      </w:r>
    </w:p>
    <w:p w14:paraId="C8EB866E">
      <w:pPr>
        <w:pStyle w:val="style0"/>
        <w:spacing w:after="200"/>
        <w:jc w:val="center"/>
        <w:rPr/>
      </w:pPr>
      <w:r>
        <w:rPr>
          <w:i/>
          <w:iCs/>
          <w:sz w:val="20"/>
          <w:szCs w:val="20"/>
        </w:rPr>
        <w:t>Figure 4: Result of a FALSE Boolean condition</w:t>
      </w:r>
    </w:p>
    <w:p w14:paraId="5858EF30">
      <w:pPr>
        <w:pStyle w:val="style4097"/>
        <w:spacing w:before="300" w:after="150"/>
        <w:rPr>
          <w:color w:val="36363d"/>
        </w:rPr>
      </w:pPr>
      <w:r>
        <w:rPr>
          <w:color w:val="36363d"/>
        </w:rPr>
        <w:t>Time-Based Blind SQL Injection</w:t>
      </w:r>
    </w:p>
    <w:p w14:paraId="CC4613F1">
      <w:pPr>
        <w:pStyle w:val="style0"/>
        <w:spacing w:after="150"/>
        <w:rPr/>
      </w:pPr>
      <w:r>
        <w:t>A further test relied on timing rather than content. A SQL statement was crafted so that the database would pause before replying whenever the injected condition was TRUE, while a FALSE condition returned a reply without delay. The gap in response time confirmed that the injected SQL was actually being executed by the database engine.</w:t>
      </w:r>
    </w:p>
    <w:p w14:paraId="2DBE0767">
      <w:pPr>
        <w:pStyle w:val="style0"/>
        <w:spacing w:before="200" w:after="100"/>
        <w:jc w:val="center"/>
        <w:rPr/>
      </w:pPr>
      <w:r>
        <w:rPr/>
        <w:drawing>
          <wp:inline distL="0" distT="0" distB="0" distR="0">
            <wp:extent cx="5238750" cy="2790825"/>
            <wp:effectExtent l="0" t="0" r="0" b="0"/>
            <wp:docPr id="1030"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6" cstate="print"/>
                    <a:srcRect l="0" t="0" r="0" b="0"/>
                    <a:stretch/>
                  </pic:blipFill>
                  <pic:spPr>
                    <a:xfrm rot="0">
                      <a:off x="0" y="0"/>
                      <a:ext cx="5238750" cy="2790825"/>
                    </a:xfrm>
                    <a:prstGeom prst="rect"/>
                  </pic:spPr>
                </pic:pic>
              </a:graphicData>
            </a:graphic>
          </wp:inline>
        </w:drawing>
      </w:r>
    </w:p>
    <w:p w14:paraId="039D09C3">
      <w:pPr>
        <w:pStyle w:val="style0"/>
        <w:spacing w:after="200"/>
        <w:jc w:val="center"/>
        <w:rPr/>
      </w:pPr>
      <w:r>
        <w:rPr>
          <w:i/>
          <w:iCs/>
          <w:sz w:val="20"/>
          <w:szCs w:val="20"/>
        </w:rPr>
        <w:t>Figure 5a: Time-based test - delayed response under a TRUE condition</w:t>
      </w:r>
    </w:p>
    <w:p w14:paraId="341B8432">
      <w:pPr>
        <w:pStyle w:val="style0"/>
        <w:spacing w:before="200" w:after="100"/>
        <w:jc w:val="center"/>
        <w:rPr/>
      </w:pPr>
      <w:r>
        <w:rPr/>
        <w:drawing>
          <wp:inline distL="0" distT="0" distB="0" distR="0">
            <wp:extent cx="5238750" cy="2667000"/>
            <wp:effectExtent l="0" t="0" r="0" b="0"/>
            <wp:docPr id="1031"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7" cstate="print"/>
                    <a:srcRect l="0" t="0" r="0" b="0"/>
                    <a:stretch/>
                  </pic:blipFill>
                  <pic:spPr>
                    <a:xfrm rot="0">
                      <a:off x="0" y="0"/>
                      <a:ext cx="5238750" cy="2667000"/>
                    </a:xfrm>
                    <a:prstGeom prst="rect"/>
                  </pic:spPr>
                </pic:pic>
              </a:graphicData>
            </a:graphic>
          </wp:inline>
        </w:drawing>
      </w:r>
    </w:p>
    <w:p w14:paraId="8338B46D">
      <w:pPr>
        <w:pStyle w:val="style0"/>
        <w:spacing w:after="200"/>
        <w:jc w:val="center"/>
        <w:rPr/>
      </w:pPr>
      <w:r>
        <w:rPr>
          <w:i/>
          <w:iCs/>
          <w:sz w:val="20"/>
          <w:szCs w:val="20"/>
        </w:rPr>
        <w:t>Figure 5b: Time-based test - normal response under a FALSE condition</w:t>
      </w:r>
    </w:p>
    <w:p w14:paraId="CFADE068">
      <w:pPr>
        <w:pStyle w:val="style4097"/>
        <w:spacing w:before="300" w:after="150"/>
        <w:rPr>
          <w:color w:val="36363d"/>
        </w:rPr>
      </w:pPr>
      <w:r>
        <w:rPr>
          <w:color w:val="36363d"/>
        </w:rPr>
        <w:t>Capturing Traffic with Burp Suite</w:t>
      </w:r>
    </w:p>
    <w:p w14:paraId="5E8FEB66">
      <w:pPr>
        <w:pStyle w:val="style0"/>
        <w:spacing w:after="150"/>
        <w:rPr/>
      </w:pPr>
      <w:r>
        <w:t>Burp Suite was set up to intercept traffic between the Firefox browser and the DVWA application. The request generated by the Blind SQL Injection page was captured and reviewed inside Burp Suite's interface.</w:t>
      </w:r>
    </w:p>
    <w:p w14:paraId="BB1712D2">
      <w:pPr>
        <w:pStyle w:val="style0"/>
        <w:spacing w:before="200" w:after="100"/>
        <w:jc w:val="center"/>
        <w:rPr/>
      </w:pPr>
      <w:r>
        <w:rPr/>
        <w:drawing>
          <wp:inline distL="0" distT="0" distB="0" distR="0">
            <wp:extent cx="3619500" cy="4133850"/>
            <wp:effectExtent l="0" t="0" r="0" b="0"/>
            <wp:docPr id="1032"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8" cstate="print"/>
                    <a:srcRect l="0" t="0" r="0" b="0"/>
                    <a:stretch/>
                  </pic:blipFill>
                  <pic:spPr>
                    <a:xfrm rot="0">
                      <a:off x="0" y="0"/>
                      <a:ext cx="3619500" cy="4133850"/>
                    </a:xfrm>
                    <a:prstGeom prst="rect"/>
                  </pic:spPr>
                </pic:pic>
              </a:graphicData>
            </a:graphic>
          </wp:inline>
        </w:drawing>
      </w:r>
    </w:p>
    <w:p w14:paraId="CBCD37CF">
      <w:pPr>
        <w:pStyle w:val="style0"/>
        <w:spacing w:after="200"/>
        <w:jc w:val="center"/>
        <w:rPr/>
      </w:pPr>
      <w:r>
        <w:rPr>
          <w:i/>
          <w:iCs/>
          <w:sz w:val="20"/>
          <w:szCs w:val="20"/>
        </w:rPr>
        <w:t>Figure 6: DVWA request intercepted in Burp Suite</w:t>
      </w:r>
    </w:p>
    <w:p w14:paraId="BA16582E">
      <w:pPr>
        <w:pStyle w:val="style4097"/>
        <w:spacing w:before="300" w:after="150"/>
        <w:rPr>
          <w:color w:val="36363d"/>
        </w:rPr>
      </w:pPr>
      <w:r>
        <w:rPr>
          <w:color w:val="36363d"/>
        </w:rPr>
        <w:t>Verifying the Vulnerability Using sqlmap</w:t>
      </w:r>
    </w:p>
    <w:p w14:paraId="0CC3581A">
      <w:pPr>
        <w:pStyle w:val="style0"/>
        <w:spacing w:after="150"/>
        <w:rPr/>
      </w:pPr>
      <w:r>
        <w:t>With the injectable parameter identified manually, sqlmap was used to automate further testing. The tool confirmed the vulnerable parameter and verified that both boolean-based and time-based blind injection techniques were viable against it.</w:t>
      </w:r>
    </w:p>
    <w:p w14:paraId="26F99B29">
      <w:pPr>
        <w:pStyle w:val="style0"/>
        <w:spacing w:before="200" w:after="100"/>
        <w:jc w:val="center"/>
        <w:rPr/>
      </w:pPr>
      <w:r>
        <w:rPr/>
        <w:drawing>
          <wp:inline distL="0" distT="0" distB="0" distR="0">
            <wp:extent cx="4572000" cy="2600325"/>
            <wp:effectExtent l="0" t="0" r="0" b="0"/>
            <wp:docPr id="1033"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9" cstate="print"/>
                    <a:srcRect l="0" t="0" r="0" b="0"/>
                    <a:stretch/>
                  </pic:blipFill>
                  <pic:spPr>
                    <a:xfrm rot="0">
                      <a:off x="0" y="0"/>
                      <a:ext cx="4572000" cy="2600325"/>
                    </a:xfrm>
                    <a:prstGeom prst="rect"/>
                  </pic:spPr>
                </pic:pic>
              </a:graphicData>
            </a:graphic>
          </wp:inline>
        </w:drawing>
      </w:r>
    </w:p>
    <w:p w14:paraId="63E1D600">
      <w:pPr>
        <w:pStyle w:val="style0"/>
        <w:spacing w:after="200"/>
        <w:jc w:val="center"/>
        <w:rPr/>
      </w:pPr>
      <w:r>
        <w:rPr>
          <w:i/>
          <w:iCs/>
          <w:sz w:val="20"/>
          <w:szCs w:val="20"/>
        </w:rPr>
        <w:t>Figure 7: sqlmap verifying the SQL injection vulnerability</w:t>
      </w:r>
    </w:p>
    <w:p w14:paraId="E221559B">
      <w:pPr>
        <w:pStyle w:val="style4097"/>
        <w:spacing w:before="300" w:after="150"/>
        <w:rPr>
          <w:color w:val="36363d"/>
        </w:rPr>
      </w:pPr>
      <w:r>
        <w:rPr>
          <w:color w:val="36363d"/>
        </w:rPr>
        <w:t>Enumerating the Database</w:t>
      </w:r>
    </w:p>
    <w:p w14:paraId="B2F50F80">
      <w:pPr>
        <w:pStyle w:val="style0"/>
        <w:spacing w:after="150"/>
        <w:rPr/>
      </w:pPr>
      <w:r>
        <w:t>Once the vulnerability was verified, sqlmap was used to list the databases reachable through the vulnerable parameter.</w:t>
      </w:r>
    </w:p>
    <w:p w14:paraId="937AA595">
      <w:pPr>
        <w:pStyle w:val="style0"/>
        <w:spacing w:before="200" w:after="100"/>
        <w:jc w:val="center"/>
        <w:rPr/>
      </w:pPr>
      <w:r>
        <w:rPr/>
        <w:drawing>
          <wp:inline distL="0" distT="0" distB="0" distR="0">
            <wp:extent cx="4762500" cy="2752725"/>
            <wp:effectExtent l="0" t="0" r="0" b="0"/>
            <wp:docPr id="1034"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0" cstate="print"/>
                    <a:srcRect l="0" t="0" r="0" b="0"/>
                    <a:stretch/>
                  </pic:blipFill>
                  <pic:spPr>
                    <a:xfrm rot="0">
                      <a:off x="0" y="0"/>
                      <a:ext cx="4762500" cy="2752725"/>
                    </a:xfrm>
                    <a:prstGeom prst="rect"/>
                  </pic:spPr>
                </pic:pic>
              </a:graphicData>
            </a:graphic>
          </wp:inline>
        </w:drawing>
      </w:r>
    </w:p>
    <w:p w14:paraId="4F619C52">
      <w:pPr>
        <w:pStyle w:val="style0"/>
        <w:spacing w:after="200"/>
        <w:jc w:val="center"/>
        <w:rPr/>
      </w:pPr>
      <w:r>
        <w:rPr>
          <w:i/>
          <w:iCs/>
          <w:sz w:val="20"/>
          <w:szCs w:val="20"/>
        </w:rPr>
        <w:t>Figure 8: Databases enumerated with sqlmap</w:t>
      </w:r>
    </w:p>
    <w:p w14:paraId="733C5E2C">
      <w:pPr>
        <w:pStyle w:val="style0"/>
        <w:spacing w:after="150"/>
        <w:rPr/>
      </w:pPr>
      <w:r>
        <w:t>The relevant DVWA database was then selected, and its tables were listed.</w:t>
      </w:r>
    </w:p>
    <w:p w14:paraId="052ACCB7">
      <w:pPr>
        <w:pStyle w:val="style0"/>
        <w:spacing w:before="200" w:after="100"/>
        <w:jc w:val="center"/>
        <w:rPr/>
      </w:pPr>
      <w:r>
        <w:rPr/>
        <w:drawing>
          <wp:inline distL="0" distT="0" distB="0" distR="0">
            <wp:extent cx="5238750" cy="2171700"/>
            <wp:effectExtent l="0" t="0" r="0" b="0"/>
            <wp:docPr id="1035"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1" cstate="print"/>
                    <a:srcRect l="0" t="0" r="0" b="0"/>
                    <a:stretch/>
                  </pic:blipFill>
                  <pic:spPr>
                    <a:xfrm rot="0">
                      <a:off x="0" y="0"/>
                      <a:ext cx="5238750" cy="2171700"/>
                    </a:xfrm>
                    <a:prstGeom prst="rect"/>
                  </pic:spPr>
                </pic:pic>
              </a:graphicData>
            </a:graphic>
          </wp:inline>
        </w:drawing>
      </w:r>
    </w:p>
    <w:p w14:paraId="39C3460F">
      <w:pPr>
        <w:pStyle w:val="style0"/>
        <w:spacing w:after="200"/>
        <w:jc w:val="center"/>
        <w:rPr/>
      </w:pPr>
      <w:r>
        <w:rPr>
          <w:i/>
          <w:iCs/>
          <w:sz w:val="20"/>
          <w:szCs w:val="20"/>
        </w:rPr>
        <w:t>Figure 9: Tables enumerated within the dvwa database</w:t>
      </w:r>
    </w:p>
    <w:p w14:paraId="CB09BF60">
      <w:pPr>
        <w:pStyle w:val="style0"/>
        <w:spacing w:after="150"/>
        <w:rPr/>
      </w:pPr>
      <w:r>
        <w:t>Finally, the columns belonging to the users table were enumerated.</w:t>
      </w:r>
    </w:p>
    <w:p w14:paraId="A986CCC8">
      <w:pPr>
        <w:pStyle w:val="style0"/>
        <w:spacing w:before="200" w:after="100"/>
        <w:jc w:val="center"/>
        <w:rPr/>
      </w:pPr>
      <w:r>
        <w:rPr/>
        <w:drawing>
          <wp:inline distL="0" distT="0" distB="0" distR="0">
            <wp:extent cx="4762500" cy="2895600"/>
            <wp:effectExtent l="0" t="0" r="0" b="0"/>
            <wp:docPr id="1036"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2" cstate="print"/>
                    <a:srcRect l="0" t="0" r="0" b="0"/>
                    <a:stretch/>
                  </pic:blipFill>
                  <pic:spPr>
                    <a:xfrm rot="0">
                      <a:off x="0" y="0"/>
                      <a:ext cx="4762500" cy="2895600"/>
                    </a:xfrm>
                    <a:prstGeom prst="rect"/>
                  </pic:spPr>
                </pic:pic>
              </a:graphicData>
            </a:graphic>
          </wp:inline>
        </w:drawing>
      </w:r>
    </w:p>
    <w:p w14:paraId="A404D7F6">
      <w:pPr>
        <w:pStyle w:val="style0"/>
        <w:spacing w:after="200"/>
        <w:jc w:val="center"/>
        <w:rPr/>
      </w:pPr>
      <w:r>
        <w:rPr>
          <w:i/>
          <w:iCs/>
          <w:sz w:val="20"/>
          <w:szCs w:val="20"/>
        </w:rPr>
        <w:t>Figure 10: Columns enumerated within the users table</w:t>
      </w:r>
    </w:p>
    <w:p w14:paraId="F4340484">
      <w:pPr>
        <w:pStyle w:val="style4097"/>
        <w:spacing w:before="300" w:after="150"/>
        <w:rPr>
          <w:color w:val="36363d"/>
        </w:rPr>
      </w:pPr>
      <w:r>
        <w:rPr>
          <w:color w:val="36363d"/>
        </w:rPr>
        <w:t>Extracting the Data</w:t>
      </w:r>
    </w:p>
    <w:p w14:paraId="03B4380E">
      <w:pPr>
        <w:pStyle w:val="style0"/>
        <w:spacing w:after="150"/>
        <w:rPr/>
      </w:pPr>
      <w:r>
        <w:t>With the relevant table and columns identified, sqlmap was used to pull the stored data from the lab database. The dump included account details along with the stored password hashes.</w:t>
      </w:r>
    </w:p>
    <w:p w14:paraId="9F6B1217">
      <w:pPr>
        <w:pStyle w:val="style0"/>
        <w:spacing w:before="200" w:after="100"/>
        <w:jc w:val="center"/>
        <w:rPr/>
      </w:pPr>
      <w:r>
        <w:rPr/>
        <w:drawing>
          <wp:inline distL="0" distT="0" distB="0" distR="0">
            <wp:extent cx="5238750" cy="1362075"/>
            <wp:effectExtent l="0" t="0" r="0" b="0"/>
            <wp:docPr id="1037"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3" cstate="print"/>
                    <a:srcRect l="0" t="0" r="0" b="0"/>
                    <a:stretch/>
                  </pic:blipFill>
                  <pic:spPr>
                    <a:xfrm rot="0">
                      <a:off x="0" y="0"/>
                      <a:ext cx="5238750" cy="1362075"/>
                    </a:xfrm>
                    <a:prstGeom prst="rect"/>
                  </pic:spPr>
                </pic:pic>
              </a:graphicData>
            </a:graphic>
          </wp:inline>
        </w:drawing>
      </w:r>
    </w:p>
    <w:p w14:paraId="28A3E804">
      <w:pPr>
        <w:pStyle w:val="style0"/>
        <w:spacing w:after="200"/>
        <w:jc w:val="center"/>
        <w:rPr/>
      </w:pPr>
      <w:r>
        <w:rPr>
          <w:i/>
          <w:iCs/>
          <w:sz w:val="20"/>
          <w:szCs w:val="20"/>
        </w:rPr>
        <w:t>Figure 11: Data extracted from the users table</w:t>
      </w:r>
    </w:p>
    <w:p w14:paraId="CC7D8A62">
      <w:pPr>
        <w:pStyle w:val="style0"/>
        <w:spacing w:after="150"/>
        <w:rPr/>
      </w:pPr>
      <w:r>
        <w:t>This confirmed that a successful SQL injection exploit can expose sensitive records held in a back-end database.</w:t>
      </w:r>
    </w:p>
    <w:p w14:paraId="1B7E7E8E">
      <w:pPr>
        <w:pStyle w:val="style4097"/>
        <w:spacing w:before="300" w:after="150"/>
        <w:rPr>
          <w:color w:val="36363d"/>
        </w:rPr>
      </w:pPr>
      <w:r>
        <w:rPr>
          <w:color w:val="36363d"/>
        </w:rPr>
        <w:t>Identifying the Password Hash Format</w:t>
      </w:r>
    </w:p>
    <w:p w14:paraId="D12253C5">
      <w:pPr>
        <w:pStyle w:val="style0"/>
        <w:spacing w:after="150"/>
        <w:rPr/>
      </w:pPr>
      <w:r>
        <w:t>Because the extracted passwords were stored in hashed form, a hash-identification utility was run against a sample hash to determine which algorithm had most likely produced it.</w:t>
      </w:r>
    </w:p>
    <w:p w14:paraId="ABC9FA85">
      <w:pPr>
        <w:pStyle w:val="style0"/>
        <w:spacing w:before="200" w:after="100"/>
        <w:jc w:val="center"/>
        <w:rPr/>
      </w:pPr>
      <w:r>
        <w:rPr/>
        <w:drawing>
          <wp:inline distL="0" distT="0" distB="0" distR="0">
            <wp:extent cx="3048000" cy="2009775"/>
            <wp:effectExtent l="0" t="0" r="0" b="0"/>
            <wp:docPr id="1038"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4" cstate="print"/>
                    <a:srcRect l="0" t="0" r="0" b="0"/>
                    <a:stretch/>
                  </pic:blipFill>
                  <pic:spPr>
                    <a:xfrm rot="0">
                      <a:off x="0" y="0"/>
                      <a:ext cx="3048000" cy="2009775"/>
                    </a:xfrm>
                    <a:prstGeom prst="rect"/>
                  </pic:spPr>
                </pic:pic>
              </a:graphicData>
            </a:graphic>
          </wp:inline>
        </w:drawing>
      </w:r>
    </w:p>
    <w:p w14:paraId="4D21D3B5">
      <w:pPr>
        <w:pStyle w:val="style0"/>
        <w:spacing w:after="200"/>
        <w:jc w:val="center"/>
        <w:rPr/>
      </w:pPr>
      <w:r>
        <w:rPr>
          <w:i/>
          <w:iCs/>
          <w:sz w:val="20"/>
          <w:szCs w:val="20"/>
        </w:rPr>
        <w:t>Figure 12: Hash identification output</w:t>
      </w:r>
    </w:p>
    <w:p w14:paraId="7F23160B">
      <w:pPr>
        <w:pStyle w:val="style4097"/>
        <w:spacing w:before="300" w:after="150"/>
        <w:rPr>
          <w:color w:val="36363d"/>
        </w:rPr>
      </w:pPr>
      <w:r>
        <w:rPr>
          <w:color w:val="36363d"/>
        </w:rPr>
        <w:t>Overview of Blind and Related SQL Injection Techniques</w:t>
      </w:r>
    </w:p>
    <w:p w14:paraId="D52CFED8">
      <w:pPr>
        <w:pStyle w:val="style4098"/>
        <w:spacing w:before="250" w:after="120"/>
        <w:rPr>
          <w:color w:val="36363d"/>
        </w:rPr>
      </w:pPr>
      <w:r>
        <w:rPr>
          <w:color w:val="36363d"/>
        </w:rPr>
        <w:t>Error-Based SQL Injection</w:t>
      </w:r>
    </w:p>
    <w:p w14:paraId="485DC220">
      <w:pPr>
        <w:pStyle w:val="style0"/>
        <w:spacing w:after="150"/>
        <w:rPr/>
      </w:pPr>
      <w:r>
        <w:t>This technique relies on the application surfacing raw database error messages in response to malformed or malicious input. Those error messages can leak details about the database's structure, such as table or column names.</w:t>
      </w:r>
    </w:p>
    <w:p w14:paraId="EA731B45">
      <w:pPr>
        <w:pStyle w:val="style0"/>
        <w:spacing w:after="100"/>
        <w:rPr/>
      </w:pPr>
      <w:r>
        <w:rPr>
          <w:b/>
          <w:bCs/>
        </w:rPr>
        <w:t xml:space="preserve">Defining trait: </w:t>
      </w:r>
      <w:r>
        <w:t>data is read directly from the error output the database returns.</w:t>
      </w:r>
    </w:p>
    <w:p w14:paraId="4B07A744">
      <w:pPr>
        <w:pStyle w:val="style4098"/>
        <w:spacing w:before="250" w:after="120"/>
        <w:rPr>
          <w:color w:val="36363d"/>
        </w:rPr>
      </w:pPr>
      <w:r>
        <w:rPr>
          <w:color w:val="36363d"/>
        </w:rPr>
        <w:t>Boolean-Based Blind SQL Injection</w:t>
      </w:r>
    </w:p>
    <w:p w14:paraId="17356A84">
      <w:pPr>
        <w:pStyle w:val="style0"/>
        <w:spacing w:after="150"/>
        <w:rPr/>
      </w:pPr>
      <w:r>
        <w:t>Here, the application never shows the query results or any error text. Instead, the tester submits conditions designed to be TRUE or FALSE and watches for differences in how the application responds to each.</w:t>
      </w:r>
    </w:p>
    <w:p w14:paraId="0D8CA86C">
      <w:pPr>
        <w:pStyle w:val="style0"/>
        <w:spacing w:after="100"/>
        <w:rPr/>
      </w:pPr>
      <w:r>
        <w:rPr>
          <w:b/>
          <w:bCs/>
        </w:rPr>
        <w:t xml:space="preserve">Defining trait: </w:t>
      </w:r>
      <w:r>
        <w:t>data is deduced by comparing TRUE versus FALSE responses.</w:t>
      </w:r>
    </w:p>
    <w:p w14:paraId="8D6E196C">
      <w:pPr>
        <w:pStyle w:val="style4098"/>
        <w:spacing w:before="250" w:after="120"/>
        <w:rPr>
          <w:color w:val="36363d"/>
        </w:rPr>
      </w:pPr>
      <w:r>
        <w:rPr>
          <w:color w:val="36363d"/>
        </w:rPr>
        <w:t>Time-Based Blind SQL Injection</w:t>
      </w:r>
    </w:p>
    <w:p w14:paraId="FD337F95">
      <w:pPr>
        <w:pStyle w:val="style0"/>
        <w:spacing w:after="150"/>
        <w:rPr/>
      </w:pPr>
      <w:r>
        <w:t>This approach is used when the application gives no visible difference between valid and invalid conditions. Instead, the injected query is written to force a delay in the database's reply whenever a condition is TRUE.</w:t>
      </w:r>
    </w:p>
    <w:p w14:paraId="CB1D591D">
      <w:pPr>
        <w:pStyle w:val="style0"/>
        <w:spacing w:after="100"/>
        <w:rPr/>
      </w:pPr>
      <w:r>
        <w:rPr>
          <w:b/>
          <w:bCs/>
        </w:rPr>
        <w:t xml:space="preserve">Defining trait: </w:t>
      </w:r>
      <w:r>
        <w:t>data is deduced from differences in how long the response takes.</w:t>
      </w:r>
    </w:p>
    <w:p w14:paraId="1DE5DE1F">
      <w:pPr>
        <w:pStyle w:val="style0"/>
        <w:spacing w:after="150"/>
        <w:rPr/>
      </w:pPr>
      <w:r>
        <w:t>The key distinction among these approaches is how the attacker obtains information: error-based injection surfaces it directly through visible error output, while the two blind variants require inferring it indirectly, either from a TRUE/FALSE pattern or from timing differences.</w:t>
      </w:r>
    </w:p>
    <w:sectPr>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1d676a70-5529-499d-b0ec-a6c81a97a4bf"/>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 w:type="paragraph" w:styleId="style1">
    <w:name w:val="heading 1"/>
    <w:basedOn w:val="style0"/>
    <w:next w:val="style0"/>
    <w:link w:val="style12289"/>
    <w:qFormat/>
    <w:uiPriority w:val="9"/>
    <w:pPr>
      <w:keepNext/>
      <w:keepLines/>
      <w:spacing w:before="480" w:after="0"/>
      <w:outlineLvl w:val="0"/>
    </w:pPr>
    <w:rPr>
      <w:b/>
      <w:bCs/>
      <w:color w:val="365f91"/>
      <w:sz w:val="28"/>
      <w:szCs w:val="28"/>
    </w:rPr>
  </w:style>
  <w:style w:type="character" w:customStyle="1" w:styleId="style12289">
    <w:name w:val="Heading 1 Char"/>
    <w:basedOn w:val="style65"/>
    <w:link w:val="style1"/>
    <w:uiPriority w:val="9"/>
    <w:rPr>
      <w:b/>
      <w:bCs/>
      <w:color w:val="365f91"/>
      <w:sz w:val="28"/>
      <w:szCs w:val="28"/>
    </w:rPr>
  </w:style>
  <w:style w:type="character" w:default="1" w:styleId="style65">
    <w:name w:val="Default Paragraph Font"/>
    <w:uiPriority w:val="1"/>
  </w:style>
  <w:style w:type="paragraph" w:styleId="style2">
    <w:name w:val="heading 2"/>
    <w:basedOn w:val="style0"/>
    <w:next w:val="style0"/>
    <w:link w:val="style12290"/>
    <w:qFormat/>
    <w:uiPriority w:val="9"/>
    <w:pPr>
      <w:keepNext/>
      <w:keepLines/>
      <w:spacing w:before="200" w:after="0"/>
      <w:outlineLvl w:val="1"/>
    </w:pPr>
    <w:rPr>
      <w:b/>
      <w:bCs/>
      <w:color w:val="4f81bd"/>
      <w:sz w:val="26"/>
      <w:szCs w:val="26"/>
    </w:rPr>
  </w:style>
  <w:style w:type="character" w:customStyle="1" w:styleId="style12290">
    <w:name w:val="Heading 2 Char"/>
    <w:basedOn w:val="style65"/>
    <w:link w:val="style2"/>
    <w:uiPriority w:val="9"/>
    <w:rPr>
      <w:b/>
      <w:bCs/>
      <w:color w:val="4f81bd"/>
      <w:sz w:val="26"/>
      <w:szCs w:val="26"/>
    </w:rPr>
  </w:style>
</w:styles>
</file>

<file path=word/_rels/document.xml.rels><?xml version="1.0" encoding="UTF-8"?>
<Relationships xmlns="http://schemas.openxmlformats.org/package/2006/relationships"><Relationship Id="rId11" Type="http://schemas.openxmlformats.org/officeDocument/2006/relationships/image" Target="media/image10.jpeg"/><Relationship Id="rId10" Type="http://schemas.openxmlformats.org/officeDocument/2006/relationships/image" Target="media/image9.jpeg"/><Relationship Id="rId13" Type="http://schemas.openxmlformats.org/officeDocument/2006/relationships/image" Target="media/image12.jpeg"/><Relationship Id="rId12" Type="http://schemas.openxmlformats.org/officeDocument/2006/relationships/image" Target="media/image11.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15" Type="http://schemas.openxmlformats.org/officeDocument/2006/relationships/styles" Target="styles.xml"/><Relationship Id="rId14" Type="http://schemas.openxmlformats.org/officeDocument/2006/relationships/image" Target="media/image13.jpeg"/><Relationship Id="rId17" Type="http://schemas.openxmlformats.org/officeDocument/2006/relationships/settings" Target="settings.xml"/><Relationship Id="rId16" Type="http://schemas.openxmlformats.org/officeDocument/2006/relationships/fontTable" Target="fontTable.xml"/><Relationship Id="rId5" Type="http://schemas.openxmlformats.org/officeDocument/2006/relationships/image" Target="media/image4.jpeg"/><Relationship Id="rId6" Type="http://schemas.openxmlformats.org/officeDocument/2006/relationships/image" Target="media/image5.jpeg"/><Relationship Id="rId18" Type="http://schemas.openxmlformats.org/officeDocument/2006/relationships/theme" Target="theme/theme1.xml"/><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731</Words>
  <Characters>4043</Characters>
  <Application>WPS Office</Application>
  <Paragraphs>64</Paragraphs>
  <CharactersWithSpaces>4725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2026-09-15T19:47:57Z</dcterms:created>
  <dc:creator>Un-named</dc:creator>
  <lastModifiedBy>TECNO KL4</lastModifiedBy>
  <dcterms:modified xsi:type="dcterms:W3CDTF">2026-09-15T19:47:57Z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e249dfdba3d3468db0e3ba995364f877_23</vt:lpwstr>
  </property>
</Properties>
</file>