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OF201400007037</w:t>
      </w:r>
    </w:p>
    <w:p>
      <w:pPr/>
      <w:r>
        <w:rPr>
          <w:sz w:val="22"/>
          <w:szCs w:val="22"/>
          <w:b w:val="1"/>
          <w:bCs w:val="1"/>
        </w:rPr>
        <w:t xml:space="preserve">Prénom(s): </w:t>
      </w:r>
      <w:r>
        <w:rPr>
          <w:sz w:val="22"/>
          <w:szCs w:val="22"/>
        </w:rPr>
        <w:t xml:space="preserve">PNAME OF 201400007037</w:t>
      </w:r>
    </w:p>
    <w:p>
      <w:pPr/>
      <w:r>
        <w:rPr>
          <w:sz w:val="22"/>
          <w:szCs w:val="22"/>
          <w:b w:val="1"/>
          <w:bCs w:val="1"/>
        </w:rPr>
        <w:t xml:space="preserve">Date et lieu de naissance: </w:t>
      </w:r>
      <w:r>
        <w:rPr>
          <w:sz w:val="22"/>
          <w:szCs w:val="22"/>
        </w:rPr>
        <w:t xml:space="preserve">15/02/1995</w:t>
      </w:r>
      <w:r>
        <w:rPr>
          <w:sz w:val="22"/>
          <w:szCs w:val="22"/>
          <w:b w:val="1"/>
          <w:bCs w:val="1"/>
        </w:rPr>
        <w:t xml:space="preserve">                à  </w:t>
      </w:r>
      <w:r>
        <w:rPr>
          <w:sz w:val="22"/>
          <w:szCs w:val="22"/>
        </w:rPr>
        <w:t xml:space="preserve">EL BAYADH</w:t>
      </w:r>
    </w:p>
    <w:p>
      <w:pPr/>
      <w:r>
        <w:rPr>
          <w:sz w:val="22"/>
          <w:szCs w:val="22"/>
          <w:b w:val="1"/>
          <w:bCs w:val="1"/>
        </w:rPr>
        <w:t xml:space="preserve">Numéro d’immatriculation: </w:t>
      </w:r>
      <w:r>
        <w:rPr>
          <w:sz w:val="22"/>
          <w:szCs w:val="22"/>
        </w:rPr>
        <w:t xml:space="preserve">201400007037</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2000" w:type="dxa"/>
            <w:vMerge w:val="restart"/>
          </w:tcPr>
          <w:p>
            <w:pPr/>
            <w:r>
              <w:rPr/>
              <w:t xml:space="preserve">UET11.MI</w:t>
            </w:r>
          </w:p>
        </w:tc>
        <w:tc>
          <w:tcPr>
            <w:tcW w:w="9000" w:type="dxa"/>
          </w:tcPr>
          <w:p>
            <w:pPr/>
            <w:r>
              <w:rPr/>
              <w:t xml:space="preserve">LANGUE ETRANGERE</w:t>
            </w:r>
          </w:p>
        </w:tc>
        <w:tc>
          <w:tcPr>
            <w:tcW w:w="1000" w:type="dxa"/>
          </w:tcPr>
          <w:p>
            <w:pPr/>
            <w:r>
              <w:rPr/>
              <w:t xml:space="preserve">2</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UEF22.MI</w:t>
            </w:r>
          </w:p>
        </w:tc>
        <w:tc>
          <w:tcPr>
            <w:tcW w:w="9000" w:type="dxa"/>
          </w:tcPr>
          <w:p>
            <w:pPr/>
            <w:r>
              <w:rPr/>
              <w:t xml:space="preserve">PROGRAMMATION ET STRUCTURE DE DONNEES</w:t>
            </w:r>
          </w:p>
        </w:tc>
        <w:tc>
          <w:tcPr>
            <w:tcW w:w="1000" w:type="dxa"/>
          </w:tcPr>
          <w:p>
            <w:pPr/>
            <w:r>
              <w:rPr/>
              <w:t xml:space="preserve">5</w:t>
            </w:r>
          </w:p>
        </w:tc>
        <w:tc>
          <w:tcPr>
            <w:tcW w:w="1000" w:type="dxa"/>
          </w:tcPr>
          <w:p>
            <w:pPr/>
            <w:r>
              <w:rPr/>
              <w:t xml:space="preserve">b</w:t>
            </w:r>
          </w:p>
        </w:tc>
        <w:tc>
          <w:tcPr>
            <w:tcW w:w="2000" w:type="dxa"/>
          </w:tcPr>
          <w:p>
            <w:pPr/>
            <w:r>
              <w:rPr/>
              <w:t xml:space="preserve">6/16</w:t>
            </w:r>
          </w:p>
        </w:tc>
      </w:tr>
      <w:tr>
        <w:trPr/>
        <w:tc>
          <w:tcPr>
            <w:tcW w:w="2000" w:type="dxa"/>
            <w:vMerge w:val="restart"/>
          </w:tcPr>
          <w:p>
            <w:pPr/>
            <w:r>
              <w:rPr/>
              <w:t xml:space="preserve">UED11.MI</w:t>
            </w:r>
          </w:p>
        </w:tc>
        <w:tc>
          <w:tcPr>
            <w:tcW w:w="9000" w:type="dxa"/>
          </w:tcPr>
          <w:p>
            <w:pPr/>
            <w:r>
              <w:rPr/>
              <w:t xml:space="preserve">CODAGE ET REPRESENTATION DE L'INFORMATION</w:t>
            </w:r>
          </w:p>
        </w:tc>
        <w:tc>
          <w:tcPr>
            <w:tcW w:w="1000" w:type="dxa"/>
          </w:tcPr>
          <w:p>
            <w:pPr/>
            <w:r>
              <w:rPr/>
              <w:t xml:space="preserve">2</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STRUCTURE MACHINE</w:t>
            </w:r>
          </w:p>
        </w:tc>
        <w:tc>
          <w:tcPr>
            <w:tcW w:w="1000" w:type="dxa"/>
          </w:tcPr>
          <w:p>
            <w:pPr/>
            <w:r>
              <w:rPr/>
              <w:t xml:space="preserve">4</w:t>
            </w:r>
          </w:p>
        </w:tc>
        <w:tc>
          <w:tcPr>
            <w:tcW w:w="1000" w:type="dxa"/>
          </w:tcPr>
          <w:p>
            <w:pPr/>
            <w:r>
              <w:rPr/>
              <w:t xml:space="preserve">a</w:t>
            </w:r>
          </w:p>
        </w:tc>
        <w:tc>
          <w:tcPr>
            <w:tcW w:w="2000" w:type="dxa"/>
          </w:tcPr>
          <w:p>
            <w:pPr/>
            <w:r>
              <w:rPr/>
              <w:t xml:space="preserve">6/16</w:t>
            </w:r>
          </w:p>
        </w:tc>
      </w:tr>
      <w:tr>
        <w:trPr/>
        <w:tc>
          <w:tcPr>
            <w:vMerge w:val="continue"/>
          </w:tcPr>
          <w:p/>
        </w:tc>
        <w:tc>
          <w:tcPr>
            <w:tcW w:w="9000" w:type="dxa"/>
          </w:tcPr>
          <w:p>
            <w:pPr/>
            <w:r>
              <w:rPr/>
              <w:t xml:space="preserve">ELECTRONIQUE, COMPOSANT DES SYSTEMES</w:t>
            </w:r>
          </w:p>
        </w:tc>
        <w:tc>
          <w:tcPr>
            <w:tcW w:w="1000" w:type="dxa"/>
          </w:tcPr>
          <w:p>
            <w:pPr/>
            <w:r>
              <w:rPr/>
              <w:t xml:space="preserve">2</w:t>
            </w:r>
          </w:p>
        </w:tc>
        <w:tc>
          <w:tcPr>
            <w:tcW w:w="1000" w:type="dxa"/>
          </w:tcPr>
          <w:p>
            <w:pPr/>
            <w:r>
              <w:rPr/>
              <w:t xml:space="preserve">c</w:t>
            </w:r>
          </w:p>
        </w:tc>
        <w:tc>
          <w:tcPr>
            <w:tcW w:w="2000" w:type="dxa"/>
          </w:tcPr>
          <w:p>
            <w:pPr/>
            <w:r>
              <w:rPr/>
              <w:t xml:space="preserve">1/16</w:t>
            </w:r>
          </w:p>
        </w:tc>
        <w:tc>
          <w:tcPr>
            <w:tcW w:w="2000" w:type="dxa"/>
            <w:vMerge w:val="restart"/>
          </w:tcPr>
          <w:p>
            <w:pPr/>
            <w:r>
              <w:rPr/>
              <w:t xml:space="preserve">UEM21.MI</w:t>
            </w:r>
          </w:p>
        </w:tc>
        <w:tc>
          <w:tcPr>
            <w:tcW w:w="9000" w:type="dxa"/>
          </w:tcPr>
          <w:p>
            <w:pPr/>
            <w:r>
              <w:rPr/>
              <w:t xml:space="preserve">OUTILS DE PROGRAMMATION POUR LES MATHEMATIQUES</w:t>
            </w:r>
          </w:p>
        </w:tc>
        <w:tc>
          <w:tcPr>
            <w:tcW w:w="1000" w:type="dxa"/>
          </w:tcPr>
          <w:p>
            <w:pPr/>
            <w:r>
              <w:rPr/>
              <w:t xml:space="preserve">3</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UEF11.MI</w:t>
            </w:r>
          </w:p>
        </w:tc>
        <w:tc>
          <w:tcPr>
            <w:tcW w:w="9000" w:type="dxa"/>
          </w:tcPr>
          <w:p>
            <w:pPr/>
            <w:r>
              <w:rPr/>
              <w:t xml:space="preserve">ALGEBRE1</w:t>
            </w:r>
          </w:p>
        </w:tc>
        <w:tc>
          <w:tcPr>
            <w:tcW w:w="1000" w:type="dxa"/>
          </w:tcPr>
          <w:p>
            <w:pPr/>
            <w:r>
              <w:rPr/>
              <w:t xml:space="preserve">5</w:t>
            </w:r>
          </w:p>
        </w:tc>
        <w:tc>
          <w:tcPr>
            <w:tcW w:w="1000" w:type="dxa"/>
          </w:tcPr>
          <w:p>
            <w:pPr/>
            <w:r>
              <w:rPr/>
              <w:t xml:space="preserve">e</w:t>
            </w:r>
          </w:p>
        </w:tc>
        <w:tc>
          <w:tcPr>
            <w:tcW w:w="2000" w:type="dxa"/>
          </w:tcPr>
          <w:p>
            <w:pPr/>
            <w:r>
              <w:rPr/>
              <w:t xml:space="preserve">1/16</w:t>
            </w:r>
          </w:p>
        </w:tc>
        <w:tc>
          <w:tcPr>
            <w:vMerge w:val="continue"/>
          </w:tcPr>
          <w:p/>
        </w:tc>
        <w:tc>
          <w:tcPr>
            <w:tcW w:w="9000" w:type="dxa"/>
          </w:tcPr>
          <w:p>
            <w:pPr/>
            <w:r>
              <w:rPr/>
              <w:t xml:space="preserve">TECHNIQUE DE L'INFORMATION ET DE LA COMMUNICATION</w:t>
            </w:r>
          </w:p>
        </w:tc>
        <w:tc>
          <w:tcPr>
            <w:tcW w:w="1000" w:type="dxa"/>
          </w:tcPr>
          <w:p>
            <w:pPr/>
            <w:r>
              <w:rPr/>
              <w:t xml:space="preserve">4</w:t>
            </w:r>
          </w:p>
        </w:tc>
        <w:tc>
          <w:tcPr>
            <w:tcW w:w="1000" w:type="dxa"/>
          </w:tcPr>
          <w:p>
            <w:pPr/>
            <w:r>
              <w:rPr/>
              <w:t xml:space="preserve">b</w:t>
            </w:r>
          </w:p>
        </w:tc>
        <w:tc>
          <w:tcPr>
            <w:tcW w:w="2000" w:type="dxa"/>
          </w:tcPr>
          <w:p>
            <w:pPr/>
            <w:r>
              <w:rPr/>
              <w:t xml:space="preserve">6/16</w:t>
            </w:r>
          </w:p>
        </w:tc>
      </w:tr>
      <w:tr>
        <w:trPr/>
        <w:tc>
          <w:tcPr>
            <w:vMerge w:val="continue"/>
          </w:tcPr>
          <w:p/>
        </w:tc>
        <w:tc>
          <w:tcPr>
            <w:tcW w:w="9000" w:type="dxa"/>
          </w:tcPr>
          <w:p>
            <w:pPr/>
            <w:r>
              <w:rPr/>
              <w:t xml:space="preserve">ANALYSE1</w:t>
            </w:r>
          </w:p>
        </w:tc>
        <w:tc>
          <w:tcPr>
            <w:tcW w:w="1000" w:type="dxa"/>
          </w:tcPr>
          <w:p>
            <w:pPr/>
            <w:r>
              <w:rPr/>
              <w:t xml:space="preserve">6</w:t>
            </w:r>
          </w:p>
        </w:tc>
        <w:tc>
          <w:tcPr>
            <w:tcW w:w="1000" w:type="dxa"/>
          </w:tcPr>
          <w:p>
            <w:pPr/>
            <w:r>
              <w:rPr/>
              <w:t xml:space="preserve">d</w:t>
            </w:r>
          </w:p>
        </w:tc>
        <w:tc>
          <w:tcPr>
            <w:tcW w:w="2000" w:type="dxa"/>
          </w:tcPr>
          <w:p>
            <w:pPr/>
            <w:r>
              <w:rPr/>
              <w:t xml:space="preserve">1/16</w:t>
            </w:r>
          </w:p>
        </w:tc>
        <w:tc>
          <w:tcPr>
            <w:tcW w:w="2000" w:type="dxa"/>
            <w:vMerge w:val="restart"/>
          </w:tcPr>
          <w:p>
            <w:pPr/>
            <w:r>
              <w:rPr/>
              <w:t xml:space="preserve">UEF21.MI</w:t>
            </w:r>
          </w:p>
        </w:tc>
        <w:tc>
          <w:tcPr>
            <w:tcW w:w="9000" w:type="dxa"/>
          </w:tcPr>
          <w:p>
            <w:pPr/>
            <w:r>
              <w:rPr/>
              <w:t xml:space="preserve">ALGEBRE2</w:t>
            </w:r>
          </w:p>
        </w:tc>
        <w:tc>
          <w:tcPr>
            <w:tcW w:w="1000" w:type="dxa"/>
          </w:tcPr>
          <w:p>
            <w:pPr/>
            <w:r>
              <w:rPr/>
              <w:t xml:space="preserve">4</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INITIATION A L'ALGORITHMIQUE</w:t>
            </w:r>
          </w:p>
        </w:tc>
        <w:tc>
          <w:tcPr>
            <w:tcW w:w="1000" w:type="dxa"/>
          </w:tcPr>
          <w:p>
            <w:pPr/>
            <w:r>
              <w:rPr/>
              <w:t xml:space="preserve">6</w:t>
            </w:r>
          </w:p>
        </w:tc>
        <w:tc>
          <w:tcPr>
            <w:tcW w:w="1000" w:type="dxa"/>
          </w:tcPr>
          <w:p>
            <w:pPr/>
            <w:r>
              <w:rPr/>
              <w:t xml:space="preserve">c</w:t>
            </w:r>
          </w:p>
        </w:tc>
        <w:tc>
          <w:tcPr>
            <w:tcW w:w="2000" w:type="dxa"/>
          </w:tcPr>
          <w:p>
            <w:pPr/>
            <w:r>
              <w:rPr/>
              <w:t xml:space="preserve">1/16</w:t>
            </w:r>
          </w:p>
        </w:tc>
        <w:tc>
          <w:tcPr>
            <w:vMerge w:val="continue"/>
          </w:tcPr>
          <w:p/>
        </w:tc>
        <w:tc>
          <w:tcPr>
            <w:tcW w:w="9000" w:type="dxa"/>
          </w:tcPr>
          <w:p>
            <w:pPr/>
            <w:r>
              <w:rPr/>
              <w:t xml:space="preserve">ANALYSE2</w:t>
            </w:r>
          </w:p>
        </w:tc>
        <w:tc>
          <w:tcPr>
            <w:tcW w:w="1000" w:type="dxa"/>
          </w:tcPr>
          <w:p>
            <w:pPr/>
            <w:r>
              <w:rPr/>
              <w:t xml:space="preserve">4</w:t>
            </w:r>
          </w:p>
        </w:tc>
        <w:tc>
          <w:tcPr>
            <w:tcW w:w="1000" w:type="dxa"/>
          </w:tcPr>
          <w:p>
            <w:pPr/>
            <w:r>
              <w:rPr/>
              <w:t xml:space="preserve">e</w:t>
            </w:r>
          </w:p>
        </w:tc>
        <w:tc>
          <w:tcPr>
            <w:tcW w:w="2000" w:type="dxa"/>
          </w:tcPr>
          <w:p>
            <w:pPr/>
            <w:r>
              <w:rPr/>
              <w:t xml:space="preserve">6/16</w:t>
            </w:r>
          </w:p>
        </w:tc>
      </w:tr>
      <w:tr>
        <w:trPr/>
        <w:tc>
          <w:tcPr>
            <w:tcW w:w="2000" w:type="dxa"/>
            <w:vMerge w:val="restart"/>
          </w:tcPr>
          <w:p>
            <w:pPr/>
            <w:r>
              <w:rPr/>
              <w:t xml:space="preserve">UEM11.MI</w:t>
            </w:r>
          </w:p>
        </w:tc>
        <w:tc>
          <w:tcPr>
            <w:tcW w:w="9000" w:type="dxa"/>
          </w:tcPr>
          <w:p>
            <w:pPr/>
            <w:r>
              <w:rPr/>
              <w:t xml:space="preserve">TERMINOLOGIE SCIENTIFIQUE ET EXPRESSION ECRITE ET ORALE</w:t>
            </w:r>
          </w:p>
        </w:tc>
        <w:tc>
          <w:tcPr>
            <w:tcW w:w="1000" w:type="dxa"/>
          </w:tcPr>
          <w:p>
            <w:pPr/>
            <w:r>
              <w:rPr/>
              <w:t xml:space="preserve">4</w:t>
            </w:r>
          </w:p>
        </w:tc>
        <w:tc>
          <w:tcPr>
            <w:tcW w:w="1000" w:type="dxa"/>
          </w:tcPr>
          <w:p>
            <w:pPr/>
            <w:r>
              <w:rPr/>
              <w:t xml:space="preserve">d</w:t>
            </w:r>
          </w:p>
        </w:tc>
        <w:tc>
          <w:tcPr>
            <w:tcW w:w="2000" w:type="dxa"/>
          </w:tcPr>
          <w:p>
            <w:pPr/>
            <w:r>
              <w:rPr/>
              <w:t xml:space="preserve">1/16</w:t>
            </w:r>
          </w:p>
        </w:tc>
        <w:tc>
          <w:tcPr>
            <w:vMerge w:val="continue"/>
          </w:tcPr>
          <w:p/>
        </w:tc>
        <w:tc>
          <w:tcPr>
            <w:tcW w:w="9000" w:type="dxa"/>
          </w:tcPr>
          <w:p>
            <w:pPr/>
            <w:r>
              <w:rPr/>
              <w:t xml:space="preserve">INTRODUCTION AUX PROBABILITES ET STATISTIQUE DESCRIPTIVE</w:t>
            </w:r>
          </w:p>
        </w:tc>
        <w:tc>
          <w:tcPr>
            <w:tcW w:w="1000" w:type="dxa"/>
          </w:tcPr>
          <w:p>
            <w:pPr/>
            <w:r>
              <w:rPr/>
              <w:t xml:space="preserve">3</w:t>
            </w:r>
          </w:p>
        </w:tc>
        <w:tc>
          <w:tcPr>
            <w:tcW w:w="1000" w:type="dxa"/>
          </w:tcPr>
          <w:p>
            <w:pPr/>
            <w:r>
              <w:rPr/>
              <w:t xml:space="preserve">c</w:t>
            </w:r>
          </w:p>
        </w:tc>
        <w:tc>
          <w:tcPr>
            <w:tcW w:w="2000" w:type="dxa"/>
          </w:tcPr>
          <w:p>
            <w:pPr/>
            <w:r>
              <w:rPr/>
              <w:t xml:space="preserve">6/16</w:t>
            </w:r>
          </w:p>
        </w:tc>
      </w:tr>
      <w:tr>
        <w:trPr/>
        <w:tc>
          <w:tcPr>
            <w:vMerge w:val="continue"/>
          </w:tcPr>
          <w:p/>
        </w:tc>
        <w:tc>
          <w:tcPr>
            <w:tcW w:w="9000" w:type="dxa"/>
          </w:tcPr>
          <w:p>
            <w:pPr/>
            <w:r>
              <w:rPr/>
              <w:t xml:space="preserve">TP BUREAUTIQUE</w:t>
            </w:r>
          </w:p>
        </w:tc>
        <w:tc>
          <w:tcPr>
            <w:tcW w:w="1000" w:type="dxa"/>
          </w:tcPr>
          <w:p>
            <w:pPr/>
            <w:r>
              <w:rPr/>
              <w:t xml:space="preserve">3</w:t>
            </w:r>
          </w:p>
        </w:tc>
        <w:tc>
          <w:tcPr>
            <w:tcW w:w="1000" w:type="dxa"/>
          </w:tcPr>
          <w:p>
            <w:pPr/>
            <w:r>
              <w:rPr/>
              <w:t xml:space="preserve">b</w:t>
            </w:r>
          </w:p>
        </w:tc>
        <w:tc>
          <w:tcPr>
            <w:tcW w:w="2000" w:type="dxa"/>
          </w:tcPr>
          <w:p>
            <w:pPr/>
            <w:r>
              <w:rPr/>
              <w:t xml:space="preserve">1/16</w:t>
            </w:r>
          </w:p>
        </w:tc>
        <w:tc>
          <w:tcPr>
            <w:tcW w:w="2000" w:type="dxa"/>
            <w:vMerge w:val="restart"/>
          </w:tcPr>
          <w:p>
            <w:pPr/>
            <w:r>
              <w:rPr/>
              <w:t xml:space="preserve">UET21.MI</w:t>
            </w:r>
          </w:p>
        </w:tc>
        <w:tc>
          <w:tcPr>
            <w:tcW w:w="9000" w:type="dxa"/>
          </w:tcPr>
          <w:p>
            <w:pPr/>
            <w:r>
              <w:rPr/>
              <w:t xml:space="preserve">ELECTRICITE GENERALE</w:t>
            </w:r>
          </w:p>
        </w:tc>
        <w:tc>
          <w:tcPr>
            <w:tcW w:w="1000" w:type="dxa"/>
          </w:tcPr>
          <w:p>
            <w:pPr/>
            <w:r>
              <w:rPr/>
              <w:t xml:space="preserve">2</w:t>
            </w:r>
          </w:p>
        </w:tc>
        <w:tc>
          <w:tcPr>
            <w:tcW w:w="1000" w:type="dxa"/>
          </w:tcPr>
          <w:p>
            <w:pPr/>
            <w:r>
              <w:rPr/>
              <w:t xml:space="preserve">e</w:t>
            </w:r>
          </w:p>
        </w:tc>
        <w:tc>
          <w:tcPr>
            <w:tcW w:w="2000" w:type="dxa"/>
          </w:tcPr>
          <w:p>
            <w:pPr/>
            <w:r>
              <w:rPr/>
              <w:t xml:space="preserve">6/16</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2000" w:type="dxa"/>
            <w:vMerge w:val="restart"/>
          </w:tcPr>
          <w:p>
            <w:pPr/>
            <w:r>
              <w:rPr/>
              <w:t xml:space="preserve">UEF3.1.INF</w:t>
            </w:r>
          </w:p>
        </w:tc>
        <w:tc>
          <w:tcPr>
            <w:tcW w:w="2000" w:type="dxa"/>
          </w:tcPr>
          <w:p>
            <w:pPr/>
            <w:r>
              <w:rPr/>
              <w:t xml:space="preserve">Algorithmique et Structure de Données</w:t>
            </w:r>
          </w:p>
        </w:tc>
        <w:tc>
          <w:tcPr>
            <w:tcW w:w="2000" w:type="dxa"/>
          </w:tcPr>
          <w:p>
            <w:pPr/>
            <w:r>
              <w:rPr/>
              <w:t xml:space="preserve">6</w:t>
            </w:r>
          </w:p>
        </w:tc>
        <w:tc>
          <w:tcPr>
            <w:tcW w:w="2000" w:type="dxa"/>
          </w:tcPr>
          <w:p>
            <w:pPr/>
            <w:r>
              <w:rPr/>
              <w:t xml:space="preserve">c</w:t>
            </w:r>
          </w:p>
        </w:tc>
        <w:tc>
          <w:tcPr>
            <w:tcW w:w="2000" w:type="dxa"/>
          </w:tcPr>
          <w:p>
            <w:pPr/>
            <w:r>
              <w:rPr/>
              <w:t xml:space="preserve">1/17</w:t>
            </w:r>
          </w:p>
        </w:tc>
        <w:tc>
          <w:tcPr>
            <w:tcW w:w="2000" w:type="dxa"/>
            <w:vMerge w:val="restart"/>
          </w:tcPr>
          <w:p>
            <w:pPr/>
            <w:r>
              <w:rPr/>
              <w:t xml:space="preserve">UEF4.2.INF</w:t>
            </w:r>
          </w:p>
        </w:tc>
        <w:tc>
          <w:tcPr>
            <w:tcW w:w="2000" w:type="dxa"/>
          </w:tcPr>
          <w:p>
            <w:pPr/>
            <w:r>
              <w:rPr/>
              <w:t xml:space="preserve">Architecture des Ordinateurs 2</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Architecture des Ordinateurs 1</w:t>
            </w:r>
          </w:p>
        </w:tc>
        <w:tc>
          <w:tcPr>
            <w:tcW w:w="2000" w:type="dxa"/>
          </w:tcPr>
          <w:p>
            <w:pPr/>
            <w:r>
              <w:rPr/>
              <w:t xml:space="preserve">5</w:t>
            </w:r>
          </w:p>
        </w:tc>
        <w:tc>
          <w:tcPr>
            <w:tcW w:w="2000" w:type="dxa"/>
          </w:tcPr>
          <w:p>
            <w:pPr/>
            <w:r>
              <w:rPr/>
              <w:t xml:space="preserve">b</w:t>
            </w:r>
          </w:p>
        </w:tc>
        <w:tc>
          <w:tcPr>
            <w:tcW w:w="2000" w:type="dxa"/>
          </w:tcPr>
          <w:p>
            <w:pPr/>
            <w:r>
              <w:rPr/>
              <w:t xml:space="preserve">1/17</w:t>
            </w:r>
          </w:p>
        </w:tc>
        <w:tc>
          <w:tcPr>
            <w:vMerge w:val="continue"/>
          </w:tcPr>
          <w:p/>
        </w:tc>
        <w:tc>
          <w:tcPr>
            <w:tcW w:w="2000" w:type="dxa"/>
          </w:tcPr>
          <w:p>
            <w:pPr/>
            <w:r>
              <w:rPr/>
              <w:t xml:space="preserve">Systeme d'Exploitation 1</w:t>
            </w:r>
          </w:p>
        </w:tc>
        <w:tc>
          <w:tcPr>
            <w:tcW w:w="2000" w:type="dxa"/>
          </w:tcPr>
          <w:p>
            <w:pPr/>
            <w:r>
              <w:rPr/>
              <w:t xml:space="preserve">5</w:t>
            </w:r>
          </w:p>
        </w:tc>
        <w:tc>
          <w:tcPr>
            <w:tcW w:w="2000" w:type="dxa"/>
          </w:tcPr>
          <w:p>
            <w:pPr/>
            <w:r>
              <w:rPr/>
              <w:t xml:space="preserve">f</w:t>
            </w:r>
          </w:p>
        </w:tc>
        <w:tc>
          <w:tcPr>
            <w:tcW w:w="2000" w:type="dxa"/>
          </w:tcPr>
          <w:p>
            <w:pPr/>
            <w:r>
              <w:rPr/>
              <w:t xml:space="preserve">6/17</w:t>
            </w:r>
          </w:p>
        </w:tc>
      </w:tr>
      <w:tr>
        <w:trPr/>
        <w:tc>
          <w:tcPr>
            <w:vMerge w:val="continue"/>
          </w:tcPr>
          <w:p/>
        </w:tc>
        <w:tc>
          <w:tcPr>
            <w:tcW w:w="2000" w:type="dxa"/>
          </w:tcPr>
          <w:p>
            <w:pPr/>
            <w:r>
              <w:rPr/>
              <w:t xml:space="preserve">Système d'Information</w:t>
            </w:r>
          </w:p>
        </w:tc>
        <w:tc>
          <w:tcPr>
            <w:tcW w:w="2000" w:type="dxa"/>
          </w:tcPr>
          <w:p>
            <w:pPr/>
            <w:r>
              <w:rPr/>
              <w:t xml:space="preserve">5</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UEF4.1.INF</w:t>
            </w:r>
          </w:p>
        </w:tc>
        <w:tc>
          <w:tcPr>
            <w:tcW w:w="2000" w:type="dxa"/>
          </w:tcPr>
          <w:p>
            <w:pPr/>
            <w:r>
              <w:rPr/>
              <w:t xml:space="preserve">Bases de Données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tcW w:w="2000" w:type="dxa"/>
            <w:vMerge w:val="restart"/>
          </w:tcPr>
          <w:p>
            <w:pPr/>
            <w:r>
              <w:rPr/>
              <w:t xml:space="preserve">UEF3.2.INF</w:t>
            </w:r>
          </w:p>
        </w:tc>
        <w:tc>
          <w:tcPr>
            <w:tcW w:w="2000" w:type="dxa"/>
          </w:tcPr>
          <w:p>
            <w:pPr/>
            <w:r>
              <w:rPr/>
              <w:t xml:space="preserve">Analyse Numérique</w:t>
            </w:r>
          </w:p>
        </w:tc>
        <w:tc>
          <w:tcPr>
            <w:tcW w:w="2000" w:type="dxa"/>
          </w:tcPr>
          <w:p>
            <w:pPr/>
            <w:r>
              <w:rPr/>
              <w:t xml:space="preserve">4</w:t>
            </w:r>
          </w:p>
        </w:tc>
        <w:tc>
          <w:tcPr>
            <w:tcW w:w="2000" w:type="dxa"/>
          </w:tcPr>
          <w:p>
            <w:pPr/>
            <w:r>
              <w:rPr/>
              <w:t xml:space="preserve">d</w:t>
            </w:r>
          </w:p>
        </w:tc>
        <w:tc>
          <w:tcPr>
            <w:tcW w:w="2000" w:type="dxa"/>
          </w:tcPr>
          <w:p>
            <w:pPr/>
            <w:r>
              <w:rPr/>
              <w:t xml:space="preserve">1/17</w:t>
            </w:r>
          </w:p>
        </w:tc>
        <w:tc>
          <w:tcPr>
            <w:vMerge w:val="continue"/>
          </w:tcPr>
          <w:p/>
        </w:tc>
        <w:tc>
          <w:tcPr>
            <w:tcW w:w="2000" w:type="dxa"/>
          </w:tcPr>
          <w:p>
            <w:pPr/>
            <w:r>
              <w:rPr/>
              <w:t xml:space="preserve">Programmtion Orientée Objets</w:t>
            </w:r>
          </w:p>
        </w:tc>
        <w:tc>
          <w:tcPr>
            <w:tcW w:w="2000" w:type="dxa"/>
          </w:tcPr>
          <w:p>
            <w:pPr/>
            <w:r>
              <w:rPr/>
              <w:t xml:space="preserve">5</w:t>
            </w:r>
          </w:p>
        </w:tc>
        <w:tc>
          <w:tcPr>
            <w:tcW w:w="2000" w:type="dxa"/>
          </w:tcPr>
          <w:p>
            <w:pPr/>
            <w:r>
              <w:rPr/>
              <w:t xml:space="preserve">c</w:t>
            </w:r>
          </w:p>
        </w:tc>
        <w:tc>
          <w:tcPr>
            <w:tcW w:w="2000" w:type="dxa"/>
          </w:tcPr>
          <w:p>
            <w:pPr/>
            <w:r>
              <w:rPr/>
              <w:t xml:space="preserve">6/17</w:t>
            </w:r>
          </w:p>
        </w:tc>
      </w:tr>
      <w:tr>
        <w:trPr/>
        <w:tc>
          <w:tcPr>
            <w:vMerge w:val="continue"/>
          </w:tcPr>
          <w:p/>
        </w:tc>
        <w:tc>
          <w:tcPr>
            <w:tcW w:w="2000" w:type="dxa"/>
          </w:tcPr>
          <w:p>
            <w:pPr/>
            <w:r>
              <w:rPr/>
              <w:t xml:space="preserve">Logique Mathématiques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Théorie des Langages</w:t>
            </w:r>
          </w:p>
        </w:tc>
        <w:tc>
          <w:tcPr>
            <w:tcW w:w="2000" w:type="dxa"/>
          </w:tcPr>
          <w:p>
            <w:pPr/>
            <w:r>
              <w:rPr/>
              <w:t xml:space="preserve">5</w:t>
            </w:r>
          </w:p>
        </w:tc>
        <w:tc>
          <w:tcPr>
            <w:tcW w:w="2000" w:type="dxa"/>
          </w:tcPr>
          <w:p>
            <w:pPr/>
            <w:r>
              <w:rPr/>
              <w:t xml:space="preserve">e</w:t>
            </w:r>
          </w:p>
        </w:tc>
        <w:tc>
          <w:tcPr>
            <w:tcW w:w="2000" w:type="dxa"/>
          </w:tcPr>
          <w:p>
            <w:pPr/>
            <w:r>
              <w:rPr/>
              <w:t xml:space="preserve">6/17</w:t>
            </w:r>
          </w:p>
        </w:tc>
      </w:tr>
      <w:tr>
        <w:trPr/>
        <w:tc>
          <w:tcPr>
            <w:vMerge w:val="continue"/>
          </w:tcPr>
          <w:p/>
        </w:tc>
        <w:tc>
          <w:tcPr>
            <w:tcW w:w="2000" w:type="dxa"/>
          </w:tcPr>
          <w:p>
            <w:pPr/>
            <w:r>
              <w:rPr/>
              <w:t xml:space="preserve">Probabilités et Statistiques</w:t>
            </w:r>
          </w:p>
        </w:tc>
        <w:tc>
          <w:tcPr>
            <w:tcW w:w="2000" w:type="dxa"/>
          </w:tcPr>
          <w:p>
            <w:pPr/>
            <w:r>
              <w:rPr/>
              <w:t xml:space="preserve">4</w:t>
            </w:r>
          </w:p>
        </w:tc>
        <w:tc>
          <w:tcPr>
            <w:tcW w:w="2000" w:type="dxa"/>
          </w:tcPr>
          <w:p>
            <w:pPr/>
            <w:r>
              <w:rPr/>
              <w:t xml:space="preserve">e</w:t>
            </w:r>
          </w:p>
        </w:tc>
        <w:tc>
          <w:tcPr>
            <w:tcW w:w="2000" w:type="dxa"/>
          </w:tcPr>
          <w:p>
            <w:pPr/>
            <w:r>
              <w:rPr/>
              <w:t xml:space="preserve">1/17</w:t>
            </w:r>
          </w:p>
        </w:tc>
        <w:tc>
          <w:tcPr>
            <w:tcW w:w="2000" w:type="dxa"/>
            <w:vMerge w:val="restart"/>
          </w:tcPr>
          <w:p>
            <w:pPr/>
            <w:r>
              <w:rPr/>
              <w:t xml:space="preserve">UET4.1.INF</w:t>
            </w:r>
          </w:p>
        </w:tc>
        <w:tc>
          <w:tcPr>
            <w:tcW w:w="2000" w:type="dxa"/>
          </w:tcPr>
          <w:p>
            <w:pPr/>
            <w:r>
              <w:rPr/>
              <w:t xml:space="preserve">ANGLAIS2</w:t>
            </w:r>
          </w:p>
        </w:tc>
        <w:tc>
          <w:tcPr>
            <w:tcW w:w="2000" w:type="dxa"/>
          </w:tcPr>
          <w:p>
            <w:pPr/>
            <w:r>
              <w:rPr/>
              <w:t xml:space="preserve">3</w:t>
            </w:r>
          </w:p>
        </w:tc>
        <w:tc>
          <w:tcPr>
            <w:tcW w:w="2000" w:type="dxa"/>
          </w:tcPr>
          <w:p>
            <w:pPr/>
            <w:r>
              <w:rPr/>
              <w:t xml:space="preserve">b</w:t>
            </w:r>
          </w:p>
        </w:tc>
        <w:tc>
          <w:tcPr>
            <w:tcW w:w="2000" w:type="dxa"/>
          </w:tcPr>
          <w:p>
            <w:pPr/>
            <w:r>
              <w:rPr/>
              <w:t xml:space="preserve">6/17</w:t>
            </w:r>
          </w:p>
        </w:tc>
      </w:tr>
      <w:tr>
        <w:trPr/>
        <w:tc>
          <w:tcPr>
            <w:tcW w:w="2000" w:type="dxa"/>
            <w:vMerge w:val="restart"/>
          </w:tcPr>
          <w:p>
            <w:pPr/>
            <w:r>
              <w:rPr/>
              <w:t xml:space="preserve">UET3.1.INF</w:t>
            </w:r>
          </w:p>
        </w:tc>
        <w:tc>
          <w:tcPr>
            <w:tcW w:w="2000" w:type="dxa"/>
          </w:tcPr>
          <w:p>
            <w:pPr/>
            <w:r>
              <w:rPr/>
              <w:t xml:space="preserve">ANGLAIS1</w:t>
            </w:r>
          </w:p>
        </w:tc>
        <w:tc>
          <w:tcPr>
            <w:tcW w:w="2000" w:type="dxa"/>
          </w:tcPr>
          <w:p>
            <w:pPr/>
            <w:r>
              <w:rPr/>
              <w:t xml:space="preserve">2</w:t>
            </w:r>
          </w:p>
        </w:tc>
        <w:tc>
          <w:tcPr>
            <w:tcW w:w="2000" w:type="dxa"/>
          </w:tcPr>
          <w:p>
            <w:pPr/>
            <w:r>
              <w:rPr/>
              <w:t xml:space="preserve">e</w:t>
            </w:r>
          </w:p>
        </w:tc>
        <w:tc>
          <w:tcPr>
            <w:tcW w:w="2000" w:type="dxa"/>
          </w:tcPr>
          <w:p>
            <w:pPr/>
            <w:r>
              <w:rPr/>
              <w:t xml:space="preserve">1/17</w:t>
            </w:r>
          </w:p>
        </w:tc>
        <w:tc>
          <w:tcPr>
            <w:vMerge w:val="continue"/>
          </w:tcPr>
          <w:p/>
        </w:tc>
        <w:tc>
          <w:tcPr>
            <w:tcW w:w="2000" w:type="dxa"/>
          </w:tcPr>
          <w:p>
            <w:pPr/>
            <w:r>
              <w:rPr/>
              <w:t xml:space="preserve">OPTION</w:t>
            </w:r>
          </w:p>
        </w:tc>
        <w:tc>
          <w:tcPr>
            <w:tcW w:w="2000" w:type="dxa"/>
          </w:tcPr>
          <w:p>
            <w:pPr/>
            <w:r>
              <w:rPr/>
              <w:t xml:space="preserve">2</w:t>
            </w:r>
          </w:p>
        </w:tc>
        <w:tc>
          <w:tcPr>
            <w:tcW w:w="2000" w:type="dxa"/>
          </w:tcPr>
          <w:p>
            <w:pPr/>
            <w:r>
              <w:rPr/>
              <w:t xml:space="preserve">c</w:t>
            </w:r>
          </w:p>
        </w:tc>
        <w:tc>
          <w:tcPr>
            <w:tcW w:w="2000" w:type="dxa"/>
          </w:tcPr>
          <w:p>
            <w:pPr/>
            <w:r>
              <w:rPr/>
              <w:t xml:space="preserve">6/17</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r>
        <w:trPr/>
        <w:tc>
          <w:tcPr>
            <w:tcW w:w="2000" w:type="dxa"/>
            <w:vMerge w:val="restart"/>
          </w:tcPr>
          <w:p>
            <w:pPr/>
            <w:r>
              <w:rPr/>
              <w:t xml:space="preserve">UED5.IF</w:t>
            </w:r>
          </w:p>
        </w:tc>
        <w:tc>
          <w:tcPr>
            <w:tcW w:w="2000" w:type="dxa"/>
          </w:tcPr>
          <w:p>
            <w:pPr/>
            <w:r>
              <w:rPr/>
              <w:t xml:space="preserve">Option 1</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UEF6.1.IF</w:t>
            </w:r>
          </w:p>
        </w:tc>
        <w:tc>
          <w:tcPr>
            <w:tcW w:w="2000" w:type="dxa"/>
          </w:tcPr>
          <w:p>
            <w:pPr/>
            <w:r>
              <w:rPr/>
              <w:t xml:space="preserve">Option 2</w:t>
            </w:r>
          </w:p>
        </w:tc>
        <w:tc>
          <w:tcPr>
            <w:tcW w:w="2000" w:type="dxa"/>
          </w:tcPr>
          <w:p>
            <w:pPr/>
            <w:r>
              <w:rPr/>
              <w:t xml:space="preserve">6</w:t>
            </w:r>
          </w:p>
        </w:tc>
        <w:tc>
          <w:tcPr>
            <w:tcW w:w="2000" w:type="dxa"/>
          </w:tcPr>
          <w:p>
            <w:pPr/>
            <w:r>
              <w:rPr/>
              <w:t xml:space="preserve">c</w:t>
            </w:r>
          </w:p>
        </w:tc>
        <w:tc>
          <w:tcPr>
            <w:tcW w:w="2000" w:type="dxa"/>
          </w:tcPr>
          <w:p>
            <w:pPr/>
            <w:r>
              <w:rPr/>
              <w:t xml:space="preserve">6/18</w:t>
            </w:r>
          </w:p>
        </w:tc>
      </w:tr>
      <w:tr>
        <w:trPr/>
        <w:tc>
          <w:tcPr>
            <w:tcW w:w="2000" w:type="dxa"/>
            <w:vMerge w:val="restart"/>
          </w:tcPr>
          <w:p>
            <w:pPr/>
            <w:r>
              <w:rPr/>
              <w:t xml:space="preserve">UET5.IF</w:t>
            </w:r>
          </w:p>
        </w:tc>
        <w:tc>
          <w:tcPr>
            <w:tcW w:w="2000" w:type="dxa"/>
          </w:tcPr>
          <w:p>
            <w:pPr/>
            <w:r>
              <w:rPr/>
              <w:t xml:space="preserve">Anglais III</w:t>
            </w:r>
          </w:p>
        </w:tc>
        <w:tc>
          <w:tcPr>
            <w:tcW w:w="2000" w:type="dxa"/>
          </w:tcPr>
          <w:p>
            <w:pPr/>
            <w:r>
              <w:rPr/>
              <w:t xml:space="preserve">2</w:t>
            </w:r>
          </w:p>
        </w:tc>
        <w:tc>
          <w:tcPr>
            <w:tcW w:w="2000" w:type="dxa"/>
          </w:tcPr>
          <w:p>
            <w:pPr/>
            <w:r>
              <w:rPr/>
              <w:t xml:space="preserve">c</w:t>
            </w:r>
          </w:p>
        </w:tc>
        <w:tc>
          <w:tcPr>
            <w:tcW w:w="2000" w:type="dxa"/>
          </w:tcPr>
          <w:p>
            <w:pPr/>
            <w:r>
              <w:rPr/>
              <w:t xml:space="preserve">1/18</w:t>
            </w:r>
          </w:p>
        </w:tc>
        <w:tc>
          <w:tcPr>
            <w:vMerge w:val="continue"/>
          </w:tcPr>
          <w:p/>
        </w:tc>
        <w:tc>
          <w:tcPr>
            <w:tcW w:w="2000" w:type="dxa"/>
          </w:tcPr>
          <w:p>
            <w:pPr/>
            <w:r>
              <w:rPr/>
              <w:t xml:space="preserve">Option 3</w:t>
            </w:r>
          </w:p>
        </w:tc>
        <w:tc>
          <w:tcPr>
            <w:tcW w:w="2000" w:type="dxa"/>
          </w:tcPr>
          <w:p>
            <w:pPr/>
            <w:r>
              <w:rPr/>
              <w:t xml:space="preserve">6</w:t>
            </w:r>
          </w:p>
        </w:tc>
        <w:tc>
          <w:tcPr>
            <w:tcW w:w="2000" w:type="dxa"/>
          </w:tcPr>
          <w:p>
            <w:pPr/>
            <w:r>
              <w:rPr/>
              <w:t xml:space="preserve">d</w:t>
            </w:r>
          </w:p>
        </w:tc>
        <w:tc>
          <w:tcPr>
            <w:tcW w:w="2000" w:type="dxa"/>
          </w:tcPr>
          <w:p>
            <w:pPr/>
            <w:r>
              <w:rPr/>
              <w:t xml:space="preserve">6/18</w:t>
            </w:r>
          </w:p>
        </w:tc>
      </w:tr>
      <w:tr>
        <w:trPr/>
        <w:tc>
          <w:tcPr>
            <w:tcW w:w="2000" w:type="dxa"/>
            <w:vMerge w:val="restart"/>
          </w:tcPr>
          <w:p>
            <w:pPr/>
            <w:r>
              <w:rPr/>
              <w:t xml:space="preserve">UEF5.1.IF</w:t>
            </w:r>
          </w:p>
        </w:tc>
        <w:tc>
          <w:tcPr>
            <w:tcW w:w="2000" w:type="dxa"/>
          </w:tcPr>
          <w:p>
            <w:pPr/>
            <w:r>
              <w:rPr/>
              <w:t xml:space="preserve">Réseaux</w:t>
            </w:r>
          </w:p>
        </w:tc>
        <w:tc>
          <w:tcPr>
            <w:tcW w:w="2000" w:type="dxa"/>
          </w:tcPr>
          <w:p>
            <w:pPr/>
            <w:r>
              <w:rPr/>
              <w:t xml:space="preserve">5</w:t>
            </w:r>
          </w:p>
        </w:tc>
        <w:tc>
          <w:tcPr>
            <w:tcW w:w="2000" w:type="dxa"/>
          </w:tcPr>
          <w:p>
            <w:pPr/>
            <w:r>
              <w:rPr/>
              <w:t xml:space="preserve">c</w:t>
            </w:r>
          </w:p>
        </w:tc>
        <w:tc>
          <w:tcPr>
            <w:tcW w:w="2000" w:type="dxa"/>
          </w:tcPr>
          <w:p>
            <w:pPr/>
            <w:r>
              <w:rPr/>
              <w:t xml:space="preserve">1/18</w:t>
            </w:r>
          </w:p>
        </w:tc>
        <w:tc>
          <w:tcPr>
            <w:tcW w:w="2000" w:type="dxa"/>
            <w:vMerge w:val="restart"/>
          </w:tcPr>
          <w:p>
            <w:pPr/>
            <w:r>
              <w:rPr/>
              <w:t xml:space="preserve">UEF6.2.IF</w:t>
            </w:r>
          </w:p>
        </w:tc>
        <w:tc>
          <w:tcPr>
            <w:tcW w:w="2000" w:type="dxa"/>
          </w:tcPr>
          <w:p>
            <w:pPr/>
            <w:r>
              <w:rPr/>
              <w:t xml:space="preserve">Projet</w:t>
            </w:r>
          </w:p>
        </w:tc>
        <w:tc>
          <w:tcPr>
            <w:tcW w:w="2000" w:type="dxa"/>
          </w:tcPr>
          <w:p>
            <w:pPr/>
            <w:r>
              <w:rPr/>
              <w:t xml:space="preserve">18</w:t>
            </w:r>
          </w:p>
        </w:tc>
        <w:tc>
          <w:tcPr>
            <w:tcW w:w="2000" w:type="dxa"/>
          </w:tcPr>
          <w:p>
            <w:pPr/>
            <w:r>
              <w:rPr/>
              <w:t xml:space="preserve">c</w:t>
            </w:r>
          </w:p>
        </w:tc>
        <w:tc>
          <w:tcPr>
            <w:tcW w:w="2000" w:type="dxa"/>
          </w:tcPr>
          <w:p>
            <w:pPr/>
            <w:r>
              <w:rPr/>
              <w:t xml:space="preserve">6/18</w:t>
            </w:r>
          </w:p>
        </w:tc>
      </w:tr>
      <w:tr>
        <w:trPr/>
        <w:tc>
          <w:tcPr>
            <w:vMerge w:val="continue"/>
          </w:tcPr>
          <w:p/>
        </w:tc>
        <w:tc>
          <w:tcPr>
            <w:tcW w:w="2000" w:type="dxa"/>
          </w:tcPr>
          <w:p>
            <w:pPr/>
            <w:r>
              <w:rPr/>
              <w:t xml:space="preserve">Systèmes dexploitation2</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tcW w:w="2000" w:type="dxa"/>
            <w:vMerge w:val="restart"/>
          </w:tcPr>
          <w:p>
            <w:pPr/>
            <w:r>
              <w:rPr/>
              <w:t xml:space="preserve">UEF5.2.IF</w:t>
            </w:r>
          </w:p>
        </w:tc>
        <w:tc>
          <w:tcPr>
            <w:tcW w:w="2000" w:type="dxa"/>
          </w:tcPr>
          <w:p>
            <w:pPr/>
            <w:r>
              <w:rPr/>
              <w:t xml:space="preserve">Compilation</w:t>
            </w:r>
          </w:p>
        </w:tc>
        <w:tc>
          <w:tcPr>
            <w:tcW w:w="2000" w:type="dxa"/>
          </w:tcPr>
          <w:p>
            <w:pPr/>
            <w:r>
              <w:rPr/>
              <w:t xml:space="preserve">6</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Génie Logiciel et POO</w:t>
            </w:r>
          </w:p>
        </w:tc>
        <w:tc>
          <w:tcPr>
            <w:tcW w:w="2000" w:type="dxa"/>
          </w:tcPr>
          <w:p>
            <w:pPr/>
            <w:r>
              <w:rPr/>
              <w:t xml:space="preserve">5</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r>
        <w:trPr/>
        <w:tc>
          <w:tcPr>
            <w:vMerge w:val="continue"/>
          </w:tcPr>
          <w:p/>
        </w:tc>
        <w:tc>
          <w:tcPr>
            <w:tcW w:w="2000" w:type="dxa"/>
          </w:tcPr>
          <w:p>
            <w:pPr/>
            <w:r>
              <w:rPr/>
              <w:t xml:space="preserve">Théorie des graphes</w:t>
            </w:r>
          </w:p>
        </w:tc>
        <w:tc>
          <w:tcPr>
            <w:tcW w:w="2000" w:type="dxa"/>
          </w:tcPr>
          <w:p>
            <w:pPr/>
            <w:r>
              <w:rPr/>
              <w:t xml:space="preserve">4</w:t>
            </w:r>
          </w:p>
        </w:tc>
        <w:tc>
          <w:tcPr>
            <w:tcW w:w="2000" w:type="dxa"/>
          </w:tcPr>
          <w:p>
            <w:pPr/>
            <w:r>
              <w:rPr/>
              <w:t xml:space="preserve">d</w:t>
            </w:r>
          </w:p>
        </w:tc>
        <w:tc>
          <w:tcPr>
            <w:tcW w:w="2000" w:type="dxa"/>
          </w:tcPr>
          <w:p>
            <w:pPr/>
            <w:r>
              <w:rPr/>
              <w:t xml:space="preserve">1/18</w:t>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c>
          <w:tcPr>
            <w:tcW w:w="2000" w:type="dxa"/>
          </w:tcPr>
          <w:p>
            <w:pPr/>
            <w:r>
              <w:rPr/>
              <w:t xml:space="preserve"/>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10.211400032043</w:t>
      </w:r>
      <w:r>
        <w:rPr>
          <w:sz w:val="20"/>
          <w:szCs w:val="20"/>
          <w:b w:val="1"/>
          <w:bCs w:val="1"/>
        </w:rPr>
        <w:t xml:space="preserve">                                 Moyenne de classement au sien de la promotion :</w:t>
      </w:r>
      <w:r>
        <w:rPr>
          <w:sz w:val="20"/>
          <w:szCs w:val="20"/>
        </w:rPr>
        <w:t xml:space="preserve">10.979999542236</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182</w:t>
      </w:r>
    </w:p>
    <w:p>
      <w:pPr/>
      <w:r>
        <w:rPr>
          <w:sz w:val="22"/>
          <w:szCs w:val="22"/>
          <w:b w:val="1"/>
          <w:bCs w:val="1"/>
        </w:rPr>
        <w:t xml:space="preserve">3-4 Principaux domaines de compétences couverts par le diplôme : </w:t>
      </w:r>
    </w:p>
    <w:p>
      <w:pPr/>
      <w:r>
        <w:rPr>
          <w:sz w:val="22"/>
          <w:szCs w:val="22"/>
        </w:rPr>
        <w:t xml:space="preserve"> -Fondements théoriques de l’informatique </w:t>
      </w:r>
    </w:p>
    <w:p>
      <w:pPr/>
      <w:r>
        <w:rPr>
          <w:sz w:val="22"/>
          <w:szCs w:val="22"/>
        </w:rPr>
        <w:t xml:space="preserve"> -Logiciels et architectures matérielles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201400007037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2022-06-09T08:37:28+00:00</dcterms:created>
  <dcterms:modified xsi:type="dcterms:W3CDTF">2022-06-09T08:37:28+00:00</dcterms:modified>
</cp:coreProperties>
</file>

<file path=docProps/custom.xml><?xml version="1.0" encoding="utf-8"?>
<Properties xmlns="http://schemas.openxmlformats.org/officeDocument/2006/custom-properties" xmlns:vt="http://schemas.openxmlformats.org/officeDocument/2006/docPropsVTypes"/>
</file>