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/ DO NOT SUBMIT — RFP #20261404054</w:t>
      </w:r>
    </w:p>
    <w:p>
      <w:r>
        <w:t>Hospital Utilization Review Technology and Optimization Partner: engineering demonstration and proposed delivery outline.</w:t>
      </w:r>
    </w:p>
    <w:p>
      <w:r>
        <w:t>Respondent legal entity: [OWNER REQUIRED]. Address: [OWNER REQUIRED]. Authorized signatory: [OWNER REQUIRED]. Company experience, staff qualifications and references: [UNVERIFIED OWNER INPUT].</w:t>
      </w:r>
    </w:p>
    <w:p>
      <w:r>
        <w:t>Deadline retained from Addendum 1: November 3, 2026, at 2:00 p.m. CST, as written. Current addenda must be rechecked before any owner-authorized submission.</w:t>
      </w:r>
    </w:p>
    <w:p>
      <w:r>
        <w:t>This draft contains no signature, commercial offer, legal acceptance or production-readiness representation. Missing owner information makes it unsuitable for submission.</w:t>
      </w:r>
    </w:p>
    <w:p>
      <w:r>
        <w:br w:type="page"/>
      </w:r>
    </w:p>
    <w:p>
      <w:pPr>
        <w:pStyle w:val="Heading1"/>
      </w:pPr>
      <w:r>
        <w:t>Executive summary — engineering evidence, not clinical outcomes</w:t>
      </w:r>
    </w:p>
    <w:p>
      <w:r>
        <w:t>The existing desktop hospital workstation demonstrates all eight requested synthetic workflows: FHIR intake, AI-supported prioritization, inpatient/observation advisory review, continued-stay review, simulated authorization/notification, documentation-risk flags, physician escalation and human review, and reporting/audit.</w:t>
      </w:r>
    </w:p>
    <w:p>
      <w:r>
        <w:t>The modular demonstration reuses Medplum, HAPI FHIR/CQF, Keycloak, PostgreSQL, Grafana, local llama.cpp/Qwen, React and existing OpenTelemetry/Prometheus adapters. No proprietary Epic assets or private criteria were copied. The interface remains desktop-first at 1440/1920 pixels.</w:t>
      </w:r>
    </w:p>
    <w:p>
      <w:r>
        <w:t>Phase 5 retained three actual one-hour queue runs. The final isolated-read-pool result was 265.85 requests/sec and p95 134.14ms, with 45 timeouts and 11 HTTP 502 errors. These are single-host synthetic queue measurements, not clinical inference capacity, an SLA or proof of timeout elimination.</w:t>
      </w:r>
    </w:p>
    <w:p>
      <w:r>
        <w:t>No improvement in clinical accuracy, denials, reimbursement, length of stay or financial ROI is established. Production delivery requires authorized integration, validated clinical/payer criteria, qualified reviewers and security/legal approval.</w:t>
      </w:r>
    </w:p>
    <w:p>
      <w:r>
        <w:br w:type="page"/>
      </w:r>
    </w:p>
    <w:p>
      <w:pPr>
        <w:pStyle w:val="Heading1"/>
      </w:pPr>
      <w:r>
        <w:t>Company background, staffing and references — owner completion</w:t>
      </w:r>
    </w:p>
    <w:p>
      <w:r>
        <w:t>Supply verified legal entity, history, financial capacity, named implementation/support team, clinical qualifications and comparable hospital delivery record. No team size, certification, customer or experience claim is supplied by the software.</w:t>
      </w:r>
    </w:p>
    <w:p>
      <w:r>
        <w:t>At least three genuine references with authorized name/telephone/email details are required by source line 255. Do not use synthetic patients or test users as customer references.</w:t>
      </w:r>
    </w:p>
    <w:p>
      <w:r>
        <w:t>HUB response must address the 25% good-faith target and applicable current certificate or outreach/selected subcontractor evidence, including historical efforts. No status, outreach, agency contact or subcontract value is invented.</w:t>
      </w:r>
    </w:p>
    <w:p>
      <w:r>
        <w:br w:type="page"/>
      </w:r>
    </w:p>
    <w:p>
      <w:pPr>
        <w:pStyle w:val="Heading1"/>
      </w:pPr>
      <w:r>
        <w:t>Verified solution and limitations</w:t>
      </w:r>
    </w:p>
    <w:p>
      <w:r>
        <w:t>FHIR R4 fictional intake and version provenance feed persisted cases. Initial and continued-stay review use illustrative CQL plus a pinned local AI model; explanations cite recorded evidence. Missing data remains uncertainty, and recommendations require human review.</w:t>
      </w:r>
    </w:p>
    <w:p>
      <w:r>
        <w:t>Policy Management Center supports evidence/version comparison, correction requests, testing, independent supervisor/clinical-role approval, publication, suspension and rollback. Unapproved changes remain isolated. Rules are illustrative, not licensed medical-necessity or private payer-contract criteria.</w:t>
      </w:r>
    </w:p>
    <w:p>
      <w:r>
        <w:t>Authorization Review displays applicable illustrative documentation requirements, missing evidence and internal human next-step actions. Idempotent local payer simulation preserves receipts and audit. Internal approval is not insurer approval; no real payer submission or patient-status writeback is enabled.</w:t>
      </w:r>
    </w:p>
    <w:p>
      <w:r>
        <w:t>Clinical/payer validation is synthetic engineering evidence only. Real denial prediction, calibrated risk probability, independent sensitivity/specificity, full longitudinal outcomes and complete payer plan coverage remain future work.</w:t>
      </w:r>
    </w:p>
    <w:p>
      <w:r>
        <w:br w:type="page"/>
      </w:r>
    </w:p>
    <w:p>
      <w:pPr>
        <w:pStyle w:val="Heading1"/>
      </w:pPr>
      <w:r>
        <w:t>Proposed integration and implementation — subject to approval</w:t>
      </w:r>
    </w:p>
    <w:p>
      <w:r>
        <w:t>Proposed gated delivery: owner/hospital discovery and workflow design; approved data/security interfaces; authorized Epic sandbox testing; criteria and payer approvals; independent blinded validation; staged hospital acceptance; role-based training and monitored rollout. No delivery dates or acceptance commitments are made.</w:t>
      </w:r>
    </w:p>
    <w:p>
      <w:r>
        <w:t>Read-only FHIR transport and local SMART/permission/stale-resource/reconciliation tests are engineering demonstrations. Actual Epic tenant/client/scopes and JPS interface permissions are absent. ADT/HL7v2 and certified bidirectional enterprise integration are not established.</w:t>
      </w:r>
    </w:p>
    <w:p>
      <w:r>
        <w:t>Preserve source encounter status, clinical provenance, human decision authority, and explicit approval before external submissions or clinical policy activation. Production requires representative workloads and continuous outcome monitoring.</w:t>
      </w:r>
    </w:p>
    <w:p>
      <w:r>
        <w:br w:type="page"/>
      </w:r>
    </w:p>
    <w:p>
      <w:pPr>
        <w:pStyle w:val="Heading1"/>
      </w:pPr>
      <w:r>
        <w:t>Security, AI governance and operational reliability</w:t>
      </w:r>
    </w:p>
    <w:p>
      <w:r>
        <w:t>The local synthetic stack has role checks, session boundaries, source lineage, audit hashing, model pinning, monitored fallback, reconciliation and application restore proof. These controls do not establish HIPAA/HITECH compliance, SOC 2/HITRUST/ISO certification or a BAA.</w:t>
      </w:r>
    </w:p>
    <w:p>
      <w:r>
        <w:t>Production gaps include reviewed TLS/encryption at rest and key management, enterprise SSO/MFA, least privilege, privacy risk assessment, penetration testing, retention/incident response, coordinated backup/HA/DR, support staffing and hospital-approved SLAs.</w:t>
      </w:r>
    </w:p>
    <w:p>
      <w:r>
        <w:t>No PHI or JPS production data has been processed. No JPS data is used for external model training. Third-party processing, production model use, fairness/drift monitoring and representative clinical evaluation require separate review.</w:t>
      </w:r>
    </w:p>
    <w:p>
      <w:r>
        <w:t>The Vercel build is a disconnected read-only fictional fixture frontend. The backend stays separate on loopback. No hosted preview or deployment protection is claimed without actual verification.</w:t>
      </w:r>
    </w:p>
    <w:p>
      <w:r>
        <w:br w:type="page"/>
      </w:r>
    </w:p>
    <w:p>
      <w:pPr>
        <w:pStyle w:val="Heading1"/>
      </w:pPr>
      <w:r>
        <w:t>Commercial offer, forms and legal review — not supplied</w:t>
      </w:r>
    </w:p>
    <w:p>
      <w:r>
        <w:t>Official Exhibit A is preserved unchanged. Its prefilled zeros are not a vendor quote. The internal workbook contains blank actual inputs and conditional TCO formulas; owner must approve all-inclusive prices, initial-term firmness, optional renewals/caps, services, taxes and support assumptions.</w:t>
      </w:r>
    </w:p>
    <w:p>
      <w:r>
        <w:t>Exhibits B (signature), D (vendor certification) and F (good faith) are embedded in the original RFP. C is the separate terms document. E is not utilized. G requires the AI and security/data-governance questionnaires. Owner/counsel must complete/sign as applicable; no attestation or redline acceptance has been made.</w:t>
      </w:r>
    </w:p>
    <w:p>
      <w:r>
        <w:t>All addenda acknowledgments, vendor registration, legal checks, insurance/BAA/criteria agreements, official questionnaire evidence and final review remain outstanding. Form 1295 is post-award as described by the RFP, not an engineering filing task.</w:t>
      </w:r>
    </w:p>
    <w:p>
      <w:r>
        <w:br w:type="page"/>
      </w:r>
    </w:p>
    <w:p>
      <w:pPr>
        <w:pStyle w:val="Heading1"/>
      </w:pPr>
      <w:r>
        <w:t>Response preparation and technical demonstration attachments</w:t>
      </w:r>
    </w:p>
    <w:p>
      <w:r>
        <w:t>Use the source-exact Phase 6 traceability matrix and vendor-form checklist; engineering statuses are explicitly partial, synthetic, future or owner-dependent. The matrix inventories every retained nonempty source paragraph; it is not a legal opinion or a finding that minimum requirements are satisfied.</w:t>
      </w:r>
    </w:p>
    <w:p>
      <w:r>
        <w:t>Owner must finalize legal entity on every page, cover address/deadline/RFP number, executive summary at most two pages, response at most 25 pages excluding exhibits, authentic three-reference and HUB sections, official Excel pricing and editable/unlocked contract or redline.</w:t>
      </w:r>
    </w:p>
    <w:p>
      <w:r>
        <w:t>The RFP prescribes file upload at https://f1.jpshealth.org/form/RFPResponseForm, RFP number in the Bidding Opportunity Num field, and filenames beginning with RFP number and actual respondent name. No email, contact, upload, signature or portal action was performed.</w:t>
      </w:r>
    </w:p>
    <w:p>
      <w:r>
        <w:t>Technical evidence, source checkpoint and fixture ZIP are demonstration transfers, not automatically permissible bid attachments. Owner must select allowed PDF/DOCX/XLSX/image response files and review public-information/confidentiality implications before any authorized submission.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— [OWNER LEGAL ENTITY REQUIRED] — RFP #20261404054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