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2F2F2"/>
  <w:body>
    <w:p>
      <w:pPr>
        <w:spacing w:line="240" w:lineRule="auto" w:before="120" w:after="120"/>
        <w:jc w:val="center"/>
      </w:pPr>
      <w:r>
        <w:rPr>
          <w:rFonts w:ascii="Arial" w:hAnsi="Arial" w:eastAsia="黑体"/>
          <w:b/>
          <w:sz w:val="52"/>
          <w:u w:val="none"/>
        </w:rPr>
        <w:t>A股科技观察池投研 Agent · 使用说明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﻿# A股科技观察池投研 Agent · 使用说明</w:t>
      </w:r>
    </w:p>
    <w:p>
      <w:pPr>
        <w:spacing w:line="300" w:lineRule="auto" w:before="40" w:after="80"/>
      </w:pPr>
      <w:r>
        <w:rPr>
          <w:rFonts w:ascii="Arial" w:hAnsi="Arial" w:eastAsia="微软雅黑"/>
          <w:b w:val="0"/>
          <w:color w:val="595959"/>
          <w:sz w:val="21"/>
          <w:u w:val="none"/>
        </w:rPr>
        <w:t>代码仓库：https://github.com/kepe632/-</w:t>
      </w:r>
    </w:p>
    <w:p>
      <w:pPr>
        <w:spacing w:line="300" w:lineRule="auto" w:before="40" w:after="80"/>
      </w:pPr>
      <w:r>
        <w:rPr>
          <w:rFonts w:ascii="Arial" w:hAnsi="Arial" w:eastAsia="微软雅黑"/>
          <w:b w:val="0"/>
          <w:color w:val="595959"/>
          <w:sz w:val="21"/>
          <w:u w:val="none"/>
        </w:rPr>
        <w:t>本版本不含定时推送：所有报告均由你手动运行命令生成。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---</w:t>
      </w:r>
    </w:p>
    <w:p>
      <w:pPr>
        <w:spacing w:line="240" w:lineRule="auto" w:before="240" w:after="120"/>
        <w:jc w:val="left"/>
      </w:pPr>
      <w:r>
        <w:rPr>
          <w:rFonts w:ascii="Arial" w:hAnsi="Arial" w:eastAsia="黑体"/>
          <w:b/>
          <w:sz w:val="32"/>
          <w:u w:val="none"/>
        </w:rPr>
        <w:t>一、这个程序是做什么的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面向"中国科技长期主义"的 A 股观察池，自动抓取真实公开数据（行情 / 资金 / 财务 / 新闻），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结合 DeepSeek 做"投资专家"式解读，产出可追溯的 Word 研究报告。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默认观察池（可在 config.json 修改）：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中际旭创(</w:t>
      </w:r>
      <w:r>
        <w:rPr>
          <w:rFonts w:ascii="Arial" w:hAnsi="Arial" w:eastAsia="微软雅黑"/>
          <w:b/>
          <w:sz w:val="26"/>
          <w:u w:val="none"/>
        </w:rPr>
        <w:t>300308</w:t>
      </w:r>
      <w:r>
        <w:rPr>
          <w:rFonts w:ascii="Arial" w:hAnsi="Arial" w:eastAsia="微软雅黑"/>
          <w:b w:val="0"/>
          <w:sz w:val="24"/>
          <w:u w:val="none"/>
        </w:rPr>
        <w:t>)、新易盛(</w:t>
      </w:r>
      <w:r>
        <w:rPr>
          <w:rFonts w:ascii="Arial" w:hAnsi="Arial" w:eastAsia="微软雅黑"/>
          <w:b/>
          <w:sz w:val="26"/>
          <w:u w:val="none"/>
        </w:rPr>
        <w:t>300502</w:t>
      </w:r>
      <w:r>
        <w:rPr>
          <w:rFonts w:ascii="Arial" w:hAnsi="Arial" w:eastAsia="微软雅黑"/>
          <w:b w:val="0"/>
          <w:sz w:val="24"/>
          <w:u w:val="none"/>
        </w:rPr>
        <w:t>)、海光信息(</w:t>
      </w:r>
      <w:r>
        <w:rPr>
          <w:rFonts w:ascii="Arial" w:hAnsi="Arial" w:eastAsia="微软雅黑"/>
          <w:b/>
          <w:sz w:val="26"/>
          <w:u w:val="none"/>
        </w:rPr>
        <w:t>688041</w:t>
      </w:r>
      <w:r>
        <w:rPr>
          <w:rFonts w:ascii="Arial" w:hAnsi="Arial" w:eastAsia="微软雅黑"/>
          <w:b w:val="0"/>
          <w:sz w:val="24"/>
          <w:u w:val="none"/>
        </w:rPr>
        <w:t>)、寒武纪(</w:t>
      </w:r>
      <w:r>
        <w:rPr>
          <w:rFonts w:ascii="Arial" w:hAnsi="Arial" w:eastAsia="微软雅黑"/>
          <w:b/>
          <w:sz w:val="26"/>
          <w:u w:val="none"/>
        </w:rPr>
        <w:t>688256</w:t>
      </w:r>
      <w:r>
        <w:rPr>
          <w:rFonts w:ascii="Arial" w:hAnsi="Arial" w:eastAsia="微软雅黑"/>
          <w:b w:val="0"/>
          <w:sz w:val="24"/>
          <w:u w:val="none"/>
        </w:rPr>
        <w:t>)、中芯国际(</w:t>
      </w:r>
      <w:r>
        <w:rPr>
          <w:rFonts w:ascii="Arial" w:hAnsi="Arial" w:eastAsia="微软雅黑"/>
          <w:b/>
          <w:sz w:val="26"/>
          <w:u w:val="none"/>
        </w:rPr>
        <w:t>688981</w:t>
      </w:r>
      <w:r>
        <w:rPr>
          <w:rFonts w:ascii="Arial" w:hAnsi="Arial" w:eastAsia="微软雅黑"/>
          <w:b w:val="0"/>
          <w:sz w:val="24"/>
          <w:u w:val="none"/>
        </w:rPr>
        <w:t>)、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立讯精密(</w:t>
      </w:r>
      <w:r>
        <w:rPr>
          <w:rFonts w:ascii="Arial" w:hAnsi="Arial" w:eastAsia="微软雅黑"/>
          <w:b/>
          <w:sz w:val="26"/>
          <w:u w:val="none"/>
        </w:rPr>
        <w:t>002475</w:t>
      </w:r>
      <w:r>
        <w:rPr>
          <w:rFonts w:ascii="Arial" w:hAnsi="Arial" w:eastAsia="微软雅黑"/>
          <w:b w:val="0"/>
          <w:sz w:val="24"/>
          <w:u w:val="none"/>
        </w:rPr>
        <w:t>)、工业富联(</w:t>
      </w:r>
      <w:r>
        <w:rPr>
          <w:rFonts w:ascii="Arial" w:hAnsi="Arial" w:eastAsia="微软雅黑"/>
          <w:b/>
          <w:sz w:val="26"/>
          <w:u w:val="none"/>
        </w:rPr>
        <w:t>601138</w:t>
      </w:r>
      <w:r>
        <w:rPr>
          <w:rFonts w:ascii="Arial" w:hAnsi="Arial" w:eastAsia="微软雅黑"/>
          <w:b w:val="0"/>
          <w:sz w:val="24"/>
          <w:u w:val="none"/>
        </w:rPr>
        <w:t>)、拓普集团(</w:t>
      </w:r>
      <w:r>
        <w:rPr>
          <w:rFonts w:ascii="Arial" w:hAnsi="Arial" w:eastAsia="微软雅黑"/>
          <w:b/>
          <w:sz w:val="26"/>
          <w:u w:val="none"/>
        </w:rPr>
        <w:t>601689</w:t>
      </w:r>
      <w:r>
        <w:rPr>
          <w:rFonts w:ascii="Arial" w:hAnsi="Arial" w:eastAsia="微软雅黑"/>
          <w:b w:val="0"/>
          <w:sz w:val="24"/>
          <w:u w:val="none"/>
        </w:rPr>
        <w:t>)、埃斯顿(</w:t>
      </w:r>
      <w:r>
        <w:rPr>
          <w:rFonts w:ascii="Arial" w:hAnsi="Arial" w:eastAsia="微软雅黑"/>
          <w:b/>
          <w:sz w:val="26"/>
          <w:u w:val="none"/>
        </w:rPr>
        <w:t>002747</w:t>
      </w:r>
      <w:r>
        <w:rPr>
          <w:rFonts w:ascii="Arial" w:hAnsi="Arial" w:eastAsia="微软雅黑"/>
          <w:b w:val="0"/>
          <w:sz w:val="24"/>
          <w:u w:val="none"/>
        </w:rPr>
        <w:t>)、汇川技术(</w:t>
      </w:r>
      <w:r>
        <w:rPr>
          <w:rFonts w:ascii="Arial" w:hAnsi="Arial" w:eastAsia="微软雅黑"/>
          <w:b/>
          <w:sz w:val="26"/>
          <w:u w:val="none"/>
        </w:rPr>
        <w:t>300124</w:t>
      </w:r>
      <w:r>
        <w:rPr>
          <w:rFonts w:ascii="Arial" w:hAnsi="Arial" w:eastAsia="微软雅黑"/>
          <w:b w:val="0"/>
          <w:sz w:val="24"/>
          <w:u w:val="none"/>
        </w:rPr>
        <w:t>)。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---</w:t>
      </w:r>
    </w:p>
    <w:p>
      <w:pPr>
        <w:spacing w:line="240" w:lineRule="auto" w:before="240" w:after="120"/>
        <w:jc w:val="left"/>
      </w:pPr>
      <w:r>
        <w:rPr>
          <w:rFonts w:ascii="Arial" w:hAnsi="Arial" w:eastAsia="黑体"/>
          <w:b/>
          <w:sz w:val="32"/>
          <w:u w:val="none"/>
        </w:rPr>
        <w:t>二、能生成哪些报告（任务清单）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/>
          <w:right w:val="none"/>
          <w:insideH w:val="none"/>
          <w:insideV w:val="none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3864"/>
            <w:tcBorders>
              <w:bottom w:val="single" w:sz="8" w:color="000000"/>
            </w:tcBorders>
          </w:tcPr>
          <w:p>
            <w:pPr>
              <w:spacing w:line="240" w:lineRule="auto" w:before="40" w:after="40"/>
              <w:jc w:val="center"/>
            </w:pPr>
            <w:r>
              <w:rPr>
                <w:rFonts w:ascii="Arial" w:hAnsi="Arial" w:eastAsia="微软雅黑"/>
                <w:b w:val="0"/>
                <w:color w:val="FFFFFF"/>
                <w:sz w:val="21"/>
                <w:u w:val="none"/>
              </w:rPr>
              <w:t>命令</w:t>
            </w:r>
          </w:p>
        </w:tc>
        <w:tc>
          <w:tcPr>
            <w:tcW w:type="dxa" w:w="2493"/>
            <w:shd w:val="clear" w:color="auto" w:fill="1F3864"/>
            <w:tcBorders>
              <w:bottom w:val="single" w:sz="8" w:color="000000"/>
            </w:tcBorders>
          </w:tcPr>
          <w:p>
            <w:pPr>
              <w:spacing w:line="240" w:lineRule="auto" w:before="40" w:after="40"/>
              <w:jc w:val="center"/>
            </w:pPr>
            <w:r>
              <w:rPr>
                <w:rFonts w:ascii="Arial" w:hAnsi="Arial" w:eastAsia="微软雅黑"/>
                <w:b w:val="0"/>
                <w:color w:val="FFFFFF"/>
                <w:sz w:val="21"/>
                <w:u w:val="none"/>
              </w:rPr>
              <w:t>报告</w:t>
            </w:r>
          </w:p>
        </w:tc>
        <w:tc>
          <w:tcPr>
            <w:tcW w:type="dxa" w:w="2493"/>
            <w:shd w:val="clear" w:color="auto" w:fill="1F3864"/>
            <w:tcBorders>
              <w:bottom w:val="single" w:sz="8" w:color="000000"/>
            </w:tcBorders>
          </w:tcPr>
          <w:p>
            <w:pPr>
              <w:spacing w:line="240" w:lineRule="auto" w:before="40" w:after="40"/>
              <w:jc w:val="center"/>
            </w:pPr>
            <w:r>
              <w:rPr>
                <w:rFonts w:ascii="Arial" w:hAnsi="Arial" w:eastAsia="微软雅黑"/>
                <w:b w:val="0"/>
                <w:color w:val="FFFFFF"/>
                <w:sz w:val="21"/>
                <w:u w:val="none"/>
              </w:rPr>
              <w:t>建议时间</w:t>
            </w:r>
          </w:p>
        </w:tc>
        <w:tc>
          <w:tcPr>
            <w:tcW w:type="dxa" w:w="2493"/>
            <w:shd w:val="clear" w:color="auto" w:fill="1F3864"/>
            <w:tcBorders>
              <w:bottom w:val="single" w:sz="8" w:color="000000"/>
            </w:tcBorders>
          </w:tcPr>
          <w:p>
            <w:pPr>
              <w:spacing w:line="240" w:lineRule="auto" w:before="40" w:after="40"/>
              <w:jc w:val="center"/>
            </w:pPr>
            <w:r>
              <w:rPr>
                <w:rFonts w:ascii="Arial" w:hAnsi="Arial" w:eastAsia="微软雅黑"/>
                <w:b w:val="0"/>
                <w:color w:val="FFFFFF"/>
                <w:sz w:val="21"/>
                <w:u w:val="none"/>
              </w:rPr>
              <w:t>内容</w:t>
            </w:r>
          </w:p>
        </w:tc>
      </w:tr>
      <w:tr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python agent.py morning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每日早间市场与行业要闻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每天开盘前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(1) 全球主要指数（恒生/道指/纳指/标普）(2) A股主要指数 (3) 全球/中国/行业/公告 分类要闻 (4) DeepSeek 投资专家解读（这是什么→为什么重要→机遇在哪里）</w:t>
            </w:r>
          </w:p>
        </w:tc>
      </w:tr>
      <w:tr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python agent.py daily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每日舆情雷达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每天收盘后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每只股票：量价异动（量比/振幅/今开高低/成交额）+ 资金面（主力净流入）+ 估值位置（PE/PB/52周分位）+ 基本面（营收/净利/增速/ROE/毛利率/EPS/BPS）+ 公告速递 + 组合综合点评</w:t>
            </w:r>
          </w:p>
        </w:tc>
      </w:tr>
      <w:tr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python agent.py weekly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本周板块复盘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每周五收盘后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东方财富行业 Top10 强势板块 + 涨跌幅条形图 + 概率化归因 + 联动/抽血 + 下周前瞻</w:t>
            </w:r>
          </w:p>
        </w:tc>
      </w:tr>
      <w:tr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python agent.py biweekly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双周投研备忘录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每月 1、16 日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消息面·技术面·估值水位·操作建议 四维表格</w:t>
            </w:r>
          </w:p>
        </w:tc>
      </w:tr>
      <w:tr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python agent.py selftest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自检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排错用</w:t>
            </w:r>
          </w:p>
        </w:tc>
        <w:tc>
          <w:tcPr>
            <w:tcW w:type="dxa" w:w="2493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校验报告结构与合规声明</w:t>
            </w:r>
          </w:p>
        </w:tc>
      </w:tr>
      <w:tr>
        <w:tc>
          <w:tcPr>
            <w:tcW w:type="dxa" w:w="2493"/>
            <w:tcBorders>
              <w:bottom w:val="single" w:sz="12" w:color="000000"/>
            </w:tcBorders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任意任务加 --demo</w:t>
            </w:r>
          </w:p>
        </w:tc>
        <w:tc>
          <w:tcPr>
            <w:tcW w:type="dxa" w:w="2493"/>
            <w:tcBorders>
              <w:bottom w:val="single" w:sz="12" w:color="000000"/>
            </w:tcBorders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离线样例</w:t>
            </w:r>
          </w:p>
        </w:tc>
        <w:tc>
          <w:tcPr>
            <w:tcW w:type="dxa" w:w="2493"/>
            <w:tcBorders>
              <w:bottom w:val="single" w:sz="12" w:color="000000"/>
            </w:tcBorders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无网络时</w:t>
            </w:r>
          </w:p>
        </w:tc>
        <w:tc>
          <w:tcPr>
            <w:tcW w:type="dxa" w:w="2493"/>
            <w:tcBorders>
              <w:bottom w:val="single" w:sz="12" w:color="000000"/>
            </w:tcBorders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用内置样例跑通完整流程</w:t>
            </w:r>
          </w:p>
        </w:tc>
      </w:tr>
    </w:tbl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每份报告末尾自动附合规声明；LLM 措辞强制"概率思维、假设句式、禁止绝对化"。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---</w:t>
      </w:r>
    </w:p>
    <w:p>
      <w:pPr>
        <w:spacing w:line="240" w:lineRule="auto" w:before="240" w:after="120"/>
        <w:jc w:val="left"/>
      </w:pPr>
      <w:r>
        <w:rPr>
          <w:rFonts w:ascii="Arial" w:hAnsi="Arial" w:eastAsia="黑体"/>
          <w:b/>
          <w:sz w:val="32"/>
          <w:u w:val="none"/>
        </w:rPr>
        <w:t>三、怎么运行</w:t>
      </w:r>
    </w:p>
    <w:p>
      <w:pPr>
        <w:spacing w:line="240" w:lineRule="auto" w:before="240" w:after="120"/>
        <w:jc w:val="left"/>
      </w:pPr>
      <w:r>
        <w:rPr>
          <w:rFonts w:ascii="Arial" w:hAnsi="Arial" w:eastAsia="微软雅黑"/>
          <w:b/>
          <w:sz w:val="28"/>
          <w:u w:val="none"/>
        </w:rPr>
        <w:t>1) 环境要求</w:t>
      </w:r>
    </w:p>
    <w:p>
      <w:pPr>
        <w:pStyle w:val="ListBullet"/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Python 3.10 及以上（建议 3.11 ~ 3.13）</w:t>
      </w:r>
    </w:p>
    <w:p>
      <w:pPr>
        <w:pStyle w:val="ListBullet"/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依赖库：在该项目目录执行 pip install -r requirements.txt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（包含 akshare、requests、python-docx）</w:t>
      </w:r>
    </w:p>
    <w:p>
      <w:pPr>
        <w:pStyle w:val="ListBullet"/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可选：配置 DeepSeek 密钥以启用"专家解读"（见第四节）</w:t>
      </w:r>
    </w:p>
    <w:p>
      <w:pPr>
        <w:spacing w:line="240" w:lineRule="auto" w:before="240" w:after="120"/>
        <w:jc w:val="left"/>
      </w:pPr>
      <w:r>
        <w:rPr>
          <w:rFonts w:ascii="Arial" w:hAnsi="Arial" w:eastAsia="微软雅黑"/>
          <w:b/>
          <w:sz w:val="28"/>
          <w:u w:val="none"/>
        </w:rPr>
        <w:t>2) 运行哪个文件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运行项目里的 agent.py，在项目根目录下按需执行：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python agent.py morning     # 每日早间市场与行业要闻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python agent.py daily       # 每日舆情雷达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python agent.py weekly      # 本周板块复盘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python agent.py biweekly    # 双周投研备忘录</w:t>
      </w:r>
    </w:p>
    <w:p>
      <w:pPr>
        <w:spacing w:line="240" w:lineRule="auto" w:before="240" w:after="120"/>
        <w:jc w:val="left"/>
      </w:pPr>
      <w:r>
        <w:rPr>
          <w:rFonts w:ascii="Arial" w:hAnsi="Arial" w:eastAsia="微软雅黑"/>
          <w:b/>
          <w:sz w:val="28"/>
          <w:u w:val="none"/>
        </w:rPr>
        <w:t>3) 输出位置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报告生成到 reports/&lt;日期&gt;_&lt;星期&gt;/ 子目录，同时输出 .docx（Word）和 .md 两种格式。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---</w:t>
      </w:r>
    </w:p>
    <w:p>
      <w:pPr>
        <w:spacing w:line="240" w:lineRule="auto" w:before="240" w:after="120"/>
        <w:jc w:val="left"/>
      </w:pPr>
      <w:r>
        <w:rPr>
          <w:rFonts w:ascii="Arial" w:hAnsi="Arial" w:eastAsia="黑体"/>
          <w:b/>
          <w:sz w:val="32"/>
          <w:u w:val="none"/>
        </w:rPr>
        <w:t>四、配置</w:t>
      </w:r>
    </w:p>
    <w:p>
      <w:pPr>
        <w:spacing w:line="240" w:lineRule="auto" w:before="240" w:after="120"/>
        <w:jc w:val="left"/>
      </w:pPr>
      <w:r>
        <w:rPr>
          <w:rFonts w:ascii="Arial" w:hAnsi="Arial" w:eastAsia="微软雅黑"/>
          <w:b/>
          <w:sz w:val="28"/>
          <w:u w:val="none"/>
        </w:rPr>
        <w:t>观察池（改股票）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编辑 config.json 的 watchlist：code 为 6 位股票代码，name 为名称。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默认 10 只是占位样例，请替换成你自己的名单。</w:t>
      </w:r>
    </w:p>
    <w:p>
      <w:pPr>
        <w:spacing w:line="240" w:lineRule="auto" w:before="240" w:after="120"/>
        <w:jc w:val="left"/>
      </w:pPr>
      <w:r>
        <w:rPr>
          <w:rFonts w:ascii="Arial" w:hAnsi="Arial" w:eastAsia="微软雅黑"/>
          <w:b/>
          <w:sz w:val="28"/>
          <w:u w:val="none"/>
        </w:rPr>
        <w:t>DeepSeek 密钥（启用专家解读）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复制 .env.example 为 .env，填入：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DEEPSEEK_API_KEY=sk-你的key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DEEPSEEK_BASE_URL=https://api.deepseek.com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DEEPSEEK_MODEL=deepseek-chat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未配置时报告仍会生成，只是"专家解读"退化为规则化要点。.env 已被 gitignore，不会上传。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---</w:t>
      </w:r>
    </w:p>
    <w:p>
      <w:pPr>
        <w:spacing w:line="240" w:lineRule="auto" w:before="240" w:after="120"/>
        <w:jc w:val="left"/>
      </w:pPr>
      <w:r>
        <w:rPr>
          <w:rFonts w:ascii="Arial" w:hAnsi="Arial" w:eastAsia="黑体"/>
          <w:b/>
          <w:sz w:val="32"/>
          <w:u w:val="none"/>
        </w:rPr>
        <w:t>五、数据来源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1F3864"/>
            <w:tcBorders>
              <w:bottom w:val="single" w:sz="8" w:color="000000"/>
            </w:tcBorders>
          </w:tcPr>
          <w:p>
            <w:pPr>
              <w:spacing w:line="240" w:lineRule="auto" w:before="40" w:after="40"/>
              <w:jc w:val="center"/>
            </w:pPr>
            <w:r>
              <w:rPr>
                <w:rFonts w:ascii="Arial" w:hAnsi="Arial" w:eastAsia="微软雅黑"/>
                <w:b w:val="0"/>
                <w:color w:val="FFFFFF"/>
                <w:sz w:val="21"/>
                <w:u w:val="none"/>
              </w:rPr>
              <w:t>数据</w:t>
            </w:r>
          </w:p>
        </w:tc>
        <w:tc>
          <w:tcPr>
            <w:tcW w:type="dxa" w:w="4986"/>
            <w:shd w:val="clear" w:color="auto" w:fill="1F3864"/>
            <w:tcBorders>
              <w:bottom w:val="single" w:sz="8" w:color="000000"/>
            </w:tcBorders>
          </w:tcPr>
          <w:p>
            <w:pPr>
              <w:spacing w:line="240" w:lineRule="auto" w:before="40" w:after="40"/>
              <w:jc w:val="center"/>
            </w:pPr>
            <w:r>
              <w:rPr>
                <w:rFonts w:ascii="Arial" w:hAnsi="Arial" w:eastAsia="微软雅黑"/>
                <w:b w:val="0"/>
                <w:color w:val="FFFFFF"/>
                <w:sz w:val="21"/>
                <w:u w:val="none"/>
              </w:rPr>
              <w:t>来源</w:t>
            </w:r>
          </w:p>
        </w:tc>
      </w:tr>
      <w:tr>
        <w:tc>
          <w:tcPr>
            <w:tcW w:type="dxa" w:w="4986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行情（现价/涨跌/量价）</w:t>
            </w:r>
          </w:p>
        </w:tc>
        <w:tc>
          <w:tcPr>
            <w:tcW w:type="dxa" w:w="4986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腾讯行情 qt.gtimg.cn</w:t>
            </w:r>
          </w:p>
        </w:tc>
      </w:tr>
      <w:tr>
        <w:tc>
          <w:tcPr>
            <w:tcW w:type="dxa" w:w="4986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主力资金 / 52周极值 / 行业板块</w:t>
            </w:r>
          </w:p>
        </w:tc>
        <w:tc>
          <w:tcPr>
            <w:tcW w:type="dxa" w:w="4986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东方财富 push2delay.eastmoney.com</w:t>
            </w:r>
          </w:p>
        </w:tc>
      </w:tr>
      <w:tr>
        <w:tc>
          <w:tcPr>
            <w:tcW w:type="dxa" w:w="4986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财务数据（营收/净利/ROE 等）</w:t>
            </w:r>
          </w:p>
        </w:tc>
        <w:tc>
          <w:tcPr>
            <w:tcW w:type="dxa" w:w="4986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东方财富 datacenter.eastmoney.com</w:t>
            </w:r>
          </w:p>
        </w:tc>
      </w:tr>
      <w:tr>
        <w:tc>
          <w:tcPr>
            <w:tcW w:type="dxa" w:w="4986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新闻要闻</w:t>
            </w:r>
          </w:p>
        </w:tc>
        <w:tc>
          <w:tcPr>
            <w:tcW w:type="dxa" w:w="4986"/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东方财富 / 财联社 / 新浪</w:t>
            </w:r>
          </w:p>
        </w:tc>
      </w:tr>
      <w:tr>
        <w:tc>
          <w:tcPr>
            <w:tcW w:type="dxa" w:w="4986"/>
            <w:tcBorders>
              <w:bottom w:val="single" w:sz="12" w:color="000000"/>
            </w:tcBorders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专家解读</w:t>
            </w:r>
          </w:p>
        </w:tc>
        <w:tc>
          <w:tcPr>
            <w:tcW w:type="dxa" w:w="4986"/>
            <w:tcBorders>
              <w:bottom w:val="single" w:sz="12" w:color="000000"/>
            </w:tcBorders>
          </w:tcPr>
          <w:p>
            <w:pPr>
              <w:spacing w:line="240" w:lineRule="auto" w:before="40" w:after="40"/>
            </w:pPr>
            <w:r>
              <w:rPr>
                <w:rFonts w:ascii="Arial" w:hAnsi="Arial" w:eastAsia="微软雅黑"/>
                <w:b w:val="0"/>
                <w:sz w:val="21"/>
                <w:u w:val="none"/>
              </w:rPr>
              <w:t>DeepSeek</w:t>
            </w:r>
          </w:p>
        </w:tc>
      </w:tr>
    </w:tbl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---</w:t>
      </w:r>
    </w:p>
    <w:p>
      <w:pPr>
        <w:spacing w:line="240" w:lineRule="auto" w:before="240" w:after="120"/>
        <w:jc w:val="left"/>
      </w:pPr>
      <w:r>
        <w:rPr>
          <w:rFonts w:ascii="Arial" w:hAnsi="Arial" w:eastAsia="黑体"/>
          <w:b/>
          <w:sz w:val="32"/>
          <w:u w:val="none"/>
        </w:rPr>
        <w:t>六、已知限制</w:t>
      </w:r>
    </w:p>
    <w:p>
      <w:pPr>
        <w:pStyle w:val="ListBullet"/>
        <w:spacing w:line="300" w:lineRule="auto" w:before="0" w:after="120"/>
      </w:pPr>
      <w:r>
        <w:rPr>
          <w:rFonts w:ascii="Arial" w:hAnsi="Arial" w:eastAsia="微软雅黑"/>
          <w:b w:val="0"/>
          <w:color w:val="006666"/>
          <w:sz w:val="24"/>
          <w:u w:val="none"/>
        </w:rPr>
        <w:t>北向资金逐日净流向自 2024-08 起不再实时披露，报告以主力净流入代理。</w:t>
      </w:r>
    </w:p>
    <w:p>
      <w:pPr>
        <w:pStyle w:val="ListBullet"/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卖方覆盖（券商评级）未自动抓研报库，仅按新闻关键词粗分类，建议人工核验。</w:t>
      </w:r>
    </w:p>
    <w:p>
      <w:pPr>
        <w:pStyle w:val="ListBullet"/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估值分位用 52 周区间近似。</w:t>
      </w:r>
    </w:p>
    <w:p>
      <w:pPr>
        <w:pStyle w:val="ListBullet"/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数据来自公开接口，可能因源站调整而波动。</w:t>
      </w:r>
    </w:p>
    <w:p>
      <w:pPr>
        <w:spacing w:line="300" w:lineRule="auto" w:before="0" w:after="120"/>
      </w:pPr>
      <w:r>
        <w:rPr>
          <w:rFonts w:ascii="Arial" w:hAnsi="Arial" w:eastAsia="微软雅黑"/>
          <w:b w:val="0"/>
          <w:sz w:val="24"/>
          <w:u w:val="none"/>
        </w:rPr>
        <w:t>---</w:t>
      </w:r>
    </w:p>
    <w:p>
      <w:pPr>
        <w:spacing w:line="300" w:lineRule="auto" w:before="40" w:after="80"/>
      </w:pPr>
      <w:r>
        <w:rPr>
          <w:rFonts w:ascii="Arial" w:hAnsi="Arial" w:eastAsia="微软雅黑"/>
          <w:b w:val="0"/>
          <w:color w:val="595959"/>
          <w:sz w:val="21"/>
          <w:u w:val="none"/>
        </w:rPr>
        <w:t>本内容基于公开信息整理，不构成任何投资建议，股市有风险，入市需谨慎。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