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2F2F2"/>
  <w:body>
    <w:p>
      <w:pPr>
        <w:spacing w:line="240" w:lineRule="auto" w:before="120" w:after="120"/>
        <w:jc w:val="center"/>
      </w:pPr>
      <w:r>
        <w:rPr>
          <w:rFonts w:ascii="Arial" w:hAnsi="Arial" w:eastAsia="黑体"/>
          <w:b/>
          <w:sz w:val="52"/>
          <w:u w:val="none"/>
        </w:rPr>
        <w:t>A股科技观察池投研 Agent · 使用说明</w:t>
      </w:r>
    </w:p>
    <w:p>
      <w:pPr>
        <w:spacing w:line="300" w:lineRule="auto" w:before="0" w:after="120"/>
      </w:pPr>
      <w:r>
        <w:rPr>
          <w:rFonts w:ascii="Arial" w:hAnsi="Arial" w:eastAsia="微软雅黑"/>
          <w:b w:val="0"/>
          <w:sz w:val="24"/>
          <w:u w:val="none"/>
        </w:rPr>
        <w:t>﻿# A股科技观察池投研 Agent · 使用说明</w:t>
      </w:r>
    </w:p>
    <w:p>
      <w:pPr>
        <w:spacing w:line="300" w:lineRule="auto" w:before="40" w:after="80"/>
      </w:pPr>
      <w:r>
        <w:rPr>
          <w:rFonts w:ascii="Arial" w:hAnsi="Arial" w:eastAsia="微软雅黑"/>
          <w:b w:val="0"/>
          <w:color w:val="595959"/>
          <w:sz w:val="21"/>
          <w:u w:val="none"/>
        </w:rPr>
        <w:t>程序位置：C:\Users\ASUS\ashare-watchlist</w:t>
      </w:r>
    </w:p>
    <w:p>
      <w:pPr>
        <w:spacing w:line="300" w:lineRule="auto" w:before="40" w:after="80"/>
      </w:pPr>
      <w:r>
        <w:rPr>
          <w:rFonts w:ascii="Arial" w:hAnsi="Arial" w:eastAsia="微软雅黑"/>
          <w:b w:val="0"/>
          <w:color w:val="595959"/>
          <w:sz w:val="21"/>
          <w:u w:val="none"/>
        </w:rPr>
        <w:t>代码仓库：https://github.com/kepe632/-</w:t>
      </w:r>
    </w:p>
    <w:p>
      <w:pPr>
        <w:spacing w:line="300" w:lineRule="auto" w:before="40" w:after="80"/>
      </w:pPr>
      <w:r>
        <w:rPr>
          <w:rFonts w:ascii="Arial" w:hAnsi="Arial" w:eastAsia="微软雅黑"/>
          <w:b w:val="0"/>
          <w:color w:val="595959"/>
          <w:sz w:val="21"/>
          <w:u w:val="none"/>
        </w:rPr>
        <w:t>本版本不含定时推送：Windows 计划任务已删除，调度脚本已移除，所有报告由你手动运行命令生成。</w:t>
      </w:r>
    </w:p>
    <w:p>
      <w:pPr>
        <w:spacing w:line="300" w:lineRule="auto" w:before="0" w:after="120"/>
      </w:pPr>
      <w:r>
        <w:rPr>
          <w:rFonts w:ascii="Arial" w:hAnsi="Arial" w:eastAsia="微软雅黑"/>
          <w:b w:val="0"/>
          <w:sz w:val="24"/>
          <w:u w:val="none"/>
        </w:rPr>
        <w:t>---</w:t>
      </w:r>
    </w:p>
    <w:p>
      <w:pPr>
        <w:spacing w:line="240" w:lineRule="auto" w:before="240" w:after="120"/>
        <w:jc w:val="left"/>
      </w:pPr>
      <w:r>
        <w:rPr>
          <w:rFonts w:ascii="Arial" w:hAnsi="Arial" w:eastAsia="黑体"/>
          <w:b/>
          <w:sz w:val="32"/>
          <w:u w:val="none"/>
        </w:rPr>
        <w:t>一、这个程序是做什么的</w:t>
      </w:r>
    </w:p>
    <w:p>
      <w:pPr>
        <w:spacing w:line="300" w:lineRule="auto" w:before="0" w:after="120"/>
      </w:pPr>
      <w:r>
        <w:rPr>
          <w:rFonts w:ascii="Arial" w:hAnsi="Arial" w:eastAsia="微软雅黑"/>
          <w:b w:val="0"/>
          <w:sz w:val="24"/>
          <w:u w:val="none"/>
        </w:rPr>
        <w:t>面向"中国科技长期主义"的 A 股观察池，自动抓取真实公开数据（行情 / 资金 / 财务 / 新闻），</w:t>
      </w:r>
    </w:p>
    <w:p>
      <w:pPr>
        <w:spacing w:line="300" w:lineRule="auto" w:before="0" w:after="120"/>
      </w:pPr>
      <w:r>
        <w:rPr>
          <w:rFonts w:ascii="Arial" w:hAnsi="Arial" w:eastAsia="微软雅黑"/>
          <w:b w:val="0"/>
          <w:sz w:val="24"/>
          <w:u w:val="none"/>
        </w:rPr>
        <w:t>结合 DeepSeek 做"投资专家"式解读，产出可追溯的 Word 研究报告。</w:t>
      </w:r>
    </w:p>
    <w:p>
      <w:pPr>
        <w:spacing w:line="300" w:lineRule="auto" w:before="0" w:after="120"/>
      </w:pPr>
      <w:r>
        <w:rPr>
          <w:rFonts w:ascii="Arial" w:hAnsi="Arial" w:eastAsia="微软雅黑"/>
          <w:b w:val="0"/>
          <w:sz w:val="24"/>
          <w:u w:val="none"/>
        </w:rPr>
        <w:t>默认观察池（可在 config.json 修改）：</w:t>
      </w:r>
    </w:p>
    <w:p>
      <w:pPr>
        <w:spacing w:line="300" w:lineRule="auto" w:before="0" w:after="120"/>
      </w:pPr>
      <w:r>
        <w:rPr>
          <w:rFonts w:ascii="Arial" w:hAnsi="Arial" w:eastAsia="微软雅黑"/>
          <w:b w:val="0"/>
          <w:sz w:val="24"/>
          <w:u w:val="none"/>
        </w:rPr>
        <w:t>中际旭创(</w:t>
      </w:r>
      <w:r>
        <w:rPr>
          <w:rFonts w:ascii="Arial" w:hAnsi="Arial" w:eastAsia="微软雅黑"/>
          <w:b/>
          <w:sz w:val="26"/>
          <w:u w:val="none"/>
        </w:rPr>
        <w:t>300308</w:t>
      </w:r>
      <w:r>
        <w:rPr>
          <w:rFonts w:ascii="Arial" w:hAnsi="Arial" w:eastAsia="微软雅黑"/>
          <w:b w:val="0"/>
          <w:sz w:val="24"/>
          <w:u w:val="none"/>
        </w:rPr>
        <w:t>)、新易盛(</w:t>
      </w:r>
      <w:r>
        <w:rPr>
          <w:rFonts w:ascii="Arial" w:hAnsi="Arial" w:eastAsia="微软雅黑"/>
          <w:b/>
          <w:sz w:val="26"/>
          <w:u w:val="none"/>
        </w:rPr>
        <w:t>300502</w:t>
      </w:r>
      <w:r>
        <w:rPr>
          <w:rFonts w:ascii="Arial" w:hAnsi="Arial" w:eastAsia="微软雅黑"/>
          <w:b w:val="0"/>
          <w:sz w:val="24"/>
          <w:u w:val="none"/>
        </w:rPr>
        <w:t>)、海光信息(</w:t>
      </w:r>
      <w:r>
        <w:rPr>
          <w:rFonts w:ascii="Arial" w:hAnsi="Arial" w:eastAsia="微软雅黑"/>
          <w:b/>
          <w:sz w:val="26"/>
          <w:u w:val="none"/>
        </w:rPr>
        <w:t>688041</w:t>
      </w:r>
      <w:r>
        <w:rPr>
          <w:rFonts w:ascii="Arial" w:hAnsi="Arial" w:eastAsia="微软雅黑"/>
          <w:b w:val="0"/>
          <w:sz w:val="24"/>
          <w:u w:val="none"/>
        </w:rPr>
        <w:t>)、寒武纪(</w:t>
      </w:r>
      <w:r>
        <w:rPr>
          <w:rFonts w:ascii="Arial" w:hAnsi="Arial" w:eastAsia="微软雅黑"/>
          <w:b/>
          <w:sz w:val="26"/>
          <w:u w:val="none"/>
        </w:rPr>
        <w:t>688256</w:t>
      </w:r>
      <w:r>
        <w:rPr>
          <w:rFonts w:ascii="Arial" w:hAnsi="Arial" w:eastAsia="微软雅黑"/>
          <w:b w:val="0"/>
          <w:sz w:val="24"/>
          <w:u w:val="none"/>
        </w:rPr>
        <w:t>)、中芯国际(</w:t>
      </w:r>
      <w:r>
        <w:rPr>
          <w:rFonts w:ascii="Arial" w:hAnsi="Arial" w:eastAsia="微软雅黑"/>
          <w:b/>
          <w:sz w:val="26"/>
          <w:u w:val="none"/>
        </w:rPr>
        <w:t>688981</w:t>
      </w:r>
      <w:r>
        <w:rPr>
          <w:rFonts w:ascii="Arial" w:hAnsi="Arial" w:eastAsia="微软雅黑"/>
          <w:b w:val="0"/>
          <w:sz w:val="24"/>
          <w:u w:val="none"/>
        </w:rPr>
        <w:t>)、</w:t>
      </w:r>
    </w:p>
    <w:p>
      <w:pPr>
        <w:spacing w:line="300" w:lineRule="auto" w:before="0" w:after="120"/>
      </w:pPr>
      <w:r>
        <w:rPr>
          <w:rFonts w:ascii="Arial" w:hAnsi="Arial" w:eastAsia="微软雅黑"/>
          <w:b w:val="0"/>
          <w:sz w:val="24"/>
          <w:u w:val="none"/>
        </w:rPr>
        <w:t>立讯精密(</w:t>
      </w:r>
      <w:r>
        <w:rPr>
          <w:rFonts w:ascii="Arial" w:hAnsi="Arial" w:eastAsia="微软雅黑"/>
          <w:b/>
          <w:sz w:val="26"/>
          <w:u w:val="none"/>
        </w:rPr>
        <w:t>002475</w:t>
      </w:r>
      <w:r>
        <w:rPr>
          <w:rFonts w:ascii="Arial" w:hAnsi="Arial" w:eastAsia="微软雅黑"/>
          <w:b w:val="0"/>
          <w:sz w:val="24"/>
          <w:u w:val="none"/>
        </w:rPr>
        <w:t>)、工业富联(</w:t>
      </w:r>
      <w:r>
        <w:rPr>
          <w:rFonts w:ascii="Arial" w:hAnsi="Arial" w:eastAsia="微软雅黑"/>
          <w:b/>
          <w:sz w:val="26"/>
          <w:u w:val="none"/>
        </w:rPr>
        <w:t>601138</w:t>
      </w:r>
      <w:r>
        <w:rPr>
          <w:rFonts w:ascii="Arial" w:hAnsi="Arial" w:eastAsia="微软雅黑"/>
          <w:b w:val="0"/>
          <w:sz w:val="24"/>
          <w:u w:val="none"/>
        </w:rPr>
        <w:t>)、拓普集团(</w:t>
      </w:r>
      <w:r>
        <w:rPr>
          <w:rFonts w:ascii="Arial" w:hAnsi="Arial" w:eastAsia="微软雅黑"/>
          <w:b/>
          <w:sz w:val="26"/>
          <w:u w:val="none"/>
        </w:rPr>
        <w:t>601689</w:t>
      </w:r>
      <w:r>
        <w:rPr>
          <w:rFonts w:ascii="Arial" w:hAnsi="Arial" w:eastAsia="微软雅黑"/>
          <w:b w:val="0"/>
          <w:sz w:val="24"/>
          <w:u w:val="none"/>
        </w:rPr>
        <w:t>)、埃斯顿(</w:t>
      </w:r>
      <w:r>
        <w:rPr>
          <w:rFonts w:ascii="Arial" w:hAnsi="Arial" w:eastAsia="微软雅黑"/>
          <w:b/>
          <w:sz w:val="26"/>
          <w:u w:val="none"/>
        </w:rPr>
        <w:t>002747</w:t>
      </w:r>
      <w:r>
        <w:rPr>
          <w:rFonts w:ascii="Arial" w:hAnsi="Arial" w:eastAsia="微软雅黑"/>
          <w:b w:val="0"/>
          <w:sz w:val="24"/>
          <w:u w:val="none"/>
        </w:rPr>
        <w:t>)、汇川技术(</w:t>
      </w:r>
      <w:r>
        <w:rPr>
          <w:rFonts w:ascii="Arial" w:hAnsi="Arial" w:eastAsia="微软雅黑"/>
          <w:b/>
          <w:sz w:val="26"/>
          <w:u w:val="none"/>
        </w:rPr>
        <w:t>300124</w:t>
      </w:r>
      <w:r>
        <w:rPr>
          <w:rFonts w:ascii="Arial" w:hAnsi="Arial" w:eastAsia="微软雅黑"/>
          <w:b w:val="0"/>
          <w:sz w:val="24"/>
          <w:u w:val="none"/>
        </w:rPr>
        <w:t>)。</w:t>
      </w:r>
    </w:p>
    <w:p>
      <w:pPr>
        <w:spacing w:line="300" w:lineRule="auto" w:before="0" w:after="120"/>
      </w:pPr>
      <w:r>
        <w:rPr>
          <w:rFonts w:ascii="Arial" w:hAnsi="Arial" w:eastAsia="微软雅黑"/>
          <w:b w:val="0"/>
          <w:sz w:val="24"/>
          <w:u w:val="none"/>
        </w:rPr>
        <w:t>---</w:t>
      </w:r>
    </w:p>
    <w:p>
      <w:pPr>
        <w:spacing w:line="240" w:lineRule="auto" w:before="240" w:after="120"/>
        <w:jc w:val="left"/>
      </w:pPr>
      <w:r>
        <w:rPr>
          <w:rFonts w:ascii="Arial" w:hAnsi="Arial" w:eastAsia="黑体"/>
          <w:b/>
          <w:sz w:val="32"/>
          <w:u w:val="none"/>
        </w:rPr>
        <w:t>二、能生成哪些报告（任务清单）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/>
          <w:right w:val="none"/>
          <w:insideH w:val="none"/>
          <w:insideV w:val="none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F3864"/>
            <w:tcBorders>
              <w:bottom w:val="single" w:sz="8" w:color="000000"/>
            </w:tcBorders>
          </w:tcPr>
          <w:p>
            <w:pPr>
              <w:spacing w:line="240" w:lineRule="auto" w:before="40" w:after="40"/>
              <w:jc w:val="center"/>
            </w:pPr>
            <w:r>
              <w:rPr>
                <w:rFonts w:ascii="Arial" w:hAnsi="Arial" w:eastAsia="微软雅黑"/>
                <w:b w:val="0"/>
                <w:color w:val="FFFFFF"/>
                <w:sz w:val="21"/>
                <w:u w:val="none"/>
              </w:rPr>
              <w:t>命令</w:t>
            </w:r>
          </w:p>
        </w:tc>
        <w:tc>
          <w:tcPr>
            <w:tcW w:type="dxa" w:w="2493"/>
            <w:shd w:val="clear" w:color="auto" w:fill="1F3864"/>
            <w:tcBorders>
              <w:bottom w:val="single" w:sz="8" w:color="000000"/>
            </w:tcBorders>
          </w:tcPr>
          <w:p>
            <w:pPr>
              <w:spacing w:line="240" w:lineRule="auto" w:before="40" w:after="40"/>
              <w:jc w:val="center"/>
            </w:pPr>
            <w:r>
              <w:rPr>
                <w:rFonts w:ascii="Arial" w:hAnsi="Arial" w:eastAsia="微软雅黑"/>
                <w:b w:val="0"/>
                <w:color w:val="FFFFFF"/>
                <w:sz w:val="21"/>
                <w:u w:val="none"/>
              </w:rPr>
              <w:t>报告</w:t>
            </w:r>
          </w:p>
        </w:tc>
        <w:tc>
          <w:tcPr>
            <w:tcW w:type="dxa" w:w="2493"/>
            <w:shd w:val="clear" w:color="auto" w:fill="1F3864"/>
            <w:tcBorders>
              <w:bottom w:val="single" w:sz="8" w:color="000000"/>
            </w:tcBorders>
          </w:tcPr>
          <w:p>
            <w:pPr>
              <w:spacing w:line="240" w:lineRule="auto" w:before="40" w:after="40"/>
              <w:jc w:val="center"/>
            </w:pPr>
            <w:r>
              <w:rPr>
                <w:rFonts w:ascii="Arial" w:hAnsi="Arial" w:eastAsia="微软雅黑"/>
                <w:b w:val="0"/>
                <w:color w:val="FFFFFF"/>
                <w:sz w:val="21"/>
                <w:u w:val="none"/>
              </w:rPr>
              <w:t>建议时间</w:t>
            </w:r>
          </w:p>
        </w:tc>
        <w:tc>
          <w:tcPr>
            <w:tcW w:type="dxa" w:w="2493"/>
            <w:shd w:val="clear" w:color="auto" w:fill="1F3864"/>
            <w:tcBorders>
              <w:bottom w:val="single" w:sz="8" w:color="000000"/>
            </w:tcBorders>
          </w:tcPr>
          <w:p>
            <w:pPr>
              <w:spacing w:line="240" w:lineRule="auto" w:before="40" w:after="40"/>
              <w:jc w:val="center"/>
            </w:pPr>
            <w:r>
              <w:rPr>
                <w:rFonts w:ascii="Arial" w:hAnsi="Arial" w:eastAsia="微软雅黑"/>
                <w:b w:val="0"/>
                <w:color w:val="FFFFFF"/>
                <w:sz w:val="21"/>
                <w:u w:val="none"/>
              </w:rPr>
              <w:t>内容</w:t>
            </w:r>
          </w:p>
        </w:tc>
      </w:tr>
      <w:tr>
        <w:tc>
          <w:tcPr>
            <w:tcW w:type="dxa" w:w="2493"/>
          </w:tcPr>
          <w:p>
            <w:pPr>
              <w:spacing w:line="240" w:lineRule="auto" w:before="40" w:after="40"/>
            </w:pPr>
            <w:r>
              <w:rPr>
                <w:rFonts w:ascii="Arial" w:hAnsi="Arial" w:eastAsia="微软雅黑"/>
                <w:b w:val="0"/>
                <w:sz w:val="21"/>
                <w:u w:val="none"/>
              </w:rPr>
              <w:t>python agent.py morning</w:t>
            </w:r>
          </w:p>
        </w:tc>
        <w:tc>
          <w:tcPr>
            <w:tcW w:type="dxa" w:w="2493"/>
          </w:tcPr>
          <w:p>
            <w:pPr>
              <w:spacing w:line="240" w:lineRule="auto" w:before="40" w:after="40"/>
            </w:pPr>
            <w:r>
              <w:rPr>
                <w:rFonts w:ascii="Arial" w:hAnsi="Arial" w:eastAsia="微软雅黑"/>
                <w:b w:val="0"/>
                <w:sz w:val="21"/>
                <w:u w:val="none"/>
              </w:rPr>
              <w:t>每日早间市场与行业要闻</w:t>
            </w:r>
          </w:p>
        </w:tc>
        <w:tc>
          <w:tcPr>
            <w:tcW w:type="dxa" w:w="2493"/>
          </w:tcPr>
          <w:p>
            <w:pPr>
              <w:spacing w:line="240" w:lineRule="auto" w:before="40" w:after="40"/>
            </w:pPr>
            <w:r>
              <w:rPr>
                <w:rFonts w:ascii="Arial" w:hAnsi="Arial" w:eastAsia="微软雅黑"/>
                <w:b w:val="0"/>
                <w:sz w:val="21"/>
                <w:u w:val="none"/>
              </w:rPr>
              <w:t>每天开盘前</w:t>
            </w:r>
          </w:p>
        </w:tc>
        <w:tc>
          <w:tcPr>
            <w:tcW w:type="dxa" w:w="2493"/>
          </w:tcPr>
          <w:p>
            <w:pPr>
              <w:spacing w:line="240" w:lineRule="auto" w:before="40" w:after="40"/>
            </w:pPr>
            <w:r>
              <w:rPr>
                <w:rFonts w:ascii="Arial" w:hAnsi="Arial" w:eastAsia="微软雅黑"/>
                <w:b w:val="0"/>
                <w:sz w:val="21"/>
                <w:u w:val="none"/>
              </w:rPr>
              <w:t>(1) 全球主要指数（恒生/道指/纳指/标普）(2) A股主要指数 (3) 全球/中国/行业/公告 分类要闻 (4) DeepSeek 投资专家解读（这是什么→为什么重要→机遇在哪里）</w:t>
            </w:r>
          </w:p>
        </w:tc>
      </w:tr>
      <w:tr>
        <w:tc>
          <w:tcPr>
            <w:tcW w:type="dxa" w:w="2493"/>
          </w:tcPr>
          <w:p>
            <w:pPr>
              <w:spacing w:line="240" w:lineRule="auto" w:before="40" w:after="40"/>
            </w:pPr>
            <w:r>
              <w:rPr>
                <w:rFonts w:ascii="Arial" w:hAnsi="Arial" w:eastAsia="微软雅黑"/>
                <w:b w:val="0"/>
                <w:sz w:val="21"/>
                <w:u w:val="none"/>
              </w:rPr>
              <w:t>python agent.py daily</w:t>
            </w:r>
          </w:p>
        </w:tc>
        <w:tc>
          <w:tcPr>
            <w:tcW w:type="dxa" w:w="2493"/>
          </w:tcPr>
          <w:p>
            <w:pPr>
              <w:spacing w:line="240" w:lineRule="auto" w:before="40" w:after="40"/>
            </w:pPr>
            <w:r>
              <w:rPr>
                <w:rFonts w:ascii="Arial" w:hAnsi="Arial" w:eastAsia="微软雅黑"/>
                <w:b w:val="0"/>
                <w:sz w:val="21"/>
                <w:u w:val="none"/>
              </w:rPr>
              <w:t>每日舆情雷达</w:t>
            </w:r>
          </w:p>
        </w:tc>
        <w:tc>
          <w:tcPr>
            <w:tcW w:type="dxa" w:w="2493"/>
          </w:tcPr>
          <w:p>
            <w:pPr>
              <w:spacing w:line="240" w:lineRule="auto" w:before="40" w:after="40"/>
            </w:pPr>
            <w:r>
              <w:rPr>
                <w:rFonts w:ascii="Arial" w:hAnsi="Arial" w:eastAsia="微软雅黑"/>
                <w:b w:val="0"/>
                <w:sz w:val="21"/>
                <w:u w:val="none"/>
              </w:rPr>
              <w:t>每天收盘后</w:t>
            </w:r>
          </w:p>
        </w:tc>
        <w:tc>
          <w:tcPr>
            <w:tcW w:type="dxa" w:w="2493"/>
          </w:tcPr>
          <w:p>
            <w:pPr>
              <w:spacing w:line="240" w:lineRule="auto" w:before="40" w:after="40"/>
            </w:pPr>
            <w:r>
              <w:rPr>
                <w:rFonts w:ascii="Arial" w:hAnsi="Arial" w:eastAsia="微软雅黑"/>
                <w:b w:val="0"/>
                <w:sz w:val="21"/>
                <w:u w:val="none"/>
              </w:rPr>
              <w:t>每只股票：量价异动（量比/振幅/今开高低/成交额）+ 资金面（主力净流入）+ 估值位置（PE/PB/52周分位）+ 基本面（营收/净利/增速/ROE/毛利率/EPS/BPS）+ 公告速递 + 组合综合点评</w:t>
            </w:r>
          </w:p>
        </w:tc>
      </w:tr>
      <w:tr>
        <w:tc>
          <w:tcPr>
            <w:tcW w:type="dxa" w:w="2493"/>
          </w:tcPr>
          <w:p>
            <w:pPr>
              <w:spacing w:line="240" w:lineRule="auto" w:before="40" w:after="40"/>
            </w:pPr>
            <w:r>
              <w:rPr>
                <w:rFonts w:ascii="Arial" w:hAnsi="Arial" w:eastAsia="微软雅黑"/>
                <w:b w:val="0"/>
                <w:sz w:val="21"/>
                <w:u w:val="none"/>
              </w:rPr>
              <w:t>python agent.py weekly</w:t>
            </w:r>
          </w:p>
        </w:tc>
        <w:tc>
          <w:tcPr>
            <w:tcW w:type="dxa" w:w="2493"/>
          </w:tcPr>
          <w:p>
            <w:pPr>
              <w:spacing w:line="240" w:lineRule="auto" w:before="40" w:after="40"/>
            </w:pPr>
            <w:r>
              <w:rPr>
                <w:rFonts w:ascii="Arial" w:hAnsi="Arial" w:eastAsia="微软雅黑"/>
                <w:b w:val="0"/>
                <w:sz w:val="21"/>
                <w:u w:val="none"/>
              </w:rPr>
              <w:t>本周板块复盘</w:t>
            </w:r>
          </w:p>
        </w:tc>
        <w:tc>
          <w:tcPr>
            <w:tcW w:type="dxa" w:w="2493"/>
          </w:tcPr>
          <w:p>
            <w:pPr>
              <w:spacing w:line="240" w:lineRule="auto" w:before="40" w:after="40"/>
            </w:pPr>
            <w:r>
              <w:rPr>
                <w:rFonts w:ascii="Arial" w:hAnsi="Arial" w:eastAsia="微软雅黑"/>
                <w:b w:val="0"/>
                <w:sz w:val="21"/>
                <w:u w:val="none"/>
              </w:rPr>
              <w:t>每周五收盘后</w:t>
            </w:r>
          </w:p>
        </w:tc>
        <w:tc>
          <w:tcPr>
            <w:tcW w:type="dxa" w:w="2493"/>
          </w:tcPr>
          <w:p>
            <w:pPr>
              <w:spacing w:line="240" w:lineRule="auto" w:before="40" w:after="40"/>
            </w:pPr>
            <w:r>
              <w:rPr>
                <w:rFonts w:ascii="Arial" w:hAnsi="Arial" w:eastAsia="微软雅黑"/>
                <w:b w:val="0"/>
                <w:sz w:val="21"/>
                <w:u w:val="none"/>
              </w:rPr>
              <w:t>东方财富行业 Top10 强势板块 + 涨跌幅条形图 + 概率化归因 + 联动/抽血 + 下周前瞻</w:t>
            </w:r>
          </w:p>
        </w:tc>
      </w:tr>
      <w:tr>
        <w:tc>
          <w:tcPr>
            <w:tcW w:type="dxa" w:w="2493"/>
          </w:tcPr>
          <w:p>
            <w:pPr>
              <w:spacing w:line="240" w:lineRule="auto" w:before="40" w:after="40"/>
            </w:pPr>
            <w:r>
              <w:rPr>
                <w:rFonts w:ascii="Arial" w:hAnsi="Arial" w:eastAsia="微软雅黑"/>
                <w:b w:val="0"/>
                <w:sz w:val="21"/>
                <w:u w:val="none"/>
              </w:rPr>
              <w:t>python agent.py biweekly</w:t>
            </w:r>
          </w:p>
        </w:tc>
        <w:tc>
          <w:tcPr>
            <w:tcW w:type="dxa" w:w="2493"/>
          </w:tcPr>
          <w:p>
            <w:pPr>
              <w:spacing w:line="240" w:lineRule="auto" w:before="40" w:after="40"/>
            </w:pPr>
            <w:r>
              <w:rPr>
                <w:rFonts w:ascii="Arial" w:hAnsi="Arial" w:eastAsia="微软雅黑"/>
                <w:b w:val="0"/>
                <w:sz w:val="21"/>
                <w:u w:val="none"/>
              </w:rPr>
              <w:t>双周投研备忘录</w:t>
            </w:r>
          </w:p>
        </w:tc>
        <w:tc>
          <w:tcPr>
            <w:tcW w:type="dxa" w:w="2493"/>
          </w:tcPr>
          <w:p>
            <w:pPr>
              <w:spacing w:line="240" w:lineRule="auto" w:before="40" w:after="40"/>
            </w:pPr>
            <w:r>
              <w:rPr>
                <w:rFonts w:ascii="Arial" w:hAnsi="Arial" w:eastAsia="微软雅黑"/>
                <w:b w:val="0"/>
                <w:sz w:val="21"/>
                <w:u w:val="none"/>
              </w:rPr>
              <w:t>每月 1、16 日</w:t>
            </w:r>
          </w:p>
        </w:tc>
        <w:tc>
          <w:tcPr>
            <w:tcW w:type="dxa" w:w="2493"/>
          </w:tcPr>
          <w:p>
            <w:pPr>
              <w:spacing w:line="240" w:lineRule="auto" w:before="40" w:after="40"/>
            </w:pPr>
            <w:r>
              <w:rPr>
                <w:rFonts w:ascii="Arial" w:hAnsi="Arial" w:eastAsia="微软雅黑"/>
                <w:b w:val="0"/>
                <w:sz w:val="21"/>
                <w:u w:val="none"/>
              </w:rPr>
              <w:t>消息面·技术面·估值水位·操作建议 四维表格</w:t>
            </w:r>
          </w:p>
        </w:tc>
      </w:tr>
      <w:tr>
        <w:tc>
          <w:tcPr>
            <w:tcW w:type="dxa" w:w="2493"/>
          </w:tcPr>
          <w:p>
            <w:pPr>
              <w:spacing w:line="240" w:lineRule="auto" w:before="40" w:after="40"/>
            </w:pPr>
            <w:r>
              <w:rPr>
                <w:rFonts w:ascii="Arial" w:hAnsi="Arial" w:eastAsia="微软雅黑"/>
                <w:b w:val="0"/>
                <w:sz w:val="21"/>
                <w:u w:val="none"/>
              </w:rPr>
              <w:t>python agent.py selftest</w:t>
            </w:r>
          </w:p>
        </w:tc>
        <w:tc>
          <w:tcPr>
            <w:tcW w:type="dxa" w:w="2493"/>
          </w:tcPr>
          <w:p>
            <w:pPr>
              <w:spacing w:line="240" w:lineRule="auto" w:before="40" w:after="40"/>
            </w:pPr>
            <w:r>
              <w:rPr>
                <w:rFonts w:ascii="Arial" w:hAnsi="Arial" w:eastAsia="微软雅黑"/>
                <w:b w:val="0"/>
                <w:sz w:val="21"/>
                <w:u w:val="none"/>
              </w:rPr>
              <w:t>自检</w:t>
            </w:r>
          </w:p>
        </w:tc>
        <w:tc>
          <w:tcPr>
            <w:tcW w:type="dxa" w:w="2493"/>
          </w:tcPr>
          <w:p>
            <w:pPr>
              <w:spacing w:line="240" w:lineRule="auto" w:before="40" w:after="40"/>
            </w:pPr>
            <w:r>
              <w:rPr>
                <w:rFonts w:ascii="Arial" w:hAnsi="Arial" w:eastAsia="微软雅黑"/>
                <w:b w:val="0"/>
                <w:sz w:val="21"/>
                <w:u w:val="none"/>
              </w:rPr>
              <w:t>排错用</w:t>
            </w:r>
          </w:p>
        </w:tc>
        <w:tc>
          <w:tcPr>
            <w:tcW w:type="dxa" w:w="2493"/>
          </w:tcPr>
          <w:p>
            <w:pPr>
              <w:spacing w:line="240" w:lineRule="auto" w:before="40" w:after="40"/>
            </w:pPr>
            <w:r>
              <w:rPr>
                <w:rFonts w:ascii="Arial" w:hAnsi="Arial" w:eastAsia="微软雅黑"/>
                <w:b w:val="0"/>
                <w:sz w:val="21"/>
                <w:u w:val="none"/>
              </w:rPr>
              <w:t>校验报告结构与合规声明</w:t>
            </w:r>
          </w:p>
        </w:tc>
      </w:tr>
      <w:tr>
        <w:tc>
          <w:tcPr>
            <w:tcW w:type="dxa" w:w="2493"/>
            <w:tcBorders>
              <w:bottom w:val="single" w:sz="12" w:color="000000"/>
            </w:tcBorders>
          </w:tcPr>
          <w:p>
            <w:pPr>
              <w:spacing w:line="240" w:lineRule="auto" w:before="40" w:after="40"/>
            </w:pPr>
            <w:r>
              <w:rPr>
                <w:rFonts w:ascii="Arial" w:hAnsi="Arial" w:eastAsia="微软雅黑"/>
                <w:b w:val="0"/>
                <w:sz w:val="21"/>
                <w:u w:val="none"/>
              </w:rPr>
              <w:t>任意任务加 --demo</w:t>
            </w:r>
          </w:p>
        </w:tc>
        <w:tc>
          <w:tcPr>
            <w:tcW w:type="dxa" w:w="2493"/>
            <w:tcBorders>
              <w:bottom w:val="single" w:sz="12" w:color="000000"/>
            </w:tcBorders>
          </w:tcPr>
          <w:p>
            <w:pPr>
              <w:spacing w:line="240" w:lineRule="auto" w:before="40" w:after="40"/>
            </w:pPr>
            <w:r>
              <w:rPr>
                <w:rFonts w:ascii="Arial" w:hAnsi="Arial" w:eastAsia="微软雅黑"/>
                <w:b w:val="0"/>
                <w:sz w:val="21"/>
                <w:u w:val="none"/>
              </w:rPr>
              <w:t>离线样例</w:t>
            </w:r>
          </w:p>
        </w:tc>
        <w:tc>
          <w:tcPr>
            <w:tcW w:type="dxa" w:w="2493"/>
            <w:tcBorders>
              <w:bottom w:val="single" w:sz="12" w:color="000000"/>
            </w:tcBorders>
          </w:tcPr>
          <w:p>
            <w:pPr>
              <w:spacing w:line="240" w:lineRule="auto" w:before="40" w:after="40"/>
            </w:pPr>
            <w:r>
              <w:rPr>
                <w:rFonts w:ascii="Arial" w:hAnsi="Arial" w:eastAsia="微软雅黑"/>
                <w:b w:val="0"/>
                <w:sz w:val="21"/>
                <w:u w:val="none"/>
              </w:rPr>
              <w:t>无网络时</w:t>
            </w:r>
          </w:p>
        </w:tc>
        <w:tc>
          <w:tcPr>
            <w:tcW w:type="dxa" w:w="2493"/>
            <w:tcBorders>
              <w:bottom w:val="single" w:sz="12" w:color="000000"/>
            </w:tcBorders>
          </w:tcPr>
          <w:p>
            <w:pPr>
              <w:spacing w:line="240" w:lineRule="auto" w:before="40" w:after="40"/>
            </w:pPr>
            <w:r>
              <w:rPr>
                <w:rFonts w:ascii="Arial" w:hAnsi="Arial" w:eastAsia="微软雅黑"/>
                <w:b w:val="0"/>
                <w:sz w:val="21"/>
                <w:u w:val="none"/>
              </w:rPr>
              <w:t>用内置样例跑通完整流程</w:t>
            </w:r>
          </w:p>
        </w:tc>
      </w:tr>
    </w:tbl>
    <w:p>
      <w:pPr>
        <w:spacing w:line="300" w:lineRule="auto" w:before="0" w:after="120"/>
      </w:pPr>
      <w:r>
        <w:rPr>
          <w:rFonts w:ascii="Arial" w:hAnsi="Arial" w:eastAsia="微软雅黑"/>
          <w:b w:val="0"/>
          <w:sz w:val="24"/>
          <w:u w:val="none"/>
        </w:rPr>
        <w:t>每份报告末尾自动附合规声明；LLM 措辞强制"概率思维、假设句式、禁止绝对化"。</w:t>
      </w:r>
    </w:p>
    <w:p>
      <w:pPr>
        <w:spacing w:line="300" w:lineRule="auto" w:before="0" w:after="120"/>
      </w:pPr>
      <w:r>
        <w:rPr>
          <w:rFonts w:ascii="Arial" w:hAnsi="Arial" w:eastAsia="微软雅黑"/>
          <w:b w:val="0"/>
          <w:sz w:val="24"/>
          <w:u w:val="none"/>
        </w:rPr>
        <w:t>---</w:t>
      </w:r>
    </w:p>
    <w:p>
      <w:pPr>
        <w:spacing w:line="240" w:lineRule="auto" w:before="240" w:after="120"/>
        <w:jc w:val="left"/>
      </w:pPr>
      <w:r>
        <w:rPr>
          <w:rFonts w:ascii="Arial" w:hAnsi="Arial" w:eastAsia="黑体"/>
          <w:b/>
          <w:sz w:val="32"/>
          <w:u w:val="none"/>
        </w:rPr>
        <w:t>三、怎么运行</w:t>
      </w:r>
    </w:p>
    <w:p>
      <w:pPr>
        <w:spacing w:line="240" w:lineRule="auto" w:before="240" w:after="120"/>
        <w:jc w:val="left"/>
      </w:pPr>
      <w:r>
        <w:rPr>
          <w:rFonts w:ascii="Arial" w:hAnsi="Arial" w:eastAsia="微软雅黑"/>
          <w:b/>
          <w:sz w:val="28"/>
          <w:u w:val="none"/>
        </w:rPr>
        <w:t>1) 环境</w:t>
      </w:r>
    </w:p>
    <w:p>
      <w:pPr>
        <w:pStyle w:val="ListBullet"/>
        <w:spacing w:line="300" w:lineRule="auto" w:before="0" w:after="120"/>
      </w:pPr>
      <w:r>
        <w:rPr>
          <w:rFonts w:ascii="Arial" w:hAnsi="Arial" w:eastAsia="微软雅黑"/>
          <w:b w:val="0"/>
          <w:sz w:val="24"/>
          <w:u w:val="none"/>
        </w:rPr>
        <w:t>Python：D:\anaconda\python.exe（3.13）</w:t>
      </w:r>
    </w:p>
    <w:p>
      <w:pPr>
        <w:pStyle w:val="ListBullet"/>
        <w:spacing w:line="300" w:lineRule="auto" w:before="0" w:after="120"/>
      </w:pPr>
      <w:r>
        <w:rPr>
          <w:rFonts w:ascii="Arial" w:hAnsi="Arial" w:eastAsia="微软雅黑"/>
          <w:b w:val="0"/>
          <w:sz w:val="24"/>
          <w:u w:val="none"/>
        </w:rPr>
        <w:t>依赖：pip install -r requirements.txt（akshare、requests、python-docx）</w:t>
      </w:r>
    </w:p>
    <w:p>
      <w:pPr>
        <w:spacing w:line="240" w:lineRule="auto" w:before="240" w:after="120"/>
        <w:jc w:val="left"/>
      </w:pPr>
      <w:r>
        <w:rPr>
          <w:rFonts w:ascii="Arial" w:hAnsi="Arial" w:eastAsia="微软雅黑"/>
          <w:b/>
          <w:sz w:val="28"/>
          <w:u w:val="none"/>
        </w:rPr>
        <w:t>2) 运行命令（在项目目录下）</w:t>
      </w:r>
    </w:p>
    <w:p>
      <w:pPr>
        <w:spacing w:line="300" w:lineRule="auto" w:before="0" w:after="120"/>
      </w:pPr>
      <w:r>
        <w:rPr>
          <w:rFonts w:ascii="Arial" w:hAnsi="Arial" w:eastAsia="微软雅黑"/>
          <w:b w:val="0"/>
          <w:sz w:val="24"/>
          <w:u w:val="none"/>
        </w:rPr>
        <w:t>cd C:\Users\ASUS\ashare-watchlist</w:t>
      </w:r>
    </w:p>
    <w:p>
      <w:pPr>
        <w:spacing w:line="300" w:lineRule="auto" w:before="0" w:after="120"/>
      </w:pPr>
      <w:r>
        <w:rPr>
          <w:rFonts w:ascii="Arial" w:hAnsi="Arial" w:eastAsia="微软雅黑"/>
          <w:b w:val="0"/>
          <w:sz w:val="24"/>
          <w:u w:val="none"/>
        </w:rPr>
        <w:t>D:\anaconda\python.exe agent.py morning     # 每日早间市场与行业要闻</w:t>
      </w:r>
    </w:p>
    <w:p>
      <w:pPr>
        <w:spacing w:line="300" w:lineRule="auto" w:before="0" w:after="120"/>
      </w:pPr>
      <w:r>
        <w:rPr>
          <w:rFonts w:ascii="Arial" w:hAnsi="Arial" w:eastAsia="微软雅黑"/>
          <w:b w:val="0"/>
          <w:sz w:val="24"/>
          <w:u w:val="none"/>
        </w:rPr>
        <w:t>D:\anaconda\python.exe agent.py daily       # 每日舆情雷达</w:t>
      </w:r>
    </w:p>
    <w:p>
      <w:pPr>
        <w:spacing w:line="300" w:lineRule="auto" w:before="0" w:after="120"/>
      </w:pPr>
      <w:r>
        <w:rPr>
          <w:rFonts w:ascii="Arial" w:hAnsi="Arial" w:eastAsia="微软雅黑"/>
          <w:b w:val="0"/>
          <w:sz w:val="24"/>
          <w:u w:val="none"/>
        </w:rPr>
        <w:t>D:\anaconda\python.exe agent.py weekly      # 本周板块复盘</w:t>
      </w:r>
    </w:p>
    <w:p>
      <w:pPr>
        <w:spacing w:line="300" w:lineRule="auto" w:before="0" w:after="120"/>
      </w:pPr>
      <w:r>
        <w:rPr>
          <w:rFonts w:ascii="Arial" w:hAnsi="Arial" w:eastAsia="微软雅黑"/>
          <w:b w:val="0"/>
          <w:sz w:val="24"/>
          <w:u w:val="none"/>
        </w:rPr>
        <w:t>D:\anaconda\python.exe agent.py biweekly    # 双周投研备忘录</w:t>
      </w:r>
    </w:p>
    <w:p>
      <w:pPr>
        <w:spacing w:line="240" w:lineRule="auto" w:before="240" w:after="120"/>
        <w:jc w:val="left"/>
      </w:pPr>
      <w:r>
        <w:rPr>
          <w:rFonts w:ascii="Arial" w:hAnsi="Arial" w:eastAsia="微软雅黑"/>
          <w:b/>
          <w:sz w:val="28"/>
          <w:u w:val="none"/>
        </w:rPr>
        <w:t>3) 输出位置</w:t>
      </w:r>
    </w:p>
    <w:p>
      <w:pPr>
        <w:spacing w:line="300" w:lineRule="auto" w:before="0" w:after="120"/>
      </w:pPr>
      <w:r>
        <w:rPr>
          <w:rFonts w:ascii="Arial" w:hAnsi="Arial" w:eastAsia="微软雅黑"/>
          <w:b w:val="0"/>
          <w:sz w:val="24"/>
          <w:u w:val="none"/>
        </w:rPr>
        <w:t>全部生成到 reports\&lt;日期&gt;_&lt;星期&gt;\（例如 reports\2026-09-21_周一\），</w:t>
      </w:r>
    </w:p>
    <w:p>
      <w:pPr>
        <w:spacing w:line="300" w:lineRule="auto" w:before="0" w:after="120"/>
      </w:pPr>
      <w:r>
        <w:rPr>
          <w:rFonts w:ascii="Arial" w:hAnsi="Arial" w:eastAsia="微软雅黑"/>
          <w:b w:val="0"/>
          <w:sz w:val="24"/>
          <w:u w:val="none"/>
        </w:rPr>
        <w:t>每份报告同时输出 .docx（Word，已套专业排版）和 .md。</w:t>
      </w:r>
    </w:p>
    <w:p>
      <w:pPr>
        <w:spacing w:line="300" w:lineRule="auto" w:before="0" w:after="120"/>
      </w:pPr>
      <w:r>
        <w:rPr>
          <w:rFonts w:ascii="Arial" w:hAnsi="Arial" w:eastAsia="微软雅黑"/>
          <w:b w:val="0"/>
          <w:sz w:val="24"/>
          <w:u w:val="none"/>
        </w:rPr>
        <w:t>---</w:t>
      </w:r>
    </w:p>
    <w:p>
      <w:pPr>
        <w:spacing w:line="240" w:lineRule="auto" w:before="240" w:after="120"/>
        <w:jc w:val="left"/>
      </w:pPr>
      <w:r>
        <w:rPr>
          <w:rFonts w:ascii="Arial" w:hAnsi="Arial" w:eastAsia="黑体"/>
          <w:b/>
          <w:sz w:val="32"/>
          <w:u w:val="none"/>
        </w:rPr>
        <w:t>四、配置</w:t>
      </w:r>
    </w:p>
    <w:p>
      <w:pPr>
        <w:spacing w:line="240" w:lineRule="auto" w:before="240" w:after="120"/>
        <w:jc w:val="left"/>
      </w:pPr>
      <w:r>
        <w:rPr>
          <w:rFonts w:ascii="Arial" w:hAnsi="Arial" w:eastAsia="微软雅黑"/>
          <w:b/>
          <w:sz w:val="28"/>
          <w:u w:val="none"/>
        </w:rPr>
        <w:t>观察池（改股票）</w:t>
      </w:r>
    </w:p>
    <w:p>
      <w:pPr>
        <w:spacing w:line="300" w:lineRule="auto" w:before="0" w:after="120"/>
      </w:pPr>
      <w:r>
        <w:rPr>
          <w:rFonts w:ascii="Arial" w:hAnsi="Arial" w:eastAsia="微软雅黑"/>
          <w:b w:val="0"/>
          <w:sz w:val="24"/>
          <w:u w:val="none"/>
        </w:rPr>
        <w:t>编辑 config.json 的 watchlist：code 为 6 位股票代码，name 为名称。</w:t>
      </w:r>
    </w:p>
    <w:p>
      <w:pPr>
        <w:spacing w:line="300" w:lineRule="auto" w:before="0" w:after="120"/>
      </w:pPr>
      <w:r>
        <w:rPr>
          <w:rFonts w:ascii="Arial" w:hAnsi="Arial" w:eastAsia="微软雅黑"/>
          <w:b w:val="0"/>
          <w:sz w:val="24"/>
          <w:u w:val="none"/>
        </w:rPr>
        <w:t>默认 10 只是占位样例，请替换成你自己的名单。</w:t>
      </w:r>
    </w:p>
    <w:p>
      <w:pPr>
        <w:spacing w:line="240" w:lineRule="auto" w:before="240" w:after="120"/>
        <w:jc w:val="left"/>
      </w:pPr>
      <w:r>
        <w:rPr>
          <w:rFonts w:ascii="Arial" w:hAnsi="Arial" w:eastAsia="微软雅黑"/>
          <w:b/>
          <w:sz w:val="28"/>
          <w:u w:val="none"/>
        </w:rPr>
        <w:t>DeepSeek 密钥（启用专家解读）</w:t>
      </w:r>
    </w:p>
    <w:p>
      <w:pPr>
        <w:spacing w:line="300" w:lineRule="auto" w:before="0" w:after="120"/>
      </w:pPr>
      <w:r>
        <w:rPr>
          <w:rFonts w:ascii="Arial" w:hAnsi="Arial" w:eastAsia="微软雅黑"/>
          <w:b w:val="0"/>
          <w:sz w:val="24"/>
          <w:u w:val="none"/>
        </w:rPr>
        <w:t>复制 .env.example 为 .env，填入：</w:t>
      </w:r>
    </w:p>
    <w:p>
      <w:pPr>
        <w:spacing w:line="300" w:lineRule="auto" w:before="0" w:after="120"/>
      </w:pPr>
      <w:r>
        <w:rPr>
          <w:rFonts w:ascii="Arial" w:hAnsi="Arial" w:eastAsia="微软雅黑"/>
          <w:b w:val="0"/>
          <w:sz w:val="24"/>
          <w:u w:val="none"/>
        </w:rPr>
        <w:t>DEEPSEEK_API_KEY=sk-你的key</w:t>
      </w:r>
    </w:p>
    <w:p>
      <w:pPr>
        <w:spacing w:line="300" w:lineRule="auto" w:before="0" w:after="120"/>
      </w:pPr>
      <w:r>
        <w:rPr>
          <w:rFonts w:ascii="Arial" w:hAnsi="Arial" w:eastAsia="微软雅黑"/>
          <w:b w:val="0"/>
          <w:sz w:val="24"/>
          <w:u w:val="none"/>
        </w:rPr>
        <w:t>DEEPSEEK_BASE_URL=https://api.deepseek.com</w:t>
      </w:r>
    </w:p>
    <w:p>
      <w:pPr>
        <w:spacing w:line="300" w:lineRule="auto" w:before="0" w:after="120"/>
      </w:pPr>
      <w:r>
        <w:rPr>
          <w:rFonts w:ascii="Arial" w:hAnsi="Arial" w:eastAsia="微软雅黑"/>
          <w:b w:val="0"/>
          <w:sz w:val="24"/>
          <w:u w:val="none"/>
        </w:rPr>
        <w:t>DEEPSEEK_MODEL=deepseek-chat</w:t>
      </w:r>
    </w:p>
    <w:p>
      <w:pPr>
        <w:spacing w:line="300" w:lineRule="auto" w:before="0" w:after="120"/>
      </w:pPr>
      <w:r>
        <w:rPr>
          <w:rFonts w:ascii="Arial" w:hAnsi="Arial" w:eastAsia="微软雅黑"/>
          <w:b w:val="0"/>
          <w:sz w:val="24"/>
          <w:u w:val="none"/>
        </w:rPr>
        <w:t>未配置时报告仍会生成，只是"专家解读"退化为规则化要点。.env 已被 gitignore，不会上传。</w:t>
      </w:r>
    </w:p>
    <w:p>
      <w:pPr>
        <w:spacing w:line="300" w:lineRule="auto" w:before="0" w:after="120"/>
      </w:pPr>
      <w:r>
        <w:rPr>
          <w:rFonts w:ascii="Arial" w:hAnsi="Arial" w:eastAsia="微软雅黑"/>
          <w:b w:val="0"/>
          <w:sz w:val="24"/>
          <w:u w:val="none"/>
        </w:rPr>
        <w:t>---</w:t>
      </w:r>
    </w:p>
    <w:p>
      <w:pPr>
        <w:spacing w:line="240" w:lineRule="auto" w:before="240" w:after="120"/>
        <w:jc w:val="left"/>
      </w:pPr>
      <w:r>
        <w:rPr>
          <w:rFonts w:ascii="Arial" w:hAnsi="Arial" w:eastAsia="黑体"/>
          <w:b/>
          <w:sz w:val="32"/>
          <w:u w:val="none"/>
        </w:rPr>
        <w:t>五、数据来源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/>
          <w:right w:val="none"/>
          <w:insideH w:val="none"/>
          <w:insideV w:val="none"/>
        </w:tblBorders>
      </w:tblPr>
      <w:tblGrid>
        <w:gridCol w:w="4986"/>
        <w:gridCol w:w="4986"/>
      </w:tblGrid>
      <w:tr>
        <w:tc>
          <w:tcPr>
            <w:tcW w:type="dxa" w:w="4986"/>
            <w:shd w:val="clear" w:color="auto" w:fill="1F3864"/>
            <w:tcBorders>
              <w:bottom w:val="single" w:sz="8" w:color="000000"/>
            </w:tcBorders>
          </w:tcPr>
          <w:p>
            <w:pPr>
              <w:spacing w:line="240" w:lineRule="auto" w:before="40" w:after="40"/>
              <w:jc w:val="center"/>
            </w:pPr>
            <w:r>
              <w:rPr>
                <w:rFonts w:ascii="Arial" w:hAnsi="Arial" w:eastAsia="微软雅黑"/>
                <w:b w:val="0"/>
                <w:color w:val="FFFFFF"/>
                <w:sz w:val="21"/>
                <w:u w:val="none"/>
              </w:rPr>
              <w:t>数据</w:t>
            </w:r>
          </w:p>
        </w:tc>
        <w:tc>
          <w:tcPr>
            <w:tcW w:type="dxa" w:w="4986"/>
            <w:shd w:val="clear" w:color="auto" w:fill="1F3864"/>
            <w:tcBorders>
              <w:bottom w:val="single" w:sz="8" w:color="000000"/>
            </w:tcBorders>
          </w:tcPr>
          <w:p>
            <w:pPr>
              <w:spacing w:line="240" w:lineRule="auto" w:before="40" w:after="40"/>
              <w:jc w:val="center"/>
            </w:pPr>
            <w:r>
              <w:rPr>
                <w:rFonts w:ascii="Arial" w:hAnsi="Arial" w:eastAsia="微软雅黑"/>
                <w:b w:val="0"/>
                <w:color w:val="FFFFFF"/>
                <w:sz w:val="21"/>
                <w:u w:val="none"/>
              </w:rPr>
              <w:t>来源</w:t>
            </w:r>
          </w:p>
        </w:tc>
      </w:tr>
      <w:tr>
        <w:tc>
          <w:tcPr>
            <w:tcW w:type="dxa" w:w="4986"/>
          </w:tcPr>
          <w:p>
            <w:pPr>
              <w:spacing w:line="240" w:lineRule="auto" w:before="40" w:after="40"/>
            </w:pPr>
            <w:r>
              <w:rPr>
                <w:rFonts w:ascii="Arial" w:hAnsi="Arial" w:eastAsia="微软雅黑"/>
                <w:b w:val="0"/>
                <w:sz w:val="21"/>
                <w:u w:val="none"/>
              </w:rPr>
              <w:t>行情（现价/涨跌/量价）</w:t>
            </w:r>
          </w:p>
        </w:tc>
        <w:tc>
          <w:tcPr>
            <w:tcW w:type="dxa" w:w="4986"/>
          </w:tcPr>
          <w:p>
            <w:pPr>
              <w:spacing w:line="240" w:lineRule="auto" w:before="40" w:after="40"/>
            </w:pPr>
            <w:r>
              <w:rPr>
                <w:rFonts w:ascii="Arial" w:hAnsi="Arial" w:eastAsia="微软雅黑"/>
                <w:b w:val="0"/>
                <w:sz w:val="21"/>
                <w:u w:val="none"/>
              </w:rPr>
              <w:t>腾讯行情 qt.gtimg.cn</w:t>
            </w:r>
          </w:p>
        </w:tc>
      </w:tr>
      <w:tr>
        <w:tc>
          <w:tcPr>
            <w:tcW w:type="dxa" w:w="4986"/>
          </w:tcPr>
          <w:p>
            <w:pPr>
              <w:spacing w:line="240" w:lineRule="auto" w:before="40" w:after="40"/>
            </w:pPr>
            <w:r>
              <w:rPr>
                <w:rFonts w:ascii="Arial" w:hAnsi="Arial" w:eastAsia="微软雅黑"/>
                <w:b w:val="0"/>
                <w:sz w:val="21"/>
                <w:u w:val="none"/>
              </w:rPr>
              <w:t>主力资金 / 52周极值 / 行业板块</w:t>
            </w:r>
          </w:p>
        </w:tc>
        <w:tc>
          <w:tcPr>
            <w:tcW w:type="dxa" w:w="4986"/>
          </w:tcPr>
          <w:p>
            <w:pPr>
              <w:spacing w:line="240" w:lineRule="auto" w:before="40" w:after="40"/>
            </w:pPr>
            <w:r>
              <w:rPr>
                <w:rFonts w:ascii="Arial" w:hAnsi="Arial" w:eastAsia="微软雅黑"/>
                <w:b w:val="0"/>
                <w:sz w:val="21"/>
                <w:u w:val="none"/>
              </w:rPr>
              <w:t>东方财富 push2delay.eastmoney.com</w:t>
            </w:r>
          </w:p>
        </w:tc>
      </w:tr>
      <w:tr>
        <w:tc>
          <w:tcPr>
            <w:tcW w:type="dxa" w:w="4986"/>
          </w:tcPr>
          <w:p>
            <w:pPr>
              <w:spacing w:line="240" w:lineRule="auto" w:before="40" w:after="40"/>
            </w:pPr>
            <w:r>
              <w:rPr>
                <w:rFonts w:ascii="Arial" w:hAnsi="Arial" w:eastAsia="微软雅黑"/>
                <w:b w:val="0"/>
                <w:sz w:val="21"/>
                <w:u w:val="none"/>
              </w:rPr>
              <w:t>财务数据（营收/净利/ROE 等）</w:t>
            </w:r>
          </w:p>
        </w:tc>
        <w:tc>
          <w:tcPr>
            <w:tcW w:type="dxa" w:w="4986"/>
          </w:tcPr>
          <w:p>
            <w:pPr>
              <w:spacing w:line="240" w:lineRule="auto" w:before="40" w:after="40"/>
            </w:pPr>
            <w:r>
              <w:rPr>
                <w:rFonts w:ascii="Arial" w:hAnsi="Arial" w:eastAsia="微软雅黑"/>
                <w:b w:val="0"/>
                <w:sz w:val="21"/>
                <w:u w:val="none"/>
              </w:rPr>
              <w:t>东方财富 datacenter.eastmoney.com</w:t>
            </w:r>
          </w:p>
        </w:tc>
      </w:tr>
      <w:tr>
        <w:tc>
          <w:tcPr>
            <w:tcW w:type="dxa" w:w="4986"/>
          </w:tcPr>
          <w:p>
            <w:pPr>
              <w:spacing w:line="240" w:lineRule="auto" w:before="40" w:after="40"/>
            </w:pPr>
            <w:r>
              <w:rPr>
                <w:rFonts w:ascii="Arial" w:hAnsi="Arial" w:eastAsia="微软雅黑"/>
                <w:b w:val="0"/>
                <w:sz w:val="21"/>
                <w:u w:val="none"/>
              </w:rPr>
              <w:t>新闻要闻</w:t>
            </w:r>
          </w:p>
        </w:tc>
        <w:tc>
          <w:tcPr>
            <w:tcW w:type="dxa" w:w="4986"/>
          </w:tcPr>
          <w:p>
            <w:pPr>
              <w:spacing w:line="240" w:lineRule="auto" w:before="40" w:after="40"/>
            </w:pPr>
            <w:r>
              <w:rPr>
                <w:rFonts w:ascii="Arial" w:hAnsi="Arial" w:eastAsia="微软雅黑"/>
                <w:b w:val="0"/>
                <w:sz w:val="21"/>
                <w:u w:val="none"/>
              </w:rPr>
              <w:t>东方财富 / 财联社 / 新浪</w:t>
            </w:r>
          </w:p>
        </w:tc>
      </w:tr>
      <w:tr>
        <w:tc>
          <w:tcPr>
            <w:tcW w:type="dxa" w:w="4986"/>
            <w:tcBorders>
              <w:bottom w:val="single" w:sz="12" w:color="000000"/>
            </w:tcBorders>
          </w:tcPr>
          <w:p>
            <w:pPr>
              <w:spacing w:line="240" w:lineRule="auto" w:before="40" w:after="40"/>
            </w:pPr>
            <w:r>
              <w:rPr>
                <w:rFonts w:ascii="Arial" w:hAnsi="Arial" w:eastAsia="微软雅黑"/>
                <w:b w:val="0"/>
                <w:sz w:val="21"/>
                <w:u w:val="none"/>
              </w:rPr>
              <w:t>专家解读</w:t>
            </w:r>
          </w:p>
        </w:tc>
        <w:tc>
          <w:tcPr>
            <w:tcW w:type="dxa" w:w="4986"/>
            <w:tcBorders>
              <w:bottom w:val="single" w:sz="12" w:color="000000"/>
            </w:tcBorders>
          </w:tcPr>
          <w:p>
            <w:pPr>
              <w:spacing w:line="240" w:lineRule="auto" w:before="40" w:after="40"/>
            </w:pPr>
            <w:r>
              <w:rPr>
                <w:rFonts w:ascii="Arial" w:hAnsi="Arial" w:eastAsia="微软雅黑"/>
                <w:b w:val="0"/>
                <w:sz w:val="21"/>
                <w:u w:val="none"/>
              </w:rPr>
              <w:t>DeepSeek</w:t>
            </w:r>
          </w:p>
        </w:tc>
      </w:tr>
    </w:tbl>
    <w:p>
      <w:pPr>
        <w:spacing w:line="300" w:lineRule="auto" w:before="0" w:after="120"/>
      </w:pPr>
      <w:r>
        <w:rPr>
          <w:rFonts w:ascii="Arial" w:hAnsi="Arial" w:eastAsia="微软雅黑"/>
          <w:b w:val="0"/>
          <w:sz w:val="24"/>
          <w:u w:val="none"/>
        </w:rPr>
        <w:t>---</w:t>
      </w:r>
    </w:p>
    <w:p>
      <w:pPr>
        <w:spacing w:line="240" w:lineRule="auto" w:before="240" w:after="120"/>
        <w:jc w:val="left"/>
      </w:pPr>
      <w:r>
        <w:rPr>
          <w:rFonts w:ascii="Arial" w:hAnsi="Arial" w:eastAsia="黑体"/>
          <w:b/>
          <w:sz w:val="32"/>
          <w:u w:val="none"/>
        </w:rPr>
        <w:t>六、已知限制</w:t>
      </w:r>
    </w:p>
    <w:p>
      <w:pPr>
        <w:pStyle w:val="ListBullet"/>
        <w:spacing w:line="300" w:lineRule="auto" w:before="0" w:after="120"/>
      </w:pPr>
      <w:r>
        <w:rPr>
          <w:rFonts w:ascii="Arial" w:hAnsi="Arial" w:eastAsia="微软雅黑"/>
          <w:b w:val="0"/>
          <w:color w:val="006666"/>
          <w:sz w:val="24"/>
          <w:u w:val="none"/>
        </w:rPr>
        <w:t>北向资金逐日净流向自 2024-08 起不再实时披露，报告以主力净流入代理。</w:t>
      </w:r>
    </w:p>
    <w:p>
      <w:pPr>
        <w:pStyle w:val="ListBullet"/>
        <w:spacing w:line="300" w:lineRule="auto" w:before="0" w:after="120"/>
      </w:pPr>
      <w:r>
        <w:rPr>
          <w:rFonts w:ascii="Arial" w:hAnsi="Arial" w:eastAsia="微软雅黑"/>
          <w:b w:val="0"/>
          <w:sz w:val="24"/>
          <w:u w:val="none"/>
        </w:rPr>
        <w:t>卖方覆盖（券商评级）未自动抓研报库，仅按新闻关键词粗分类，建议人工核验。</w:t>
      </w:r>
    </w:p>
    <w:p>
      <w:pPr>
        <w:pStyle w:val="ListBullet"/>
        <w:spacing w:line="300" w:lineRule="auto" w:before="0" w:after="120"/>
      </w:pPr>
      <w:r>
        <w:rPr>
          <w:rFonts w:ascii="Arial" w:hAnsi="Arial" w:eastAsia="微软雅黑"/>
          <w:b w:val="0"/>
          <w:sz w:val="24"/>
          <w:u w:val="none"/>
        </w:rPr>
        <w:t>估值分位用 52 周区间近似。</w:t>
      </w:r>
    </w:p>
    <w:p>
      <w:pPr>
        <w:pStyle w:val="ListBullet"/>
        <w:spacing w:line="300" w:lineRule="auto" w:before="0" w:after="120"/>
      </w:pPr>
      <w:r>
        <w:rPr>
          <w:rFonts w:ascii="Arial" w:hAnsi="Arial" w:eastAsia="微软雅黑"/>
          <w:b w:val="0"/>
          <w:sz w:val="24"/>
          <w:u w:val="none"/>
        </w:rPr>
        <w:t>数据来自公开接口，可能因源站调整而波动。</w:t>
      </w:r>
    </w:p>
    <w:p>
      <w:pPr>
        <w:spacing w:line="300" w:lineRule="auto" w:before="0" w:after="120"/>
      </w:pPr>
      <w:r>
        <w:rPr>
          <w:rFonts w:ascii="Arial" w:hAnsi="Arial" w:eastAsia="微软雅黑"/>
          <w:b w:val="0"/>
          <w:sz w:val="24"/>
          <w:u w:val="none"/>
        </w:rPr>
        <w:t>---</w:t>
      </w:r>
    </w:p>
    <w:p>
      <w:pPr>
        <w:spacing w:line="240" w:lineRule="auto" w:before="240" w:after="120"/>
        <w:jc w:val="left"/>
      </w:pPr>
      <w:r>
        <w:rPr>
          <w:rFonts w:ascii="Arial" w:hAnsi="Arial" w:eastAsia="黑体"/>
          <w:b/>
          <w:sz w:val="32"/>
          <w:u w:val="none"/>
        </w:rPr>
        <w:t>七、关于定时推送</w:t>
      </w:r>
    </w:p>
    <w:p>
      <w:pPr>
        <w:spacing w:line="300" w:lineRule="auto" w:before="0" w:after="120"/>
      </w:pPr>
      <w:r>
        <w:rPr>
          <w:rFonts w:ascii="Arial" w:hAnsi="Arial" w:eastAsia="微软雅黑"/>
          <w:b w:val="0"/>
          <w:sz w:val="24"/>
          <w:u w:val="none"/>
        </w:rPr>
        <w:t>定时推送（Windows 计划任务）已按要求删除，调度脚本 install_scheduler.ps1 也已移除。</w:t>
      </w:r>
    </w:p>
    <w:p>
      <w:pPr>
        <w:spacing w:line="300" w:lineRule="auto" w:before="0" w:after="120"/>
      </w:pPr>
      <w:r>
        <w:rPr>
          <w:rFonts w:ascii="Arial" w:hAnsi="Arial" w:eastAsia="微软雅黑"/>
          <w:b w:val="0"/>
          <w:sz w:val="24"/>
          <w:u w:val="none"/>
        </w:rPr>
        <w:t>程序现在只在你手动运行命令时生成报告。如需恢复定时，可另行配置。</w:t>
      </w:r>
    </w:p>
    <w:p>
      <w:pPr>
        <w:spacing w:line="300" w:lineRule="auto" w:before="0" w:after="120"/>
      </w:pPr>
      <w:r>
        <w:rPr>
          <w:rFonts w:ascii="Arial" w:hAnsi="Arial" w:eastAsia="微软雅黑"/>
          <w:b w:val="0"/>
          <w:sz w:val="24"/>
          <w:u w:val="none"/>
        </w:rPr>
        <w:t>---</w:t>
      </w:r>
    </w:p>
    <w:p>
      <w:pPr>
        <w:spacing w:line="300" w:lineRule="auto" w:before="40" w:after="80"/>
      </w:pPr>
      <w:r>
        <w:rPr>
          <w:rFonts w:ascii="Arial" w:hAnsi="Arial" w:eastAsia="微软雅黑"/>
          <w:b w:val="0"/>
          <w:color w:val="595959"/>
          <w:sz w:val="21"/>
          <w:u w:val="none"/>
        </w:rPr>
        <w:t>本内容基于公开信息整理，不构成任何投资建议，股市有风险，入市需谨慎。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