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2A4A"/>
          <w:sz w:val="36"/>
          <w:szCs w:val="36"/>
        </w:rPr>
        <w:t xml:space="preserve">SALES CONTROL TOWER BY SHP</w:t>
      </w:r>
    </w:p>
    <w:p>
      <w:pPr>
        <w:spacing w:after="480" w:before="0"/>
        <w:jc w:val="center"/>
      </w:pPr>
      <w:r>
        <w:rPr>
          <w:rFonts w:ascii="Arial" w:cs="Arial" w:eastAsia="Arial" w:hAnsi="Arial"/>
          <w:color w:val="9CA3AF"/>
          <w:sz w:val="28"/>
          <w:szCs w:val="28"/>
        </w:rPr>
        <w:t xml:space="preserve">v6 — Pre Sprint 23</w:t>
      </w:r>
    </w:p>
    <w:p>
      <w:pPr>
        <w:spacing w:after="120" w:before="0"/>
        <w:jc w:val="center"/>
      </w:pPr>
      <w:r>
        <w:rPr>
          <w:rFonts w:ascii="Arial" w:cs="Arial" w:eastAsia="Arial" w:hAnsi="Arial"/>
          <w:b/>
          <w:bCs/>
          <w:color w:val="1B2A4A"/>
          <w:sz w:val="56"/>
          <w:szCs w:val="56"/>
        </w:rPr>
        <w:t xml:space="preserve">PRODUCT REVIEW REPORT</w:t>
      </w:r>
    </w:p>
    <w:p>
      <w:pPr>
        <w:spacing w:after="720" w:before="0"/>
        <w:jc w:val="center"/>
      </w:pPr>
      <w:r>
        <w:rPr>
          <w:rFonts w:ascii="Arial" w:cs="Arial" w:eastAsia="Arial" w:hAnsi="Arial"/>
          <w:color w:val="4B5563"/>
          <w:sz w:val="24"/>
          <w:szCs w:val="24"/>
        </w:rPr>
        <w:t xml:space="preserve">Business Value · UX · Executive Readiness Assessment</w:t>
      </w:r>
    </w:p>
    <w:p>
      <w:pPr>
        <w:spacing w:after="240" w:before="0"/>
        <w:jc w:val="center"/>
      </w:pPr>
      <w:r>
        <w:rPr>
          <w:rFonts w:ascii="Arial" w:cs="Arial" w:eastAsia="Arial" w:hAnsi="Arial"/>
          <w:color w:val="4B5563"/>
          <w:sz w:val="22"/>
          <w:szCs w:val="22"/>
        </w:rPr>
        <w:t xml:space="preserve">Review Date: 29 June 2026</w:t>
      </w:r>
    </w:p>
    <w:p>
      <w:pPr>
        <w:spacing w:after="120" w:before="0"/>
        <w:jc w:val="center"/>
      </w:pPr>
      <w:r>
        <w:rPr>
          <w:rFonts w:ascii="Arial" w:cs="Arial" w:eastAsia="Arial" w:hAnsi="Arial"/>
          <w:color w:val="4B5563"/>
          <w:sz w:val="22"/>
          <w:szCs w:val="22"/>
        </w:rPr>
        <w:t xml:space="preserve">Scope: All 9 Dashboard Sections — RC1.4.1 Stable Baseline</w:t>
      </w:r>
    </w:p>
    <w:p>
      <w:pPr>
        <w:spacing w:after="120" w:before="0"/>
        <w:jc w:val="center"/>
      </w:pPr>
      <w:r>
        <w:rPr>
          <w:rFonts w:ascii="Arial" w:cs="Arial" w:eastAsia="Arial" w:hAnsi="Arial"/>
          <w:color w:val="9CA3AF"/>
          <w:sz w:val="20"/>
          <w:szCs w:val="20"/>
        </w:rPr>
        <w:t xml:space="preserve">Roles: Senior Product Owner · Enterprise Dashboard UX Expert · FMCG BI Consultant · QA Lead</w:t>
      </w:r>
    </w:p>
    <w:p>
      <w:pPr>
        <w:spacing w:after="0" w:before="480"/>
        <w:jc w:val="center"/>
      </w:pPr>
      <w:r>
        <w:rPr>
          <w:rFonts w:ascii="Arial" w:cs="Arial" w:eastAsia="Arial" w:hAnsi="Arial"/>
          <w:b/>
          <w:bCs/>
          <w:color w:val="DC2626"/>
          <w:sz w:val="18"/>
          <w:szCs w:val="18"/>
        </w:rPr>
        <w:t xml:space="preserve">CONFIDENTIAL — INTERNAL USE ONLY</w:t>
      </w:r>
    </w:p>
    <w:p>
      <w:r>
        <w:br w:type="page"/>
      </w:r>
    </w:p>
    <w:p>
      <w:pPr>
        <w:pStyle w:val="Heading1"/>
        <w:spacing w:after="120" w:before="360"/>
      </w:pPr>
      <w:r>
        <w:rPr>
          <w:rFonts w:ascii="Arial" w:cs="Arial" w:eastAsia="Arial" w:hAnsi="Arial"/>
          <w:b/>
          <w:bCs/>
          <w:color w:val="1B2A4A"/>
          <w:sz w:val="32"/>
          <w:szCs w:val="32"/>
        </w:rPr>
        <w:t xml:space="preserve">Executive Summary</w:t>
      </w:r>
    </w:p>
    <w:p>
      <w:pPr>
        <w:spacing w:after="80" w:before="80"/>
      </w:pPr>
      <w:r>
        <w:rPr>
          <w:rFonts w:ascii="Arial" w:cs="Arial" w:eastAsia="Arial" w:hAnsi="Arial"/>
          <w:sz w:val="20"/>
          <w:szCs w:val="20"/>
        </w:rPr>
        <w:t xml:space="preserve">This Product Review evaluates SCT v6 (Release Candidate 1.4.1 Stable Baseline) against seven quality dimensions across all nine dashboard sections. The review was conducted as a pre-Sprint 23 gate assessment to determine production readiness and prioritise the Sprint 23 backlog.</w:t>
      </w:r>
    </w:p>
    <w:p>
      <w:pPr>
        <w:spacing w:after="80" w:before="120"/>
      </w:pPr>
    </w:p>
    <w:p>
      <w:pPr>
        <w:pStyle w:val="Heading2"/>
        <w:spacing w:after="100" w:before="280"/>
      </w:pPr>
      <w:r>
        <w:rPr>
          <w:rFonts w:ascii="Arial" w:cs="Arial" w:eastAsia="Arial" w:hAnsi="Arial"/>
          <w:b/>
          <w:bCs/>
          <w:color w:val="1B2A4A"/>
          <w:sz w:val="26"/>
          <w:szCs w:val="26"/>
        </w:rPr>
        <w:t xml:space="preserve">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Overall Score</w:t>
            </w:r>
          </w:p>
        </w:tc>
        <w:tc>
          <w:tcPr>
            <w:tcW w:type="dxa" w:w="76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6.9 / 10 — Commercially Viable with Known Gaps</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Release Readiness</w:t>
            </w:r>
          </w:p>
        </w:tc>
        <w:tc>
          <w:tcPr>
            <w:tcW w:type="dxa" w:w="76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CONDITIONAL GO — Zero P0 data bugs; three P0 cosmetic/integrity issues must be resolved before executive demonstration.</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Best Section</w:t>
            </w:r>
          </w:p>
        </w:tc>
        <w:tc>
          <w:tcPr>
            <w:tcW w:type="dxa" w:w="76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 Decision Center (OODA) — 8.3/10. Analytically sophisticated, visually clear, executive-ready.</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Weakest Section</w:t>
            </w:r>
          </w:p>
        </w:tc>
        <w:tc>
          <w:tcPr>
            <w:tcW w:type="dxa" w:w="76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Modern Trade — 5.9/10. Content is high quality but entire section hidden by default. Zero executive discoverability.</w:t>
            </w:r>
          </w:p>
        </w:tc>
      </w:tr>
      <w:tr>
        <w:tc>
          <w:tcPr>
            <w:tcW w:type="dxa" w:w="2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Critical Issues</w:t>
            </w:r>
          </w:p>
        </w:tc>
        <w:tc>
          <w:tcPr>
            <w:tcW w:type="dxa" w:w="76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3 P0 findings: Hardcoded KRITIS label (data integrity), Duplicate section "5" (navigation), v5.0 branding on upload screen (version mismatch).</w:t>
            </w:r>
          </w:p>
        </w:tc>
      </w:tr>
      <w:tr>
        <w:tc>
          <w:tcPr>
            <w:tcW w:type="dxa" w:w="2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 Priority</w:t>
            </w:r>
          </w:p>
        </w:tc>
        <w:tc>
          <w:tcPr>
            <w:tcW w:type="dxa" w:w="76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7 P1 findings: MT and Cross Section hidden by default; outdated footer; non-sequential numbering; developer tag visible; double-hidden MT Decision Layer; two redundant upload panels.</w:t>
            </w:r>
          </w:p>
        </w:tc>
      </w:tr>
    </w:tbl>
    <w:p>
      <w:pPr>
        <w:spacing w:after="80" w:before="160"/>
      </w:pPr>
    </w:p>
    <w:p>
      <w:pPr>
        <w:spacing w:after="80" w:before="80"/>
      </w:pPr>
      <w:r>
        <w:rPr>
          <w:rFonts w:ascii="Arial" w:cs="Arial" w:eastAsia="Arial" w:hAnsi="Arial"/>
          <w:sz w:val="20"/>
          <w:szCs w:val="20"/>
        </w:rPr>
        <w:t xml:space="preserve">The dashboard's analytical core — OODA-based Executive Decision, Priority Action intelligence, and cross-section synthesis — represents best-in-class FMCG BI design. The primary risk is not the quality of the analysis but the discoverability architecture: three high-value sections (Cross Section, Modern Trade, MT Decision Layer) are hidden by default and may never be seen by executives in a live session.</w:t>
      </w:r>
    </w:p>
    <w:p>
      <w:r>
        <w:br w:type="page"/>
      </w:r>
    </w:p>
    <w:p>
      <w:pPr>
        <w:pStyle w:val="Heading1"/>
        <w:spacing w:after="120" w:before="360"/>
      </w:pPr>
      <w:r>
        <w:rPr>
          <w:rFonts w:ascii="Arial" w:cs="Arial" w:eastAsia="Arial" w:hAnsi="Arial"/>
          <w:b/>
          <w:bCs/>
          <w:color w:val="1B2A4A"/>
          <w:sz w:val="32"/>
          <w:szCs w:val="32"/>
        </w:rPr>
        <w:t xml:space="preserve">Section Scorecard</w:t>
      </w:r>
    </w:p>
    <w:p>
      <w:pPr>
        <w:spacing w:after="80" w:before="80"/>
      </w:pPr>
      <w:r>
        <w:rPr>
          <w:rFonts w:ascii="Arial" w:cs="Arial" w:eastAsia="Arial" w:hAnsi="Arial"/>
          <w:sz w:val="20"/>
          <w:szCs w:val="20"/>
        </w:rPr>
        <w:t xml:space="preserve">All sections scored 1–10 across seven criteria. Scores ≥ 8 are green, 6–7.9 amber, &lt; 6 red.</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720"/>
        <w:gridCol w:w="720"/>
        <w:gridCol w:w="720"/>
        <w:gridCol w:w="720"/>
        <w:gridCol w:w="720"/>
        <w:gridCol w:w="720"/>
        <w:gridCol w:w="720"/>
        <w:gridCol w:w="900"/>
      </w:tblGrid>
      <w:tr>
        <w:trPr>
          <w:tblHeader/>
        </w:trPr>
        <w:tc>
          <w:tcPr>
            <w:tcW w:type="dxa" w:w="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Section</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
Biz</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B
Read</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C
VH</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D
Story</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E
Data</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F
Layout</w:t>
            </w:r>
          </w:p>
        </w:tc>
        <w:tc>
          <w:tcPr>
            <w:tcW w:type="dxa" w:w="7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G
Exec</w:t>
            </w:r>
          </w:p>
        </w:tc>
        <w:tc>
          <w:tcPr>
            <w:tcW w:type="dxa" w:w="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Sales Performance by Principle</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7.1</w:t>
            </w:r>
          </w:p>
        </w:tc>
      </w:tr>
      <w:tr>
        <w:tc>
          <w:tcPr>
            <w:tcW w:type="dxa" w:w="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1</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Master Sales Performance</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7.4</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CA Monitoring (Transaction Monitoring)</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6.3</w:t>
            </w:r>
          </w:p>
        </w:tc>
      </w:tr>
      <w:tr>
        <w:tc>
          <w:tcPr>
            <w:tcW w:type="dxa" w:w="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Cross Section Executive Overview</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6.0</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Wholesaler Sub-Monitoring (ITG Programs)</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6.7</w:t>
            </w:r>
          </w:p>
        </w:tc>
      </w:tr>
      <w:tr>
        <w:tc>
          <w:tcPr>
            <w:tcW w:type="dxa" w:w="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MT</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Modern Trade Analysis</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72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9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5.9</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PS Achiever (Sell In &amp; Sell Out)</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6.9</w:t>
            </w:r>
          </w:p>
        </w:tc>
      </w:tr>
      <w:tr>
        <w:tc>
          <w:tcPr>
            <w:tcW w:type="dxa" w:w="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5a</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Priority Action (Morning Briefing)</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9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7.3</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 Decision Center (OODA)</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9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8.3</w:t>
            </w:r>
          </w:p>
        </w:tc>
      </w:tr>
      <w:tr>
        <w:tc>
          <w:tcPr>
            <w:tcW w:type="dxa" w:w="90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w:r>
          </w:p>
        </w:tc>
        <w:tc>
          <w:tcPr>
            <w:tcW w:type="dxa" w:w="180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OVERALL AVERAGE</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8.2</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6.4</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6.4</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6.8</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7.7</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6.4</w:t>
            </w:r>
          </w:p>
        </w:tc>
        <w:tc>
          <w:tcPr>
            <w:tcW w:type="dxa" w:w="720"/>
            <w:tcBorders>
              <w:top w:val="single" w:color="CCCCCC" w:sz="4"/>
              <w:left w:val="single" w:color="CCCCCC" w:sz="4"/>
              <w:bottom w:val="single" w:color="CCCCCC" w:sz="4"/>
              <w:right w:val="single" w:color="CCCCCC" w:sz="4"/>
            </w:tcBorders>
            <w:shd w:fill="E5E7E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6.1</w:t>
            </w:r>
          </w:p>
        </w:tc>
        <w:tc>
          <w:tcPr>
            <w:tcW w:type="dxa" w:w="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6.9</w:t>
            </w:r>
          </w:p>
        </w:tc>
      </w:tr>
    </w:tbl>
    <w:p>
      <w:pPr>
        <w:spacing w:after="80" w:before="120"/>
      </w:pPr>
      <w:r>
        <w:rPr>
          <w:rFonts w:ascii="Arial" w:cs="Arial" w:eastAsia="Arial" w:hAnsi="Arial"/>
          <w:color w:val="9CA3AF"/>
          <w:sz w:val="16"/>
          <w:szCs w:val="16"/>
        </w:rPr>
        <w:t xml:space="preserve">A: Business Value  B: Readability  C: Visual Hierarchy  D: Storytelling  E: Data Quality  F: Layout  G: Executive Experience</w:t>
      </w:r>
    </w:p>
    <w:p>
      <w:r>
        <w:br w:type="page"/>
      </w:r>
    </w:p>
    <w:p>
      <w:pPr>
        <w:pStyle w:val="Heading2"/>
        <w:spacing w:after="100" w:before="280"/>
      </w:pPr>
      <w:r>
        <w:rPr>
          <w:rFonts w:ascii="Arial" w:cs="Arial" w:eastAsia="Arial" w:hAnsi="Arial"/>
          <w:b/>
          <w:bCs/>
          <w:color w:val="1B2A4A"/>
          <w:sz w:val="26"/>
          <w:szCs w:val="26"/>
        </w:rPr>
        <w:t xml:space="preserve">Section ★ — Sales Performance by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7.1</w:t>
            </w:r>
          </w:p>
        </w:tc>
      </w:tr>
    </w:tbl>
    <w:p>
      <w:pPr>
        <w:spacing w:after="80" w:before="120"/>
      </w:pPr>
    </w:p>
    <w:p>
      <w:pPr>
        <w:spacing w:after="120" w:before="80"/>
      </w:pPr>
      <w:r>
        <w:rPr>
          <w:rFonts w:ascii="Arial" w:cs="Arial" w:eastAsia="Arial" w:hAnsi="Arial"/>
          <w:sz w:val="20"/>
          <w:szCs w:val="20"/>
        </w:rPr>
        <w:t xml:space="preserve">The Principle Executive card is the strongest "at-a-glance" section — colour-coded status (On Track / Watchlist / Recovery) enables instant decision orientation. Weakness: storytelling is shallow. Cards show state but not cause. No "why is Marlboro underperforming?" narrative. The 5-column pexec-grid is well-structured but exports (PNG/PDF/Clipboard) are buried with no labelling for executives.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Colour-coded status cards instantly communicate health</w:t>
            </w:r>
            <w:r>
              <w:rPr>
                <w:rFonts w:ascii="Arial" w:cs="Arial" w:eastAsia="Arial" w:hAnsi="Arial"/>
                <w:sz w:val="18"/>
                <w:szCs w:val="18"/>
              </w:rPr>
              <w:br/>
              <w:t xml:space="preserve">
• National aggregate card provides overall headline</w:t>
            </w:r>
            <w:r>
              <w:rPr>
                <w:rFonts w:ascii="Arial" w:cs="Arial" w:eastAsia="Arial" w:hAnsi="Arial"/>
                <w:sz w:val="18"/>
                <w:szCs w:val="18"/>
              </w:rPr>
              <w:br/>
              <w:t xml:space="preserve">
• Export options present (PNG / PDF / Clipboard)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No "why" narrative — shows state, not cause</w:t>
            </w:r>
            <w:r>
              <w:rPr>
                <w:rFonts w:ascii="Arial" w:cs="Arial" w:eastAsia="Arial" w:hAnsi="Arial"/>
                <w:sz w:val="18"/>
                <w:szCs w:val="18"/>
              </w:rPr>
              <w:br/>
              <w:t xml:space="preserve">
• Export buttons have no executive label (icon-only)</w:t>
            </w:r>
            <w:r>
              <w:rPr>
                <w:rFonts w:ascii="Arial" w:cs="Arial" w:eastAsia="Arial" w:hAnsi="Arial"/>
                <w:sz w:val="18"/>
                <w:szCs w:val="18"/>
              </w:rPr>
              <w:br/>
              <w:t xml:space="preserve">
• 5-column layout may overflow on narrow screens</w:t>
            </w:r>
          </w:p>
        </w:tc>
      </w:tr>
    </w:tbl>
    <w:p>
      <w:pPr>
        <w:spacing w:after="0" w:before="160"/>
      </w:pPr>
    </w:p>
    <w:p>
      <w:pPr>
        <w:pStyle w:val="Heading2"/>
        <w:spacing w:after="100" w:before="280"/>
      </w:pPr>
      <w:r>
        <w:rPr>
          <w:rFonts w:ascii="Arial" w:cs="Arial" w:eastAsia="Arial" w:hAnsi="Arial"/>
          <w:b/>
          <w:bCs/>
          <w:color w:val="1B2A4A"/>
          <w:sz w:val="26"/>
          <w:szCs w:val="26"/>
        </w:rPr>
        <w:t xml:space="preserve">Section 1 — Master Sales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7.4</w:t>
            </w:r>
          </w:p>
        </w:tc>
      </w:tr>
    </w:tbl>
    <w:p>
      <w:pPr>
        <w:spacing w:after="80" w:before="120"/>
      </w:pPr>
    </w:p>
    <w:p>
      <w:pPr>
        <w:spacing w:after="120" w:before="80"/>
      </w:pPr>
      <w:r>
        <w:rPr>
          <w:rFonts w:ascii="Arial" w:cs="Arial" w:eastAsia="Arial" w:hAnsi="Arial"/>
          <w:sz w:val="20"/>
          <w:szCs w:val="20"/>
        </w:rPr>
        <w:t xml:space="preserve">The most data-rich section and the KPI backbone of the dashboard. Achievement%, Run Rate, TimeGone, and Region/Depot ranking collectively provide everything a Regional Director needs. Critical issue: the HTML uses a grid-4 CSS class for 5 KPI cards — this creates a layout overflow risk in some viewports. The Principle table (8 columns) is dense but well-structured. Anomaly badge is a strong executive signal.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Most comprehensive KPI coverage of all sections</w:t>
            </w:r>
            <w:r>
              <w:rPr>
                <w:rFonts w:ascii="Arial" w:cs="Arial" w:eastAsia="Arial" w:hAnsi="Arial"/>
                <w:sz w:val="18"/>
                <w:szCs w:val="18"/>
              </w:rPr>
              <w:br/>
              <w:t xml:space="preserve">
• Anomaly badge surfaces critical situations automatically</w:t>
            </w:r>
            <w:r>
              <w:rPr>
                <w:rFonts w:ascii="Arial" w:cs="Arial" w:eastAsia="Arial" w:hAnsi="Arial"/>
                <w:sz w:val="18"/>
                <w:szCs w:val="18"/>
              </w:rPr>
              <w:br/>
              <w:t xml:space="preserve">
• Depot ranking provides actionable sub-region signal</w:t>
            </w:r>
            <w:r>
              <w:rPr>
                <w:rFonts w:ascii="Arial" w:cs="Arial" w:eastAsia="Arial" w:hAnsi="Arial"/>
                <w:sz w:val="18"/>
                <w:szCs w:val="18"/>
              </w:rPr>
              <w:br/>
              <w:t xml:space="preserve">
• Region chart + Principle table = dual-level view</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grid-4 class for 5 cards risks layout overflow</w:t>
            </w:r>
            <w:r>
              <w:rPr>
                <w:rFonts w:ascii="Arial" w:cs="Arial" w:eastAsia="Arial" w:hAnsi="Arial"/>
                <w:sz w:val="18"/>
                <w:szCs w:val="18"/>
              </w:rPr>
              <w:br/>
              <w:t xml:space="preserve">
• TimeGone card formula/logic not self-explanatory</w:t>
            </w:r>
            <w:r>
              <w:rPr>
                <w:rFonts w:ascii="Arial" w:cs="Arial" w:eastAsia="Arial" w:hAnsi="Arial"/>
                <w:sz w:val="18"/>
                <w:szCs w:val="18"/>
              </w:rPr>
              <w:br/>
              <w:t xml:space="preserve">
• Category Analysis subsection has no executive CTA</w:t>
            </w:r>
            <w:r>
              <w:rPr>
                <w:rFonts w:ascii="Arial" w:cs="Arial" w:eastAsia="Arial" w:hAnsi="Arial"/>
                <w:sz w:val="18"/>
                <w:szCs w:val="18"/>
              </w:rPr>
              <w:br/>
              <w:t xml:space="preserve">
• Run Rate denominator "HK" not spelled out</w:t>
            </w:r>
          </w:p>
        </w:tc>
      </w:tr>
    </w:tbl>
    <w:p>
      <w:pPr>
        <w:spacing w:after="0" w:before="160"/>
      </w:pPr>
    </w:p>
    <w:p>
      <w:pPr>
        <w:pStyle w:val="Heading2"/>
        <w:spacing w:after="100" w:before="280"/>
      </w:pPr>
      <w:r>
        <w:rPr>
          <w:rFonts w:ascii="Arial" w:cs="Arial" w:eastAsia="Arial" w:hAnsi="Arial"/>
          <w:b/>
          <w:bCs/>
          <w:color w:val="1B2A4A"/>
          <w:sz w:val="26"/>
          <w:szCs w:val="26"/>
        </w:rPr>
        <w:t xml:space="preserve">Section 2 — CA Monitoring (Transaction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6.3</w:t>
            </w:r>
          </w:p>
        </w:tc>
      </w:tr>
    </w:tbl>
    <w:p>
      <w:pPr>
        <w:spacing w:after="80" w:before="120"/>
      </w:pPr>
    </w:p>
    <w:p>
      <w:pPr>
        <w:spacing w:after="120" w:before="80"/>
      </w:pPr>
      <w:r>
        <w:rPr>
          <w:rFonts w:ascii="Arial" w:cs="Arial" w:eastAsia="Arial" w:hAnsi="Arial"/>
          <w:sz w:val="20"/>
          <w:szCs w:val="20"/>
        </w:rPr>
        <w:t xml:space="preserve">CA Active Rate is a critical FMCG leading indicator. The section surfaces the right data (CA TM, CA LM, delta by region, channel traffic lights) but storytelling is weak — executives see the drop but get no root-cause narrative. A hardcoded subtitle "Harus di-follow up hari ini" appears on the CA Zero Transaksi card regardless of context, breaking data integrity trust. The section title "Transaction Monitoring — CA Active" also conflates two concepts.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Traffic Light Channel panel provides rapid triage</w:t>
            </w:r>
            <w:r>
              <w:rPr>
                <w:rFonts w:ascii="Arial" w:cs="Arial" w:eastAsia="Arial" w:hAnsi="Arial"/>
                <w:sz w:val="18"/>
                <w:szCs w:val="18"/>
              </w:rPr>
              <w:br/>
              <w:t xml:space="preserve">
• Region CA ranking table is actionable</w:t>
            </w:r>
            <w:r>
              <w:rPr>
                <w:rFonts w:ascii="Arial" w:cs="Arial" w:eastAsia="Arial" w:hAnsi="Arial"/>
                <w:sz w:val="18"/>
                <w:szCs w:val="18"/>
              </w:rPr>
              <w:br/>
              <w:t xml:space="preserve">
• Channel bar chart + delta% gives right decomposition</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Hardcoded "Harus di-follow up hari ini" subtitle regardless of data</w:t>
            </w:r>
            <w:r>
              <w:rPr>
                <w:rFonts w:ascii="Arial" w:cs="Arial" w:eastAsia="Arial" w:hAnsi="Arial"/>
                <w:sz w:val="18"/>
                <w:szCs w:val="18"/>
              </w:rPr>
              <w:br/>
              <w:t xml:space="preserve">
• No root-cause narrative for CA drop</w:t>
            </w:r>
            <w:r>
              <w:rPr>
                <w:rFonts w:ascii="Arial" w:cs="Arial" w:eastAsia="Arial" w:hAnsi="Arial"/>
                <w:sz w:val="18"/>
                <w:szCs w:val="18"/>
              </w:rPr>
              <w:br/>
              <w:t xml:space="preserve">
• Title conflates Transaction Monitoring and CA Active concepts</w:t>
            </w:r>
            <w:r>
              <w:rPr>
                <w:rFonts w:ascii="Arial" w:cs="Arial" w:eastAsia="Arial" w:hAnsi="Arial"/>
                <w:sz w:val="18"/>
                <w:szCs w:val="18"/>
              </w:rPr>
              <w:br/>
              <w:t xml:space="preserve">
• "CA Drop vs LM Analysis" badge reads as a title, not a badge</w:t>
            </w:r>
          </w:p>
        </w:tc>
      </w:tr>
    </w:tbl>
    <w:p>
      <w:pPr>
        <w:spacing w:after="0" w:before="160"/>
      </w:pPr>
    </w:p>
    <w:p>
      <w:pPr>
        <w:pStyle w:val="Heading2"/>
        <w:spacing w:after="100" w:before="280"/>
      </w:pPr>
      <w:r>
        <w:rPr>
          <w:rFonts w:ascii="Arial" w:cs="Arial" w:eastAsia="Arial" w:hAnsi="Arial"/>
          <w:b/>
          <w:bCs/>
          <w:color w:val="1B2A4A"/>
          <w:sz w:val="26"/>
          <w:szCs w:val="26"/>
        </w:rPr>
        <w:t xml:space="preserve">Section ∑ — Cross Section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6.0</w:t>
            </w:r>
          </w:p>
        </w:tc>
      </w:tr>
    </w:tbl>
    <w:p>
      <w:pPr>
        <w:spacing w:after="80" w:before="120"/>
      </w:pPr>
    </w:p>
    <w:p>
      <w:pPr>
        <w:spacing w:after="120" w:before="80"/>
      </w:pPr>
      <w:r>
        <w:rPr>
          <w:rFonts w:ascii="Arial" w:cs="Arial" w:eastAsia="Arial" w:hAnsi="Arial"/>
          <w:sz w:val="20"/>
          <w:szCs w:val="20"/>
        </w:rPr>
        <w:t xml:space="preserve">The Cross Section is architecturally the best synthesis layer in the dashboard — Business Snapshot, WS vs MT KPI Highlight, Opportunity Ranking, Risk Ranking, and Top 5 Actions together constitute a true executive intelligence layer. However, it is hidden by default (display:none) and only appears conditionally. Executives may never discover this section exists. This is the highest-value section with the lowest discoverability.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Business Snapshot + Risk + Opportunity + Actions = best executive synthesis</w:t>
            </w:r>
            <w:r>
              <w:rPr>
                <w:rFonts w:ascii="Arial" w:cs="Arial" w:eastAsia="Arial" w:hAnsi="Arial"/>
                <w:sz w:val="18"/>
                <w:szCs w:val="18"/>
              </w:rPr>
              <w:br/>
              <w:t xml:space="preserve">
• 2-column Risk/Opportunity ranking is strong visual format</w:t>
            </w:r>
            <w:r>
              <w:rPr>
                <w:rFonts w:ascii="Arial" w:cs="Arial" w:eastAsia="Arial" w:hAnsi="Arial"/>
                <w:sz w:val="18"/>
                <w:szCs w:val="18"/>
              </w:rPr>
              <w:br/>
              <w:t xml:space="preserve">
• Unified view across WS and MT is unique in FMCG dashboards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HIDDEN by default (display:none) — zero discoverability</w:t>
            </w:r>
            <w:r>
              <w:rPr>
                <w:rFonts w:ascii="Arial" w:cs="Arial" w:eastAsia="Arial" w:hAnsi="Arial"/>
                <w:sz w:val="18"/>
                <w:szCs w:val="18"/>
              </w:rPr>
              <w:br/>
              <w:t xml:space="preserve">
• No visual cue that this section exists when hidden</w:t>
            </w:r>
            <w:r>
              <w:rPr>
                <w:rFonts w:ascii="Arial" w:cs="Arial" w:eastAsia="Arial" w:hAnsi="Arial"/>
                <w:sz w:val="18"/>
                <w:szCs w:val="18"/>
              </w:rPr>
              <w:br/>
              <w:t xml:space="preserve">
• Section number "∑" is mathematical notation, not intuitive navigation</w:t>
            </w:r>
          </w:p>
        </w:tc>
      </w:tr>
    </w:tbl>
    <w:p>
      <w:pPr>
        <w:spacing w:after="0" w:before="160"/>
      </w:pPr>
    </w:p>
    <w:p>
      <w:pPr>
        <w:pStyle w:val="Heading2"/>
        <w:spacing w:after="100" w:before="280"/>
      </w:pPr>
      <w:r>
        <w:rPr>
          <w:rFonts w:ascii="Arial" w:cs="Arial" w:eastAsia="Arial" w:hAnsi="Arial"/>
          <w:b/>
          <w:bCs/>
          <w:color w:val="1B2A4A"/>
          <w:sz w:val="26"/>
          <w:szCs w:val="26"/>
        </w:rPr>
        <w:t xml:space="preserve">Section 3 — Wholesaler Sub-Monitoring (ITG Programs)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6.7</w:t>
            </w:r>
          </w:p>
        </w:tc>
      </w:tr>
    </w:tbl>
    <w:p>
      <w:pPr>
        <w:spacing w:after="80" w:before="120"/>
      </w:pPr>
    </w:p>
    <w:p>
      <w:pPr>
        <w:spacing w:after="120" w:before="80"/>
      </w:pPr>
      <w:r>
        <w:rPr>
          <w:rFonts w:ascii="Arial" w:cs="Arial" w:eastAsia="Arial" w:hAnsi="Arial"/>
          <w:sz w:val="20"/>
          <w:szCs w:val="20"/>
        </w:rPr>
        <w:t xml:space="preserve">ITG program tracking (Arjuna, Bima, Supercup) is genuinely valuable for WS-focused FMCG management. BB4 with per-program tabs (Arjuna/Bima/Supercup) is a good UX pattern. Critical issue: ITG Bima KPI card has hardcoded "🚨 KRITIS" in its label regardless of actual program performance — this is a data integrity failure that could cause executives to dismiss the entire section's credibility. BB1.5 (Performance by Class) is hidden conditionally, reducing overall section utility.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ITG program tab structure (BB4) is well-organised</w:t>
            </w:r>
            <w:r>
              <w:rPr>
                <w:rFonts w:ascii="Arial" w:cs="Arial" w:eastAsia="Arial" w:hAnsi="Arial"/>
                <w:sz w:val="18"/>
                <w:szCs w:val="18"/>
              </w:rPr>
              <w:br/>
              <w:t xml:space="preserve">
• BB2 chart (Achievement% per Region per Program) is the right visualisation</w:t>
            </w:r>
            <w:r>
              <w:rPr>
                <w:rFonts w:ascii="Arial" w:cs="Arial" w:eastAsia="Arial" w:hAnsi="Arial"/>
                <w:sz w:val="18"/>
                <w:szCs w:val="18"/>
              </w:rPr>
              <w:br/>
              <w:t xml:space="preserve">
• Timegone sub-analysis (BB2.5) is sophisticated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Hardcoded "🚨 KRITIS" on ITG Bima regardless of data — DATA INTEGRITY FAILURE</w:t>
            </w:r>
            <w:r>
              <w:rPr>
                <w:rFonts w:ascii="Arial" w:cs="Arial" w:eastAsia="Arial" w:hAnsi="Arial"/>
                <w:sz w:val="18"/>
                <w:szCs w:val="18"/>
              </w:rPr>
              <w:br/>
              <w:t xml:space="preserve">
• BB1.5 conditionally hidden — class-level data may be invisible</w:t>
            </w:r>
            <w:r>
              <w:rPr>
                <w:rFonts w:ascii="Arial" w:cs="Arial" w:eastAsia="Arial" w:hAnsi="Arial"/>
                <w:sz w:val="18"/>
                <w:szCs w:val="18"/>
              </w:rPr>
              <w:br/>
              <w:t xml:space="preserve">
• Section lacks an executive summary card — too granular as entry point</w:t>
            </w:r>
            <w:r>
              <w:rPr>
                <w:rFonts w:ascii="Arial" w:cs="Arial" w:eastAsia="Arial" w:hAnsi="Arial"/>
                <w:sz w:val="18"/>
                <w:szCs w:val="18"/>
              </w:rPr>
              <w:br/>
              <w:t xml:space="preserve">
• Pareto tables (BB3) are data-dense with no guided narrative</w:t>
            </w:r>
          </w:p>
        </w:tc>
      </w:tr>
    </w:tbl>
    <w:p>
      <w:pPr>
        <w:spacing w:after="0" w:before="160"/>
      </w:pPr>
    </w:p>
    <w:p>
      <w:pPr>
        <w:pStyle w:val="Heading2"/>
        <w:spacing w:after="100" w:before="280"/>
      </w:pPr>
      <w:r>
        <w:rPr>
          <w:rFonts w:ascii="Arial" w:cs="Arial" w:eastAsia="Arial" w:hAnsi="Arial"/>
          <w:b/>
          <w:bCs/>
          <w:color w:val="1B2A4A"/>
          <w:sz w:val="26"/>
          <w:szCs w:val="26"/>
        </w:rPr>
        <w:t xml:space="preserve">Section MT — Modern Trade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126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5.9</w:t>
            </w:r>
          </w:p>
        </w:tc>
      </w:tr>
    </w:tbl>
    <w:p>
      <w:pPr>
        <w:spacing w:after="80" w:before="120"/>
      </w:pPr>
    </w:p>
    <w:p>
      <w:pPr>
        <w:spacing w:after="120" w:before="80"/>
      </w:pPr>
      <w:r>
        <w:rPr>
          <w:rFonts w:ascii="Arial" w:cs="Arial" w:eastAsia="Arial" w:hAnsi="Arial"/>
          <w:sz w:val="20"/>
          <w:szCs w:val="20"/>
        </w:rPr>
        <w:t xml:space="preserve">Modern Trade is one of the highest-revenue channels in FMCG. This section contains sophisticated content: OODA Decision Layer with Channel Risk Matrix, Priority Action Ranking, and Impact Estimation are best-in-class analytical patterns. However, the entire section is hidden by default (display:none), and the MT Decision Layer within it has an additional display:none — effectively double-hidden. A director reviewing MT performance would miss this entirely on first open. Section number is "MT" (text label), breaking all numeric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MT Decision Layer with Channel Risk Matrix is analytically sophisticated</w:t>
            </w:r>
            <w:r>
              <w:rPr>
                <w:rFonts w:ascii="Arial" w:cs="Arial" w:eastAsia="Arial" w:hAnsi="Arial"/>
                <w:sz w:val="18"/>
                <w:szCs w:val="18"/>
              </w:rPr>
              <w:br/>
              <w:t xml:space="preserve">
• Sub-channel type breakdown (MT3) is the right level of detail for NKA/MTI management</w:t>
            </w:r>
            <w:r>
              <w:rPr>
                <w:rFonts w:ascii="Arial" w:cs="Arial" w:eastAsia="Arial" w:hAnsi="Arial"/>
                <w:sz w:val="18"/>
                <w:szCs w:val="18"/>
              </w:rPr>
              <w:br/>
              <w:t xml:space="preserve">
• MT5 Timegone analysis is consistent pattern with WS section</w:t>
            </w:r>
            <w:r>
              <w:rPr>
                <w:rFonts w:ascii="Arial" w:cs="Arial" w:eastAsia="Arial" w:hAnsi="Arial"/>
                <w:sz w:val="18"/>
                <w:szCs w:val="18"/>
              </w:rPr>
              <w:br/>
              <w:t xml:space="preserve">
• MT4 CLASS performance (table + chart) provides clear decomposition</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ENTIRE SECTION hidden by default — critical revenue channel invisible</w:t>
            </w:r>
            <w:r>
              <w:rPr>
                <w:rFonts w:ascii="Arial" w:cs="Arial" w:eastAsia="Arial" w:hAnsi="Arial"/>
                <w:sz w:val="18"/>
                <w:szCs w:val="18"/>
              </w:rPr>
              <w:br/>
              <w:t xml:space="preserve">
• MT Decision Layer has additional display:none INSIDE hidden section (double-hidden)</w:t>
            </w:r>
            <w:r>
              <w:rPr>
                <w:rFonts w:ascii="Arial" w:cs="Arial" w:eastAsia="Arial" w:hAnsi="Arial"/>
                <w:sz w:val="18"/>
                <w:szCs w:val="18"/>
              </w:rPr>
              <w:br/>
              <w:t xml:space="preserve">
• Section number "MT" is text label, breaks sequential navigation</w:t>
            </w:r>
            <w:r>
              <w:rPr>
                <w:rFonts w:ascii="Arial" w:cs="Arial" w:eastAsia="Arial" w:hAnsi="Arial"/>
                <w:sz w:val="18"/>
                <w:szCs w:val="18"/>
              </w:rPr>
              <w:br/>
              <w:t xml:space="preserve">
• MT Executive Summary Card also hidden — triple nesting of display:none risks</w:t>
            </w:r>
          </w:p>
        </w:tc>
      </w:tr>
    </w:tbl>
    <w:p>
      <w:pPr>
        <w:spacing w:after="0" w:before="160"/>
      </w:pPr>
    </w:p>
    <w:p>
      <w:pPr>
        <w:pStyle w:val="Heading2"/>
        <w:spacing w:after="100" w:before="280"/>
      </w:pPr>
      <w:r>
        <w:rPr>
          <w:rFonts w:ascii="Arial" w:cs="Arial" w:eastAsia="Arial" w:hAnsi="Arial"/>
          <w:b/>
          <w:bCs/>
          <w:color w:val="1B2A4A"/>
          <w:sz w:val="26"/>
          <w:szCs w:val="26"/>
        </w:rPr>
        <w:t xml:space="preserve">Section 4 — PS Achiever (Sell In &amp; Sell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6.9</w:t>
            </w:r>
          </w:p>
        </w:tc>
      </w:tr>
    </w:tbl>
    <w:p>
      <w:pPr>
        <w:spacing w:after="80" w:before="120"/>
      </w:pPr>
    </w:p>
    <w:p>
      <w:pPr>
        <w:spacing w:after="120" w:before="80"/>
      </w:pPr>
      <w:r>
        <w:rPr>
          <w:rFonts w:ascii="Arial" w:cs="Arial" w:eastAsia="Arial" w:hAnsi="Arial"/>
          <w:sz w:val="20"/>
          <w:szCs w:val="20"/>
        </w:rPr>
        <w:t xml:space="preserve">PS Achiever is well-executed for its scope. Sell In vs Sell Out dual KPI view, traffic lights by region, and TOP/BOTTOM ranking give field leaders clear action signals. The section is cleanly contained and doesn't overreach. Weaknesses: no cross-reference to CA (a sell-out metric is meaningless without CA context), and the ps-ranking ranking criteria is not labeled — executives cannot tell whether it ranks by absolute gap or by achievement%.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SI vs SO dual view with delta vs LM is the right executive frame</w:t>
            </w:r>
            <w:r>
              <w:rPr>
                <w:rFonts w:ascii="Arial" w:cs="Arial" w:eastAsia="Arial" w:hAnsi="Arial"/>
                <w:sz w:val="18"/>
                <w:szCs w:val="18"/>
              </w:rPr>
              <w:br/>
              <w:t xml:space="preserve">
• Traffic lights per region are immediately actionable</w:t>
            </w:r>
            <w:r>
              <w:rPr>
                <w:rFonts w:ascii="Arial" w:cs="Arial" w:eastAsia="Arial" w:hAnsi="Arial"/>
                <w:sz w:val="18"/>
                <w:szCs w:val="18"/>
              </w:rPr>
              <w:br/>
              <w:t xml:space="preserve">
• Clean layout — not overcrowded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No cross-reference to CA rate — critical context for SO interpretation</w:t>
            </w:r>
            <w:r>
              <w:rPr>
                <w:rFonts w:ascii="Arial" w:cs="Arial" w:eastAsia="Arial" w:hAnsi="Arial"/>
                <w:sz w:val="18"/>
                <w:szCs w:val="18"/>
              </w:rPr>
              <w:br/>
              <w:t xml:space="preserve">
• ps-ranking criteria not labeled (gap? achievement%? absolute value?)</w:t>
            </w:r>
            <w:r>
              <w:rPr>
                <w:rFonts w:ascii="Arial" w:cs="Arial" w:eastAsia="Arial" w:hAnsi="Arial"/>
                <w:sz w:val="18"/>
                <w:szCs w:val="18"/>
              </w:rPr>
              <w:br/>
              <w:t xml:space="preserve">
• No "why" for outliers — bottom performer has no narrative</w:t>
            </w:r>
          </w:p>
        </w:tc>
      </w:tr>
    </w:tbl>
    <w:p>
      <w:pPr>
        <w:spacing w:after="0" w:before="160"/>
      </w:pPr>
    </w:p>
    <w:p>
      <w:pPr>
        <w:pStyle w:val="Heading2"/>
        <w:spacing w:after="100" w:before="280"/>
      </w:pPr>
      <w:r>
        <w:rPr>
          <w:rFonts w:ascii="Arial" w:cs="Arial" w:eastAsia="Arial" w:hAnsi="Arial"/>
          <w:b/>
          <w:bCs/>
          <w:color w:val="1B2A4A"/>
          <w:sz w:val="26"/>
          <w:szCs w:val="26"/>
        </w:rPr>
        <w:t xml:space="preserve">Section 5a — Priority Action (Morning Briefing)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12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7.3</w:t>
            </w:r>
          </w:p>
        </w:tc>
      </w:tr>
    </w:tbl>
    <w:p>
      <w:pPr>
        <w:spacing w:after="80" w:before="120"/>
      </w:pPr>
    </w:p>
    <w:p>
      <w:pPr>
        <w:spacing w:after="120" w:before="80"/>
      </w:pPr>
      <w:r>
        <w:rPr>
          <w:rFonts w:ascii="Arial" w:cs="Arial" w:eastAsia="Arial" w:hAnsi="Arial"/>
          <w:sz w:val="20"/>
          <w:szCs w:val="20"/>
        </w:rPr>
        <w:t xml:space="preserve">Priority Action is the highest business-value section for field management — TOP ACTION LIST with region, principle, and bottom-line synthesis is exactly what a morning briefing should contain. The Executive Summary AI card provides rule-based narrative intelligence. Issues: (1) section number is "5", same as Executive Decision Center — breaks navigation; (2) the "rule-based" methodology tag is visible to executives, surfacing developer terminology; (3) the emoji "⚡" is embedded in the section-title div rather than treated as decoration; (4) "Morning Briefing" framing is contradicted by full-month data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TOP ACTION LIST frame is the most executive-friendly pattern in the dashboard</w:t>
            </w:r>
            <w:r>
              <w:rPr>
                <w:rFonts w:ascii="Arial" w:cs="Arial" w:eastAsia="Arial" w:hAnsi="Arial"/>
                <w:sz w:val="18"/>
                <w:szCs w:val="18"/>
              </w:rPr>
              <w:br/>
              <w:t xml:space="preserve">
• Rule-based AI commentary is contextually accurate</w:t>
            </w:r>
            <w:r>
              <w:rPr>
                <w:rFonts w:ascii="Arial" w:cs="Arial" w:eastAsia="Arial" w:hAnsi="Arial"/>
                <w:sz w:val="18"/>
                <w:szCs w:val="18"/>
              </w:rPr>
              <w:br/>
              <w:t xml:space="preserve">
• BOTTOM LINE card (dark background) creates strong visual anchor</w:t>
            </w:r>
            <w:r>
              <w:rPr>
                <w:rFonts w:ascii="Arial" w:cs="Arial" w:eastAsia="Arial" w:hAnsi="Arial"/>
                <w:sz w:val="18"/>
                <w:szCs w:val="18"/>
              </w:rPr>
              <w:br/>
              <w:t xml:space="preserve">
• grid-3-2 layout cleanly separates action list from context cards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Section number "5" duplicates Executive Decision Center — navigation failure</w:t>
            </w:r>
            <w:r>
              <w:rPr>
                <w:rFonts w:ascii="Arial" w:cs="Arial" w:eastAsia="Arial" w:hAnsi="Arial"/>
                <w:sz w:val="18"/>
                <w:szCs w:val="18"/>
              </w:rPr>
              <w:br/>
              <w:t xml:space="preserve">
• "rule-based" tag visible — developer terminology exposed to executives</w:t>
            </w:r>
            <w:r>
              <w:rPr>
                <w:rFonts w:ascii="Arial" w:cs="Arial" w:eastAsia="Arial" w:hAnsi="Arial"/>
                <w:sz w:val="18"/>
                <w:szCs w:val="18"/>
              </w:rPr>
              <w:br/>
              <w:t xml:space="preserve">
• "Morning Briefing" label inconsistent with full-month data scope</w:t>
            </w:r>
            <w:r>
              <w:rPr>
                <w:rFonts w:ascii="Arial" w:cs="Arial" w:eastAsia="Arial" w:hAnsi="Arial"/>
                <w:sz w:val="18"/>
                <w:szCs w:val="18"/>
              </w:rPr>
              <w:br/>
              <w:t xml:space="preserve">
• Emoji ⚡ in section-title div is presentationally embedded, not decorative</w:t>
            </w:r>
          </w:p>
        </w:tc>
      </w:tr>
    </w:tbl>
    <w:p>
      <w:pPr>
        <w:spacing w:after="0" w:before="160"/>
      </w:pPr>
    </w:p>
    <w:p>
      <w:pPr>
        <w:pStyle w:val="Heading2"/>
        <w:spacing w:after="100" w:before="280"/>
      </w:pPr>
      <w:r>
        <w:rPr>
          <w:rFonts w:ascii="Arial" w:cs="Arial" w:eastAsia="Arial" w:hAnsi="Arial"/>
          <w:b/>
          <w:bCs/>
          <w:color w:val="1B2A4A"/>
          <w:sz w:val="26"/>
          <w:szCs w:val="26"/>
        </w:rPr>
        <w:t xml:space="preserve">Section 5b — Executive Decision Center (OODA)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Business Value</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Readability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Visual Hierarchy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Storytelling</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Data Quality</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Layout</w:t>
            </w:r>
          </w:p>
        </w:tc>
        <w:tc>
          <w:tcPr>
            <w:tcW w:type="dxa" w:w="1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Executive Experience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AVERAGE</w:t>
            </w:r>
          </w:p>
        </w:tc>
      </w:tr>
      <w:tr>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126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8.3</w:t>
            </w:r>
          </w:p>
        </w:tc>
      </w:tr>
    </w:tbl>
    <w:p>
      <w:pPr>
        <w:spacing w:after="80" w:before="120"/>
      </w:pPr>
    </w:p>
    <w:p>
      <w:pPr>
        <w:spacing w:after="120" w:before="80"/>
      </w:pPr>
      <w:r>
        <w:rPr>
          <w:rFonts w:ascii="Arial" w:cs="Arial" w:eastAsia="Arial" w:hAnsi="Arial"/>
          <w:sz w:val="20"/>
          <w:szCs w:val="20"/>
        </w:rPr>
        <w:t xml:space="preserve">The best-designed section in SCT v6. The OODA loop framework (Observe → Orient → Decide → Act) is a genuinely sophisticated executive decision support model. The 3-zone layout (Risk headline full-width / Opportunity + Action 2-col / Impact footer dark) creates strong visual rhythm. Animated count-up on heroes, progress bar on risk zone, and status-tinted backgrounds are all design system compliant. Only issue: shares section number "5" with Priority Action — a serious navigation labelling 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Strengths</w:t>
            </w:r>
          </w:p>
        </w:tc>
        <w:tc>
          <w:tcPr>
            <w:tcW w:type="dxa" w:w="504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 Gaps / Risks</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OODA framework is best-in-class executive decision support architecture</w:t>
            </w:r>
            <w:r>
              <w:rPr>
                <w:rFonts w:ascii="Arial" w:cs="Arial" w:eastAsia="Arial" w:hAnsi="Arial"/>
                <w:sz w:val="18"/>
                <w:szCs w:val="18"/>
              </w:rPr>
              <w:br/>
              <w:t xml:space="preserve">
• 3-zone layout (Risk / Opportunity|Action / Impact) creates excellent narrative flow</w:t>
            </w:r>
            <w:r>
              <w:rPr>
                <w:rFonts w:ascii="Arial" w:cs="Arial" w:eastAsia="Arial" w:hAnsi="Arial"/>
                <w:sz w:val="18"/>
                <w:szCs w:val="18"/>
              </w:rPr>
              <w:br/>
              <w:t xml:space="preserve">
• Left accent bar + status-tinted background = strong visual signal without colour overload</w:t>
            </w:r>
            <w:r>
              <w:rPr>
                <w:rFonts w:ascii="Arial" w:cs="Arial" w:eastAsia="Arial" w:hAnsi="Arial"/>
                <w:sz w:val="18"/>
                <w:szCs w:val="18"/>
              </w:rPr>
              <w:br/>
              <w:t xml:space="preserve">
• Progress bar with achievement tick mark is analytically clear</w:t>
            </w:r>
            <w:r>
              <w:rPr>
                <w:rFonts w:ascii="Arial" w:cs="Arial" w:eastAsia="Arial" w:hAnsi="Arial"/>
                <w:sz w:val="18"/>
                <w:szCs w:val="18"/>
              </w:rPr>
              <w:br/>
              <w:t xml:space="preserve">
• Count-up animation reinforces data freshness without being distracting</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before="60"/>
            </w:pPr>
            <w:r>
              <w:rPr>
                <w:rFonts w:ascii="Arial" w:cs="Arial" w:eastAsia="Arial" w:hAnsi="Arial"/>
                <w:sz w:val="18"/>
                <w:szCs w:val="18"/>
              </w:rPr>
              <w:t xml:space="preserve">• Section number "5" duplicates Priority Action — navigation failure</w:t>
            </w:r>
            <w:r>
              <w:rPr>
                <w:rFonts w:ascii="Arial" w:cs="Arial" w:eastAsia="Arial" w:hAnsi="Arial"/>
                <w:sz w:val="18"/>
                <w:szCs w:val="18"/>
              </w:rPr>
              <w:br/>
              <w:t xml:space="preserve">
• OODA labels (Observe / Orient / Decide / Act) are English in an Indonesian-language dashboard</w:t>
            </w:r>
            <w:r>
              <w:rPr>
                <w:rFonts w:ascii="Arial" w:cs="Arial" w:eastAsia="Arial" w:hAnsi="Arial"/>
                <w:sz w:val="18"/>
                <w:szCs w:val="18"/>
              </w:rPr>
              <w:br/>
              <w:t xml:space="preserve">
• s5-styles injected at runtime — flash of unstyled content possible on slow render</w:t>
            </w:r>
          </w:p>
        </w:tc>
      </w:tr>
    </w:tbl>
    <w:p>
      <w:pPr>
        <w:spacing w:after="0" w:before="160"/>
      </w:pPr>
    </w:p>
    <w:p>
      <w:r>
        <w:br w:type="page"/>
      </w:r>
    </w:p>
    <w:p>
      <w:pPr>
        <w:pStyle w:val="Heading1"/>
        <w:spacing w:after="120" w:before="360"/>
      </w:pPr>
      <w:r>
        <w:rPr>
          <w:rFonts w:ascii="Arial" w:cs="Arial" w:eastAsia="Arial" w:hAnsi="Arial"/>
          <w:b/>
          <w:bCs/>
          <w:color w:val="1B2A4A"/>
          <w:sz w:val="32"/>
          <w:szCs w:val="32"/>
        </w:rPr>
        <w:t xml:space="preserve">TOP 30 Findings</w:t>
      </w:r>
    </w:p>
    <w:p>
      <w:pPr>
        <w:spacing w:after="80" w:before="80"/>
      </w:pPr>
      <w:r>
        <w:rPr>
          <w:rFonts w:ascii="Arial" w:cs="Arial" w:eastAsia="Arial" w:hAnsi="Arial"/>
          <w:sz w:val="20"/>
          <w:szCs w:val="20"/>
        </w:rPr>
        <w:t xml:space="preserve">Findings ranked by business impact. Each finding is categorised P0 (Critical) through P3 (Low). P0 and P1 findings should be resolved before any executive demonstration. P2 findings are Sprint 23 candidates. P3 findings are backlog items.</w:t>
      </w:r>
    </w:p>
    <w:p>
      <w:pPr>
        <w:spacing w:after="0" w:before="120"/>
      </w:pPr>
    </w:p>
    <w:p>
      <w:pPr>
        <w:pStyle w:val="Heading3"/>
        <w:spacing w:after="80" w:before="220"/>
      </w:pPr>
      <w:r>
        <w:rPr>
          <w:rFonts w:ascii="Arial" w:cs="Arial" w:eastAsia="Arial" w:hAnsi="Arial"/>
          <w:b/>
          <w:bCs/>
          <w:color w:val="4B5563"/>
          <w:sz w:val="22"/>
          <w:szCs w:val="22"/>
        </w:rPr>
        <w:t xml:space="preserve">P0 —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600"/>
        <w:gridCol w:w="1800"/>
        <w:gridCol w:w="1800"/>
        <w:gridCol w:w="1400"/>
        <w:gridCol w:w="800"/>
        <w:gridCol w:w="780"/>
      </w:tblGrid>
      <w:tr>
        <w:trPr>
          <w:tblHeader/>
        </w:trP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ID</w:t>
            </w:r>
          </w:p>
        </w:tc>
        <w:tc>
          <w:tcPr>
            <w:tcW w:type="dxa" w:w="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Problem</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Business Impact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Recommendation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Location</w:t>
            </w:r>
          </w:p>
        </w:tc>
        <w:tc>
          <w:tcPr>
            <w:tcW w:type="dxa" w:w="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Effort</w:t>
            </w:r>
          </w:p>
        </w:tc>
        <w:tc>
          <w:tcPr>
            <w:tcW w:type="dxa" w:w="7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Risk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F-01</w:t>
            </w:r>
          </w:p>
        </w:tc>
        <w:tc>
          <w:tcPr>
            <w:tcW w:type="dxa" w:w="5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ITG Bima KPI card has hardcoded "🚨 KRITIS" label regardless of actual program performance data.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Executives cannot trust any KPI in Wholesaler section. If Bima is KRITIS when it's on-track, all status labels are suspect. Erodes dashboard credibility.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hardcoded label. Compute status from actual Bima achievement% vs target threshold. Apply same classification logic used for Arjuna and Supercup.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3 → Wholesaler → BB2 → ITG Bima card label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(1–2h)</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 — data integrity trust issue; may cause executive to ignore accurate alerts</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F-02</w:t>
            </w:r>
          </w:p>
        </w:tc>
        <w:tc>
          <w:tcPr>
            <w:tcW w:type="dxa" w:w="5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Duplicate section number "5" — both Priority Action and Executive Decision Center display section-number "5".</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Navigation fails. When executive says "go to section 5" or cites "section 5 findings" in a meeting, the reference is ambiguous. Report citations are unreliable.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Renumber Executive Decision Center to "6". Update all DOM elements, CSS class references, and any table of contents or navigation anchors accordingly.</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5 (section-action) and Executive Decision Center (section-5) — both have section-number "5"</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(2–3h)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 — navigational confusion; not a data issue but a credibility issue in exec presentations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F-03</w:t>
            </w:r>
          </w:p>
        </w:tc>
        <w:tc>
          <w:tcPr>
            <w:tcW w:type="dxa" w:w="5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Upload screen brand title shows "SALES CONTROL TOWER BY SHP v5.0" — version mismatch on the product entry point.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First impression fails. An executive opening the tool sees "v5.0" while all communications reference SCT v6. Raises doubt about which version is in use.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Update version string to "v6" in upload screen brand title and header brand area.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Upload screen, line ~1163: &lt;span&gt; with "v5.0" in brand title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(&lt;30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(effort) / HIGH (perception) — a 10-minute fix with major first-impression impact</w:t>
            </w:r>
          </w:p>
        </w:tc>
      </w:tr>
    </w:tbl>
    <w:p>
      <w:pPr>
        <w:spacing w:after="0" w:before="200"/>
      </w:pPr>
    </w:p>
    <w:p>
      <w:pPr>
        <w:pStyle w:val="Heading3"/>
        <w:spacing w:after="80" w:before="220"/>
      </w:pPr>
      <w:r>
        <w:rPr>
          <w:rFonts w:ascii="Arial" w:cs="Arial" w:eastAsia="Arial" w:hAnsi="Arial"/>
          <w:b/>
          <w:bCs/>
          <w:color w:val="4B5563"/>
          <w:sz w:val="22"/>
          <w:szCs w:val="22"/>
        </w:rPr>
        <w:t xml:space="preserve">P1 —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600"/>
        <w:gridCol w:w="1800"/>
        <w:gridCol w:w="1800"/>
        <w:gridCol w:w="1400"/>
        <w:gridCol w:w="800"/>
        <w:gridCol w:w="780"/>
      </w:tblGrid>
      <w:tr>
        <w:trPr>
          <w:tblHeader/>
        </w:trP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ID</w:t>
            </w:r>
          </w:p>
        </w:tc>
        <w:tc>
          <w:tcPr>
            <w:tcW w:type="dxa" w:w="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Problem</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Business Impact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Recommendation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Location</w:t>
            </w:r>
          </w:p>
        </w:tc>
        <w:tc>
          <w:tcPr>
            <w:tcW w:type="dxa" w:w="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Effort</w:t>
            </w:r>
          </w:p>
        </w:tc>
        <w:tc>
          <w:tcPr>
            <w:tcW w:type="dxa" w:w="7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Risk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F-04</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MT (Modern Trade) is hidden by default (display:none). A major revenue channel is invisible unless condition is met.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MT revenue may be 30–50% of total in some FMCG structures. An executive reviewing the dashboard has no MT performance visibility unless they know to look for a hidden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Show MT section always when MT data exists. Use loading skeleton if data not yet processed. Never rely on display:none for an entire business section.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 ~1760: section-mt element has style="display:none"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(2–4h)</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 — missing MT data in executive review is a business oversight risk</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F-05</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Cross Section (∑) is hidden by default (display:none). This is the highest-value synthesis layer and executives cannot discover it.</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The Business Snapshot, WS vs MT Highlight, Opportunity Ranking, and Top 5 Actions are the most executive-relevant content in the dashboard but are invisible. Executives make decisions with a fragmented view.</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Promote Cross Section as the primary executive landing view. Show it immediately after data load completes. Do not hide it behind conditional logic.</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 ~1505: cross-section-wrap has style="display:none"</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 (4–8h)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 — executive decision quality degrades without cross-section synthesis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F-06</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Footer reads "Sales Control Tower by SHP v5 | Professional Internal Dashboard | Working Days: DimDate-driven (TimeEngine) | Phase 1: Export Engine" — three outdated references.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v5 reference undermines v6 release. "Phase 1" signals incomplete product. "TimeEngine" is developer jargon. Footer is visible on every export and every screenshot shared in management meetings.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Update to: "Sales Control Tower by SHP v6 | FMCG Management Intelligence Dashboard | © 2026 SHP". Remove Phase references and technical engine names.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 ~2070: footer text content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(&lt;30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 — credibility / release perception risk</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F-07</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numbering is non-sequential: ★, 1, 2, ∑, 3, MT, 4, 5, 5. Navigation relies on inconsistent symbolic, numeric, and text identifiers.</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 executive presentations, referencing "section ∑" or "section MT" breaks communication flow. Management cannot build shared mental model of dashboard structure.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Standardise to: 0 or ★ (Principle Exec), 1 (Master Perf), 2 (CA), 3 (Cross Section), 4 (Wholesaler), 5 (Modern Trade), 6 (PS Achiever), 7 (Priority Action), 8 (Executive Decision). Alternatively keep symbolic identifiers but ensure they are unique and sequential.</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All section-number elements across index.html</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(3–5h)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 — communication and navigation clarity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F-08</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"rule-based" methodology tag is visible in the Executive Summary AI card in Priority Action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Executives see implementation detail ("rule-based") that communicates "this is a simple if-else script" rather than analytical intelligence. Undermines confidence in commentary quality.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or replace "rule-based" tag. If methodology disclosure is required, use "AI-Assisted Analysis" or "Algorithmic Commentary". Move technical disclosure to an info tooltip, not a visible badge.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5 (Priority Action) → Executive Summary AI card → exec-filter-tag element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 — executive trust / product positioning</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F-09</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MT Decision Layer (Sprint 21 OODA content inside MT section) has an additional display:none INSIDE the already-hidden MT section — effectively double-hidden.</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The MT Decision Layer contains Channel Risk Matrix, Priority Action Ranking, and Executive Action Plan — high-value decision tools. These are permanently invisible in current state even when MT section becomes visible.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inner display:none from mt-decision-summary. Control visibility via JS render logic, not inline style stacking.</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 ~1760–1800: mt-decision-summary element inside section-mt, both with display:none</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(2–3h)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 — valuable analytical content permanently inaccessible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F-10</w:t>
            </w:r>
          </w:p>
        </w:tc>
        <w:tc>
          <w:tcPr>
            <w:tcW w:type="dxa" w:w="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Upload screen has two redundant data source panels: "Data Source Manager" and "Source Status Panel" — separate UI elements with overlapping purpose.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First-time users face cognitive overload on the upload screen. Two panels performing similar functions create confusion about which one is authoritative.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Consolidate into a single "Data Source &amp; Status" panel. Show source list on left, status indicators on right within the same card.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Upload screen, lines ~1163–1250: two separate panel elements after drop zone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(3–5h)</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UX friction on first use; not a recurring issue for regular users</w:t>
            </w:r>
          </w:p>
        </w:tc>
      </w:tr>
    </w:tbl>
    <w:p>
      <w:pPr>
        <w:spacing w:after="0" w:before="200"/>
      </w:pPr>
    </w:p>
    <w:p>
      <w:pPr>
        <w:pStyle w:val="Heading3"/>
        <w:spacing w:after="80" w:before="220"/>
      </w:pPr>
      <w:r>
        <w:rPr>
          <w:rFonts w:ascii="Arial" w:cs="Arial" w:eastAsia="Arial" w:hAnsi="Arial"/>
          <w:b/>
          <w:bCs/>
          <w:color w:val="4B5563"/>
          <w:sz w:val="22"/>
          <w:szCs w:val="22"/>
        </w:rPr>
        <w:t xml:space="preserve">P2 —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600"/>
        <w:gridCol w:w="1800"/>
        <w:gridCol w:w="1800"/>
        <w:gridCol w:w="1400"/>
        <w:gridCol w:w="800"/>
        <w:gridCol w:w="780"/>
      </w:tblGrid>
      <w:tr>
        <w:trPr>
          <w:tblHeader/>
        </w:trP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ID</w:t>
            </w:r>
          </w:p>
        </w:tc>
        <w:tc>
          <w:tcPr>
            <w:tcW w:type="dxa" w:w="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Problem</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Business Impact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Recommendation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Location</w:t>
            </w:r>
          </w:p>
        </w:tc>
        <w:tc>
          <w:tcPr>
            <w:tcW w:type="dxa" w:w="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Effort</w:t>
            </w:r>
          </w:p>
        </w:tc>
        <w:tc>
          <w:tcPr>
            <w:tcW w:type="dxa" w:w="7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Risk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F-11</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CA Zero Transaksi card has hardcoded subtitle "Harus di-follow up hari ini" regardless of whether zero-transaction outlets exist.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If CA zero = 0 (all outlets transacted), subtitle still appears and creates false urgency. Trust in CA section data degrades.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Make subtitle conditional: show "Harus di-follow up hari ini" only when CA zero &gt; 0. When zero = 0, show "Semua outlet aktif bertransaksi".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2 → CA Monitoring → CA Zero Transaksi KPI card subtitle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(30–60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 — false urgency signal when CA zero = 0</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F-12</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1 (Master Sales Performance) uses CSS class "grid-4" but contains 5 KPI cards (Target, Actual, Achievement%, Run Rate, TimeGone).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 viewports &lt; 1440px wide, the 5th card either overflows or wraps — breaking the intended 5-card row layout. Risk is higher on laptop screens (1366px common in Indonesia).</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Change to grid-5 class (or apply CSS grid-template-columns: repeat(5,1fr) directly). Verify at 1366px viewport.</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1 → perf-grid element → 5 .kpi-card children in a .grid-4 container</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(15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LOW-MEDIUM — visual defect on common laptop resolution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F-13</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"Morning Briefing" label in Priority Action section heading creates temporal mismatch — the data displayed is full-month MTD, not today's morning 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Executives using the dashboard in the afternoon or for weekly review will question the accuracy of the "Morning Briefing" framing. "How is this a morning briefing if I opened it at 3pm?"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Change to "⚡ Priority Action — Daily Briefing" or "⚡ Priority Action — Action Intelligence". Remove "Morning" qualifier.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5 (section-action) → section title "⚡ Priority Action — Morning Briefing"</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(5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framing inconsistency; no data impact</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F-14</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4 (PS Achiever) ps-ranking has no label explaining its ranking criterion — executives cannot tell if it ranks by achievement%, absolute gap, or trending.</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 ranking without a defined criterion is not actionable. A region ranked #1 Bottom could mean worst achievement% or highest absolute gap — these imply different corrective actions.</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ranking criterion label: "Ranked by Achievement% vs Target" or equivalent. Display ranking basis as a badge below the section header.</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4 → ps-ranking component</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analytical clarity; no data impact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F-15</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OODA loop labels (Observe / Orient / Decide / Act) in Executive Decision Center are in English in an otherwise Indonesian-language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Language inconsistency breaks immersion for non-English-comfortable executives. The OODA framework is strong but its English labels may require explanation.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Use bilingual format: "🚨 Observe — Risiko Terbesar" or consider full Indonesian: "Situasi / Analisis / Keputusan / Dampak".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 Decision Center → OODA section headers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language consistency; no functional impact</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F-16</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2 (CA Monitoring) title is "Transaction Monitoring — CA Active" but badge says "CA Drop vs LM Analysis" — three different conceptual labels for the same section.</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Executives cannot form a clear mental model of what this section covers. "Transaction Monitoring," "CA Active," and "CA Drop vs LM" each imply a different analytical scope.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Settle on one primary label: "CA Active Monitoring" for the section, and "vs Last Month" as a subtitle qualifier. Drop the badge-as-title pattern.</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2 → section-title and section badge</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framing clarity; no data impact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F-17</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 executive summary card in Wholesaler section (Section 3). Executives must read BB1 through BB4 granularly to form a position on WS performance.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Senior management looking for a 30-second read of Wholesaler health cannot get it from Section 3 alone. This forces them into operational detail before forming strategic view.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a WS Executive Summary card at the top of Section 3 with 3 KPIs: Overall WS Achievement%, Best/Worst Program, and One-Line Management Commentary (same pattern as Section ★).</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3 → top of section-ws, before BB1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 (1–2 days)</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enhancement; existing functionality unaffected</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F-18</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PS Achiever section (Section 4) has no cross-reference to CA Active Rate, which is the primary demand-side driver of Sell Out performance.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 low SO achievement with a low CA rate is a distribution problem. A low SO with high CA rate is a conversion problem. Without CA context, the SO reading is analytically incomplete.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a CA Active Rate reference widget in Section 4 (read-only, pulled from State.kpi.ca.rate) so SO and CA are co-visible for executive interpretation.</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4 → top KPI card area</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(2–4h)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enhancement; no existing logic change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F-19</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 version number displayed in dashboard header after data upload. Executives cannot confirm which version of SCT they are using from the live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When multiple versions of the file circulate (e.g., index.html sent over email), there is no in-product indicator to confirm version currency.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"v6" version badge in the dashboard header, adjacent to the product name. Should be subtle (small badge) but visible.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lines 1258–1273: dashboard header area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(15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informational; no data impact</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F-20</w:t>
            </w:r>
          </w:p>
        </w:tc>
        <w:tc>
          <w:tcPr>
            <w:tcW w:type="dxa" w:w="5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CA (Section 2) storytelling ends at "showing the drop" — no root-cause hypothesis or recommended action is presented.</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Executives reading CA data ask "why did CA drop?" and "what should I do?" The section answers neither. Priority Action section provides the action list, but CA section provides no bridge narrative.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a CA Insight panel (similar to existing perf-insight pattern in Section 1) that generates: (1) the largest contributing region, (2) whether the drop is channel-driven or outlet-driven, (3) one management recommendation.</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2 → bottom of section, after CA Region table</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 (1–2 days)</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enhancement; existing calculations sufficient as data source</w:t>
            </w:r>
          </w:p>
        </w:tc>
      </w:tr>
    </w:tbl>
    <w:p>
      <w:pPr>
        <w:spacing w:after="0" w:before="200"/>
      </w:pPr>
    </w:p>
    <w:p>
      <w:pPr>
        <w:pStyle w:val="Heading3"/>
        <w:spacing w:after="80" w:before="220"/>
      </w:pPr>
      <w:r>
        <w:rPr>
          <w:rFonts w:ascii="Arial" w:cs="Arial" w:eastAsia="Arial" w:hAnsi="Arial"/>
          <w:b/>
          <w:bCs/>
          <w:color w:val="4B5563"/>
          <w:sz w:val="22"/>
          <w:szCs w:val="22"/>
        </w:rPr>
        <w:t xml:space="preserve">P3 — 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600"/>
        <w:gridCol w:w="1800"/>
        <w:gridCol w:w="1800"/>
        <w:gridCol w:w="1400"/>
        <w:gridCol w:w="800"/>
        <w:gridCol w:w="780"/>
      </w:tblGrid>
      <w:tr>
        <w:trPr>
          <w:tblHeader/>
        </w:trP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ID</w:t>
            </w:r>
          </w:p>
        </w:tc>
        <w:tc>
          <w:tcPr>
            <w:tcW w:type="dxa" w:w="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Problem</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Business Impact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Recommendation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Location</w:t>
            </w:r>
          </w:p>
        </w:tc>
        <w:tc>
          <w:tcPr>
            <w:tcW w:type="dxa" w:w="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Effort</w:t>
            </w:r>
          </w:p>
        </w:tc>
        <w:tc>
          <w:tcPr>
            <w:tcW w:type="dxa" w:w="7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Risk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F-21</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section5View.js module header comment reads "v5 (Sprint 16)" — code documentation version mismatch.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Developer onboarding confusion. New engineers reading the file will question whether the code was updated post-Sprint 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Update module header comment to "v6 (Sprint 22 Baseline)".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section5View.js line 2: comment "v5 (Sprint 16 · Opportunity Context + Design Token Cleanup)"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(2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documentation only</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F-22</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"Run Rate per HK" abbreviation used in Section 1 KPI card without expansion. "HK" (Hari Kerja) is FMCG-internal jargon.</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New users, exec assistants preparing reports, or external reviewers may not know HK = Hari Kerja = Working Day. Reduces self-service comprehension.</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Expand label to "Required Run Rate / Hari Kerja" or add tooltip expansion on hover.</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1 → 4th KPI card label "Required Run Rate/HK"</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(15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terminology clarity only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F-23</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BB1.5 (Wholesaler Performance by Class) is conditionally hidden — Class-level WS data may be invisible to executives if the condition is not met.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If BB1.5 is hidden because data is absent, executives cannot tell whether Class data is unavailable or simply not loaded. Creates ambiguity about data completeness.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Show BB1.5 always. If Class data unavailable, show empty state card with "Data Kelas WS tidak tersedia untuk periode ini" rather than hiding the section.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3 → BB1.5 subsection with style="display:none"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(1–2h)</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data completeness signalling</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F-24</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Emoji "⚡" embedded in Priority Action section-title div as content character, not as CSS decoration.</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if section titles are used programmatically (e.g., for export headers or navigation labels), the emoji may render incorrectly in PDF or print mode.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Move emoji to a ::before pseudo-element or a separate &lt;span&gt; with aria-hidden="true". Section title text should be "Priority Action — Daily Briefing" without embedded emoji.</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5 (section-action) → section-title div text content</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(15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minor presentational issue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F-25</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Header badges "badge-critical-principle" and "badge-zero-ws" in the dashboard header use CSS class name conventions as visible labels — developer naming exposed.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if badge text is derived from CSS class rather than a label config, the badge label may display raw class naming conventions in some edge cases.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Verify badge text is pulled from a label config, not from CSS class names. Ensure badges show "Prinsip Kritis" and "WS Zero" as human-readable labels.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index.html lines 1258–1273: header badge elements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edge case; typically rendered correctly</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F-26</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Category Analysis subsection in Section 1 (perf-category) has no executive call-to-action. It shows category data but provides no forward guidance.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Category data without guidance is information, not intelligence. Executives reading category breakdowns cannot derive next actions from the data alone.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a single category insight line below the table: identify the highest-gap category and provide one targeted recommendation (same pattern as channel insight in Section 2).</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1 → perf-category subsection</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(2–4h)</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enhancement; no existing logic affected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F-27</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 (Principle Exec) export buttons (PNG/PDF/Clipboard) have no visible executive label — icon-only presentation.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Executives not familiar with the icon set may not discover export functionality. Export discoverability affects how often insights get shared out of the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text labels to export buttons: "Export PNG" / "Export PDF" / "Copy". Icons alone are insufficient for first-time executive users.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 → pexec-insight or nearby export toolbar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UX discovery improvement only</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F-28</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MT section uses section-number "MT" (literal text) while all other sections use numbers or symbols. Print/export table of contents would show "MT" as a section identifier.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Navigation inconsistency. "Section MT" is not a navigational convention; in management communications, sections are expected to have a number.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If MT stays as a separate section, assign it a numeric position in the overall section sequence (e.g., "5" if renumbered). If MT is conceptually a sub-section of Wholesaler, consider nesting accordingly.</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MT → section-number element containing "MT" text</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(15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NONE — cosmetic navigation issue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F-29</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TimeGone Analysis card in Section 1 does not visually distinguish between "TimeGone = 100% (month complete)" and "TimeGone = 73% (in-month)". Both render identically.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In a completed month (TimeGone = 100%), the Required Run Rate is 0 — the card content changes meaning entirely. No visual flag distinguishes end-of-month state from in-period state.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When TimeGone = 100%, show a distinct "Period Closed" badge on the TimeGone card and suppress Run Rate requirement (it is no longer actionable).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Section 1 → 5th KPI card "Time Gone Analysis"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 (1–2h)</w:t>
            </w:r>
          </w:p>
        </w:tc>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analytical clarity for month-end use</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F-30</w:t>
            </w:r>
          </w:p>
        </w:tc>
        <w:tc>
          <w:tcPr>
            <w:tcW w:type="dxa" w:w="5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Dashboard has no visible "Last Updated" timestamp. Executives cannot confirm data currency when reviewing the dashboard hours after upload.</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Minor: Data-currency ambiguity. A dashboard opened from a bookmark or cached session may show stale data with no visual cue. Executives may make decisions on yesterday's data without realising.</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Add "Data per: [date from MonitorDaily.xlsx]" and "Uploaded: [timestamp]" in the header subline. Two lines of text, small font, below the main header.</w:t>
            </w:r>
          </w:p>
        </w:tc>
        <w:tc>
          <w:tcPr>
            <w:tcW w:type="dxa" w:w="1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Dashboard header (lines 1258–1273) — no timestamp element visible</w:t>
            </w:r>
          </w:p>
        </w:tc>
        <w:tc>
          <w:tcPr>
            <w:tcW w:type="dxa" w:w="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XS (30 min)</w:t>
            </w:r>
          </w:p>
        </w:tc>
        <w:tc>
          <w:tcPr>
            <w:tcW w:type="dxa" w:w="7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 — data governance / trust signal</w:t>
            </w:r>
          </w:p>
        </w:tc>
      </w:tr>
    </w:tbl>
    <w:p>
      <w:pPr>
        <w:spacing w:after="0" w:before="200"/>
      </w:pPr>
    </w:p>
    <w:p>
      <w:r>
        <w:br w:type="page"/>
      </w:r>
    </w:p>
    <w:p>
      <w:pPr>
        <w:pStyle w:val="Heading1"/>
        <w:spacing w:after="120" w:before="360"/>
      </w:pPr>
      <w:r>
        <w:rPr>
          <w:rFonts w:ascii="Arial" w:cs="Arial" w:eastAsia="Arial" w:hAnsi="Arial"/>
          <w:b/>
          <w:bCs/>
          <w:color w:val="1B2A4A"/>
          <w:sz w:val="32"/>
          <w:szCs w:val="32"/>
        </w:rPr>
        <w:t xml:space="preserve">Overall Score &amp; GO / NO-GO Verdict</w:t>
      </w:r>
    </w:p>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Overall Score</w:t>
            </w:r>
          </w:p>
        </w:tc>
        <w:tc>
          <w:tcPr>
            <w:tcW w:type="dxa" w:w="7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6.9 / 10</w:t>
            </w:r>
          </w:p>
        </w:tc>
      </w:tr>
      <w:tr>
        <w:tc>
          <w:tcPr>
            <w:tcW w:type="dxa" w:w="3000"/>
            <w:tcBorders>
              <w:top w:val="single" w:color="CCCCCC" w:sz="4"/>
              <w:left w:val="single" w:color="CCCCCC" w:sz="4"/>
              <w:bottom w:val="single" w:color="CCCCCC" w:sz="4"/>
              <w:right w:val="single" w:color="CCCCCC" w:sz="4"/>
            </w:tcBorders>
            <w:shd w:fill="16A3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GO / NO-GO</w:t>
            </w:r>
          </w:p>
        </w:tc>
        <w:tc>
          <w:tcPr>
            <w:tcW w:type="dxa" w:w="7080"/>
            <w:tcBorders>
              <w:top w:val="single" w:color="CCCCCC" w:sz="4"/>
              <w:left w:val="single" w:color="CCCCCC" w:sz="4"/>
              <w:bottom w:val="single" w:color="CCCCCC" w:sz="4"/>
              <w:right w:val="single" w:color="CCCCCC" w:sz="4"/>
            </w:tcBorders>
            <w:shd w:fill="16A3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CONDITIONAL GO</w:t>
            </w:r>
          </w:p>
        </w:tc>
      </w:tr>
      <w:tr>
        <w:tc>
          <w:tcPr>
            <w:tcW w:type="dxa" w:w="3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Release Readiness</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SCT v6 RC1.4.1 is analytically production-ready. Three P0 issues must be resolved before executive demonstration. No P0 data or calculation defects exist.</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P0 Gate (must fix)</w:t>
            </w:r>
          </w:p>
        </w:tc>
        <w:tc>
          <w:tcPr>
            <w:tcW w:type="dxa" w:w="70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F-01: Remove hardcoded KRITIS label on ITG Bima  |  F-02: Rename Executive Decision Center to Section 6  |  F-03: Update upload screen version to v6</w:t>
            </w:r>
          </w:p>
        </w:tc>
      </w:tr>
      <w:tr>
        <w:tc>
          <w:tcPr>
            <w:tcW w:type="dxa" w:w="3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P1 Sprint 23 (high)</w:t>
            </w:r>
          </w:p>
        </w:tc>
        <w:tc>
          <w:tcPr>
            <w:tcW w:type="dxa" w:w="7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F-04: Show MT section by default  |  F-05: Show Cross Section by default  |  F-06: Update footer  |  F-07: Normalise section numbering  |  F-08: Remove "rule-based" tag  |  F-09: Remove inner display:none on MT Decision Layer  |  F-10: Consolidate upload panels</w:t>
            </w:r>
          </w:p>
        </w:tc>
      </w:tr>
      <w:tr>
        <w:tc>
          <w:tcPr>
            <w:tcW w:type="dxa" w:w="30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P2 Sprint 23 (medium)</w:t>
            </w:r>
          </w:p>
        </w:tc>
        <w:tc>
          <w:tcPr>
            <w:tcW w:type="dxa" w:w="708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F-11 through F-20 — see Findings section</w:t>
            </w:r>
          </w:p>
        </w:tc>
      </w:tr>
      <w:tr>
        <w:tc>
          <w:tcPr>
            <w:tcW w:type="dxa" w:w="30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P3 Backlog (low)</w:t>
            </w:r>
          </w:p>
        </w:tc>
        <w:tc>
          <w:tcPr>
            <w:tcW w:type="dxa" w:w="708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F-21 through F-30 — see Findings section</w:t>
            </w:r>
          </w:p>
        </w:tc>
      </w:tr>
    </w:tbl>
    <w:p>
      <w:pPr>
        <w:spacing w:after="80" w:before="200"/>
      </w:pPr>
    </w:p>
    <w:p>
      <w:pPr>
        <w:pStyle w:val="Heading2"/>
        <w:spacing w:after="100" w:before="280"/>
      </w:pPr>
      <w:r>
        <w:rPr>
          <w:rFonts w:ascii="Arial" w:cs="Arial" w:eastAsia="Arial" w:hAnsi="Arial"/>
          <w:b/>
          <w:bCs/>
          <w:color w:val="1B2A4A"/>
          <w:sz w:val="26"/>
          <w:szCs w:val="26"/>
        </w:rPr>
        <w:t xml:space="preserve">Rationale</w:t>
      </w:r>
    </w:p>
    <w:p>
      <w:pPr>
        <w:spacing w:after="80" w:before="80"/>
      </w:pPr>
      <w:r>
        <w:rPr>
          <w:rFonts w:ascii="Arial" w:cs="Arial" w:eastAsia="Arial" w:hAnsi="Arial"/>
          <w:sz w:val="20"/>
          <w:szCs w:val="20"/>
        </w:rPr>
        <w:t xml:space="preserve">SCT v6 RC1.4.1 passes on analytical substance. The KPI engine, OODA decision framework, ITG program tracking, CA monitoring, and PS Achiever logic are all correctly implemented (confirmed by UAT RC1.4.1, 75/75 test cases PASS). The product review reveals no P0 calculation defects — only three P0 issues that are cosmetic or structural (branding, navigation, one hardcoded label).</w:t>
      </w:r>
    </w:p>
    <w:p>
      <w:pPr>
        <w:spacing w:after="80" w:before="80"/>
      </w:pPr>
      <w:r>
        <w:rPr>
          <w:rFonts w:ascii="Arial" w:cs="Arial" w:eastAsia="Arial" w:hAnsi="Arial"/>
          <w:sz w:val="20"/>
          <w:szCs w:val="20"/>
        </w:rPr>
        <w:t xml:space="preserve">The primary strategic risk is discoverability architecture. The Cross Section synthesis layer and the entire Modern Trade section are hidden by default. These are not gaps in analytical capability — they are visibility gaps that reduce the executive value of the dashboard to approximately 60% of its actual capability. Resolving F-04 and F-05 alone would lift the effective executive experience score by 1.5–2.0 points.</w:t>
      </w:r>
    </w:p>
    <w:p>
      <w:pPr>
        <w:spacing w:after="80" w:before="80"/>
      </w:pPr>
      <w:r>
        <w:rPr>
          <w:rFonts w:ascii="Arial" w:cs="Arial" w:eastAsia="Arial" w:hAnsi="Arial"/>
          <w:sz w:val="20"/>
          <w:szCs w:val="20"/>
        </w:rPr>
        <w:t xml:space="preserve">The Executive Decision Center (OODA) is the standout feature of SCT v6 and represents a genuine competitive differentiator for an internal FMCG management tool. Its 8.3/10 score reflects best-in-class design for this category of dashboard.</w:t>
      </w:r>
    </w:p>
    <w:p>
      <w:pPr>
        <w:spacing w:after="80" w:before="200"/>
      </w:pPr>
    </w:p>
    <w:p>
      <w:pPr>
        <w:pStyle w:val="Heading2"/>
        <w:spacing w:after="100" w:before="280"/>
      </w:pPr>
      <w:r>
        <w:rPr>
          <w:rFonts w:ascii="Arial" w:cs="Arial" w:eastAsia="Arial" w:hAnsi="Arial"/>
          <w:b/>
          <w:bCs/>
          <w:color w:val="1B2A4A"/>
          <w:sz w:val="26"/>
          <w:szCs w:val="26"/>
        </w:rPr>
        <w:t xml:space="preserve">Sprint 23 Recommended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200"/>
        <w:gridCol w:w="1080"/>
      </w:tblGrid>
      <w:t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w:t>
            </w:r>
          </w:p>
        </w:tc>
        <w:tc>
          <w:tcPr>
            <w:tcW w:type="dxa" w:w="7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Action</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Effort</w:t>
            </w:r>
          </w:p>
        </w:tc>
        <w:tc>
          <w:tcPr>
            <w:tcW w:type="dxa" w:w="1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Priority</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1</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hardcoded "🚨 KRITIS" from ITG Bima card (F-01)</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XS</w:t>
            </w:r>
          </w:p>
        </w:tc>
        <w:tc>
          <w:tcPr>
            <w:tcW w:type="dxa" w:w="10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2</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Fix duplicate section number "5" — rename EDC to Section 6 (F-02)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w:t>
            </w:r>
          </w:p>
        </w:tc>
        <w:tc>
          <w:tcPr>
            <w:tcW w:type="dxa" w:w="10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3</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Update upload screen version v5.0 → v6 (F-03)</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XS</w:t>
            </w:r>
          </w:p>
        </w:tc>
        <w:tc>
          <w:tcPr>
            <w:tcW w:type="dxa" w:w="108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4</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Show Modern Trade section by default (F-04)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5</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Show Cross Section by default (F-05)</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M</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6</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Update footer text to v6 (F-06)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XS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7</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"rule-based" tag from Executive Summary card (F-08)</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XS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8</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Remove inner display:none from MT Decision Layer (F-09)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9</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Normalise section numbering across dashboard (F-07)</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10</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Consolidate upload screen dual panels (F-10)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S</w:t>
            </w:r>
          </w:p>
        </w:tc>
        <w:tc>
          <w:tcPr>
            <w:tcW w:type="dxa" w:w="108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11–20</w:t>
            </w:r>
          </w:p>
        </w:tc>
        <w:tc>
          <w:tcPr>
            <w:tcW w:type="dxa" w:w="7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P2 Findings: F-11 through F-20 (see Findings section)</w:t>
            </w:r>
          </w:p>
        </w:tc>
        <w:tc>
          <w:tcPr>
            <w:tcW w:type="dxa" w:w="1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Various</w:t>
            </w:r>
          </w:p>
        </w:tc>
        <w:tc>
          <w:tcPr>
            <w:tcW w:type="dxa" w:w="108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21–30</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P3 Backlog: F-21 through F-30 (see Findings section)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Various</w:t>
            </w:r>
          </w:p>
        </w:tc>
        <w:tc>
          <w:tcPr>
            <w:tcW w:type="dxa" w:w="108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r>
    </w:tbl>
    <w:p>
      <w:pPr>
        <w:spacing w:after="80" w:before="200"/>
      </w:pPr>
    </w:p>
    <w:p>
      <w:r>
        <w:br w:type="page"/>
      </w:r>
    </w:p>
    <w:p>
      <w:pPr>
        <w:pStyle w:val="Heading1"/>
        <w:spacing w:after="120" w:before="360"/>
      </w:pPr>
      <w:r>
        <w:rPr>
          <w:rFonts w:ascii="Arial" w:cs="Arial" w:eastAsia="Arial" w:hAnsi="Arial"/>
          <w:b/>
          <w:bCs/>
          <w:color w:val="1B2A4A"/>
          <w:sz w:val="32"/>
          <w:szCs w:val="32"/>
        </w:rPr>
        <w:t xml:space="preserve">Appendix: Assessment Methodology</w:t>
      </w:r>
    </w:p>
    <w:p>
      <w:pPr>
        <w:pStyle w:val="Heading2"/>
        <w:spacing w:after="100" w:before="280"/>
      </w:pPr>
      <w:r>
        <w:rPr>
          <w:rFonts w:ascii="Arial" w:cs="Arial" w:eastAsia="Arial" w:hAnsi="Arial"/>
          <w:b/>
          <w:bCs/>
          <w:color w:val="1B2A4A"/>
          <w:sz w:val="26"/>
          <w:szCs w:val="26"/>
        </w:rPr>
        <w:t xml:space="preserve">Criteria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80"/>
      </w:tblGrid>
      <w:tr>
        <w:tc>
          <w:tcPr>
            <w:tcW w:type="dxa" w:w="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Criterion</w:t>
            </w:r>
          </w:p>
        </w:tc>
        <w:tc>
          <w:tcPr>
            <w:tcW w:type="dxa" w:w="7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Description</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A</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Business Value</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Does this section help executives make a go/no-go decision without opening another tool? Score reflects decision-enabling power.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Readability</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Can a regional director scan this section in &lt; 30 seconds and extract the headline number and status? Score penalises density, jargon, and ambiguity.</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C</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Visual Hierarchy</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Do size, colour, and position guide the eye to the most critical information first? Score penalises flat layouts and equal-weight treatment of all data.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Storytelling</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Does the section answer What happened? → Why? → So what? → What now? Score penalises sections that show data without narrative.</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E</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Data Quality</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Are calculations trustworthy? Are hardcoded values, stale references, or inconsistent labels present? Score reflects data integrity signals.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F</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Layout</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Does the layout function correctly across common viewport sizes? Score penalises overflow risks, hidden sections, and structural CSS inconsistencies.</w:t>
            </w:r>
          </w:p>
        </w:tc>
      </w:tr>
      <w:tr>
        <w:tc>
          <w:tcPr>
            <w:tcW w:type="dxa" w:w="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center"/>
            </w:pPr>
            <w:r>
              <w:rPr>
                <w:rFonts w:ascii="Arial" w:cs="Arial" w:eastAsia="Arial" w:hAnsi="Arial"/>
                <w:color w:val="4B5563"/>
                <w:sz w:val="18"/>
                <w:szCs w:val="18"/>
              </w:rPr>
              <w:t xml:space="preserve">G</w:t>
            </w:r>
          </w:p>
        </w:tc>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Executive Experience</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Would a VP or Director with 2 minutes per section find this useful and confidence-building? Score penalises developer terminology, technical artifacts, and discoverability failures.</w:t>
            </w:r>
          </w:p>
        </w:tc>
      </w:tr>
    </w:tbl>
    <w:p>
      <w:pPr>
        <w:spacing w:after="80" w:before="160"/>
      </w:pPr>
    </w:p>
    <w:p>
      <w:pPr>
        <w:pStyle w:val="Heading2"/>
        <w:spacing w:after="100" w:before="280"/>
      </w:pPr>
      <w:r>
        <w:rPr>
          <w:rFonts w:ascii="Arial" w:cs="Arial" w:eastAsia="Arial" w:hAnsi="Arial"/>
          <w:b/>
          <w:bCs/>
          <w:color w:val="1B2A4A"/>
          <w:sz w:val="26"/>
          <w:szCs w:val="26"/>
        </w:rPr>
        <w:t xml:space="preserve">Priority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80"/>
      </w:tblGrid>
      <w:tr>
        <w:tc>
          <w:tcPr>
            <w:tcW w:type="dxa" w:w="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Priority</w:t>
            </w:r>
          </w:p>
        </w:tc>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Severity</w:t>
            </w:r>
          </w:p>
        </w:tc>
        <w:tc>
          <w:tcPr>
            <w:tcW w:type="dxa" w:w="70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left"/>
            </w:pPr>
            <w:r>
              <w:rPr>
                <w:rFonts w:ascii="Arial" w:cs="Arial" w:eastAsia="Arial" w:hAnsi="Arial"/>
                <w:color w:val="FFFFFF"/>
                <w:sz w:val="18"/>
                <w:szCs w:val="18"/>
              </w:rPr>
              <w:t xml:space="preserve">Definition</w:t>
            </w:r>
          </w:p>
        </w:tc>
      </w:tr>
      <w:tr>
        <w:tc>
          <w:tcPr>
            <w:tcW w:type="dxa" w:w="8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P0</w:t>
            </w:r>
          </w:p>
        </w:tc>
        <w:tc>
          <w:tcPr>
            <w:tcW w:type="dxa" w:w="2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CRITICAL</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Data integrity failure, broken navigation that makes the product unusable in an executive setting, or version mismatch that undermines release credibility. Must fix before any executive demonstration.</w:t>
            </w:r>
          </w:p>
        </w:tc>
      </w:tr>
      <w:tr>
        <w:tc>
          <w:tcPr>
            <w:tcW w:type="dxa" w:w="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HIGH</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Significant usability or discoverability gap that reduces dashboard effectiveness by &gt; 30%. Should be resolved in Sprint 23 before general rollout.</w:t>
            </w:r>
          </w:p>
        </w:tc>
      </w:tr>
      <w:tr>
        <w:tc>
          <w:tcPr>
            <w:tcW w:type="dxa" w:w="800"/>
            <w:tcBorders>
              <w:top w:val="single" w:color="CCCCCC" w:sz="4"/>
              <w:left w:val="single" w:color="CCCCCC" w:sz="4"/>
              <w:bottom w:val="single" w:color="CCCCCC" w:sz="4"/>
              <w:right w:val="single" w:color="CCCCCC" w:sz="4"/>
            </w:tcBorders>
            <w:shd w:fill="EFF6FF" w:val="clear"/>
            <w:tcMar>
              <w:top w:type="dxa" w:w="80"/>
              <w:left w:type="dxa" w:w="120"/>
              <w:bottom w:type="dxa" w:w="80"/>
              <w:right w:type="dxa" w:w="120"/>
            </w:tcMar>
            <w:vAlign w:val="center"/>
          </w:tcPr>
          <w:p>
            <w:pPr>
              <w:jc w:val="center"/>
            </w:pPr>
            <w:r>
              <w:rPr>
                <w:rFonts w:ascii="Arial" w:cs="Arial" w:eastAsia="Arial" w:hAnsi="Arial"/>
                <w:color w:val="1E40AF"/>
                <w:sz w:val="18"/>
                <w:szCs w:val="18"/>
              </w:rPr>
              <w:t xml:space="preserve">P2</w:t>
            </w:r>
          </w:p>
        </w:tc>
        <w:tc>
          <w:tcPr>
            <w:tcW w:type="dxa" w:w="2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MEDIUM</w:t>
            </w:r>
          </w:p>
        </w:tc>
        <w:tc>
          <w:tcPr>
            <w:tcW w:type="dxa" w:w="70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UX improvement that meaningfully improves executive experience. Sprint 23 candidate. Can ship without, but should be planned.</w:t>
            </w:r>
          </w:p>
        </w:tc>
      </w:tr>
      <w:tr>
        <w:tc>
          <w:tcPr>
            <w:tcW w:type="dxa" w:w="800"/>
            <w:tcBorders>
              <w:top w:val="single" w:color="CCCCCC" w:sz="4"/>
              <w:left w:val="single" w:color="CCCCCC" w:sz="4"/>
              <w:bottom w:val="single" w:color="CCCCCC" w:sz="4"/>
              <w:right w:val="single" w:color="CCCCCC" w:sz="4"/>
            </w:tcBorders>
            <w:shd w:fill="F0FDF4" w:val="clear"/>
            <w:tcMar>
              <w:top w:type="dxa" w:w="80"/>
              <w:left w:type="dxa" w:w="120"/>
              <w:bottom w:type="dxa" w:w="80"/>
              <w:right w:type="dxa" w:w="120"/>
            </w:tcMar>
            <w:vAlign w:val="center"/>
          </w:tcPr>
          <w:p>
            <w:pPr>
              <w:jc w:val="center"/>
            </w:pPr>
            <w:r>
              <w:rPr>
                <w:rFonts w:ascii="Arial" w:cs="Arial" w:eastAsia="Arial" w:hAnsi="Arial"/>
                <w:color w:val="166534"/>
                <w:sz w:val="18"/>
                <w:szCs w:val="18"/>
              </w:rPr>
              <w:t xml:space="preserve">P3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LOW</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color w:val="4B5563"/>
                <w:sz w:val="18"/>
                <w:szCs w:val="18"/>
              </w:rPr>
              <w:t xml:space="preserve">Polish item. No business impact. Backlog candidate for Sprint 24+.</w:t>
            </w:r>
          </w:p>
        </w:tc>
      </w:tr>
    </w:tbl>
    <w:p>
      <w:pPr>
        <w:spacing w:after="80" w:before="160"/>
      </w:pPr>
    </w:p>
    <w:p>
      <w:pPr>
        <w:pStyle w:val="Heading2"/>
        <w:spacing w:after="100" w:before="280"/>
      </w:pPr>
      <w:r>
        <w:rPr>
          <w:rFonts w:ascii="Arial" w:cs="Arial" w:eastAsia="Arial" w:hAnsi="Arial"/>
          <w:b/>
          <w:bCs/>
          <w:color w:val="1B2A4A"/>
          <w:sz w:val="26"/>
          <w:szCs w:val="26"/>
        </w:rPr>
        <w:t xml:space="preserve">Data Sources Used</w:t>
      </w:r>
    </w:p>
    <w:p>
      <w:pPr>
        <w:spacing w:after="80" w:before="80"/>
      </w:pPr>
      <w:r>
        <w:rPr>
          <w:rFonts w:ascii="Arial" w:cs="Arial" w:eastAsia="Arial" w:hAnsi="Arial"/>
          <w:sz w:val="20"/>
          <w:szCs w:val="20"/>
        </w:rPr>
        <w:t xml:space="preserve">— Source HTML: D:/AI Project/SCT by SHP/SCT by SHP/index.html (4,833 lines, RC1.4.1 Stable Baseline)</w:t>
      </w:r>
    </w:p>
    <w:p>
      <w:pPr>
        <w:spacing w:after="80" w:before="80"/>
      </w:pPr>
      <w:r>
        <w:rPr>
          <w:rFonts w:ascii="Arial" w:cs="Arial" w:eastAsia="Arial" w:hAnsi="Arial"/>
          <w:sz w:val="20"/>
          <w:szCs w:val="20"/>
        </w:rPr>
        <w:t xml:space="preserve">— KPI Engine: D:/AI Project/SCT by SHP/SCT by SHP/business/kpiEngine.js</w:t>
      </w:r>
    </w:p>
    <w:p>
      <w:pPr>
        <w:spacing w:after="80" w:before="80"/>
      </w:pPr>
      <w:r>
        <w:rPr>
          <w:rFonts w:ascii="Arial" w:cs="Arial" w:eastAsia="Arial" w:hAnsi="Arial"/>
          <w:sz w:val="20"/>
          <w:szCs w:val="20"/>
        </w:rPr>
        <w:t xml:space="preserve">— Executive Summary Engine: D:/AI Project/SCT by SHP/SCT by SHP/business/execSummaryEngine.js</w:t>
      </w:r>
    </w:p>
    <w:p>
      <w:pPr>
        <w:spacing w:after="80" w:before="80"/>
      </w:pPr>
      <w:r>
        <w:rPr>
          <w:rFonts w:ascii="Arial" w:cs="Arial" w:eastAsia="Arial" w:hAnsi="Arial"/>
          <w:sz w:val="20"/>
          <w:szCs w:val="20"/>
        </w:rPr>
        <w:t xml:space="preserve">— Executive Decision View: D:/AI Project/SCT by SHP/SCT by SHP/ui/section5View.js</w:t>
      </w:r>
    </w:p>
    <w:p>
      <w:pPr>
        <w:spacing w:after="80" w:before="80"/>
      </w:pPr>
      <w:r>
        <w:rPr>
          <w:rFonts w:ascii="Arial" w:cs="Arial" w:eastAsia="Arial" w:hAnsi="Arial"/>
          <w:sz w:val="20"/>
          <w:szCs w:val="20"/>
        </w:rPr>
        <w:t xml:space="preserve">— Filter Panel: D:/AI Project/SCT by SHP/SCT by SHP/ui/filterPanel.js</w:t>
      </w:r>
    </w:p>
    <w:p>
      <w:pPr>
        <w:spacing w:after="80" w:before="80"/>
      </w:pPr>
      <w:r>
        <w:rPr>
          <w:rFonts w:ascii="Arial" w:cs="Arial" w:eastAsia="Arial" w:hAnsi="Arial"/>
          <w:sz w:val="20"/>
          <w:szCs w:val="20"/>
        </w:rPr>
        <w:t xml:space="preserve">— Chart Engine: D:/AI Project/SCT by SHP/SCT by SHP/visualization/chartEngine.js</w:t>
      </w:r>
    </w:p>
    <w:p>
      <w:pPr>
        <w:spacing w:after="80" w:before="80"/>
      </w:pPr>
      <w:r>
        <w:rPr>
          <w:rFonts w:ascii="Arial" w:cs="Arial" w:eastAsia="Arial" w:hAnsi="Arial"/>
          <w:sz w:val="20"/>
          <w:szCs w:val="20"/>
        </w:rPr>
        <w:t xml:space="preserve">— Production Data: MonitorDaily.xlsx (Mei 2026, 28,525 rows, 382.929B IDR target)</w:t>
      </w:r>
    </w:p>
    <w:p>
      <w:pPr>
        <w:spacing w:after="80" w:before="80"/>
      </w:pPr>
      <w:r>
        <w:rPr>
          <w:rFonts w:ascii="Arial" w:cs="Arial" w:eastAsia="Arial" w:hAnsi="Arial"/>
          <w:sz w:val="20"/>
          <w:szCs w:val="20"/>
        </w:rPr>
        <w:t xml:space="preserve">— UAT Report: SCT_v6_RC141_UAT_Report.docx (75/75 PASS, 29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6"/>
        <w:szCs w:val="16"/>
      </w:rPr>
      <w:t xml:space="preserve">Sales Control Tower by SHP v6  |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jc w:val="right"/>
    </w:pPr>
    <w:r>
      <w:rPr>
        <w:rFonts w:ascii="Arial" w:cs="Arial" w:eastAsia="Arial" w:hAnsi="Arial"/>
        <w:color w:val="9CA3AF"/>
        <w:sz w:val="16"/>
        <w:szCs w:val="16"/>
      </w:rPr>
      <w:t xml:space="preserve">SCT v6 Product Review — Pre Sprint 23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2026-06-29T01:48:20.688Z</dcterms:created>
  <dcterms:modified xsi:type="dcterms:W3CDTF">2026-06-29T01:48:20.689Z</dcterms:modified>
</cp:coreProperties>
</file>

<file path=docProps/custom.xml><?xml version="1.0" encoding="utf-8"?>
<Properties xmlns="http://schemas.openxmlformats.org/officeDocument/2006/custom-properties" xmlns:vt="http://schemas.openxmlformats.org/officeDocument/2006/docPropsVTypes"/>
</file>