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60" w:before="0"/>
        <w:jc w:val="center"/>
      </w:pPr>
      <w:r>
        <w:rPr>
          <w:rFonts w:ascii="Arial" w:cs="Arial" w:eastAsia="Arial" w:hAnsi="Arial"/>
          <w:b/>
          <w:bCs/>
          <w:color w:val="1F3864"/>
          <w:sz w:val="56"/>
          <w:szCs w:val="56"/>
        </w:rPr>
        <w:t xml:space="preserve">SCT by SHP</w:t>
      </w:r>
    </w:p>
    <w:p>
      <w:pPr>
        <w:spacing w:after="60" w:before="0"/>
        <w:jc w:val="center"/>
      </w:pPr>
      <w:r>
        <w:rPr>
          <w:rFonts w:ascii="Arial" w:cs="Arial" w:eastAsia="Arial" w:hAnsi="Arial"/>
          <w:i/>
          <w:iCs/>
          <w:color w:val="4472C4"/>
          <w:sz w:val="24"/>
          <w:szCs w:val="24"/>
        </w:rPr>
        <w:t xml:space="preserve">Sales Control Tower  ·  FMCG Edition</w:t>
      </w:r>
    </w:p>
    <w:p>
      <w:pPr>
        <w:pBdr>
          <w:bottom w:val="single" w:color="2E75B6" w:sz="8" w:space="4"/>
        </w:pBdr>
        <w:spacing w:after="200" w:before="0"/>
        <w:jc w:val="center"/>
      </w:pPr>
    </w:p>
    <w:p>
      <w:pPr>
        <w:spacing w:after="60" w:before="0"/>
        <w:jc w:val="center"/>
      </w:pPr>
      <w:r>
        <w:rPr>
          <w:rFonts w:ascii="Arial" w:cs="Arial" w:eastAsia="Arial" w:hAnsi="Arial"/>
          <w:b/>
          <w:bCs/>
          <w:color w:val="1F3864"/>
          <w:sz w:val="40"/>
          <w:szCs w:val="40"/>
        </w:rPr>
        <w:t xml:space="preserve">Sprint 22 Stable Baseline Report</w:t>
      </w:r>
    </w:p>
    <w:p>
      <w:pPr>
        <w:spacing w:after="60" w:before="0"/>
        <w:jc w:val="center"/>
      </w:pPr>
      <w:r>
        <w:rPr>
          <w:rFonts w:ascii="Arial" w:cs="Arial" w:eastAsia="Arial" w:hAnsi="Arial"/>
          <w:b/>
          <w:bCs/>
          <w:color w:val="2E75B6"/>
          <w:sz w:val="26"/>
          <w:szCs w:val="26"/>
        </w:rPr>
        <w:t xml:space="preserve">Version: SCT v6.0 RC1 (Sprint 22 Stable)</w:t>
      </w:r>
    </w:p>
    <w:p>
      <w:pPr>
        <w:spacing w:after="60" w:before="0"/>
        <w:jc w:val="center"/>
      </w:pPr>
      <w:r>
        <w:rPr>
          <w:rFonts w:ascii="Arial" w:cs="Arial" w:eastAsia="Arial" w:hAnsi="Arial"/>
          <w:color w:val="595959"/>
          <w:sz w:val="20"/>
          <w:szCs w:val="20"/>
        </w:rPr>
        <w:t xml:space="preserve">Baseline Date: 27 June 2026  ·  Status: FROZEN</w:t>
      </w:r>
    </w:p>
    <w:p>
      <w:pPr>
        <w:spacing w:after="60" w:before="0"/>
        <w:jc w:val="center"/>
      </w:pPr>
      <w:r>
        <w:rPr>
          <w:rFonts w:ascii="Arial" w:cs="Arial" w:eastAsia="Arial" w:hAnsi="Arial"/>
          <w:i/>
          <w:iCs/>
          <w:color w:val="595959"/>
          <w:sz w:val="20"/>
          <w:szCs w:val="20"/>
        </w:rPr>
        <w:t xml:space="preserve">This document is the official baseline before Sprint 23 begins.</w:t>
      </w:r>
    </w:p>
    <w:p>
      <w:pPr>
        <w:spacing w:after="0" w:before="200"/>
      </w:pPr>
    </w:p>
    <w:p>
      <w:r>
        <w:br w:type="page"/>
      </w:r>
    </w:p>
    <w:p>
      <w:pPr>
        <w:pStyle w:val="Heading1"/>
        <w:shd w:fill="1F3864" w:val="clear"/>
        <w:spacing w:after="120" w:before="240"/>
        <w:ind w:left="180"/>
      </w:pPr>
      <w:r>
        <w:rPr>
          <w:rFonts w:ascii="Arial" w:cs="Arial" w:eastAsia="Arial" w:hAnsi="Arial"/>
          <w:b/>
          <w:bCs/>
          <w:color w:val="FFFFFF"/>
          <w:sz w:val="28"/>
          <w:szCs w:val="28"/>
        </w:rPr>
        <w:t xml:space="preserve">1.  Sprint 22 Stable Baseline Report</w:t>
      </w:r>
    </w:p>
    <w:p>
      <w:pPr>
        <w:spacing w:after="60" w:before="60"/>
      </w:pPr>
      <w:r>
        <w:rPr>
          <w:rFonts w:ascii="Arial" w:cs="Arial" w:eastAsia="Arial" w:hAnsi="Arial"/>
          <w:color w:val="595959"/>
          <w:sz w:val="20"/>
          <w:szCs w:val="20"/>
        </w:rPr>
        <w:t xml:space="preserve">The following 16 data points define the official baseline state of SCT v6.0 RC1 as of 27 June 2026. All sprint development prior to Sprint 23 must be measured against this baseline.</w:t>
      </w:r>
    </w:p>
    <w:p>
      <w:pPr>
        <w:spacing w:after="0" w:before="8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9538"/>
        <w:gridCol w:w="1000"/>
      </w:tblGrid>
      <w:tr>
        <w:trPr>
          <w:tblHeader/>
        </w:trPr>
        <w:tc>
          <w:tcPr>
            <w:tcW w:type="dxa" w:w="7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w:t>
            </w:r>
          </w:p>
        </w:tc>
        <w:tc>
          <w:tcPr>
            <w:tcW w:type="dxa" w:w="38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Data Point</w:t>
            </w:r>
          </w:p>
        </w:tc>
        <w:tc>
          <w:tcPr>
            <w:tcW w:type="dxa" w:w="9538"/>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Value / Details</w:t>
            </w:r>
          </w:p>
        </w:tc>
        <w:tc>
          <w:tcPr>
            <w:tcW w:type="dxa" w:w="1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Status</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Total Source Files</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42 files  (ai: 10, business: 10, core: 3, data: 2, export: 1, styles: 4, ui: 5, utils: 3, visualization: 2, bridge: 1, index.html: 1)</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PASS</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2</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Total Render Methods (RenderEngine)</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16 top-level methods in renderEngine.js (2,795 lines) — 7 prefixed render*: renderMT, renderMTTimegone, renderCrossSection, renderMTDecision, renderWholesalerClassPerformance, renderITGTimegone, psAchiever</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PASS</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3</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Total KPI Calc Methods (KPIEngine)</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11 calc methods in kpiEngine.js (1,704 lines): calcPerformance, calcCAMonitoring, calcWholesaler, calcITGTimegone, calcPSAchiever, calcWholesalerClass, calcMT, calcMTTimegone, calculatePrincipleExecutiveSummary, calcClassAnalysis, calculateExecutiveDecision</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PASS</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4</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Total Dashboard Sections</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9 sections — 8 section-block elements (section-principle-exec ★, section-perf 1, section-ca 2, cross-section-wrap ∑, section-ws 3, section-mt MT, section-ps 4, section-action 5A) + section-5 (Executive Decision Center)</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PASS</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5</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Upload Workflow Status</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ACTIVE — App Bootstrap restored via P0 fix. Chain: DOMContentLoaded → App.init() → bindGlobalEvents() → fIn.addEventListener('change') → Parser.handleFile(). File input (#fIn) + drag-drop (#drop-zone) both wired.</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6</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Google Drive Workflow Status</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ACTIVE — GoogleDriveEngine defined in inline script (index.html lines 4097–4468). DOMContentLoaded → GoogleDriveEngine.init(). Bridge: bridge/Code.gs. UI: DriveConfigUI + SourceStatusUI wired.</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7</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Export Workflow Status</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ACTIVE — exportEngine.js (25 methods): fullPNG, fullPDF, clipboard, sectionPNG, sectionPDF, sectionClipboard, _buildPDF, _downloadCanvas, analyzeExportQuality. Init called from App.init() chain.</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8</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Cross Section Status (Sprint 22)</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PRESENT, hidden by default — cross-section-wrap (id) rendered by RenderEngine.renderCrossSection() (line 1649). Set display:none in HTML; toggled at runtime. KPI data flows from State.kpi.* aggregation.</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9</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MT Analysis Status (Sprint 18–21)</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PRESENT, hidden by default — section-mt rendered by renderMT (Sprint 18, line 1029), renderMTTimegone (Sprint 19A, line 1548), renderMTDecision (Sprint 21, line 1968). Sheet: "mt". State.raw.mt set by excelParser at runtime.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10</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Wholesaler Status</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ACTIVE — renderWholesalerClassPerformance (line 899) + wholesaler (line 746). KPI: calcWholesaler + calcWholesalerClass. Section: section-ws. Parsed sheets: wholesaler, dimdate.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11</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PS (Principal Scorecard) Status</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ACTIVE — psAchiever (line 2244) + calcPSAchiever (kpiEngine). Section: section-ps. AI layer: principleCommentaryEngine, execSummaryEngine. Parsed sheet: ps.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12</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Executive Decision Status (Sprint 21)</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ACTIVE — section-5 (Executive Decision Center). KPI: calculateExecutiveDecision (kpiEngine line 1671). Render: section5View.js. AI: intelligenceMemoryEngine, narrativeRouter, predictivePressureEngine.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ACTIVE</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13</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Known Technical Debt</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TD-001: State.raw is defined in inline script (index.html line 2273) WITHOUT mt: [] property. ExcelParser.js (line 326) sets State.raw.mt at runtime. Not a bug; data flows correctly. Risk: undefined reference if parser fails before setting it. Severity: LOW.</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CAUTION</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14</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Known Duplicate IDs</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DUP-001: btn-reupload — appears at line 1299 (static HTML in upload section) and line 2756 (dynamically generated via container.innerHTML). Pre-existing, pre-Sprint 18. Functional because only the visible one is active at any given time. Severity: LOW.</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CAUTION</w:t>
            </w:r>
          </w:p>
        </w:tc>
      </w:tr>
      <w:tr>
        <w:tc>
          <w:tcPr>
            <w:tcW w:type="dxa" w:w="7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15</w:t>
            </w:r>
          </w:p>
        </w:tc>
        <w:tc>
          <w:tcPr>
            <w:tcW w:type="dxa" w:w="3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Known Limitations</w:t>
            </w:r>
          </w:p>
        </w:tc>
        <w:tc>
          <w:tcPr>
            <w:tcW w:type="dxa" w:w="9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(1) index.html inline script is 2,354 lines (monolithic). Targeted for modular extraction in future sprints. (2) Two DOMContentLoaded handlers: line 4255 (SourceStatusUI.render) and line 4529 (App.init()). Sequential, not a conflict. (3) State.kpi.mt timegone requires State.kpi.mt to be computed first — order-dependent (handled by kpiEngine call sequence).</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CAUTION</w:t>
            </w:r>
          </w:p>
        </w:tc>
      </w:tr>
      <w:tr>
        <w:tc>
          <w:tcPr>
            <w:tcW w:type="dxa" w:w="7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bCs/>
                <w:color w:val="1F3864"/>
                <w:sz w:val="18"/>
                <w:szCs w:val="18"/>
              </w:rPr>
              <w:t xml:space="preserve">16</w:t>
            </w:r>
          </w:p>
        </w:tc>
        <w:tc>
          <w:tcPr>
            <w:tcW w:type="dxa" w:w="3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Regression Checklist</w:t>
            </w:r>
          </w:p>
        </w:tc>
        <w:tc>
          <w:tcPr>
            <w:tcW w:type="dxa" w:w="9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Sprint 18 (MT baseline) ✓ | Sprint 18.5 (NKA gate, CA churn fix) ✓ | Sprint 19A (MTTimegone) ✓ | Sprint 19.5 (MT reorder, P1-E card) ✓ | Sprint 20 (channel analysis rewrite) ✓ | Sprint 20.5 (11 CSS token fixes) ✓ | Sprint 21 (MTDecision) ✓ | Sprint 22 (CrossSection) ✓ | P0 Fix (Bootstrap tail restored) ✓ — ALL 22 INTEGRITY CHECKS PASS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PASS</w:t>
            </w:r>
          </w:p>
        </w:tc>
      </w:tr>
    </w:tbl>
    <w:p>
      <w:pPr>
        <w:spacing w:after="0" w:before="200"/>
      </w:pPr>
    </w:p>
    <w:p>
      <w:r>
        <w:br w:type="page"/>
      </w:r>
    </w:p>
    <w:p>
      <w:pPr>
        <w:pStyle w:val="Heading1"/>
        <w:shd w:fill="1F3864" w:val="clear"/>
        <w:spacing w:after="120" w:before="240"/>
        <w:ind w:left="180"/>
      </w:pPr>
      <w:r>
        <w:rPr>
          <w:rFonts w:ascii="Arial" w:cs="Arial" w:eastAsia="Arial" w:hAnsi="Arial"/>
          <w:b/>
          <w:bCs/>
          <w:color w:val="FFFFFF"/>
          <w:sz w:val="28"/>
          <w:szCs w:val="28"/>
        </w:rPr>
        <w:t xml:space="preserve">2.  Protected Modules — FROZEN</w:t>
      </w:r>
    </w:p>
    <w:p>
      <w:pPr>
        <w:spacing w:after="60" w:before="60"/>
      </w:pPr>
      <w:r>
        <w:rPr>
          <w:rFonts w:ascii="Arial" w:cs="Arial" w:eastAsia="Arial" w:hAnsi="Arial"/>
          <w:color w:val="595959"/>
          <w:sz w:val="20"/>
          <w:szCs w:val="20"/>
        </w:rPr>
        <w:t xml:space="preserve">The 7 modules below are declared FROZEN as of SCT v6.0 RC1. Any modification to these modules in future sprints requires explicit written approval and a dedicated regression test cycle. The Sprint 22.1 implementation roadmap (Sprints A–D) must route around these modules unless a critical bug fix is required.</w:t>
      </w:r>
    </w:p>
    <w:p>
      <w:pPr>
        <w:spacing w:after="0" w:before="8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900"/>
        <w:gridCol w:w="7538"/>
      </w:tblGrid>
      <w:tr>
        <w:trPr>
          <w:tblHeader/>
        </w:trPr>
        <w:tc>
          <w:tcPr>
            <w:tcW w:type="dxa" w:w="24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Module</w:t>
            </w:r>
          </w:p>
        </w:tc>
        <w:tc>
          <w:tcPr>
            <w:tcW w:type="dxa" w:w="3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File / Location</w:t>
            </w:r>
          </w:p>
        </w:tc>
        <w:tc>
          <w:tcPr>
            <w:tcW w:type="dxa" w:w="12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Size</w:t>
            </w:r>
          </w:p>
        </w:tc>
        <w:tc>
          <w:tcPr>
            <w:tcW w:type="dxa" w:w="9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Status</w:t>
            </w:r>
          </w:p>
        </w:tc>
        <w:tc>
          <w:tcPr>
            <w:tcW w:type="dxa" w:w="7538"/>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Protection Rationale</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excelParser</w:t>
            </w:r>
          </w:p>
        </w:tc>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data/excelParser.js</w:t>
            </w:r>
          </w:p>
        </w:tc>
        <w:tc>
          <w:tcPr>
            <w:tcW w:type="dxa" w:w="1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360 lines</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Parses all 9 Excel sheets. Sets State.raw.mt at line 326. Any change here risks breaking all data ingestion.</w:t>
            </w:r>
          </w:p>
        </w:tc>
      </w:tr>
      <w:tr>
        <w:tc>
          <w:tcPr>
            <w:tcW w:type="dxa" w:w="24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filterPanel</w:t>
            </w:r>
          </w:p>
        </w:tc>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ui/filterPanel.js</w:t>
            </w:r>
          </w:p>
        </w:tc>
        <w:tc>
          <w:tcPr>
            <w:tcW w:type="dxa" w:w="12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488 lines</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Applies all active filters to State.filtered.*. Sets State.filtered.mt at line 475. Changes break filter cascade.</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state (inline)</w:t>
            </w:r>
          </w:p>
        </w:tc>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index.html lines 2181–2272</w:t>
            </w:r>
          </w:p>
        </w:tc>
        <w:tc>
          <w:tcPr>
            <w:tcW w:type="dxa" w:w="1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92 lines</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Global State object. Shared by all modules. Structural changes cascade unpredictably.</w:t>
            </w:r>
          </w:p>
        </w:tc>
      </w:tr>
      <w:tr>
        <w:tc>
          <w:tcPr>
            <w:tcW w:type="dxa" w:w="24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config (inline)</w:t>
            </w:r>
          </w:p>
        </w:tc>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index.html lines 2181+</w:t>
            </w:r>
          </w:p>
        </w:tc>
        <w:tc>
          <w:tcPr>
            <w:tcW w:type="dxa" w:w="12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inline</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Config constants used across all engines. Never change without full audit.</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exportEngine</w:t>
            </w:r>
          </w:p>
        </w:tc>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export/exportEngine.js</w:t>
            </w:r>
          </w:p>
        </w:tc>
        <w:tc>
          <w:tcPr>
            <w:tcW w:type="dxa" w:w="1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~25 methods</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PDF/PNG/clipboard export pipeline. Fragile canvas timing logic (_awaitChartDraw). High regression risk.</w:t>
            </w:r>
          </w:p>
        </w:tc>
      </w:tr>
      <w:tr>
        <w:tc>
          <w:tcPr>
            <w:tcW w:type="dxa" w:w="24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GoogleDriveEngine</w:t>
            </w:r>
          </w:p>
        </w:tc>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index.html lines 4097–4468</w:t>
            </w:r>
          </w:p>
        </w:tc>
        <w:tc>
          <w:tcPr>
            <w:tcW w:type="dxa" w:w="12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371 lines</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Google Sheets bridge. refresh() / loadFromBridge() chain. Was root cause of P0 truncation. Do not modify.</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Upload workflow</w:t>
            </w:r>
          </w:p>
        </w:tc>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index.html App Bootstrap</w:t>
            </w:r>
          </w:p>
        </w:tc>
        <w:tc>
          <w:tcPr>
            <w:tcW w:type="dxa" w:w="1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lines 4519–4529</w:t>
            </w:r>
          </w:p>
        </w:tc>
        <w:tc>
          <w:tcPr>
            <w:tcW w:type="dxa" w:w="9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FROZEN</w:t>
            </w:r>
          </w:p>
        </w:tc>
        <w:tc>
          <w:tcPr>
            <w:tcW w:type="dxa" w:w="75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App.bindGlobalEvents() → fIn.addEventListener. Was broken by Sprint 22 Python insertion. Now restored.</w:t>
            </w:r>
          </w:p>
        </w:tc>
      </w:tr>
    </w:tbl>
    <w:p>
      <w:pPr>
        <w:spacing w:after="0" w:before="120"/>
      </w:pPr>
    </w:p>
    <w:p>
      <w:pPr>
        <w:spacing w:after="60" w:before="60"/>
      </w:pPr>
      <w:r>
        <w:rPr>
          <w:rFonts w:ascii="Arial" w:cs="Arial" w:eastAsia="Arial" w:hAnsi="Arial"/>
          <w:i/>
          <w:iCs/>
          <w:color w:val="595959"/>
          <w:sz w:val="18"/>
          <w:szCs w:val="18"/>
        </w:rPr>
        <w:t xml:space="preserve">Rule: If a future sprint item appears to require modifying a frozen module, escalate to Lead Architect before coding begins. Do not modify frozen modules in-place.</w:t>
      </w:r>
    </w:p>
    <w:p>
      <w:pPr>
        <w:spacing w:after="0" w:before="200"/>
      </w:pPr>
    </w:p>
    <w:p>
      <w:r>
        <w:br w:type="page"/>
      </w:r>
    </w:p>
    <w:p>
      <w:pPr>
        <w:pStyle w:val="Heading1"/>
        <w:shd w:fill="1F3864" w:val="clear"/>
        <w:spacing w:after="120" w:before="240"/>
        <w:ind w:left="180"/>
      </w:pPr>
      <w:r>
        <w:rPr>
          <w:rFonts w:ascii="Arial" w:cs="Arial" w:eastAsia="Arial" w:hAnsi="Arial"/>
          <w:b/>
          <w:bCs/>
          <w:color w:val="FFFFFF"/>
          <w:sz w:val="28"/>
          <w:szCs w:val="28"/>
        </w:rPr>
        <w:t xml:space="preserve">3.  Change Impact Matrix — Sprint 23+ Planning</w:t>
      </w:r>
    </w:p>
    <w:p>
      <w:pPr>
        <w:spacing w:after="60" w:before="60"/>
      </w:pPr>
      <w:r>
        <w:rPr>
          <w:rFonts w:ascii="Arial" w:cs="Arial" w:eastAsia="Arial" w:hAnsi="Arial"/>
          <w:color w:val="595959"/>
          <w:sz w:val="20"/>
          <w:szCs w:val="20"/>
        </w:rPr>
        <w:t xml:space="preserve">Risk ratings apply to ANY modification of the listed module — including refactoring. LOW does not mean zero risk; it means the blast radius is containable. Review the "Safe Window" column before scheduling changes in the Sprint 22.1 roadmap.</w:t>
      </w:r>
    </w:p>
    <w:p>
      <w:pPr>
        <w:spacing w:after="0" w:before="80"/>
      </w:pPr>
    </w:p>
    <w:p>
      <w:pPr>
        <w:pStyle w:val="Heading2"/>
        <w:shd w:fill="2E75B6" w:val="clear"/>
        <w:spacing w:after="100" w:before="200"/>
        <w:ind w:left="120"/>
      </w:pPr>
      <w:r>
        <w:rPr>
          <w:rFonts w:ascii="Arial" w:cs="Arial" w:eastAsia="Arial" w:hAnsi="Arial"/>
          <w:b/>
          <w:bCs/>
          <w:color w:val="FFFFFF"/>
          <w:sz w:val="24"/>
          <w:szCs w:val="24"/>
        </w:rPr>
        <w:t xml:space="preserve">3.1  Risk Legend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tblGrid>
      <w:tr>
        <w:tc>
          <w:tcPr>
            <w:tcW w:type="dxa" w:w="12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Risk Level</w:t>
            </w:r>
          </w:p>
        </w:tc>
        <w:tc>
          <w:tcPr>
            <w:tcW w:type="dxa" w:w="68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Definition</w:t>
            </w:r>
          </w:p>
        </w:tc>
      </w:tr>
      <w:tr>
        <w:tc>
          <w:tcPr>
            <w:tcW w:type="dxa" w:w="1200"/>
            <w:tcBorders>
              <w:top w:val="single" w:color="B8CCE4" w:sz="4"/>
              <w:left w:val="single" w:color="B8CCE4" w:sz="4"/>
              <w:bottom w:val="single" w:color="B8CCE4" w:sz="4"/>
              <w:right w:val="single" w:color="B8CCE4" w:sz="4"/>
            </w:tcBorders>
            <w:shd w:fill="FFC7CE" w:val="clear"/>
            <w:tcMar>
              <w:top w:type="dxa" w:w="80"/>
              <w:left w:type="dxa" w:w="140"/>
              <w:bottom w:type="dxa" w:w="80"/>
              <w:right w:type="dxa" w:w="140"/>
            </w:tcMar>
            <w:vAlign w:val="center"/>
          </w:tcPr>
          <w:p>
            <w:pPr>
              <w:spacing w:after="60" w:before="60"/>
              <w:jc w:val="center"/>
            </w:pPr>
            <w:r>
              <w:rPr>
                <w:rFonts w:ascii="Arial" w:cs="Arial" w:eastAsia="Arial" w:hAnsi="Arial"/>
                <w:b/>
                <w:bCs/>
                <w:color w:val="9C0006"/>
                <w:sz w:val="18"/>
                <w:szCs w:val="18"/>
              </w:rPr>
              <w:t xml:space="preserve">HIGH</w:t>
            </w:r>
          </w:p>
        </w:tc>
        <w:tc>
          <w:tcPr>
            <w:tcW w:type="dxa" w:w="6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Change will likely cause regression in KPI calculations, render output, or data ingestion. Requires full integration test before merge.</w:t>
            </w:r>
          </w:p>
        </w:tc>
      </w:tr>
      <w:tr>
        <w:tc>
          <w:tcPr>
            <w:tcW w:type="dxa" w:w="12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6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Change may affect multiple dashboard sections or modules. Requires targeted regression test of affected sections.</w:t>
            </w:r>
          </w:p>
        </w:tc>
      </w:tr>
      <w:tr>
        <w:tc>
          <w:tcPr>
            <w:tcW w:type="dxa" w:w="12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6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Change is isolated to output/presentation. Low blast radius. Verify visually before merge.</w:t>
            </w:r>
          </w:p>
        </w:tc>
      </w:tr>
    </w:tbl>
    <w:p>
      <w:pPr>
        <w:spacing w:after="0" w:before="160"/>
      </w:pPr>
    </w:p>
    <w:p>
      <w:pPr>
        <w:pStyle w:val="Heading2"/>
        <w:shd w:fill="2E75B6" w:val="clear"/>
        <w:spacing w:after="100" w:before="200"/>
        <w:ind w:left="120"/>
      </w:pPr>
      <w:r>
        <w:rPr>
          <w:rFonts w:ascii="Arial" w:cs="Arial" w:eastAsia="Arial" w:hAnsi="Arial"/>
          <w:b/>
          <w:bCs/>
          <w:color w:val="FFFFFF"/>
          <w:sz w:val="24"/>
          <w:szCs w:val="24"/>
        </w:rPr>
        <w:t xml:space="preserve">3.2  Module Risk Table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000"/>
        <w:gridCol w:w="1800"/>
        <w:gridCol w:w="7638"/>
      </w:tblGrid>
      <w:tr>
        <w:trPr>
          <w:tblHeader/>
        </w:trPr>
        <w:tc>
          <w:tcPr>
            <w:tcW w:type="dxa" w:w="3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Module / File</w:t>
            </w:r>
          </w:p>
        </w:tc>
        <w:tc>
          <w:tcPr>
            <w:tcW w:type="dxa" w:w="16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Category</w:t>
            </w:r>
          </w:p>
        </w:tc>
        <w:tc>
          <w:tcPr>
            <w:tcW w:type="dxa" w:w="1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Risk</w:t>
            </w:r>
          </w:p>
        </w:tc>
        <w:tc>
          <w:tcPr>
            <w:tcW w:type="dxa" w:w="18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Safe Window</w:t>
            </w:r>
          </w:p>
        </w:tc>
        <w:tc>
          <w:tcPr>
            <w:tcW w:type="dxa" w:w="7638"/>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Change Rationale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renderEngine.js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FFC7CE" w:val="clear"/>
            <w:tcMar>
              <w:top w:type="dxa" w:w="80"/>
              <w:left w:type="dxa" w:w="140"/>
              <w:bottom w:type="dxa" w:w="80"/>
              <w:right w:type="dxa" w:w="140"/>
            </w:tcMar>
            <w:vAlign w:val="center"/>
          </w:tcPr>
          <w:p>
            <w:pPr>
              <w:spacing w:after="60" w:before="60"/>
              <w:jc w:val="center"/>
            </w:pPr>
            <w:r>
              <w:rPr>
                <w:rFonts w:ascii="Arial" w:cs="Arial" w:eastAsia="Arial" w:hAnsi="Arial"/>
                <w:b/>
                <w:bCs/>
                <w:color w:val="9C0006"/>
                <w:sz w:val="18"/>
                <w:szCs w:val="18"/>
              </w:rPr>
              <w:t xml:space="preserve">HIGH</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Any sprint</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Central render hub. execAll() calls all 16 methods. Adding/removing a method here breaks dashboard output immediately.</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kpiEngine.js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FFC7CE" w:val="clear"/>
            <w:tcMar>
              <w:top w:type="dxa" w:w="80"/>
              <w:left w:type="dxa" w:w="140"/>
              <w:bottom w:type="dxa" w:w="80"/>
              <w:right w:type="dxa" w:w="140"/>
            </w:tcMar>
            <w:vAlign w:val="center"/>
          </w:tcPr>
          <w:p>
            <w:pPr>
              <w:spacing w:after="60" w:before="60"/>
              <w:jc w:val="center"/>
            </w:pPr>
            <w:r>
              <w:rPr>
                <w:rFonts w:ascii="Arial" w:cs="Arial" w:eastAsia="Arial" w:hAnsi="Arial"/>
                <w:b/>
                <w:bCs/>
                <w:color w:val="9C0006"/>
                <w:sz w:val="18"/>
                <w:szCs w:val="18"/>
              </w:rPr>
              <w:t xml:space="preserve">HIGH</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Any sprint</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All 11 KPI calculations live here. A logic change silently corrupts all dashboard numbers without breaking the app.</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index.html (inline script)</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Core</w:t>
            </w:r>
          </w:p>
        </w:tc>
        <w:tc>
          <w:tcPr>
            <w:tcW w:type="dxa" w:w="1000"/>
            <w:tcBorders>
              <w:top w:val="single" w:color="B8CCE4" w:sz="4"/>
              <w:left w:val="single" w:color="B8CCE4" w:sz="4"/>
              <w:bottom w:val="single" w:color="B8CCE4" w:sz="4"/>
              <w:right w:val="single" w:color="B8CCE4" w:sz="4"/>
            </w:tcBorders>
            <w:shd w:fill="FFC7CE" w:val="clear"/>
            <w:tcMar>
              <w:top w:type="dxa" w:w="80"/>
              <w:left w:type="dxa" w:w="140"/>
              <w:bottom w:type="dxa" w:w="80"/>
              <w:right w:type="dxa" w:w="140"/>
            </w:tcMar>
            <w:vAlign w:val="center"/>
          </w:tcPr>
          <w:p>
            <w:pPr>
              <w:spacing w:after="60" w:before="60"/>
              <w:jc w:val="center"/>
            </w:pPr>
            <w:r>
              <w:rPr>
                <w:rFonts w:ascii="Arial" w:cs="Arial" w:eastAsia="Arial" w:hAnsi="Arial"/>
                <w:b/>
                <w:bCs/>
                <w:color w:val="9C0006"/>
                <w:sz w:val="18"/>
                <w:szCs w:val="18"/>
              </w:rPr>
              <w:t xml:space="preserve">HIGH</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Any sprint</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2,354-line monolith. Defines State, Config, App, DOM, ChartEngine, SourceConfigEngine. Changes risk Bootstrap chain.</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section5View.js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UI</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A-02</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Executive Decision Center renderer. Depends on calculateExecutiveDecision output. Safe after A-02 (rename section-5).</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dashboardView.js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UI</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B-04</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Dashboard layout controller. Affected by Priority Action section consolidation in B-04.</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dom.js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UI</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Any sprint</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DOM utility layer. Changes propagate to every module that calls DOM helpers. Requires full regression.</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chartEngine.js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Visualization</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C-05</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All Chart.js wrappers. Export quality depends on this. Touch only after export regression tests confirmed.</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infographicEngine.js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Visualization</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C-06</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SVG/HTML infographic renderer. Affects MT visual cards and PS scorecards.</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anomalyEngine.js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C-02</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Anomaly detection logic. Used in commentary + alerts. Isolated enough for Sprint C window.</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commentaryEngine.js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C-03</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Auto-commentary generator. Depends on KPI output. Safe to modify after KPI engine is stable.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rankingEngine.js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C-04</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Ranking/sorting logic for category lists. Low blast radius but touches table render output.</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timegoneEngine.js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FFF2C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18"/>
                <w:szCs w:val="18"/>
              </w:rPr>
              <w:t xml:space="preserve">MEDIUM</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B-06</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Time-gone (YTD progress) calculator. Shared by MT and ITG sections. Changes need dual-section validation.</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insightEngine.js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C-09</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AI-layer insight generation. Output is advisory text only. No KPI mutation. Safe to refactor.</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execSummaryEngine.js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C-08</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Executive summary text generation. Pure output, no state mutation. Low regression risk.</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principleCommentaryEngine.js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C-07</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Principle-level commentary text. Advisory only. Touch after C-01 (PS section restructure).</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alertEngine.js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Business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D-01</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Threshold-based alert badges. Pure output layer. No business logic dependency.</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uploadView.js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UI</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D-03</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Upload screen HTML/CSS generation. No logic — purely presentational. Safe but keep upload workflow chain intact.</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filterPanel.js (non-frozen)</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UI</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D-04</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Filter UI layer (presentation only — core filter logic is frozen). Only visual tweaks allowed.</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app.js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Core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C-10</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App controller. init() and bindGlobalEvents() are critical, but the rest (routing helpers) is low-risk.</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state.js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Core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C-10</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External state file (not the inline State). Supplementary; inline State takes precedence.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config.js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Core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D-02</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External config file. Supplementary to inline Config. Only non-critical constants live here.</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dataMapper.js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Data</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D-05</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Data transformation utility. No direct KPI dependency. Safe to refactor in isolation.</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formatter.js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Utils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D-03</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Number/date formatting helpers. Pure functions. Very low blast radius.</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helpers.js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Utils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D-03</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General utility functions. Pure functions. Can be modified safely with unit tests.</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constants.js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Utils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D-02</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Shared constant definitions. Changes need cross-module search before merging.</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variables.css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Styles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B-09</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CSS custom properties. Changing a token affects the entire UI simultaneously. Visual-only, no logic.</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components.css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Styles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B-10</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Reusable component styles. Isolated per-component. Safe to change with visual diff review.</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layout.css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Styles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B-07</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Grid/layout definitions. Affects all section positioning. Requires full visual regression pass.</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dashboard.css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Styles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B-08</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Dashboard-specific overrides. Large file (33KB). Prefer targeted changes over broad rewrites.</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AI engines (10 modules)</w:t>
            </w:r>
          </w:p>
        </w:tc>
        <w:tc>
          <w:tcPr>
            <w:tcW w:type="dxa" w:w="16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AI</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C-09</w:t>
            </w:r>
          </w:p>
        </w:tc>
        <w:tc>
          <w:tcPr>
            <w:tcW w:type="dxa" w:w="76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escalationForecast, intelligenceMemory, narrativeMemory, narrativeRouter, patternRecognition, predictivePressure, pressureNarrative, projectionScoring, recoverySustainability, trendPersistence. Pure inference output. No state mutation.</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7"/>
                <w:szCs w:val="17"/>
              </w:rPr>
              <w:t xml:space="preserve">bridge/Code.gs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Bridge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18"/>
                <w:szCs w:val="18"/>
              </w:rPr>
              <w:t xml:space="preserve">LOW</w:t>
            </w:r>
          </w:p>
        </w:tc>
        <w:tc>
          <w:tcPr>
            <w:tcW w:type="dxa" w:w="18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595959"/>
                <w:sz w:val="17"/>
                <w:szCs w:val="17"/>
              </w:rPr>
              <w:t xml:space="preserve">Sprint D-05</w:t>
            </w:r>
          </w:p>
        </w:tc>
        <w:tc>
          <w:tcPr>
            <w:tcW w:type="dxa" w:w="76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7"/>
                <w:szCs w:val="17"/>
              </w:rPr>
              <w:t xml:space="preserve">Google Apps Script backend. Separate runtime (GAS). Changes need Google Drive re-deploy. No local regression risk.</w:t>
            </w:r>
          </w:p>
        </w:tc>
      </w:tr>
    </w:tbl>
    <w:p>
      <w:pPr>
        <w:spacing w:after="0" w:before="200"/>
      </w:pPr>
    </w:p>
    <w:p>
      <w:pPr>
        <w:pStyle w:val="Heading1"/>
        <w:shd w:fill="1F3864" w:val="clear"/>
        <w:spacing w:after="120" w:before="240"/>
        <w:ind w:left="180"/>
      </w:pPr>
      <w:r>
        <w:rPr>
          <w:rFonts w:ascii="Arial" w:cs="Arial" w:eastAsia="Arial" w:hAnsi="Arial"/>
          <w:b/>
          <w:bCs/>
          <w:color w:val="FFFFFF"/>
          <w:sz w:val="28"/>
          <w:szCs w:val="28"/>
        </w:rPr>
        <w:t xml:space="preserve">4.  Approval &amp; Freeze Declaration</w:t>
      </w:r>
    </w:p>
    <w:p>
      <w:pPr>
        <w:spacing w:after="60" w:before="60"/>
      </w:pPr>
      <w:r>
        <w:rPr>
          <w:rFonts w:ascii="Arial" w:cs="Arial" w:eastAsia="Arial" w:hAnsi="Arial"/>
          <w:color w:val="595959"/>
          <w:sz w:val="20"/>
          <w:szCs w:val="20"/>
        </w:rPr>
        <w:t xml:space="preserve">This document, once approved, constitutes the official frozen baseline for SCT v6.0 RC1 (Sprint 22 Stable). Sprint 23 and all subsequent development must treat the Protected Modules list and Change Impact Matrix as authoritative input to sprint planning.</w:t>
      </w:r>
    </w:p>
    <w:p>
      <w:pPr>
        <w:spacing w:after="0" w:before="8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gridCol w:w="3000"/>
        <w:gridCol w:w="3038"/>
      </w:tblGrid>
      <w:tr>
        <w:tc>
          <w:tcPr>
            <w:tcW w:type="dxa" w:w="3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Role</w:t>
            </w:r>
          </w:p>
        </w:tc>
        <w:tc>
          <w:tcPr>
            <w:tcW w:type="dxa" w:w="6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Name / Notes</w:t>
            </w:r>
          </w:p>
        </w:tc>
        <w:tc>
          <w:tcPr>
            <w:tcW w:type="dxa" w:w="3000"/>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Date</w:t>
            </w:r>
          </w:p>
        </w:tc>
        <w:tc>
          <w:tcPr>
            <w:tcW w:type="dxa" w:w="3038"/>
            <w:tcBorders>
              <w:top w:val="single" w:color="B8CCE4" w:sz="4"/>
              <w:left w:val="single" w:color="B8CCE4" w:sz="4"/>
              <w:bottom w:val="single" w:color="B8CCE4" w:sz="4"/>
              <w:right w:val="single" w:color="B8CCE4" w:sz="4"/>
            </w:tcBorders>
            <w:shd w:fill="D5E8F0"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Sign-off</w:t>
            </w:r>
          </w:p>
        </w:tc>
      </w:tr>
      <w:tr>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Lead Architect</w:t>
            </w:r>
          </w:p>
        </w:tc>
        <w:tc>
          <w:tcPr>
            <w:tcW w:type="dxa" w:w="6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8"/>
                <w:szCs w:val="18"/>
              </w:rPr>
              <w:t xml:space="preserve"/>
            </w:r>
          </w:p>
        </w:tc>
        <w:tc>
          <w:tcPr>
            <w:tcW w:type="dxa" w:w="3000"/>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8"/>
                <w:szCs w:val="18"/>
              </w:rPr>
              <w:t xml:space="preserve"/>
            </w:r>
          </w:p>
        </w:tc>
        <w:tc>
          <w:tcPr>
            <w:tcW w:type="dxa" w:w="3038"/>
            <w:tcBorders>
              <w:top w:val="single" w:color="B8CCE4" w:sz="4"/>
              <w:left w:val="single" w:color="B8CCE4" w:sz="4"/>
              <w:bottom w:val="single" w:color="B8CCE4" w:sz="4"/>
              <w:right w:val="single" w:color="B8CCE4" w:sz="4"/>
            </w:tcBorders>
            <w:shd w:fill="F2F7FB"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8"/>
                <w:szCs w:val="18"/>
              </w:rPr>
              <w:t xml:space="preserve"/>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bCs/>
                <w:color w:val="1F3864"/>
                <w:sz w:val="18"/>
                <w:szCs w:val="18"/>
              </w:rPr>
              <w:t xml:space="preserve">Product Owner</w:t>
            </w:r>
          </w:p>
        </w:tc>
        <w:tc>
          <w:tcPr>
            <w:tcW w:type="dxa" w:w="6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8"/>
                <w:szCs w:val="18"/>
              </w:rPr>
              <w:t xml:space="preserve"/>
            </w:r>
          </w:p>
        </w:tc>
        <w:tc>
          <w:tcPr>
            <w:tcW w:type="dxa" w:w="30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8"/>
                <w:szCs w:val="18"/>
              </w:rPr>
              <w:t xml:space="preserve"/>
            </w:r>
          </w:p>
        </w:tc>
        <w:tc>
          <w:tcPr>
            <w:tcW w:type="dxa" w:w="3038"/>
            <w:tcBorders>
              <w:top w:val="single" w:color="B8CCE4" w:sz="4"/>
              <w:left w:val="single" w:color="B8CCE4" w:sz="4"/>
              <w:bottom w:val="single" w:color="B8CCE4" w:sz="4"/>
              <w:right w:val="single" w:color="B8CCE4" w:sz="4"/>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595959"/>
                <w:sz w:val="18"/>
                <w:szCs w:val="18"/>
              </w:rPr>
              <w:t xml:space="preserve"/>
            </w:r>
          </w:p>
        </w:tc>
      </w:tr>
    </w:tbl>
    <w:p>
      <w:pPr>
        <w:spacing w:after="0" w:before="80"/>
      </w:pPr>
    </w:p>
    <w:p>
      <w:pPr>
        <w:spacing w:after="60" w:before="60"/>
      </w:pPr>
      <w:r>
        <w:rPr>
          <w:rFonts w:ascii="Arial" w:cs="Arial" w:eastAsia="Arial" w:hAnsi="Arial"/>
          <w:i/>
          <w:iCs/>
          <w:color w:val="595959"/>
          <w:sz w:val="18"/>
          <w:szCs w:val="18"/>
        </w:rPr>
        <w:t xml:space="preserve">Generated automatically by SCT Architect Agent on 27 June 2026. This report reflects the verified post-P0-fix state of the codebase.</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14400"/>
      </w:tabs>
    </w:pPr>
    <w:r>
      <w:rPr>
        <w:rFonts w:ascii="Arial" w:cs="Arial" w:eastAsia="Arial" w:hAnsi="Arial"/>
        <w:color w:val="595959"/>
        <w:sz w:val="16"/>
        <w:szCs w:val="16"/>
      </w:rPr>
      <w:t xml:space="preserve">SCT v6.0 RC1  ·  Baseline Date: 27 June 2026  ·  FROZEN</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14400"/>
      </w:tabs>
    </w:pPr>
    <w:r>
      <w:rPr>
        <w:rFonts w:ascii="Arial" w:cs="Arial" w:eastAsia="Arial" w:hAnsi="Arial"/>
        <w:color w:val="4472C4"/>
        <w:sz w:val="16"/>
        <w:szCs w:val="16"/>
      </w:rPr>
      <w:t xml:space="preserve">SCT by SHP  ·  Sprint 22 Stable Baseline Report  ·  v6.0 RC1</w:t>
    </w:r>
    <w:r>
      <w:rPr>
        <w:rFonts w:ascii="Arial" w:cs="Arial" w:eastAsia="Arial" w:hAnsi="Arial"/>
        <w:color w:val="595959"/>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2026-06-26T19:42:07.040Z</dcterms:created>
  <dcterms:modified xsi:type="dcterms:W3CDTF">2026-06-26T19:42:07.050Z</dcterms:modified>
</cp:coreProperties>
</file>

<file path=docProps/custom.xml><?xml version="1.0" encoding="utf-8"?>
<Properties xmlns="http://schemas.openxmlformats.org/officeDocument/2006/custom-properties" xmlns:vt="http://schemas.openxmlformats.org/officeDocument/2006/docPropsVTypes"/>
</file>