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32"/>
          <w:szCs w:val="32"/>
        </w:rPr>
        <w:t xml:space="preserve">SIMSIV: A Calibrated Agent-Based Framework for Studying Gene-Culture Coevolution in Pre-State Societies</w:t>
      </w:r>
    </w:p>
    <w:p>
      <w:pPr>
        <w:spacing w:after="80"/>
        <w:jc w:val="center"/>
      </w:pPr>
      <w:r>
        <w:rPr>
          <w:rFonts w:ascii="Arial" w:cs="Arial" w:eastAsia="Arial" w:hAnsi="Arial"/>
          <w:b/>
          <w:bCs/>
          <w:sz w:val="26"/>
          <w:szCs w:val="26"/>
        </w:rPr>
        <w:t xml:space="preserve">James P. Rice Jr.</w:t>
      </w:r>
    </w:p>
    <w:p>
      <w:pPr>
        <w:spacing w:after="80"/>
        <w:jc w:val="center"/>
      </w:pPr>
      <w:r>
        <w:rPr>
          <w:rFonts w:ascii="Arial" w:cs="Arial" w:eastAsia="Arial" w:hAnsi="Arial"/>
          <w:i/>
          <w:iCs/>
          <w:sz w:val="24"/>
          <w:szCs w:val="24"/>
        </w:rPr>
        <w:t xml:space="preserve">Independent Researcher, Akron, Ohio</w:t>
      </w:r>
    </w:p>
    <w:p>
      <w:pPr>
        <w:spacing w:after="80"/>
        <w:jc w:val="center"/>
      </w:pPr>
      <w:r>
        <w:rPr>
          <w:rFonts w:ascii="Arial" w:cs="Arial" w:eastAsia="Arial" w:hAnsi="Arial"/>
          <w:sz w:val="24"/>
          <w:szCs w:val="24"/>
        </w:rPr>
        <w:t xml:space="preserve">ricejam@outlook.com</w:t>
      </w:r>
    </w:p>
    <w:p>
      <w:pPr>
        <w:spacing w:after="320"/>
        <w:jc w:val="center"/>
      </w:pPr>
      <w:r>
        <w:rPr>
          <w:rFonts w:ascii="Arial" w:cs="Arial" w:eastAsia="Arial" w:hAnsi="Arial"/>
          <w:i/>
          <w:iCs/>
          <w:sz w:val="24"/>
          <w:szCs w:val="24"/>
        </w:rPr>
        <w:t xml:space="preserve">March 2026</w:t>
      </w:r>
    </w:p>
    <w:p>
      <w:pPr>
        <w:pStyle w:val="Heading1"/>
      </w:pPr>
      <w:r>
        <w:rPr>
          <w:rFonts w:ascii="Arial" w:cs="Arial" w:eastAsia="Arial" w:hAnsi="Arial"/>
          <w:b/>
          <w:bCs/>
          <w:sz w:val="32"/>
          <w:szCs w:val="32"/>
        </w:rPr>
        <w:t xml:space="preserve">Abstract</w:t>
      </w:r>
    </w:p>
    <w:p>
      <w:pPr>
        <w:spacing w:after="160"/>
      </w:pPr>
      <w:r>
        <w:rPr>
          <w:rFonts w:ascii="Arial" w:cs="Arial" w:eastAsia="Arial" w:hAnsi="Arial"/>
          <w:sz w:val="24"/>
          <w:szCs w:val="24"/>
        </w:rPr>
        <w:t xml:space="preserve">Agent-based models (ABMs) offer a principled way to study gene-culture coevolution, yet most existing frameworks either hard-wire social outcomes or omit realistic demography. We present SIMSIV (Simulation of Intersecting Social and Institutional Variables), an agent-based framework in which 500 agents with 35 heritable traits compete for resources, mates, and status within a single band-level society. Agents inherit traits through a quantitative-genetics model with trait-specific heritability coefficients, form pair bonds, cooperate through trust-based networks, and engage in conflict mediated by institutional governance. Nine engines execute in a fixed annual cycle: environment, resources, conflict, mating, reproduction, mortality, migration, pathology, and institutions. The model was calibrated against nine anthropological benchmarks --- including resource inequality (Gini = 0.310), male reproductive skew (0.578), violence death fraction (0.069), and child survival to age 15 (0.642) --- using simulated annealing over 816 experiments. Held-out validation across 10 unseen seeds (20 independent runs) yielded a mean realism score of 0.934 with zero population collapses. Scenario experiments spanning 200-year and 500-year horizons reveal that institutional governance produces dramatic behavioral substitution --- enforced monogamy reduces violence 37% and unmated males from 28.5% to 11.9%; strong-state governance cuts resource inequality to Gini = 0.200 --- yet heritable cooperation shows no detectable divergence across governance regimes at 500 years (0.523 vs. 0.524 vs. 0.523 for no-institutions, free-competition, and strong-state respectively). Sensitivity analysis identifies mortality rate as the single most influential parameter (mean |r| = 0.315 across 8 of 9 metrics) and confirms that cooperation is weakly driven by any single parameter (max |r| = 0.199). These findings are consistent with the institutional-substitution hypothesis: institutions appear to substitute for heritable prosocial traits in producing cooperative behavioral outcomes at band-level timescales, though longer time horizons and multi-group dynamics may reveal complementarity.</w:t>
      </w:r>
    </w:p>
    <w:p>
      <w:pPr>
        <w:spacing w:after="320"/>
      </w:pPr>
      <w:r>
        <w:rPr>
          <w:rFonts w:ascii="Arial" w:cs="Arial" w:eastAsia="Arial" w:hAnsi="Arial"/>
          <w:b/>
          <w:bCs/>
          <w:sz w:val="24"/>
          <w:szCs w:val="24"/>
        </w:rPr>
        <w:t xml:space="preserve">Keywords: </w:t>
      </w:r>
      <w:r>
        <w:rPr>
          <w:rFonts w:ascii="Arial" w:cs="Arial" w:eastAsia="Arial" w:hAnsi="Arial"/>
          <w:sz w:val="24"/>
          <w:szCs w:val="24"/>
        </w:rPr>
        <w:t xml:space="preserve">agent-based model, gene-culture coevolution, cooperation, institutions, pre-state societies, calibration, ODD protocol</w:t>
      </w:r>
    </w:p>
    <w:p>
      <w:pPr>
        <w:pStyle w:val="Heading1"/>
      </w:pPr>
      <w:r>
        <w:rPr>
          <w:rFonts w:ascii="Arial" w:cs="Arial" w:eastAsia="Arial" w:hAnsi="Arial"/>
          <w:b/>
          <w:bCs/>
          <w:sz w:val="32"/>
          <w:szCs w:val="32"/>
        </w:rPr>
        <w:t xml:space="preserve">1. Introduction</w:t>
      </w:r>
    </w:p>
    <w:p>
      <w:pPr>
        <w:pStyle w:val="Heading2"/>
      </w:pPr>
      <w:r>
        <w:rPr>
          <w:rFonts w:ascii="Arial" w:cs="Arial" w:eastAsia="Arial" w:hAnsi="Arial"/>
          <w:b/>
          <w:bCs/>
          <w:sz w:val="28"/>
          <w:szCs w:val="28"/>
        </w:rPr>
        <w:t xml:space="preserve">1.1 The gene-culture coevolution debate</w:t>
      </w:r>
    </w:p>
    <w:p>
      <w:pPr>
        <w:spacing w:after="160"/>
      </w:pPr>
      <w:r>
        <w:rPr>
          <w:rFonts w:ascii="Arial" w:cs="Arial" w:eastAsia="Arial" w:hAnsi="Arial"/>
          <w:sz w:val="24"/>
          <w:szCs w:val="24"/>
        </w:rPr>
        <w:t xml:space="preserve">How did human societies come to sustain the extraordinary levels of cooperation observed across all known cultures? Two broad camps offer competing explanations. The gene-culture coevolution hypothesis, articulated most forcefully by Bowles and Gintis (2011), argues that cultural institutions and heritable prosocial dispositions evolved together in a self-reinforcing loop: institutions created selection environments that favored cooperative genotypes, and cooperative genotypes in turn enabled more complex institutions. Under this view, genes and culture are complements --- each amplifying the other's effect on social outcomes.</w:t>
      </w:r>
    </w:p>
    <w:p>
      <w:pPr>
        <w:spacing w:after="160"/>
      </w:pPr>
      <w:r>
        <w:rPr>
          <w:rFonts w:ascii="Arial" w:cs="Arial" w:eastAsia="Arial" w:hAnsi="Arial"/>
          <w:sz w:val="24"/>
          <w:szCs w:val="24"/>
        </w:rPr>
        <w:t xml:space="preserve">The institutional-substitution hypothesis, rooted in the new institutional economics of North (1990) and extended by Greif (2006), offers a contrasting perspective. Institutions --- even informal ones such as gossip networks, reputation systems, and punishment norms --- can enforce cooperative behavior regardless of individual genetic predisposition. If institutions are sufficiently effective at channeling behavior, the selection gradient on heritable prosocial traits weakens or vanishes. Under this view, institutions substitute for genes: they produce cooperative outcomes without requiring (or producing) cooperative genotypes.</w:t>
      </w:r>
    </w:p>
    <w:p>
      <w:pPr>
        <w:spacing w:after="160"/>
      </w:pPr>
      <w:r>
        <w:rPr>
          <w:rFonts w:ascii="Arial" w:cs="Arial" w:eastAsia="Arial" w:hAnsi="Arial"/>
          <w:sz w:val="24"/>
          <w:szCs w:val="24"/>
        </w:rPr>
        <w:t xml:space="preserve">Empirically distinguishing these hypotheses is difficult. The archaeological record preserves material culture but not genotypes. Modern behavioral genetics can estimate heritability of prosocial traits (h-squared approximately 0.40 for cooperation; Cesarini et al., 2008) but cannot reconstruct ancestral selection gradients. Cross-cultural comparisons (Henrich et al., 2001; Henrich et al., 2010) document institutional variation in cooperation but confound genetic and cultural transmission. The debate therefore remains largely theoretical.</w:t>
      </w:r>
    </w:p>
    <w:p>
      <w:pPr>
        <w:spacing w:after="240"/>
      </w:pPr>
      <w:r>
        <w:rPr>
          <w:rFonts w:ascii="Arial" w:cs="Arial" w:eastAsia="Arial" w:hAnsi="Arial"/>
          <w:sz w:val="24"/>
          <w:szCs w:val="24"/>
        </w:rPr>
        <w:t xml:space="preserve">The dual inheritance theory of Boyd and Richerson (1985) provides the foundational framework for understanding how genetic and cultural evolution interact. Under dual inheritance, cultural transmission constitutes a second inheritance system that can evolve independently of, or in interaction with, genetic inheritance. Crucially, dual inheritance theory neither predicts complementarity nor substitution a priori: the outcome depends on whether cultural variants that emerge under institutions increase or decrease the fitness gradient on prosocial genes. SIMSIV operationalizes this by separating heritable trait values (the genetic channel) from behavioral outcomes and belief transmission (the cultural channel), allowing both to evolve simultaneously.</w:t>
      </w:r>
    </w:p>
    <w:p>
      <w:pPr>
        <w:pStyle w:val="Heading2"/>
      </w:pPr>
      <w:r>
        <w:rPr>
          <w:rFonts w:ascii="Arial" w:cs="Arial" w:eastAsia="Arial" w:hAnsi="Arial"/>
          <w:b/>
          <w:bCs/>
          <w:sz w:val="28"/>
          <w:szCs w:val="28"/>
        </w:rPr>
        <w:t xml:space="preserve">1.2 Agent-based models as adjudication tools</w:t>
      </w:r>
    </w:p>
    <w:p>
      <w:pPr>
        <w:spacing w:after="160"/>
      </w:pPr>
      <w:r>
        <w:rPr>
          <w:rFonts w:ascii="Arial" w:cs="Arial" w:eastAsia="Arial" w:hAnsi="Arial"/>
          <w:sz w:val="24"/>
          <w:szCs w:val="24"/>
        </w:rPr>
        <w:t xml:space="preserve">Agent-based models offer a path forward. By simulating populations of heterogeneous agents whose traits are inherited, mutated, and selected across generations, ABMs can test whether specific institutional regimes alter evolutionary trajectories for prosocial traits. Unlike analytical models, ABMs accommodate the full complexity of demographic stochasticity, assortative mating, conditional behavior, and nonlinear feedback between individual decisions and population outcomes.</w:t>
      </w:r>
    </w:p>
    <w:p>
      <w:pPr>
        <w:spacing w:after="240"/>
      </w:pPr>
      <w:r>
        <w:rPr>
          <w:rFonts w:ascii="Arial" w:cs="Arial" w:eastAsia="Arial" w:hAnsi="Arial"/>
          <w:sz w:val="24"/>
          <w:szCs w:val="24"/>
        </w:rPr>
        <w:t xml:space="preserve">Several important ABMs address cooperation evolution. Bowles (2006) modeled between-group competition as a driver of altruism. Boyd and Richerson (2002) demonstrated that cultural group selection can sustain cooperation under conditions where genetic group selection cannot. Gavrilets and Fortunato (2014) showed that social stratification can emerge from resource competition and mate choice. However, most existing models focus on a narrow slice of the gene-culture interaction --- typically cooperation and punishment in stylized games --- rather than embedding cooperation within a full demographic and life-history framework.</w:t>
      </w:r>
    </w:p>
    <w:p>
      <w:pPr>
        <w:pStyle w:val="Heading2"/>
      </w:pPr>
      <w:r>
        <w:rPr>
          <w:rFonts w:ascii="Arial" w:cs="Arial" w:eastAsia="Arial" w:hAnsi="Arial"/>
          <w:b/>
          <w:bCs/>
          <w:sz w:val="28"/>
          <w:szCs w:val="28"/>
        </w:rPr>
        <w:t xml:space="preserve">1.3 This paper's contribution</w:t>
      </w:r>
    </w:p>
    <w:p>
      <w:pPr>
        <w:spacing w:after="120"/>
      </w:pPr>
      <w:r>
        <w:rPr>
          <w:rFonts w:ascii="Arial" w:cs="Arial" w:eastAsia="Arial" w:hAnsi="Arial"/>
          <w:sz w:val="24"/>
          <w:szCs w:val="24"/>
        </w:rPr>
        <w:t xml:space="preserve">We present SIMSIV, an agent-based framework designed to study gene-culture coevolution within a demographically realistic band-level society. The model's distinguishing features are:</w:t>
      </w:r>
    </w:p>
    <w:p>
      <w:pPr>
        <w:pStyle w:val="ListParagraph"/>
        <w:numPr>
          <w:ilvl w:val="0"/>
          <w:numId w:val="2"/>
        </w:numPr>
        <w:spacing w:after="80"/>
      </w:pPr>
      <w:r>
        <w:rPr>
          <w:rFonts w:ascii="Arial" w:cs="Arial" w:eastAsia="Arial" w:hAnsi="Arial"/>
          <w:b/>
          <w:bCs/>
          <w:sz w:val="24"/>
          <w:szCs w:val="24"/>
        </w:rPr>
        <w:t xml:space="preserve">Demographic realism. </w:t>
      </w:r>
      <w:r>
        <w:rPr>
          <w:rFonts w:ascii="Arial" w:cs="Arial" w:eastAsia="Arial" w:hAnsi="Arial"/>
          <w:sz w:val="24"/>
          <w:szCs w:val="24"/>
        </w:rPr>
        <w:t xml:space="preserve">Agents have complete life histories: they are born, mature, form pair bonds, reproduce, age, and die. Fertility, mortality, and mating follow empirically calibrated schedules rather than abstract fitness functions. The model is calibrated against nine anthropological benchmarks drawn from ethnographic and demographic literature on pre-state societies.</w:t>
      </w:r>
    </w:p>
    <w:p>
      <w:pPr>
        <w:pStyle w:val="ListParagraph"/>
        <w:numPr>
          <w:ilvl w:val="0"/>
          <w:numId w:val="2"/>
        </w:numPr>
        <w:spacing w:after="80"/>
      </w:pPr>
      <w:r>
        <w:rPr>
          <w:rFonts w:ascii="Arial" w:cs="Arial" w:eastAsia="Arial" w:hAnsi="Arial"/>
          <w:b/>
          <w:bCs/>
          <w:sz w:val="24"/>
          <w:szCs w:val="24"/>
        </w:rPr>
        <w:t xml:space="preserve">Rich trait architecture. </w:t>
      </w:r>
      <w:r>
        <w:rPr>
          <w:rFonts w:ascii="Arial" w:cs="Arial" w:eastAsia="Arial" w:hAnsi="Arial"/>
          <w:sz w:val="24"/>
          <w:szCs w:val="24"/>
        </w:rPr>
        <w:t xml:space="preserve">Each agent carries 35 heritable traits spanning physical performance, cognition, personality, social architecture, reproductive biology, and psychopathology. Traits are inherited via a quantitative-genetics model with empirically grounded heritability coefficients and a verified correlation structure.</w:t>
      </w:r>
    </w:p>
    <w:p>
      <w:pPr>
        <w:pStyle w:val="ListParagraph"/>
        <w:numPr>
          <w:ilvl w:val="0"/>
          <w:numId w:val="2"/>
        </w:numPr>
        <w:spacing w:after="80"/>
      </w:pPr>
      <w:r>
        <w:rPr>
          <w:rFonts w:ascii="Arial" w:cs="Arial" w:eastAsia="Arial" w:hAnsi="Arial"/>
          <w:b/>
          <w:bCs/>
          <w:sz w:val="24"/>
          <w:szCs w:val="24"/>
        </w:rPr>
        <w:t xml:space="preserve">Institutional endogeneity. </w:t>
      </w:r>
      <w:r>
        <w:rPr>
          <w:rFonts w:ascii="Arial" w:cs="Arial" w:eastAsia="Arial" w:hAnsi="Arial"/>
          <w:sz w:val="24"/>
          <w:szCs w:val="24"/>
        </w:rPr>
        <w:t xml:space="preserve">Institutional governance (law strength, property rights, violence punishment) can emerge endogenously from the cooperation-violence balance in the population, or be imposed exogenously as an experimental treatment. This allows direct comparison between scenarios where institutions are absent, emergent, or imposed.</w:t>
      </w:r>
    </w:p>
    <w:p>
      <w:pPr>
        <w:pStyle w:val="ListParagraph"/>
        <w:numPr>
          <w:ilvl w:val="0"/>
          <w:numId w:val="2"/>
        </w:numPr>
        <w:spacing w:after="160"/>
      </w:pPr>
      <w:r>
        <w:rPr>
          <w:rFonts w:ascii="Arial" w:cs="Arial" w:eastAsia="Arial" w:hAnsi="Arial"/>
          <w:b/>
          <w:bCs/>
          <w:sz w:val="24"/>
          <w:szCs w:val="24"/>
        </w:rPr>
        <w:t xml:space="preserve">Behavioral and genetic separation. </w:t>
      </w:r>
      <w:r>
        <w:rPr>
          <w:rFonts w:ascii="Arial" w:cs="Arial" w:eastAsia="Arial" w:hAnsi="Arial"/>
          <w:sz w:val="24"/>
          <w:szCs w:val="24"/>
        </w:rPr>
        <w:t xml:space="preserve">Because cooperation is both a heritable trait (cooperation_propensity) and a behavioral outcome (resource sharing, alliance formation), the model can distinguish between behavioral changes driven by institutional constraints and genetic changes driven by altered selection pressures.</w:t>
      </w:r>
    </w:p>
    <w:p>
      <w:pPr>
        <w:spacing w:after="160"/>
      </w:pPr>
      <w:r>
        <w:rPr>
          <w:rFonts w:ascii="Arial" w:cs="Arial" w:eastAsia="Arial" w:hAnsi="Arial"/>
          <w:sz w:val="24"/>
          <w:szCs w:val="24"/>
        </w:rPr>
        <w:t xml:space="preserve">This paper reports the model's design, calibration, validation, and initial scenario experiments. Our central empirical finding is that institutional governance produces dramatic behavioral substitution --- violence rates, resource inequality, and mating inequality all shift substantially across governance regimes --- but heritable cooperation shows no detectable divergence across governance conditions at 500 simulated years. We interpret this cautiously as evidence for the substitution hypothesis at band-level timescales, while acknowledging that longer timescales or between-group competition (not modeled in v1.0) may produce different results.</w:t>
      </w:r>
    </w:p>
    <w:p>
      <w:pPr>
        <w:pStyle w:val="Heading2"/>
      </w:pPr>
      <w:r>
        <w:rPr>
          <w:rFonts w:ascii="Arial" w:cs="Arial" w:eastAsia="Arial" w:hAnsi="Arial"/>
          <w:b/>
          <w:bCs/>
          <w:sz w:val="28"/>
          <w:szCs w:val="28"/>
        </w:rPr>
        <w:t xml:space="preserve">1.4 Paper overview</w:t>
      </w:r>
    </w:p>
    <w:p>
      <w:pPr>
        <w:spacing w:after="320"/>
      </w:pPr>
      <w:r>
        <w:rPr>
          <w:rFonts w:ascii="Arial" w:cs="Arial" w:eastAsia="Arial" w:hAnsi="Arial"/>
          <w:sz w:val="24"/>
          <w:szCs w:val="24"/>
        </w:rPr>
        <w:t xml:space="preserve">Section 2 describes the model following a modified ODD (Overview, Design concepts, Details) protocol (Grimm et al., 2006; Grimm et al., 2020). Section 3 reports calibration targets, methodology, and held-out validation. Section 4 presents sensitivity analysis across the 816-experiment calibration sweep. Section 5 describes scenario experiments at 200-year and 500-year horizons. Section 6 discusses implications for the gene-culture coevolution debate, and Section 7 concludes.</w:t>
      </w:r>
    </w:p>
    <w:p>
      <w:pPr>
        <w:pStyle w:val="Heading1"/>
      </w:pPr>
      <w:r>
        <w:rPr>
          <w:rFonts w:ascii="Arial" w:cs="Arial" w:eastAsia="Arial" w:hAnsi="Arial"/>
          <w:b/>
          <w:bCs/>
          <w:sz w:val="32"/>
          <w:szCs w:val="32"/>
        </w:rPr>
        <w:t xml:space="preserve">2. Model Description (ODD Protocol)</w:t>
      </w:r>
    </w:p>
    <w:p>
      <w:pPr>
        <w:pStyle w:val="Heading2"/>
      </w:pPr>
      <w:r>
        <w:rPr>
          <w:rFonts w:ascii="Arial" w:cs="Arial" w:eastAsia="Arial" w:hAnsi="Arial"/>
          <w:b/>
          <w:bCs/>
          <w:sz w:val="28"/>
          <w:szCs w:val="28"/>
        </w:rPr>
        <w:t xml:space="preserve">2.1 Overview</w:t>
      </w:r>
    </w:p>
    <w:p>
      <w:r>
        <w:rPr>
          <w:rFonts w:ascii="Arial" w:cs="Arial" w:eastAsia="Arial" w:hAnsi="Arial"/>
          <w:b/>
          <w:bCs/>
          <w:sz w:val="24"/>
          <w:szCs w:val="24"/>
        </w:rPr>
        <w:t xml:space="preserve">Purpose. </w:t>
      </w:r>
      <w:r>
        <w:rPr>
          <w:rFonts w:ascii="Arial" w:cs="Arial" w:eastAsia="Arial" w:hAnsi="Arial"/>
          <w:sz w:val="24"/>
          <w:szCs w:val="24"/>
        </w:rPr>
        <w:t xml:space="preserve">SIMSIV models how social structures emerge from first-principles interactions among reproduction, resource competition, status seeking, cooperation, jealousy, violence risk, pair bonding, and institutional constraints within a single band-level society. The model is a sandbox for discovery: interesting outcomes must emerge from rules, never be hard-wired.</w:t>
      </w:r>
    </w:p>
    <w:p>
      <w:r>
        <w:rPr>
          <w:sz w:val="24"/>
          <w:szCs w:val="24"/>
        </w:rPr>
        <w:t xml:space="preserve"/>
      </w:r>
    </w:p>
    <w:p>
      <w:r>
        <w:rPr>
          <w:rFonts w:ascii="Arial" w:cs="Arial" w:eastAsia="Arial" w:hAnsi="Arial"/>
          <w:b/>
          <w:bCs/>
          <w:sz w:val="24"/>
          <w:szCs w:val="24"/>
        </w:rPr>
        <w:t xml:space="preserve">Entities. </w:t>
      </w:r>
      <w:r>
        <w:rPr>
          <w:rFonts w:ascii="Arial" w:cs="Arial" w:eastAsia="Arial" w:hAnsi="Arial"/>
          <w:sz w:val="24"/>
          <w:szCs w:val="24"/>
        </w:rPr>
        <w:t xml:space="preserve">The model contains three entity types: (1) </w:t>
      </w:r>
      <w:r>
        <w:rPr>
          <w:rFonts w:ascii="Arial" w:cs="Arial" w:eastAsia="Arial" w:hAnsi="Arial"/>
          <w:i/>
          <w:iCs/>
          <w:sz w:val="24"/>
          <w:szCs w:val="24"/>
        </w:rPr>
        <w:t xml:space="preserve">Agents</w:t>
      </w:r>
      <w:r>
        <w:rPr>
          <w:rFonts w:ascii="Arial" w:cs="Arial" w:eastAsia="Arial" w:hAnsi="Arial"/>
          <w:sz w:val="24"/>
          <w:szCs w:val="24"/>
        </w:rPr>
        <w:t xml:space="preserve"> --- individual humans characterized by 35 heritable traits, non-heritable attributes (reputation, health, resources, skills, beliefs), and social relationships (pair bonds, offspring, trust ledger, faction membership). (2) </w:t>
      </w:r>
      <w:r>
        <w:rPr>
          <w:rFonts w:ascii="Arial" w:cs="Arial" w:eastAsia="Arial" w:hAnsi="Arial"/>
          <w:i/>
          <w:iCs/>
          <w:sz w:val="24"/>
          <w:szCs w:val="24"/>
        </w:rPr>
        <w:t xml:space="preserve">Society</w:t>
      </w:r>
      <w:r>
        <w:rPr>
          <w:rFonts w:ascii="Arial" w:cs="Arial" w:eastAsia="Arial" w:hAnsi="Arial"/>
          <w:sz w:val="24"/>
          <w:szCs w:val="24"/>
        </w:rPr>
        <w:t xml:space="preserve"> --- the band-level collective that maintains a partner index, faction structure, and institutional variables. (3) </w:t>
      </w:r>
      <w:r>
        <w:rPr>
          <w:rFonts w:ascii="Arial" w:cs="Arial" w:eastAsia="Arial" w:hAnsi="Arial"/>
          <w:i/>
          <w:iCs/>
          <w:sz w:val="24"/>
          <w:szCs w:val="24"/>
        </w:rPr>
        <w:t xml:space="preserve">Environment</w:t>
      </w:r>
      <w:r>
        <w:rPr>
          <w:rFonts w:ascii="Arial" w:cs="Arial" w:eastAsia="Arial" w:hAnsi="Arial"/>
          <w:sz w:val="24"/>
          <w:szCs w:val="24"/>
        </w:rPr>
        <w:t xml:space="preserve"> --- a shared resource context that generates seasonal cycles, scarcity events, and epidemics.</w:t>
      </w:r>
    </w:p>
    <w:p>
      <w:r>
        <w:rPr>
          <w:sz w:val="24"/>
          <w:szCs w:val="24"/>
        </w:rPr>
        <w:t xml:space="preserve"/>
      </w:r>
    </w:p>
    <w:p>
      <w:r>
        <w:rPr>
          <w:rFonts w:ascii="Arial" w:cs="Arial" w:eastAsia="Arial" w:hAnsi="Arial"/>
          <w:b/>
          <w:bCs/>
          <w:sz w:val="24"/>
          <w:szCs w:val="24"/>
        </w:rPr>
        <w:t xml:space="preserve">Scale. </w:t>
      </w:r>
      <w:r>
        <w:rPr>
          <w:rFonts w:ascii="Arial" w:cs="Arial" w:eastAsia="Arial" w:hAnsi="Arial"/>
          <w:sz w:val="24"/>
          <w:szCs w:val="24"/>
        </w:rPr>
        <w:t xml:space="preserve">Default population: 500 agents initialized with a realistic age pyramid (uniform 0 to 50). Default simulation length: 200 years. Annual time step. Single band (no spatial structure in v1.0).</w:t>
      </w:r>
    </w:p>
    <w:p>
      <w:r>
        <w:rPr>
          <w:sz w:val="24"/>
          <w:szCs w:val="24"/>
        </w:rPr>
        <w:t xml:space="preserve"/>
      </w:r>
    </w:p>
    <w:p>
      <w:pPr>
        <w:spacing w:after="80"/>
      </w:pPr>
      <w:r>
        <w:rPr>
          <w:rFonts w:ascii="Arial" w:cs="Arial" w:eastAsia="Arial" w:hAnsi="Arial"/>
          <w:sz w:val="24"/>
          <w:szCs w:val="24"/>
        </w:rPr>
        <w:t xml:space="preserve">Process overview. Each annual tick executes nine engines in fixed order:</w:t>
      </w:r>
    </w:p>
    <w:p>
      <w:pPr>
        <w:pStyle w:val="ListParagraph"/>
        <w:numPr>
          <w:ilvl w:val="0"/>
          <w:numId w:val="2"/>
        </w:numPr>
        <w:spacing w:after="60"/>
      </w:pPr>
      <w:r>
        <w:rPr>
          <w:rFonts w:ascii="Arial" w:cs="Arial" w:eastAsia="Arial" w:hAnsi="Arial"/>
          <w:b/>
          <w:bCs/>
          <w:sz w:val="24"/>
          <w:szCs w:val="24"/>
        </w:rPr>
        <w:t xml:space="preserve">Environment</w:t>
      </w:r>
      <w:r>
        <w:rPr>
          <w:rFonts w:ascii="Arial" w:cs="Arial" w:eastAsia="Arial" w:hAnsi="Arial"/>
          <w:sz w:val="24"/>
          <w:szCs w:val="24"/>
        </w:rPr>
        <w:t xml:space="preserve"> --- update seasonal cycle, trigger scarcity/epidemic events</w:t>
      </w:r>
    </w:p>
    <w:p>
      <w:pPr>
        <w:pStyle w:val="ListParagraph"/>
        <w:numPr>
          <w:ilvl w:val="0"/>
          <w:numId w:val="2"/>
        </w:numPr>
        <w:spacing w:after="60"/>
      </w:pPr>
      <w:r>
        <w:rPr>
          <w:rFonts w:ascii="Arial" w:cs="Arial" w:eastAsia="Arial" w:hAnsi="Arial"/>
          <w:b/>
          <w:bCs/>
          <w:sz w:val="24"/>
          <w:szCs w:val="24"/>
        </w:rPr>
        <w:t xml:space="preserve">Resources</w:t>
      </w:r>
      <w:r>
        <w:rPr>
          <w:rFonts w:ascii="Arial" w:cs="Arial" w:eastAsia="Arial" w:hAnsi="Arial"/>
          <w:sz w:val="24"/>
          <w:szCs w:val="24"/>
        </w:rPr>
        <w:t xml:space="preserve"> --- eight-phase resource acquisition (base production, tool bonus, intelligence bonus, cooperation network sharing, aggression penalty, equal floor, storage, investment)</w:t>
      </w:r>
    </w:p>
    <w:p>
      <w:pPr>
        <w:pStyle w:val="ListParagraph"/>
        <w:numPr>
          <w:ilvl w:val="0"/>
          <w:numId w:val="2"/>
        </w:numPr>
        <w:spacing w:after="60"/>
      </w:pPr>
      <w:r>
        <w:rPr>
          <w:rFonts w:ascii="Arial" w:cs="Arial" w:eastAsia="Arial" w:hAnsi="Arial"/>
          <w:b/>
          <w:bCs/>
          <w:sz w:val="24"/>
          <w:szCs w:val="24"/>
        </w:rPr>
        <w:t xml:space="preserve">Conflict</w:t>
      </w:r>
      <w:r>
        <w:rPr>
          <w:rFonts w:ascii="Arial" w:cs="Arial" w:eastAsia="Arial" w:hAnsi="Arial"/>
          <w:sz w:val="24"/>
          <w:szCs w:val="24"/>
        </w:rPr>
        <w:t xml:space="preserve"> --- violence initiation, deterrence, flee response, combat resolution, subordination, bystander trust updates</w:t>
      </w:r>
    </w:p>
    <w:p>
      <w:pPr>
        <w:pStyle w:val="ListParagraph"/>
        <w:numPr>
          <w:ilvl w:val="0"/>
          <w:numId w:val="2"/>
        </w:numPr>
        <w:spacing w:after="60"/>
      </w:pPr>
      <w:r>
        <w:rPr>
          <w:rFonts w:ascii="Arial" w:cs="Arial" w:eastAsia="Arial" w:hAnsi="Arial"/>
          <w:b/>
          <w:bCs/>
          <w:sz w:val="24"/>
          <w:szCs w:val="24"/>
        </w:rPr>
        <w:t xml:space="preserve">Mating</w:t>
      </w:r>
      <w:r>
        <w:rPr>
          <w:rFonts w:ascii="Arial" w:cs="Arial" w:eastAsia="Arial" w:hAnsi="Arial"/>
          <w:sz w:val="24"/>
          <w:szCs w:val="24"/>
        </w:rPr>
        <w:t xml:space="preserve"> --- female mate choice, male competition, pair bond formation and dissolution, extra-pair copulation</w:t>
      </w:r>
    </w:p>
    <w:p>
      <w:pPr>
        <w:pStyle w:val="ListParagraph"/>
        <w:numPr>
          <w:ilvl w:val="0"/>
          <w:numId w:val="2"/>
        </w:numPr>
        <w:spacing w:after="60"/>
      </w:pPr>
      <w:r>
        <w:rPr>
          <w:rFonts w:ascii="Arial" w:cs="Arial" w:eastAsia="Arial" w:hAnsi="Arial"/>
          <w:b/>
          <w:bCs/>
          <w:sz w:val="24"/>
          <w:szCs w:val="24"/>
        </w:rPr>
        <w:t xml:space="preserve">Reproduction</w:t>
      </w:r>
      <w:r>
        <w:rPr>
          <w:rFonts w:ascii="Arial" w:cs="Arial" w:eastAsia="Arial" w:hAnsi="Arial"/>
          <w:sz w:val="24"/>
          <w:szCs w:val="24"/>
        </w:rPr>
        <w:t xml:space="preserve"> --- conception, birth, trait inheritance</w:t>
      </w:r>
    </w:p>
    <w:p>
      <w:pPr>
        <w:pStyle w:val="ListParagraph"/>
        <w:numPr>
          <w:ilvl w:val="0"/>
          <w:numId w:val="2"/>
        </w:numPr>
        <w:spacing w:after="60"/>
      </w:pPr>
      <w:r>
        <w:rPr>
          <w:rFonts w:ascii="Arial" w:cs="Arial" w:eastAsia="Arial" w:hAnsi="Arial"/>
          <w:b/>
          <w:bCs/>
          <w:sz w:val="24"/>
          <w:szCs w:val="24"/>
        </w:rPr>
        <w:t xml:space="preserve">Mortality</w:t>
      </w:r>
      <w:r>
        <w:rPr>
          <w:rFonts w:ascii="Arial" w:cs="Arial" w:eastAsia="Arial" w:hAnsi="Arial"/>
          <w:sz w:val="24"/>
          <w:szCs w:val="24"/>
        </w:rPr>
        <w:t xml:space="preserve"> --- aging, natural death, childhood mortality, epidemic mortality</w:t>
      </w:r>
    </w:p>
    <w:p>
      <w:pPr>
        <w:pStyle w:val="ListParagraph"/>
        <w:numPr>
          <w:ilvl w:val="0"/>
          <w:numId w:val="2"/>
        </w:numPr>
        <w:spacing w:after="60"/>
      </w:pPr>
      <w:r>
        <w:rPr>
          <w:rFonts w:ascii="Arial" w:cs="Arial" w:eastAsia="Arial" w:hAnsi="Arial"/>
          <w:b/>
          <w:bCs/>
          <w:sz w:val="24"/>
          <w:szCs w:val="24"/>
        </w:rPr>
        <w:t xml:space="preserve">Migration</w:t>
      </w:r>
      <w:r>
        <w:rPr>
          <w:rFonts w:ascii="Arial" w:cs="Arial" w:eastAsia="Arial" w:hAnsi="Arial"/>
          <w:sz w:val="24"/>
          <w:szCs w:val="24"/>
        </w:rPr>
        <w:t xml:space="preserve"> --- emigration push factors, immigration, minimum viable population guard</w:t>
      </w:r>
    </w:p>
    <w:p>
      <w:pPr>
        <w:pStyle w:val="ListParagraph"/>
        <w:numPr>
          <w:ilvl w:val="0"/>
          <w:numId w:val="2"/>
        </w:numPr>
        <w:spacing w:after="60"/>
      </w:pPr>
      <w:r>
        <w:rPr>
          <w:rFonts w:ascii="Arial" w:cs="Arial" w:eastAsia="Arial" w:hAnsi="Arial"/>
          <w:b/>
          <w:bCs/>
          <w:sz w:val="24"/>
          <w:szCs w:val="24"/>
        </w:rPr>
        <w:t xml:space="preserve">Pathology</w:t>
      </w:r>
      <w:r>
        <w:rPr>
          <w:rFonts w:ascii="Arial" w:cs="Arial" w:eastAsia="Arial" w:hAnsi="Arial"/>
          <w:sz w:val="24"/>
          <w:szCs w:val="24"/>
        </w:rPr>
        <w:t xml:space="preserve"> --- condition activation/remission, trauma accumulation, epigenetic stress</w:t>
      </w:r>
    </w:p>
    <w:p>
      <w:pPr>
        <w:pStyle w:val="ListParagraph"/>
        <w:numPr>
          <w:ilvl w:val="0"/>
          <w:numId w:val="2"/>
        </w:numPr>
        <w:spacing w:after="160"/>
      </w:pPr>
      <w:r>
        <w:rPr>
          <w:rFonts w:ascii="Arial" w:cs="Arial" w:eastAsia="Arial" w:hAnsi="Arial"/>
          <w:b/>
          <w:bCs/>
          <w:sz w:val="24"/>
          <w:szCs w:val="24"/>
        </w:rPr>
        <w:t xml:space="preserve">Institutions</w:t>
      </w:r>
      <w:r>
        <w:rPr>
          <w:rFonts w:ascii="Arial" w:cs="Arial" w:eastAsia="Arial" w:hAnsi="Arial"/>
          <w:sz w:val="24"/>
          <w:szCs w:val="24"/>
        </w:rPr>
        <w:t xml:space="preserve"> --- institutional drift (law strength, property rights), inheritance of resources</w:t>
      </w:r>
    </w:p>
    <w:p>
      <w:pPr>
        <w:spacing w:after="160"/>
      </w:pPr>
      <w:r>
        <w:rPr>
          <w:rFonts w:ascii="Arial" w:cs="Arial" w:eastAsia="Arial" w:hAnsi="Arial"/>
          <w:sz w:val="24"/>
          <w:szCs w:val="24"/>
        </w:rPr>
        <w:t xml:space="preserve">Conflict executes before mating so that violence has direct reproductive cost: dead or injured agents cannot mate. Institutions execute after mortality so that inheritance processing sees all deaths in the current tick. Metrics are collected after all engines complete. Figure 1 illustrates the annual tick execution order.</w:t>
      </w:r>
    </w:p>
    <w:p>
      <w:pPr>
        <w:spacing w:after="240"/>
      </w:pPr>
      <w:r>
        <w:rPr>
          <w:rFonts w:ascii="Arial" w:cs="Arial" w:eastAsia="Arial" w:hAnsi="Arial"/>
          <w:b/>
          <w:bCs/>
          <w:sz w:val="24"/>
          <w:szCs w:val="24"/>
        </w:rPr>
        <w:t xml:space="preserve">AI disclosure. </w:t>
      </w:r>
      <w:r>
        <w:rPr>
          <w:rFonts w:ascii="Arial" w:cs="Arial" w:eastAsia="Arial" w:hAnsi="Arial"/>
          <w:sz w:val="24"/>
          <w:szCs w:val="24"/>
        </w:rPr>
        <w:t xml:space="preserve">Simulation code development was assisted by Claude (Anthropic, version claude-sonnet-4-6). All scientific decisions, hypotheses, experimental designs, calibration targets, and interpretations are the author's own.</w:t>
      </w:r>
    </w:p>
    <w:p>
      <w:pPr>
        <w:pStyle w:val="Heading2"/>
      </w:pPr>
      <w:r>
        <w:rPr>
          <w:rFonts w:ascii="Arial" w:cs="Arial" w:eastAsia="Arial" w:hAnsi="Arial"/>
          <w:b/>
          <w:bCs/>
          <w:sz w:val="28"/>
          <w:szCs w:val="28"/>
        </w:rPr>
        <w:t xml:space="preserve">2.2 Design Concepts</w:t>
      </w:r>
    </w:p>
    <w:p>
      <w:pPr>
        <w:spacing w:after="120"/>
      </w:pPr>
      <w:r>
        <w:rPr>
          <w:rFonts w:ascii="Arial" w:cs="Arial" w:eastAsia="Arial" w:hAnsi="Arial"/>
          <w:b/>
          <w:bCs/>
          <w:sz w:val="24"/>
          <w:szCs w:val="24"/>
        </w:rPr>
        <w:t xml:space="preserve">Emergence. </w:t>
      </w:r>
      <w:r>
        <w:rPr>
          <w:rFonts w:ascii="Arial" w:cs="Arial" w:eastAsia="Arial" w:hAnsi="Arial"/>
          <w:sz w:val="24"/>
          <w:szCs w:val="24"/>
        </w:rPr>
        <w:t xml:space="preserve">All social outcomes --- inequality, pair bond stability, faction structure, institutional strength, trait evolution --- emerge from individual-level decisions and interactions. No outcome is hard-wired. Cooperation, aggression, and institutional governance reach their equilibrium values through the interplay of heritable dispositions, learned beliefs, resource competition, and social feedback.</w:t>
      </w:r>
    </w:p>
    <w:p>
      <w:pPr>
        <w:spacing w:after="120"/>
      </w:pPr>
      <w:r>
        <w:rPr>
          <w:rFonts w:ascii="Arial" w:cs="Arial" w:eastAsia="Arial" w:hAnsi="Arial"/>
          <w:b/>
          <w:bCs/>
          <w:sz w:val="24"/>
          <w:szCs w:val="24"/>
        </w:rPr>
        <w:t xml:space="preserve">Adaptation. </w:t>
      </w:r>
      <w:r>
        <w:rPr>
          <w:rFonts w:ascii="Arial" w:cs="Arial" w:eastAsia="Arial" w:hAnsi="Arial"/>
          <w:sz w:val="24"/>
          <w:szCs w:val="24"/>
        </w:rPr>
        <w:t xml:space="preserve">Agents do not optimize consciously. Behavioral decisions (conflict initiation, mate choice, resource sharing) are probabilistic functions of heritable traits, current state, and social context. Adaptation occurs at the population level through differential reproduction: agents whose trait profiles yield higher fitness (more surviving offspring) contribute more to the next generation's gene pool.</w:t>
      </w:r>
    </w:p>
    <w:p>
      <w:pPr>
        <w:spacing w:after="120"/>
      </w:pPr>
      <w:r>
        <w:rPr>
          <w:rFonts w:ascii="Arial" w:cs="Arial" w:eastAsia="Arial" w:hAnsi="Arial"/>
          <w:b/>
          <w:bCs/>
          <w:sz w:val="24"/>
          <w:szCs w:val="24"/>
        </w:rPr>
        <w:t xml:space="preserve">Fitness. </w:t>
      </w:r>
      <w:r>
        <w:rPr>
          <w:rFonts w:ascii="Arial" w:cs="Arial" w:eastAsia="Arial" w:hAnsi="Arial"/>
          <w:sz w:val="24"/>
          <w:szCs w:val="24"/>
        </w:rPr>
        <w:t xml:space="preserve">Fitness is not an explicit variable. It is an emergent consequence of survival and reproduction. Agents who acquire resources, avoid lethal conflict, form stable pair bonds, and produce surviving offspring are 'fit' by construction. Multiple trait channels contribute: intelligence increases resource acquisition; cooperation provides sharing bonuses and coalition protection; attractiveness and status drive mate value; aggression provides competitive advantage but incurs injury risk and reputation damage.</w:t>
      </w:r>
    </w:p>
    <w:p>
      <w:pPr>
        <w:spacing w:after="240"/>
      </w:pPr>
      <w:r>
        <w:rPr>
          <w:rFonts w:ascii="Arial" w:cs="Arial" w:eastAsia="Arial" w:hAnsi="Arial"/>
          <w:b/>
          <w:bCs/>
          <w:sz w:val="24"/>
          <w:szCs w:val="24"/>
        </w:rPr>
        <w:t xml:space="preserve">Stochasticity. </w:t>
      </w:r>
      <w:r>
        <w:rPr>
          <w:rFonts w:ascii="Arial" w:cs="Arial" w:eastAsia="Arial" w:hAnsi="Arial"/>
          <w:sz w:val="24"/>
          <w:szCs w:val="24"/>
        </w:rPr>
        <w:t xml:space="preserve">All randomness flows through a single numpy random generator seeded from the configuration. Given the same seed, the simulation produces identical results. Stochastic elements include: mate choice (probabilistic weighted by mate value), conflict initiation and outcome (probabilistic weighted by combat power), conception (probabilistic per mating attempt), mortality (probabilistic per year), epidemic timing, and trait mutation.</w:t>
      </w:r>
    </w:p>
    <w:p>
      <w:pPr>
        <w:pStyle w:val="Heading2"/>
      </w:pPr>
      <w:r>
        <w:rPr>
          <w:rFonts w:ascii="Arial" w:cs="Arial" w:eastAsia="Arial" w:hAnsi="Arial"/>
          <w:b/>
          <w:bCs/>
          <w:sz w:val="28"/>
          <w:szCs w:val="28"/>
        </w:rPr>
        <w:t xml:space="preserve">2.3 Agent Details</w:t>
      </w:r>
    </w:p>
    <w:p>
      <w:pPr>
        <w:spacing w:after="120"/>
      </w:pPr>
      <w:r>
        <w:rPr>
          <w:rFonts w:ascii="Arial" w:cs="Arial" w:eastAsia="Arial" w:hAnsi="Arial"/>
          <w:sz w:val="24"/>
          <w:szCs w:val="24"/>
        </w:rPr>
        <w:t xml:space="preserve">Each agent is defined by 35 heritable traits organized into six domains:</w:t>
      </w:r>
    </w:p>
    <w:p>
      <w:pPr>
        <w:spacing w:after="120"/>
      </w:pPr>
      <w:r>
        <w:rPr>
          <w:rFonts w:ascii="Arial" w:cs="Arial" w:eastAsia="Arial" w:hAnsi="Arial"/>
          <w:b/>
          <w:bCs/>
          <w:sz w:val="24"/>
          <w:szCs w:val="24"/>
        </w:rPr>
        <w:t xml:space="preserve">Physical Performance (6 traits): </w:t>
      </w:r>
      <w:r>
        <w:rPr>
          <w:rFonts w:ascii="Arial" w:cs="Arial" w:eastAsia="Arial" w:hAnsi="Arial"/>
          <w:sz w:val="24"/>
          <w:szCs w:val="24"/>
        </w:rPr>
        <w:t xml:space="preserve">physical_strength (h-squared = 0.60), endurance (0.50), physical_robustness (0.50), pain_tolerance (0.45), longevity_genes (0.25), disease_resistance (0.40). These traits govern combat effectiveness, foraging efficiency, damage absorption, and disease vulnerability.</w:t>
      </w:r>
    </w:p>
    <w:p>
      <w:pPr>
        <w:spacing w:after="120"/>
      </w:pPr>
      <w:r>
        <w:rPr>
          <w:rFonts w:ascii="Arial" w:cs="Arial" w:eastAsia="Arial" w:hAnsi="Arial"/>
          <w:b/>
          <w:bCs/>
          <w:sz w:val="24"/>
          <w:szCs w:val="24"/>
        </w:rPr>
        <w:t xml:space="preserve">Cognitive (4 traits): </w:t>
      </w:r>
      <w:r>
        <w:rPr>
          <w:rFonts w:ascii="Arial" w:cs="Arial" w:eastAsia="Arial" w:hAnsi="Arial"/>
          <w:sz w:val="24"/>
          <w:szCs w:val="24"/>
        </w:rPr>
        <w:t xml:space="preserve">intelligence_proxy (h-squared = 0.65), emotional_intelligence (0.40), impulse_control (0.50), conscientiousness (0.49). Intelligence drives resource acquisition efficiency; impulse control gates the expression of aggression into actual conflict; conscientiousness affects skill maintenance.</w:t>
      </w:r>
    </w:p>
    <w:p>
      <w:pPr>
        <w:spacing w:after="120"/>
      </w:pPr>
      <w:r>
        <w:rPr>
          <w:rFonts w:ascii="Arial" w:cs="Arial" w:eastAsia="Arial" w:hAnsi="Arial"/>
          <w:b/>
          <w:bCs/>
          <w:sz w:val="24"/>
          <w:szCs w:val="24"/>
        </w:rPr>
        <w:t xml:space="preserve">Social Architecture (9 traits): </w:t>
      </w:r>
      <w:r>
        <w:rPr>
          <w:rFonts w:ascii="Arial" w:cs="Arial" w:eastAsia="Arial" w:hAnsi="Arial"/>
          <w:sz w:val="24"/>
          <w:szCs w:val="24"/>
        </w:rPr>
        <w:t xml:space="preserve">aggression_propensity (h-squared = 0.44), cooperation_propensity (0.40), dominance_drive (0.50), group_loyalty (0.42), outgroup_tolerance (0.40), empathy_capacity (0.35), conformity_bias (0.35), status_drive (0.50), jealousy_sensitivity (0.45). These traits govern the core social dynamics: cooperation versus competition, in-group versus out-group behavior, and status seeking.</w:t>
      </w:r>
    </w:p>
    <w:p>
      <w:pPr>
        <w:spacing w:after="120"/>
      </w:pPr>
      <w:r>
        <w:rPr>
          <w:rFonts w:ascii="Arial" w:cs="Arial" w:eastAsia="Arial" w:hAnsi="Arial"/>
          <w:b/>
          <w:bCs/>
          <w:sz w:val="24"/>
          <w:szCs w:val="24"/>
        </w:rPr>
        <w:t xml:space="preserve">Reproductive Biology (5 traits): </w:t>
      </w:r>
      <w:r>
        <w:rPr>
          <w:rFonts w:ascii="Arial" w:cs="Arial" w:eastAsia="Arial" w:hAnsi="Arial"/>
          <w:sz w:val="24"/>
          <w:szCs w:val="24"/>
        </w:rPr>
        <w:t xml:space="preserve">fertility_base (h-squared = 0.50), sexual_maturation_rate (0.60), maternal_investment (0.35), paternal_investment_preference (0.45), attractiveness_base (0.50). These traits determine mating success and reproductive output.</w:t>
      </w:r>
    </w:p>
    <w:p>
      <w:pPr>
        <w:spacing w:after="160"/>
      </w:pPr>
      <w:r>
        <w:rPr>
          <w:rFonts w:ascii="Arial" w:cs="Arial" w:eastAsia="Arial" w:hAnsi="Arial"/>
          <w:b/>
          <w:bCs/>
          <w:sz w:val="24"/>
          <w:szCs w:val="24"/>
        </w:rPr>
        <w:t xml:space="preserve">Psychopathology Spectrum (6 traits): </w:t>
      </w:r>
      <w:r>
        <w:rPr>
          <w:rFonts w:ascii="Arial" w:cs="Arial" w:eastAsia="Arial" w:hAnsi="Arial"/>
          <w:sz w:val="24"/>
          <w:szCs w:val="24"/>
        </w:rPr>
        <w:t xml:space="preserve">psychopathy_tendency (h-squared = 0.50), mental_illness_risk (0.60), cardiovascular_risk (0.50), autoimmune_risk (0.40), metabolic_risk (0.45), degenerative_risk (0.35). These traits model heritable vulnerability to physical and psychological conditions.</w:t>
      </w:r>
    </w:p>
    <w:p>
      <w:pPr>
        <w:spacing w:after="240"/>
      </w:pPr>
      <w:r>
        <w:rPr>
          <w:rFonts w:ascii="Arial" w:cs="Arial" w:eastAsia="Arial" w:hAnsi="Arial"/>
          <w:sz w:val="24"/>
          <w:szCs w:val="24"/>
        </w:rPr>
        <w:t xml:space="preserve">Offspring trait values are computed as: child_value = h-squared * parent_midpoint + (1 - h-squared) * population_mean + mutation, where parent_midpoint is the average of the two parents' trait values (with stochastic parent-weighting variance = 0.1), population_mean is the current band mean for that trait, and mutation is drawn from N(0, 0.05). Rare large mutations (probability 0.05 per trait) use sigma = 0.15. Stress-exposed parents transmit epigenetic load that amplifies mutation variance by up to 1.5x. All trait values are clamped to [0.0, 1.0].</w:t>
      </w:r>
    </w:p>
    <w:p>
      <w:pPr>
        <w:pStyle w:val="Heading2"/>
      </w:pPr>
      <w:r>
        <w:rPr>
          <w:rFonts w:ascii="Arial" w:cs="Arial" w:eastAsia="Arial" w:hAnsi="Arial"/>
          <w:b/>
          <w:bCs/>
          <w:sz w:val="28"/>
          <w:szCs w:val="28"/>
        </w:rPr>
        <w:t xml:space="preserve">2.4 Engine Details</w:t>
      </w:r>
    </w:p>
    <w:p>
      <w:pPr>
        <w:spacing w:after="120"/>
      </w:pPr>
      <w:r>
        <w:rPr>
          <w:rFonts w:ascii="Arial" w:cs="Arial" w:eastAsia="Arial" w:hAnsi="Arial"/>
          <w:b/>
          <w:bCs/>
          <w:sz w:val="24"/>
          <w:szCs w:val="24"/>
        </w:rPr>
        <w:t xml:space="preserve">Environment engine. </w:t>
      </w:r>
      <w:r>
        <w:rPr>
          <w:rFonts w:ascii="Arial" w:cs="Arial" w:eastAsia="Arial" w:hAnsi="Arial"/>
          <w:sz w:val="24"/>
          <w:szCs w:val="24"/>
        </w:rPr>
        <w:t xml:space="preserve">Updates the seasonal resource cycle (3-year period, amplitude 0.3) and triggers stochastic events: scarcity shocks (base probability 0.03/year; severity multiplier 0.6) and epidemics (base probability 0.02/year; lethality 0.254; 2-year duration; 20-year refractory period; overcrowding multiplier 2.0 above 80% carrying capacity).</w:t>
      </w:r>
    </w:p>
    <w:p>
      <w:pPr>
        <w:spacing w:after="120"/>
      </w:pPr>
      <w:r>
        <w:rPr>
          <w:rFonts w:ascii="Arial" w:cs="Arial" w:eastAsia="Arial" w:hAnsi="Arial"/>
          <w:b/>
          <w:bCs/>
          <w:sz w:val="24"/>
          <w:szCs w:val="24"/>
        </w:rPr>
        <w:t xml:space="preserve">Conflict engine. </w:t>
      </w:r>
      <w:r>
        <w:rPr>
          <w:rFonts w:ascii="Arial" w:cs="Arial" w:eastAsia="Arial" w:hAnsi="Arial"/>
          <w:sz w:val="24"/>
          <w:szCs w:val="24"/>
        </w:rPr>
        <w:t xml:space="preserve">Agents initiate conflict based on aggression propensity, jealousy triggers, resource grievances, and random baseline probability. Institutional law strength and coalition deterrence suppress initiation. Targets are selected probabilistically, weighted by resource holdings and inversely by ally count. Low-risk-tolerance targets may flee. Combat resolution depends on a composite power score (aggression + status + health + risk tolerance + resource advantage + ally count). Losers suffer health damage (0.15), resource loss (10%), possible death (5% per conflict), and enter a 2-year subordination cooldown.</w:t>
      </w:r>
    </w:p>
    <w:p>
      <w:pPr>
        <w:spacing w:after="120"/>
      </w:pPr>
      <w:r>
        <w:rPr>
          <w:rFonts w:ascii="Arial" w:cs="Arial" w:eastAsia="Arial" w:hAnsi="Arial"/>
          <w:b/>
          <w:bCs/>
          <w:sz w:val="24"/>
          <w:szCs w:val="24"/>
        </w:rPr>
        <w:t xml:space="preserve">Mating engine. </w:t>
      </w:r>
      <w:r>
        <w:rPr>
          <w:rFonts w:ascii="Arial" w:cs="Arial" w:eastAsia="Arial" w:hAnsi="Arial"/>
          <w:sz w:val="24"/>
          <w:szCs w:val="24"/>
        </w:rPr>
        <w:t xml:space="preserve">Eligible agents enter the mating pool (70% participation rate). Females choose mates probabilistically weighted by mate value (a composite of status, attractiveness, resources, prestige goods, and health, with an age curve peaking at 27). Female choice penalizes aggression and rewards cooperation. Pair bonds form with configurable strength; dissolution is probabilistic (calibrated at 0.02/year base rate). Extra-pair copulation is modeled with detection probability (0.4), paternity uncertainty, and bond destabilization driven by the partner's jealousy sensitivity.</w:t>
      </w:r>
    </w:p>
    <w:p>
      <w:pPr>
        <w:spacing w:after="120"/>
      </w:pPr>
      <w:r>
        <w:rPr>
          <w:rFonts w:ascii="Arial" w:cs="Arial" w:eastAsia="Arial" w:hAnsi="Arial"/>
          <w:b/>
          <w:bCs/>
          <w:sz w:val="24"/>
          <w:szCs w:val="24"/>
        </w:rPr>
        <w:t xml:space="preserve">Reproduction engine. </w:t>
      </w:r>
      <w:r>
        <w:rPr>
          <w:rFonts w:ascii="Arial" w:cs="Arial" w:eastAsia="Arial" w:hAnsi="Arial"/>
          <w:sz w:val="24"/>
          <w:szCs w:val="24"/>
        </w:rPr>
        <w:t xml:space="preserve">Bonded pairs attempt conception annually. Conception probability depends on base chance (calibrated at 0.80), female fertility (trait-based, declining after age 30), health, and seasonal cycle. Birth interval minimum is 2 years. Offspring inherit traits via the quantitative-genetics model described in Section 2.3. Maternal health cost per birth is 0.03. Maximum lifetime births per female is 12.</w:t>
      </w:r>
    </w:p>
    <w:p>
      <w:pPr>
        <w:spacing w:after="120"/>
      </w:pPr>
      <w:r>
        <w:rPr>
          <w:rFonts w:ascii="Arial" w:cs="Arial" w:eastAsia="Arial" w:hAnsi="Arial"/>
          <w:b/>
          <w:bCs/>
          <w:sz w:val="24"/>
          <w:szCs w:val="24"/>
        </w:rPr>
        <w:t xml:space="preserve">Mortality engine. </w:t>
      </w:r>
      <w:r>
        <w:rPr>
          <w:rFonts w:ascii="Arial" w:cs="Arial" w:eastAsia="Arial" w:hAnsi="Arial"/>
          <w:sz w:val="24"/>
          <w:szCs w:val="24"/>
        </w:rPr>
        <w:t xml:space="preserve">Death occurs through natural aging (mean 60, SD 15, modified by longevity genes), background mortality (calibrated at 0.006/year), childhood mortality (calibrated at 0.054/year for ages 0-15), epidemic mortality, violence, and childbirth risk (0.02 per birth). Male risk mortality multiplier is 2.12 for ages 15-40.</w:t>
      </w:r>
    </w:p>
    <w:p>
      <w:pPr>
        <w:spacing w:after="240"/>
      </w:pPr>
      <w:r>
        <w:rPr>
          <w:rFonts w:ascii="Arial" w:cs="Arial" w:eastAsia="Arial" w:hAnsi="Arial"/>
          <w:b/>
          <w:bCs/>
          <w:sz w:val="24"/>
          <w:szCs w:val="24"/>
        </w:rPr>
        <w:t xml:space="preserve">Institution engine. </w:t>
      </w:r>
      <w:r>
        <w:rPr>
          <w:rFonts w:ascii="Arial" w:cs="Arial" w:eastAsia="Arial" w:hAnsi="Arial"/>
          <w:sz w:val="24"/>
          <w:szCs w:val="24"/>
        </w:rPr>
        <w:t xml:space="preserve">When institutional drift is enabled (default rate 0.01/year), law strength adjusts annually based on the band's cooperation-violence balance: high cooperation pushes law strength up; high violence pushes it down. Institutional inertia (default 0.8) resists rapid change. Property rights modulate conflict resource transfer. Inheritance of resources to offspring is enabled by default (equal split).</w:t>
      </w:r>
    </w:p>
    <w:p>
      <w:pPr>
        <w:pStyle w:val="Heading2"/>
      </w:pPr>
      <w:r>
        <w:rPr>
          <w:rFonts w:ascii="Arial" w:cs="Arial" w:eastAsia="Arial" w:hAnsi="Arial"/>
          <w:b/>
          <w:bCs/>
          <w:sz w:val="28"/>
          <w:szCs w:val="28"/>
        </w:rPr>
        <w:t xml:space="preserve">2.5 Scenarios</w:t>
      </w:r>
    </w:p>
    <w:p>
      <w:pPr>
        <w:spacing w:after="160"/>
      </w:pPr>
      <w:r>
        <w:rPr>
          <w:rFonts w:ascii="Arial" w:cs="Arial" w:eastAsia="Arial" w:hAnsi="Arial"/>
          <w:sz w:val="24"/>
          <w:szCs w:val="24"/>
        </w:rPr>
        <w:t xml:space="preserve">The following scenarios are used in experiments. FREE_COMPETITION serves as the baseline; all others modify specific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Scenario</w:t>
            </w:r>
          </w:p>
        </w:tc>
        <w:tc>
          <w:tcPr>
            <w:tcW w:type="dxa" w:w="3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Key Parameter Changes</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FREE_COMPETITION</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Default calibrated config (institutional drift 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Baseline: weak endogenous governance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NO_INSTITUTIONS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Drift disabled, law = 0, no property rights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True zero-governance control</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ENFORCED_MONOGAMY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Monogamy enforced, law = 0.7, punishment = 0.5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Monogamy hypothesis (Henrich et al., 2012)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ELITE_POLYGYNY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Elite privilege 3x, max 5 mates/male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Polygyny and inequality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HIGH_FEMALE_CHOICE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Female choice strength = 0.95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Sexual selection pressure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RESOURCE_SCARCITY</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Abundance 0.6x, volatility 0.3, frequent shocks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Ecological stress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STRONG_STATE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Law = 0.8, punishment = 0.7, property rights = 0.5, monogamy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imposed governance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EMERGENT_INSTITUTIONS</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Law starts at 0, high drift rate (0.02), low inertia (0.7)</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Self-organizing governance</w:t>
            </w:r>
          </w:p>
        </w:tc>
      </w:tr>
    </w:tbl>
    <w:p>
      <w:r>
        <w:rPr>
          <w:sz w:val="24"/>
          <w:szCs w:val="24"/>
        </w:rPr>
        <w:t xml:space="preserve"/>
      </w:r>
    </w:p>
    <w:p>
      <w:pPr>
        <w:pStyle w:val="Heading1"/>
      </w:pPr>
      <w:r>
        <w:rPr>
          <w:rFonts w:ascii="Arial" w:cs="Arial" w:eastAsia="Arial" w:hAnsi="Arial"/>
          <w:b/>
          <w:bCs/>
          <w:sz w:val="32"/>
          <w:szCs w:val="32"/>
        </w:rPr>
        <w:t xml:space="preserve">3. Calibration and Validation</w:t>
      </w:r>
    </w:p>
    <w:p>
      <w:pPr>
        <w:pStyle w:val="Heading2"/>
      </w:pPr>
      <w:r>
        <w:rPr>
          <w:rFonts w:ascii="Arial" w:cs="Arial" w:eastAsia="Arial" w:hAnsi="Arial"/>
          <w:b/>
          <w:bCs/>
          <w:sz w:val="28"/>
          <w:szCs w:val="28"/>
        </w:rPr>
        <w:t xml:space="preserve">3.1 Calibration targets</w:t>
      </w:r>
    </w:p>
    <w:p>
      <w:pPr>
        <w:spacing w:after="160"/>
      </w:pPr>
      <w:r>
        <w:rPr>
          <w:rFonts w:ascii="Arial" w:cs="Arial" w:eastAsia="Arial" w:hAnsi="Arial"/>
          <w:sz w:val="24"/>
          <w:szCs w:val="24"/>
        </w:rPr>
        <w:t xml:space="preserve">The model is calibrated against nine empirically grounded benchmarks targeting pre-state, band-level societies. Each target is expressed as an acceptable range rather than a point estimate, reflecting genuine uncertainty in the ethnographic literature.</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1440"/>
        <w:gridCol w:w="720"/>
        <w:gridCol w:w="2040"/>
      </w:tblGrid>
      <w:tr>
        <w:tc>
          <w:tcPr>
            <w:tcW w:type="dxa" w:w="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Metric</w:t>
            </w:r>
          </w:p>
        </w:tc>
        <w:tc>
          <w:tcPr>
            <w:tcW w:type="dxa" w:w="1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Target Range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Weight</w:t>
            </w:r>
          </w:p>
        </w:tc>
        <w:tc>
          <w:tcPr>
            <w:tcW w:type="dxa" w:w="20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Primary Source</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 Gini</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0.30 - 0.50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Borgerhoff Mulder et al. (2009)</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Mating inequality (male offspring Gini)</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0.40 - 0.70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Betzig (2012)</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Violence death fraction (male)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0.05 - 0.15</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Keeley (1996); Chagnon (1988)</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Population growth rate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0.001 - 0.015/yr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Hassan (1981); Biraben (1980)</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Child survival to age 15</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0.50 - 0.70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Volk &amp; Atkinson (2013)</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Lifetime births per woman</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4.0 - 7.0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Bentley (1996); Marlowe (2010)</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Pair bond dissolution rate</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0.10 - 0.30/yr</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Betzig (1989)</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cooperation propensity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0.25 - 0.70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Henrich et al. (2001)</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aggression propensity</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0.30 - 0.60</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w:t>
            </w:r>
          </w:p>
        </w:tc>
        <w:tc>
          <w:tcPr>
            <w:tcW w:type="dxa" w:w="20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Archer (2009)</w:t>
            </w:r>
          </w:p>
        </w:tc>
      </w:tr>
    </w:tbl>
    <w:p>
      <w:r>
        <w:rPr>
          <w:sz w:val="24"/>
          <w:szCs w:val="24"/>
        </w:rPr>
        <w:t xml:space="preserve"/>
      </w:r>
    </w:p>
    <w:p>
      <w:pPr>
        <w:pStyle w:val="Heading2"/>
      </w:pPr>
      <w:r>
        <w:rPr>
          <w:rFonts w:ascii="Arial" w:cs="Arial" w:eastAsia="Arial" w:hAnsi="Arial"/>
          <w:b/>
          <w:bCs/>
          <w:sz w:val="28"/>
          <w:szCs w:val="28"/>
        </w:rPr>
        <w:t xml:space="preserve">3.2 AutoSIM methodology</w:t>
      </w:r>
    </w:p>
    <w:p>
      <w:pPr>
        <w:spacing w:after="160"/>
      </w:pPr>
      <w:r>
        <w:rPr>
          <w:rFonts w:ascii="Arial" w:cs="Arial" w:eastAsia="Arial" w:hAnsi="Arial"/>
          <w:sz w:val="24"/>
          <w:szCs w:val="24"/>
        </w:rPr>
        <w:t xml:space="preserve">Calibration was performed using AutoSIM, a custom simulated annealing optimizer operating on 36 continuous configuration parameters. The optimizer perturbs 2-5 parameters per experiment, accepts improvements deterministically, and accepts downhill moves probabilistically per the Metropolis criterion. Key algorithm parameters: initial temperature 0.085, geometric cooling factor approximately 0.9992 per experiment, perturbation scale 0.15 of parameter range, and random jumps every 10th experiment (5 parameters, scale 0.30).</w:t>
      </w:r>
    </w:p>
    <w:p>
      <w:pPr>
        <w:spacing w:after="240"/>
      </w:pPr>
      <w:r>
        <w:rPr>
          <w:rFonts w:ascii="Arial" w:cs="Arial" w:eastAsia="Arial" w:hAnsi="Arial"/>
          <w:sz w:val="24"/>
          <w:szCs w:val="24"/>
        </w:rPr>
        <w:t xml:space="preserve">Each experiment evaluates a candidate configuration by running the simulation for 150 years with 500 agents across 2 random seeds, measuring all 9 metrics over the final 30 years, and computing a weighted realism score. The calibration campaign (Run 3) executed 816 experiments over approximately 10.5 hours.</w:t>
      </w:r>
    </w:p>
    <w:p>
      <w:pPr>
        <w:pStyle w:val="Heading2"/>
      </w:pPr>
      <w:r>
        <w:rPr>
          <w:rFonts w:ascii="Arial" w:cs="Arial" w:eastAsia="Arial" w:hAnsi="Arial"/>
          <w:b/>
          <w:bCs/>
          <w:sz w:val="28"/>
          <w:szCs w:val="28"/>
        </w:rPr>
        <w:t xml:space="preserve">3.3 Calibrated performance</w:t>
      </w:r>
    </w:p>
    <w:p>
      <w:pPr>
        <w:spacing w:after="160"/>
      </w:pPr>
      <w:r>
        <w:rPr>
          <w:rFonts w:ascii="Arial" w:cs="Arial" w:eastAsia="Arial" w:hAnsi="Arial"/>
          <w:sz w:val="24"/>
          <w:szCs w:val="24"/>
        </w:rPr>
        <w:t xml:space="preserve">The best configuration (experiment score 1.000) achieved all nine metrics simultaneously within their target ranges: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160"/>
        <w:gridCol w:w="1400"/>
      </w:tblGrid>
      <w:tr>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Metric</w:t>
            </w:r>
          </w:p>
        </w:tc>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Calibrated Value</w:t>
            </w:r>
          </w:p>
        </w:tc>
        <w:tc>
          <w:tcPr>
            <w:tcW w:type="dxa" w:w="2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Target Range</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Status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 Gini</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0.310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0.30 - 0.50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range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Mating inequality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0.578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0.40 - 0.70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range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Violence death fraction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0.069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0.05 - 0.15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range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Population growth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0.014/yr</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0.001 - 0.015</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range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Child survival to 15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0.642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0.50 - 0.70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range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Lifetime births per woman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4.21</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4.0 - 7.0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range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Bond dissolution rate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0.118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0.10 - 0.30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range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cooperation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0.507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0.25 - 0.70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range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Mean aggression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0.494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0.30 - 0.60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 range</w:t>
            </w:r>
          </w:p>
        </w:tc>
      </w:tr>
    </w:tbl>
    <w:p>
      <w:r>
        <w:rPr>
          <w:sz w:val="24"/>
          <w:szCs w:val="24"/>
        </w:rPr>
        <w:t xml:space="preserve"/>
      </w:r>
    </w:p>
    <w:p>
      <w:pPr>
        <w:spacing w:after="240"/>
      </w:pPr>
      <w:r>
        <w:rPr>
          <w:rFonts w:ascii="Arial" w:cs="Arial" w:eastAsia="Arial" w:hAnsi="Arial"/>
          <w:sz w:val="24"/>
          <w:szCs w:val="24"/>
        </w:rPr>
        <w:t xml:space="preserve">Figure 2 shows the calibrated values relative to their target ranges.</w:t>
      </w:r>
    </w:p>
    <w:p>
      <w:pPr>
        <w:pStyle w:val="Heading2"/>
      </w:pPr>
      <w:r>
        <w:rPr>
          <w:rFonts w:ascii="Arial" w:cs="Arial" w:eastAsia="Arial" w:hAnsi="Arial"/>
          <w:b/>
          <w:bCs/>
          <w:sz w:val="28"/>
          <w:szCs w:val="28"/>
        </w:rPr>
        <w:t xml:space="preserve">3.4 Held-out validation</w:t>
      </w:r>
    </w:p>
    <w:p>
      <w:pPr>
        <w:spacing w:after="160"/>
      </w:pPr>
      <w:r>
        <w:rPr>
          <w:rFonts w:ascii="Arial" w:cs="Arial" w:eastAsia="Arial" w:hAnsi="Arial"/>
          <w:sz w:val="24"/>
          <w:szCs w:val="24"/>
        </w:rPr>
        <w:t xml:space="preserve">To assess generalization beyond training seeds, we conducted a held-out validation pass using 10 seeds drawn from a separate pseudorandom sequence (seeded at 7777, guaranteed non-overlapping with training seeds 42 and 137). Each seed was run twice independently at 200 years with 500 agents, yielding 20 total validation runs.</w:t>
      </w:r>
    </w:p>
    <w:p>
      <w:pPr>
        <w:spacing w:after="240"/>
      </w:pPr>
      <w:r>
        <w:rPr>
          <w:rFonts w:ascii="Arial" w:cs="Arial" w:eastAsia="Arial" w:hAnsi="Arial"/>
          <w:sz w:val="24"/>
          <w:szCs w:val="24"/>
        </w:rPr>
        <w:t xml:space="preserve">Mean realism score: 0.934 (grand mean across 20 runs). Population collapses: 0 out of 20. Four metrics proved robust (10/10 seeds in range in both runs): resource Gini, mating inequality, cooperation propensity, and aggression propensity. Three metrics proved fragile: violence death fraction (mean 0.040-0.049, below the 0.05 target floor), population growth rate (high stochastic variance), and child survival to age 15 (mean 0.682-0.689, slightly above the 0.70 ceiling). These fragilities are structurally explained: violence death fraction is depressed because the single-band model lacks inter-group warfare.</w:t>
      </w:r>
    </w:p>
    <w:p>
      <w:pPr>
        <w:pStyle w:val="Heading2"/>
      </w:pPr>
      <w:r>
        <w:rPr>
          <w:rFonts w:ascii="Arial" w:cs="Arial" w:eastAsia="Arial" w:hAnsi="Arial"/>
          <w:b/>
          <w:bCs/>
          <w:sz w:val="28"/>
          <w:szCs w:val="28"/>
        </w:rPr>
        <w:t xml:space="preserve">3.5 Known limitations</w:t>
      </w:r>
    </w:p>
    <w:p>
      <w:pPr>
        <w:pStyle w:val="ListParagraph"/>
        <w:numPr>
          <w:ilvl w:val="0"/>
          <w:numId w:val="2"/>
        </w:numPr>
        <w:spacing w:after="80"/>
      </w:pPr>
      <w:r>
        <w:rPr>
          <w:rFonts w:ascii="Arial" w:cs="Arial" w:eastAsia="Arial" w:hAnsi="Arial"/>
          <w:b/>
          <w:bCs/>
          <w:sz w:val="24"/>
          <w:szCs w:val="24"/>
        </w:rPr>
        <w:t xml:space="preserve">No inter-group dynamics. </w:t>
      </w:r>
      <w:r>
        <w:rPr>
          <w:rFonts w:ascii="Arial" w:cs="Arial" w:eastAsia="Arial" w:hAnsi="Arial"/>
          <w:sz w:val="24"/>
          <w:szCs w:val="24"/>
        </w:rPr>
        <w:t xml:space="preserve">SIMSIV v1.0 models a single band in isolation. There is no inter-band warfare, trade, intermarriage, or cultural exchange.</w:t>
      </w:r>
    </w:p>
    <w:p>
      <w:pPr>
        <w:pStyle w:val="ListParagraph"/>
        <w:numPr>
          <w:ilvl w:val="0"/>
          <w:numId w:val="2"/>
        </w:numPr>
        <w:spacing w:after="80"/>
      </w:pPr>
      <w:r>
        <w:rPr>
          <w:rFonts w:ascii="Arial" w:cs="Arial" w:eastAsia="Arial" w:hAnsi="Arial"/>
          <w:b/>
          <w:bCs/>
          <w:sz w:val="24"/>
          <w:szCs w:val="24"/>
        </w:rPr>
        <w:t xml:space="preserve">No spatial structure. </w:t>
      </w:r>
      <w:r>
        <w:rPr>
          <w:rFonts w:ascii="Arial" w:cs="Arial" w:eastAsia="Arial" w:hAnsi="Arial"/>
          <w:sz w:val="24"/>
          <w:szCs w:val="24"/>
        </w:rPr>
        <w:t xml:space="preserve">Agents interact within a single field. Household and neighborhood tiers exist but are abstract trust-network proximity, not geographic.</w:t>
      </w:r>
    </w:p>
    <w:p>
      <w:pPr>
        <w:pStyle w:val="ListParagraph"/>
        <w:numPr>
          <w:ilvl w:val="0"/>
          <w:numId w:val="2"/>
        </w:numPr>
        <w:spacing w:after="80"/>
      </w:pPr>
      <w:r>
        <w:rPr>
          <w:rFonts w:ascii="Arial" w:cs="Arial" w:eastAsia="Arial" w:hAnsi="Arial"/>
          <w:b/>
          <w:bCs/>
          <w:sz w:val="24"/>
          <w:szCs w:val="24"/>
        </w:rPr>
        <w:t xml:space="preserve">Annual time step. </w:t>
      </w:r>
      <w:r>
        <w:rPr>
          <w:rFonts w:ascii="Arial" w:cs="Arial" w:eastAsia="Arial" w:hAnsi="Arial"/>
          <w:sz w:val="24"/>
          <w:szCs w:val="24"/>
        </w:rPr>
        <w:t xml:space="preserve">Sub-annual dynamics (seasonal disease, short-term resource fluctuations, birth clustering) are abstracted to annual resolution.</w:t>
      </w:r>
    </w:p>
    <w:p>
      <w:pPr>
        <w:pStyle w:val="ListParagraph"/>
        <w:numPr>
          <w:ilvl w:val="0"/>
          <w:numId w:val="2"/>
        </w:numPr>
        <w:spacing w:after="80"/>
      </w:pPr>
      <w:r>
        <w:rPr>
          <w:rFonts w:ascii="Arial" w:cs="Arial" w:eastAsia="Arial" w:hAnsi="Arial"/>
          <w:b/>
          <w:bCs/>
          <w:sz w:val="24"/>
          <w:szCs w:val="24"/>
        </w:rPr>
        <w:t xml:space="preserve">Simplified genetics. </w:t>
      </w:r>
      <w:r>
        <w:rPr>
          <w:rFonts w:ascii="Arial" w:cs="Arial" w:eastAsia="Arial" w:hAnsi="Arial"/>
          <w:sz w:val="24"/>
          <w:szCs w:val="24"/>
        </w:rPr>
        <w:t xml:space="preserve">The inheritance model is a quantitative-genetics approximation, not a molecular-genetics simulation. There are no dominant/recessive alleles, no linkage disequilibrium, and no explicit loci.</w:t>
      </w:r>
    </w:p>
    <w:p>
      <w:pPr>
        <w:pStyle w:val="ListParagraph"/>
        <w:numPr>
          <w:ilvl w:val="0"/>
          <w:numId w:val="2"/>
        </w:numPr>
        <w:spacing w:after="240"/>
      </w:pPr>
      <w:r>
        <w:rPr>
          <w:rFonts w:ascii="Arial" w:cs="Arial" w:eastAsia="Arial" w:hAnsi="Arial"/>
          <w:b/>
          <w:bCs/>
          <w:sz w:val="24"/>
          <w:szCs w:val="24"/>
        </w:rPr>
        <w:t xml:space="preserve">Modern heritability estimates. </w:t>
      </w:r>
      <w:r>
        <w:rPr>
          <w:rFonts w:ascii="Arial" w:cs="Arial" w:eastAsia="Arial" w:hAnsi="Arial"/>
          <w:sz w:val="24"/>
          <w:szCs w:val="24"/>
        </w:rPr>
        <w:t xml:space="preserve">Trait heritability coefficients are drawn from modern behavioral genetics literature and applied to a pre-industrial context. The true heritability of behavioral traits in ancestral environments is unknown.</w:t>
      </w:r>
    </w:p>
    <w:p>
      <w:pPr>
        <w:pStyle w:val="Heading1"/>
      </w:pPr>
      <w:r>
        <w:rPr>
          <w:rFonts w:ascii="Arial" w:cs="Arial" w:eastAsia="Arial" w:hAnsi="Arial"/>
          <w:b/>
          <w:bCs/>
          <w:sz w:val="32"/>
          <w:szCs w:val="32"/>
        </w:rPr>
        <w:t xml:space="preserve">4. Sensitivity Analysis</w:t>
      </w:r>
    </w:p>
    <w:p>
      <w:pPr>
        <w:pStyle w:val="Heading2"/>
      </w:pPr>
      <w:r>
        <w:rPr>
          <w:rFonts w:ascii="Arial" w:cs="Arial" w:eastAsia="Arial" w:hAnsi="Arial"/>
          <w:b/>
          <w:bCs/>
          <w:sz w:val="28"/>
          <w:szCs w:val="28"/>
        </w:rPr>
        <w:t xml:space="preserve">4.1 Method</w:t>
      </w:r>
    </w:p>
    <w:p>
      <w:pPr>
        <w:spacing w:after="240"/>
      </w:pPr>
      <w:r>
        <w:rPr>
          <w:rFonts w:ascii="Arial" w:cs="Arial" w:eastAsia="Arial" w:hAnsi="Arial"/>
          <w:sz w:val="24"/>
          <w:szCs w:val="24"/>
        </w:rPr>
        <w:t xml:space="preserve">We computed Pearson correlation coefficients between each of the 36 tunable parameters and each of the 9 output metrics across the full 816-experiment calibration sweep. Each experiment represents a unique parameter configuration evaluated at 150 years with 500 agents averaged over 2 seeds. Because the simulated annealing optimizer explores parameter space non-uniformly (concentrating near high-scoring regions), these correlations should be interpreted as local sensitivity measures in the vicinity of the calibrated optimum, not as global sensitivity indices.</w:t>
      </w:r>
    </w:p>
    <w:p>
      <w:pPr>
        <w:pStyle w:val="Heading2"/>
      </w:pPr>
      <w:r>
        <w:rPr>
          <w:rFonts w:ascii="Arial" w:cs="Arial" w:eastAsia="Arial" w:hAnsi="Arial"/>
          <w:b/>
          <w:bCs/>
          <w:sz w:val="28"/>
          <w:szCs w:val="28"/>
        </w:rPr>
        <w:t xml:space="preserve">4.2 Results: top drivers per metric</w:t>
      </w:r>
    </w:p>
    <w:p>
      <w:pPr>
        <w:spacing w:after="240"/>
      </w:pPr>
      <w:r>
        <w:rPr>
          <w:rFonts w:ascii="Arial" w:cs="Arial" w:eastAsia="Arial" w:hAnsi="Arial"/>
          <w:sz w:val="24"/>
          <w:szCs w:val="24"/>
        </w:rPr>
        <w:t xml:space="preserve">Resource Gini is most strongly driven by resource_equal_floor (r = -0.885). Bond dissolution rate is most strongly driven by pair_bond_dissolution_rate (r = +0.936). Population growth rate is driven by mortality_base (r = -0.541) and childhood_mortality_annual (r = -0.392). Violence death fraction is driven by conflict_base_probability (r = +0.490) and mortality_base (r = -0.373). Aggression propensity is driven by mortality_base (r = +0.450).</w:t>
      </w:r>
    </w:p>
    <w:p>
      <w:pPr>
        <w:pStyle w:val="Heading2"/>
      </w:pPr>
      <w:r>
        <w:rPr>
          <w:rFonts w:ascii="Arial" w:cs="Arial" w:eastAsia="Arial" w:hAnsi="Arial"/>
          <w:b/>
          <w:bCs/>
          <w:sz w:val="28"/>
          <w:szCs w:val="28"/>
        </w:rPr>
        <w:t xml:space="preserve">4.3 Key finding: cooperation is weakly driven</w:t>
      </w:r>
    </w:p>
    <w:p>
      <w:pPr>
        <w:spacing w:after="240"/>
      </w:pPr>
      <w:r>
        <w:rPr>
          <w:rFonts w:ascii="Arial" w:cs="Arial" w:eastAsia="Arial" w:hAnsi="Arial"/>
          <w:sz w:val="24"/>
          <w:szCs w:val="24"/>
        </w:rPr>
        <w:t xml:space="preserve">The most notable sensitivity result is negative: no single parameter strongly drives mean cooperation propensity. The maximum absolute correlation across all 36 parameters is |r| = 0.199 (mortality_base, negative direction). This means that cooperation is not a 'knob' that any single parameter can turn. Instead, cooperation propensity is an emergent equilibrium sustained by the interaction of multiple fitness channels: resource sharing bonuses, reputation benefits, faction membership, coalition protection, and reduced conflict targeting. The multi-channel nature of cooperation's fitness advantage makes it resistant to perturbation by any single parameter --- a property that has important implications for the substitution hypothesis.</w:t>
      </w:r>
    </w:p>
    <w:p>
      <w:pPr>
        <w:pStyle w:val="Heading2"/>
      </w:pPr>
      <w:r>
        <w:rPr>
          <w:rFonts w:ascii="Arial" w:cs="Arial" w:eastAsia="Arial" w:hAnsi="Arial"/>
          <w:b/>
          <w:bCs/>
          <w:sz w:val="28"/>
          <w:szCs w:val="28"/>
        </w:rPr>
        <w:t xml:space="preserve">4.4 Life-history confirmation: mortality drives aggression</w:t>
      </w:r>
    </w:p>
    <w:p>
      <w:pPr>
        <w:spacing w:after="320"/>
      </w:pPr>
      <w:r>
        <w:rPr>
          <w:rFonts w:ascii="Arial" w:cs="Arial" w:eastAsia="Arial" w:hAnsi="Arial"/>
          <w:sz w:val="24"/>
          <w:szCs w:val="24"/>
        </w:rPr>
        <w:t xml:space="preserve">The finding that mortality_base is the single most influential parameter globally (mean |r| = 0.315 across 8 of 9 metrics) confirms a fundamental life-history prediction. The positive correlation between mortality and aggression (r = +0.450) reproduces a well-known evolutionary prediction: in high-mortality environments, the fitness cost of risky aggressive strategies is reduced because the expected remaining lifespan is shorter (Daly &amp; Wilson, 1988; Nettle, 2010). This pattern validation --- the model reproducing a known theoretical prediction without being explicitly programmed to do so --- strengthens confidence in the model's evolutionary dynamics.</w:t>
      </w:r>
    </w:p>
    <w:p>
      <w:pPr>
        <w:pStyle w:val="Heading1"/>
      </w:pPr>
      <w:r>
        <w:rPr>
          <w:rFonts w:ascii="Arial" w:cs="Arial" w:eastAsia="Arial" w:hAnsi="Arial"/>
          <w:b/>
          <w:bCs/>
          <w:sz w:val="32"/>
          <w:szCs w:val="32"/>
        </w:rPr>
        <w:t xml:space="preserve">5. Scenario Experiments</w:t>
      </w:r>
    </w:p>
    <w:p>
      <w:pPr>
        <w:pStyle w:val="Heading2"/>
      </w:pPr>
      <w:r>
        <w:rPr>
          <w:rFonts w:ascii="Arial" w:cs="Arial" w:eastAsia="Arial" w:hAnsi="Arial"/>
          <w:b/>
          <w:bCs/>
          <w:sz w:val="28"/>
          <w:szCs w:val="28"/>
        </w:rPr>
        <w:t xml:space="preserve">5.1 Experimental design</w:t>
      </w:r>
    </w:p>
    <w:p>
      <w:pPr>
        <w:spacing w:after="240"/>
      </w:pPr>
      <w:r>
        <w:rPr>
          <w:rFonts w:ascii="Arial" w:cs="Arial" w:eastAsia="Arial" w:hAnsi="Arial"/>
          <w:sz w:val="24"/>
          <w:szCs w:val="24"/>
        </w:rPr>
        <w:t xml:space="preserve">We conducted scenario experiments at two time horizons: 200 years (10 seeds per scenario, sufficient for behavioral comparison) and 500 years (10 seeds per scenario, targeting trait divergence detection). All experiments used the calibrated baseline configuration from AutoSIM Run 3, with scenario-specific parameter overrides as described in Section 2.5. Metrics were computed over the final 30 years of each run. All reported values are means across seeds.</w:t>
      </w:r>
    </w:p>
    <w:p>
      <w:pPr>
        <w:pStyle w:val="Heading2"/>
      </w:pPr>
      <w:r>
        <w:rPr>
          <w:rFonts w:ascii="Arial" w:cs="Arial" w:eastAsia="Arial" w:hAnsi="Arial"/>
          <w:b/>
          <w:bCs/>
          <w:sz w:val="28"/>
          <w:szCs w:val="28"/>
        </w:rPr>
        <w:t xml:space="preserve">5.2 Governance spectrum: behavioral substitution without genetic divergence</w:t>
      </w:r>
    </w:p>
    <w:p>
      <w:pPr>
        <w:spacing w:after="160"/>
      </w:pPr>
      <w:r>
        <w:rPr>
          <w:rFonts w:ascii="Arial" w:cs="Arial" w:eastAsia="Arial" w:hAnsi="Arial"/>
          <w:sz w:val="24"/>
          <w:szCs w:val="24"/>
        </w:rPr>
        <w:t xml:space="preserve">The governance spectrum experiment compared three scenarios representing a gradient from zero governance (NO_INSTITUTIONS) through endogenous governance (FREE_COMPETITION) to strong imposed governance (STRONG_STATE).</w:t>
      </w:r>
    </w:p>
    <w:p>
      <w:pPr>
        <w:spacing w:after="80"/>
      </w:pPr>
      <w:r>
        <w:rPr>
          <w:rFonts w:ascii="Arial" w:cs="Arial" w:eastAsia="Arial" w:hAnsi="Arial"/>
          <w:sz w:val="24"/>
          <w:szCs w:val="24"/>
        </w:rPr>
        <w:t xml:space="preserve">200-year results (10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Metric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NO_INSTITUTIONS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FREE_COMPETITION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STRONG_STATE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Cooperation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0.526 +/- 0.012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0.519 +/- 0.015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0.510 +/- 0.021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Violence rate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0.022 +/- 0.004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0.018 +/- 0.004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0.009 +/- 0.001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 Gini</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0.312 +/- 0.009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0.328 +/- 0.010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0.200 +/- 0.009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Law strength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0.000 +/- 0.000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0.481 +/- 0.029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0.985 +/- 0.013</w:t>
            </w:r>
          </w:p>
        </w:tc>
      </w:tr>
    </w:tbl>
    <w:p>
      <w:r>
        <w:rPr>
          <w:sz w:val="24"/>
          <w:szCs w:val="24"/>
        </w:rPr>
        <w:t xml:space="preserve"/>
      </w:r>
    </w:p>
    <w:p>
      <w:pPr>
        <w:spacing w:after="80"/>
      </w:pPr>
      <w:r>
        <w:rPr>
          <w:rFonts w:ascii="Arial" w:cs="Arial" w:eastAsia="Arial" w:hAnsi="Arial"/>
          <w:sz w:val="24"/>
          <w:szCs w:val="24"/>
        </w:rPr>
        <w:t xml:space="preserve">500-year results (10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Metric</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NO_INSTITUTIONS</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FREE_COMPETITION</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STRONG_STATE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Cooperation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0.523 +/- 0.024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0.524 +/- 0.020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0.523 +/- 0.028</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Aggression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0.448 +/- 0.029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0.452 +/- 0.020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0.478 +/- 0.019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Intelligence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0.632 +/- 0.020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0.644 +/- 0.019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0.596 +/- 0.023</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Law strength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0.000 +/- 0.000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0.928 +/- 0.043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 +/- 0.000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population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569 +/- 259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623 +/- 300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536 +/- 231</w:t>
            </w:r>
          </w:p>
        </w:tc>
      </w:tr>
    </w:tbl>
    <w:p>
      <w:r>
        <w:rPr>
          <w:sz w:val="24"/>
          <w:szCs w:val="24"/>
        </w:rPr>
        <w:t xml:space="preserve"/>
      </w:r>
    </w:p>
    <w:p>
      <w:pPr>
        <w:spacing w:after="160"/>
      </w:pPr>
      <w:r>
        <w:rPr>
          <w:rFonts w:ascii="Arial" w:cs="Arial" w:eastAsia="Arial" w:hAnsi="Arial"/>
          <w:sz w:val="24"/>
          <w:szCs w:val="24"/>
        </w:rPr>
        <w:t xml:space="preserve">Figure 3 plots mean cooperation propensity across all 500 simulated years for the three governance scenarios, confirming the absence of divergence at all time points, not just the final year.</w:t>
      </w:r>
    </w:p>
    <w:p>
      <w:pPr>
        <w:spacing w:after="240"/>
      </w:pPr>
      <w:r>
        <w:rPr>
          <w:rFonts w:ascii="Arial" w:cs="Arial" w:eastAsia="Arial" w:hAnsi="Arial"/>
          <w:sz w:val="24"/>
          <w:szCs w:val="24"/>
        </w:rPr>
        <w:t xml:space="preserve">The central finding is in the cooperation row: 0.523, 0.524, 0.523. After 500 simulated years --- approximately 20 generations --- heritable cooperation propensity is indistinguishable across the three governance regimes. Institutions change behavior (violence, inequality, mating access) dramatically, but they do not change the underlying cooperation gene. The strong-state scenario reduces violence by more than half and restructures mating entirely, yet the heritable trait that drives cooperation is no more or less prevalent than in the ungoverned population. This is behavioral substitution: institutions substitute for genetic predisposition in producing cooperative outcomes.</w:t>
      </w:r>
    </w:p>
    <w:p>
      <w:pPr>
        <w:pStyle w:val="Heading2"/>
      </w:pPr>
      <w:r>
        <w:rPr>
          <w:rFonts w:ascii="Arial" w:cs="Arial" w:eastAsia="Arial" w:hAnsi="Arial"/>
          <w:b/>
          <w:bCs/>
          <w:sz w:val="28"/>
          <w:szCs w:val="28"/>
        </w:rPr>
        <w:t xml:space="preserve">5.3 Mating systems: monogamy reduces violence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404"/>
        <w:gridCol w:w="2106"/>
        <w:gridCol w:w="1404"/>
        <w:gridCol w:w="1638"/>
      </w:tblGrid>
      <w:tr>
        <w:tc>
          <w:tcPr>
            <w:tcW w:type="dxa" w:w="280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Scenario</w:t>
            </w:r>
          </w:p>
        </w:tc>
        <w:tc>
          <w:tcPr>
            <w:tcW w:type="dxa" w:w="14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Cooperation</w:t>
            </w:r>
          </w:p>
        </w:tc>
        <w:tc>
          <w:tcPr>
            <w:tcW w:type="dxa" w:w="2106"/>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Violence Death Fraction</w:t>
            </w:r>
          </w:p>
        </w:tc>
        <w:tc>
          <w:tcPr>
            <w:tcW w:type="dxa" w:w="1404"/>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Unmated Males</w:t>
            </w:r>
          </w:p>
        </w:tc>
        <w:tc>
          <w:tcPr>
            <w:tcW w:type="dxa" w:w="163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Gini</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FREE_COMPETITION</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0.526</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0.037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28.5%</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0.382</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ENFORCED_MONOGAMY</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0.524</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0.023</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11.9%</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0.385</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ELITE_POLYGYNY</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0.532</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0.037</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0.382</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HIGH_FEMALE_CHOICE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0.549</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0.034</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t>
            </w:r>
          </w:p>
        </w:tc>
        <w:tc>
          <w:tcPr>
            <w:tcW w:type="dxa" w:w="163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0.379</w:t>
            </w:r>
          </w:p>
        </w:tc>
      </w:tr>
    </w:tbl>
    <w:p>
      <w:r>
        <w:rPr>
          <w:sz w:val="24"/>
          <w:szCs w:val="24"/>
        </w:rPr>
        <w:t xml:space="preserve"/>
      </w:r>
    </w:p>
    <w:p>
      <w:pPr>
        <w:spacing w:after="240"/>
      </w:pPr>
      <w:r>
        <w:rPr>
          <w:rFonts w:ascii="Arial" w:cs="Arial" w:eastAsia="Arial" w:hAnsi="Arial"/>
          <w:sz w:val="24"/>
          <w:szCs w:val="24"/>
        </w:rPr>
        <w:t xml:space="preserve">Enforced monogamy reduces the violence death fraction by 37% relative to free competition (0.023 vs. 0.037) and cuts the unmated-male fraction from 28.5% to 11.9%. This is consistent with Henrich, Boyd, and Richerson's (2012) hypothesis that normative monogamy reduces male-male competition by ensuring more equitable access to mates.</w:t>
      </w:r>
    </w:p>
    <w:p>
      <w:pPr>
        <w:pStyle w:val="Heading2"/>
      </w:pPr>
      <w:r>
        <w:rPr>
          <w:rFonts w:ascii="Arial" w:cs="Arial" w:eastAsia="Arial" w:hAnsi="Arial"/>
          <w:b/>
          <w:bCs/>
          <w:sz w:val="28"/>
          <w:szCs w:val="28"/>
        </w:rPr>
        <w:t xml:space="preserve">5.4 Resource ecology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340"/>
        <w:gridCol w:w="1872"/>
        <w:gridCol w:w="2028"/>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Scenario</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Cooperation</w:t>
            </w:r>
          </w:p>
        </w:tc>
        <w:tc>
          <w:tcPr>
            <w:tcW w:type="dxa" w:w="1872"/>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Final Population</w:t>
            </w:r>
          </w:p>
        </w:tc>
        <w:tc>
          <w:tcPr>
            <w:tcW w:type="dxa" w:w="202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4"/>
                <w:szCs w:val="24"/>
              </w:rPr>
              <w:t xml:space="preserve">Gini</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FREE_COMPETITION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0.532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725</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0.371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RESOURCE_SCARCITY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0.489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67</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0.351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RESOURCE_ABUNDANCE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0.520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938</w:t>
            </w:r>
          </w:p>
        </w:tc>
        <w:tc>
          <w:tcPr>
            <w:tcW w:type="dxa" w:w="202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0.361</w:t>
            </w:r>
          </w:p>
        </w:tc>
      </w:tr>
    </w:tbl>
    <w:p>
      <w:r>
        <w:rPr>
          <w:sz w:val="24"/>
          <w:szCs w:val="24"/>
        </w:rPr>
        <w:t xml:space="preserve"/>
      </w:r>
    </w:p>
    <w:p>
      <w:pPr>
        <w:spacing w:after="240"/>
      </w:pPr>
      <w:r>
        <w:rPr>
          <w:rFonts w:ascii="Arial" w:cs="Arial" w:eastAsia="Arial" w:hAnsi="Arial"/>
          <w:sz w:val="24"/>
          <w:szCs w:val="24"/>
        </w:rPr>
        <w:t xml:space="preserve">Resource scarcity collapses the population to a mean of 67 agents, producing a reduction in cooperation (0.489 vs. 0.532). This is a small-population effect: at N = 67, genetic drift overwhelms selection. The cooperation decline under scarcity is therefore primarily a drift effect, not an adaptive response to scarcity.</w:t>
      </w:r>
    </w:p>
    <w:p>
      <w:pPr>
        <w:pStyle w:val="Heading2"/>
      </w:pPr>
      <w:r>
        <w:rPr>
          <w:rFonts w:ascii="Arial" w:cs="Arial" w:eastAsia="Arial" w:hAnsi="Arial"/>
          <w:b/>
          <w:bCs/>
          <w:sz w:val="28"/>
          <w:szCs w:val="28"/>
        </w:rPr>
        <w:t xml:space="preserve">5.5 The cooperation attractor</w:t>
      </w:r>
    </w:p>
    <w:p>
      <w:pPr>
        <w:spacing w:after="320"/>
      </w:pPr>
      <w:r>
        <w:rPr>
          <w:rFonts w:ascii="Arial" w:cs="Arial" w:eastAsia="Arial" w:hAnsi="Arial"/>
          <w:sz w:val="24"/>
          <w:szCs w:val="24"/>
        </w:rPr>
        <w:t xml:space="preserve">Across all scenarios and time horizons, heritable cooperation propensity converges to a narrow band of approximately 0.51-0.53 (with the exception of the population-collapse scenario at 0.489 and the high-female-choice scenario at 0.549). This stability is not a ceiling or floor effect, not a parameter artifact, and not a consequence of weak selection. Rather, the attractor reflects an evolutionary balance between cooperation's multi-channel fitness benefits and its costs: cooperators who share too freely are exploited by defectors; defectors who cooperate too little lose network benefits and reputation.</w:t>
      </w:r>
    </w:p>
    <w:p>
      <w:pPr>
        <w:pStyle w:val="Heading1"/>
      </w:pPr>
      <w:r>
        <w:rPr>
          <w:rFonts w:ascii="Arial" w:cs="Arial" w:eastAsia="Arial" w:hAnsi="Arial"/>
          <w:b/>
          <w:bCs/>
          <w:sz w:val="32"/>
          <w:szCs w:val="32"/>
        </w:rPr>
        <w:t xml:space="preserve">6. Discussion</w:t>
      </w:r>
    </w:p>
    <w:p>
      <w:pPr>
        <w:pStyle w:val="Heading2"/>
      </w:pPr>
      <w:r>
        <w:rPr>
          <w:rFonts w:ascii="Arial" w:cs="Arial" w:eastAsia="Arial" w:hAnsi="Arial"/>
          <w:b/>
          <w:bCs/>
          <w:sz w:val="28"/>
          <w:szCs w:val="28"/>
        </w:rPr>
        <w:t xml:space="preserve">6.1 The substitution finding in context</w:t>
      </w:r>
    </w:p>
    <w:p>
      <w:pPr>
        <w:spacing w:after="160"/>
      </w:pPr>
      <w:r>
        <w:rPr>
          <w:rFonts w:ascii="Arial" w:cs="Arial" w:eastAsia="Arial" w:hAnsi="Arial"/>
          <w:sz w:val="24"/>
          <w:szCs w:val="24"/>
        </w:rPr>
        <w:t xml:space="preserve">Our central finding is that institutional governance produces behavioral substitution: governance dramatically alters behavioral outcomes (violence, inequality, mating access) without detectably altering the heritable cooperation trait over 500 simulated years. We state this finding cautiously for three reasons.</w:t>
      </w:r>
    </w:p>
    <w:p>
      <w:pPr>
        <w:spacing w:after="160"/>
      </w:pPr>
      <w:r>
        <w:rPr>
          <w:rFonts w:ascii="Arial" w:cs="Arial" w:eastAsia="Arial" w:hAnsi="Arial"/>
          <w:sz w:val="24"/>
          <w:szCs w:val="24"/>
        </w:rPr>
        <w:t xml:space="preserve">First, 500 years (approximately 20 generations) is a short evolutionary timescale. Selection coefficients on cooperation in the model are presumably small, and weak selection requires many generations to produce detectable allele frequency change. Second, SIMSIV v1.0 models only within-group dynamics. The gene-culture complementarity hypothesis (Bowles &amp; Gintis, 2011) emphasizes between-group competition as the mechanism through which institutions amplify selection on prosocial traits. Third, the model uses a quantitative-genetics approximation rather than explicit genetic architecture.</w:t>
      </w:r>
    </w:p>
    <w:p>
      <w:pPr>
        <w:spacing w:after="240"/>
      </w:pPr>
      <w:r>
        <w:rPr>
          <w:rFonts w:ascii="Arial" w:cs="Arial" w:eastAsia="Arial" w:hAnsi="Arial"/>
          <w:sz w:val="24"/>
          <w:szCs w:val="24"/>
        </w:rPr>
        <w:t xml:space="preserve">With these caveats, the substitution finding is nonetheless scientifically meaningful. It establishes that, within the considerable complexity of a demographically realistic band-level simulation, institutions sufficient to halve violence rates and restructure mating access do not produce measurable selection on the heritable cooperation trait.</w:t>
      </w:r>
    </w:p>
    <w:p>
      <w:pPr>
        <w:pStyle w:val="Heading2"/>
      </w:pPr>
      <w:r>
        <w:rPr>
          <w:rFonts w:ascii="Arial" w:cs="Arial" w:eastAsia="Arial" w:hAnsi="Arial"/>
          <w:b/>
          <w:bCs/>
          <w:sz w:val="28"/>
          <w:szCs w:val="28"/>
        </w:rPr>
        <w:t xml:space="preserve">6.2 Mating systems and violence</w:t>
      </w:r>
    </w:p>
    <w:p>
      <w:pPr>
        <w:spacing w:after="320"/>
      </w:pPr>
      <w:r>
        <w:rPr>
          <w:rFonts w:ascii="Arial" w:cs="Arial" w:eastAsia="Arial" w:hAnsi="Arial"/>
          <w:sz w:val="24"/>
          <w:szCs w:val="24"/>
        </w:rPr>
        <w:t xml:space="preserve">The finding that enforced monogamy reduces violence death fraction by 37% is consistent with the monogamous-marriage hypothesis (Henrich et al., 2012), which proposes that normative monogamy reduces male-male competition by ensuring more equitable distribution of reproductive opportunities. Notably, monogamy does not substantially alter resource inequality (Gini 0.385 vs. 0.382), confirming that monogamy's prosocial effects operate through the mating channel specifically.</w:t>
      </w:r>
    </w:p>
    <w:p>
      <w:pPr>
        <w:pStyle w:val="Heading1"/>
      </w:pPr>
      <w:r>
        <w:rPr>
          <w:rFonts w:ascii="Arial" w:cs="Arial" w:eastAsia="Arial" w:hAnsi="Arial"/>
          <w:b/>
          <w:bCs/>
          <w:sz w:val="32"/>
          <w:szCs w:val="32"/>
        </w:rPr>
        <w:t xml:space="preserve">7. Conclusions</w:t>
      </w:r>
    </w:p>
    <w:p>
      <w:pPr>
        <w:spacing w:after="160"/>
      </w:pPr>
      <w:r>
        <w:rPr>
          <w:rFonts w:ascii="Arial" w:cs="Arial" w:eastAsia="Arial" w:hAnsi="Arial"/>
          <w:sz w:val="24"/>
          <w:szCs w:val="24"/>
        </w:rPr>
        <w:t xml:space="preserve">We have presented SIMSIV, an agent-based framework for studying gene-culture coevolution in pre-state societies. The model simulates 500 agents with 35 heritable traits across a complete life history, calibrated against nine anthropological benchmarks and validated on held-out seeds (mean realism score 0.934, zero collapses across 20 runs).</w:t>
      </w:r>
    </w:p>
    <w:p>
      <w:pPr>
        <w:spacing w:after="120"/>
      </w:pPr>
      <w:r>
        <w:rPr>
          <w:rFonts w:ascii="Arial" w:cs="Arial" w:eastAsia="Arial" w:hAnsi="Arial"/>
          <w:sz w:val="24"/>
          <w:szCs w:val="24"/>
        </w:rPr>
        <w:t xml:space="preserve">Our scenario experiments yield three principal findings:</w:t>
      </w:r>
    </w:p>
    <w:p>
      <w:pPr>
        <w:pStyle w:val="ListParagraph"/>
        <w:numPr>
          <w:ilvl w:val="0"/>
          <w:numId w:val="2"/>
        </w:numPr>
        <w:spacing w:after="80"/>
      </w:pPr>
      <w:r>
        <w:rPr>
          <w:rFonts w:ascii="Arial" w:cs="Arial" w:eastAsia="Arial" w:hAnsi="Arial"/>
          <w:b/>
          <w:bCs/>
          <w:sz w:val="24"/>
          <w:szCs w:val="24"/>
        </w:rPr>
        <w:t xml:space="preserve">Behavioral substitution without genetic divergence. </w:t>
      </w:r>
      <w:r>
        <w:rPr>
          <w:rFonts w:ascii="Arial" w:cs="Arial" w:eastAsia="Arial" w:hAnsi="Arial"/>
          <w:sz w:val="24"/>
          <w:szCs w:val="24"/>
        </w:rPr>
        <w:t xml:space="preserve">Institutional governance dramatically alters behavior --- reducing violence by more than half, cutting resource inequality by 36%, and restructuring mating access --- yet heritable cooperation propensity is indistinguishable across governance regimes at 500 years (0.523 vs. 0.524 vs. 0.523). This is consistent with the institutional-substitution hypothesis at band-level timescales.</w:t>
      </w:r>
    </w:p>
    <w:p>
      <w:pPr>
        <w:pStyle w:val="ListParagraph"/>
        <w:numPr>
          <w:ilvl w:val="0"/>
          <w:numId w:val="2"/>
        </w:numPr>
        <w:spacing w:after="80"/>
      </w:pPr>
      <w:r>
        <w:rPr>
          <w:rFonts w:ascii="Arial" w:cs="Arial" w:eastAsia="Arial" w:hAnsi="Arial"/>
          <w:b/>
          <w:bCs/>
          <w:sz w:val="24"/>
          <w:szCs w:val="24"/>
        </w:rPr>
        <w:t xml:space="preserve">A cooperation attractor. </w:t>
      </w:r>
      <w:r>
        <w:rPr>
          <w:rFonts w:ascii="Arial" w:cs="Arial" w:eastAsia="Arial" w:hAnsi="Arial"/>
          <w:sz w:val="24"/>
          <w:szCs w:val="24"/>
        </w:rPr>
        <w:t xml:space="preserve">Heritable cooperation propensity converges to approximately 0.51-0.53 across nearly all scenarios, suggesting a robust evolutionary equilibrium maintained by the multi-dimensional fitness landscape of band-level social life.</w:t>
      </w:r>
    </w:p>
    <w:p>
      <w:pPr>
        <w:pStyle w:val="ListParagraph"/>
        <w:numPr>
          <w:ilvl w:val="0"/>
          <w:numId w:val="2"/>
        </w:numPr>
        <w:spacing w:after="160"/>
      </w:pPr>
      <w:r>
        <w:rPr>
          <w:rFonts w:ascii="Arial" w:cs="Arial" w:eastAsia="Arial" w:hAnsi="Arial"/>
          <w:b/>
          <w:bCs/>
          <w:sz w:val="24"/>
          <w:szCs w:val="24"/>
        </w:rPr>
        <w:t xml:space="preserve">Monogamy reduces violence through the mating channel. </w:t>
      </w:r>
      <w:r>
        <w:rPr>
          <w:rFonts w:ascii="Arial" w:cs="Arial" w:eastAsia="Arial" w:hAnsi="Arial"/>
          <w:sz w:val="24"/>
          <w:szCs w:val="24"/>
        </w:rPr>
        <w:t xml:space="preserve">Enforced monogamy reduces violence death fraction by 37% and unmated males from 28.5% to 11.9%, consistent with the monogamous-marriage hypothesis (Henrich et al., 2012), without substantially altering resource inequality.</w:t>
      </w:r>
    </w:p>
    <w:p>
      <w:pPr>
        <w:spacing w:after="160"/>
      </w:pPr>
      <w:r>
        <w:rPr>
          <w:rFonts w:ascii="Arial" w:cs="Arial" w:eastAsia="Arial" w:hAnsi="Arial"/>
          <w:sz w:val="24"/>
          <w:szCs w:val="24"/>
        </w:rPr>
        <w:t xml:space="preserve">The next development phase (SIMSIV v2.0) will introduce a multi-band clan simulator with inter-group warfare, trade, and migration, enabling direct testing of the between-group selection mechanism central to the gene-culture complementarity hypothesis.</w:t>
      </w:r>
    </w:p>
    <w:p>
      <w:pPr>
        <w:spacing w:after="320"/>
      </w:pPr>
      <w:r>
        <w:rPr>
          <w:rFonts w:ascii="Arial" w:cs="Arial" w:eastAsia="Arial" w:hAnsi="Arial"/>
          <w:sz w:val="24"/>
          <w:szCs w:val="24"/>
        </w:rPr>
        <w:t xml:space="preserve">The model code, calibration data, and scenario configurations are available at https://github.com/kepiCHelaSHen/SIMSIV and archived at https://zenodo.org/records/19065475</w:t>
      </w:r>
    </w:p>
    <w:p>
      <w:pPr>
        <w:pStyle w:val="Heading1"/>
      </w:pPr>
      <w:r>
        <w:rPr>
          <w:rFonts w:ascii="Arial" w:cs="Arial" w:eastAsia="Arial" w:hAnsi="Arial"/>
          <w:b/>
          <w:bCs/>
          <w:sz w:val="32"/>
          <w:szCs w:val="32"/>
        </w:rPr>
        <w:t xml:space="preserve">Figures</w:t>
      </w:r>
    </w:p>
    <w:p>
      <w:pPr>
        <w:spacing w:after="80"/>
      </w:pPr>
      <w:r>
        <w:rPr>
          <w:rFonts w:ascii="Arial" w:cs="Arial" w:eastAsia="Arial" w:hAnsi="Arial"/>
          <w:b/>
          <w:bCs/>
          <w:sz w:val="24"/>
          <w:szCs w:val="24"/>
        </w:rPr>
        <w:t xml:space="preserve">Figure 1. </w:t>
      </w:r>
      <w:r>
        <w:rPr>
          <w:rFonts w:ascii="Arial" w:cs="Arial" w:eastAsia="Arial" w:hAnsi="Arial"/>
          <w:sz w:val="24"/>
          <w:szCs w:val="24"/>
        </w:rPr>
        <w:t xml:space="preserve">Annual simulation tick execution order for SIMSIV v1.0. Each of the nine engines executes in fixed sequence, ensuring causal consistency: conflict precedes mating (dead agents cannot mate), mortality precedes institutions (inheritance sees all deaths). Metrics are collected after all engines complete.</w:t>
      </w:r>
    </w:p>
    <w:p>
      <w:r>
        <w:rPr>
          <w:sz w:val="24"/>
          <w:szCs w:val="24"/>
        </w:rPr>
        <w:t xml:space="preserve"/>
      </w:r>
    </w:p>
    <w:p>
      <w:pPr>
        <w:spacing w:after="80"/>
      </w:pPr>
      <w:r>
        <w:rPr>
          <w:rFonts w:ascii="Arial" w:cs="Arial" w:eastAsia="Arial" w:hAnsi="Arial"/>
          <w:b/>
          <w:bCs/>
          <w:sz w:val="24"/>
          <w:szCs w:val="24"/>
        </w:rPr>
        <w:t xml:space="preserve">Figure 2. </w:t>
      </w:r>
      <w:r>
        <w:rPr>
          <w:rFonts w:ascii="Arial" w:cs="Arial" w:eastAsia="Arial" w:hAnsi="Arial"/>
          <w:sz w:val="24"/>
          <w:szCs w:val="24"/>
        </w:rPr>
        <w:t xml:space="preserve">Calibrated model outputs relative to anthropological target ranges. Green checkmarks indicate metrics within target range; the model achieves all nine targets simultaneously (calibration score = 1.000).</w:t>
      </w:r>
    </w:p>
    <w:p>
      <w:r>
        <w:rPr>
          <w:sz w:val="24"/>
          <w:szCs w:val="24"/>
        </w:rPr>
        <w:t xml:space="preserve"/>
      </w:r>
    </w:p>
    <w:p>
      <w:pPr>
        <w:spacing w:after="320"/>
      </w:pPr>
      <w:r>
        <w:rPr>
          <w:rFonts w:ascii="Arial" w:cs="Arial" w:eastAsia="Arial" w:hAnsi="Arial"/>
          <w:b/>
          <w:bCs/>
          <w:sz w:val="24"/>
          <w:szCs w:val="24"/>
        </w:rPr>
        <w:t xml:space="preserve">Figure 3. </w:t>
      </w:r>
      <w:r>
        <w:rPr>
          <w:rFonts w:ascii="Arial" w:cs="Arial" w:eastAsia="Arial" w:hAnsi="Arial"/>
          <w:sz w:val="24"/>
          <w:szCs w:val="24"/>
        </w:rPr>
        <w:t xml:space="preserve">Mean heritable cooperation propensity over 500 simulated years for three governance regimes: No Institutions (law strength fixed at 0), Free Competition (endogenous institutional drift), and Strong State (law strength fixed at 0.8, monogamy enforced). Shaded bands show +/-1 SD across 10 seeds. The convergence of all three trajectories to approximately 0.52 confirms that institutional governance does not alter the evolutionary trajectory of the cooperation trait at this timescale.</w:t>
      </w:r>
    </w:p>
    <w:p>
      <w:pPr>
        <w:pStyle w:val="Heading1"/>
      </w:pPr>
      <w:r>
        <w:rPr>
          <w:rFonts w:ascii="Arial" w:cs="Arial" w:eastAsia="Arial" w:hAnsi="Arial"/>
          <w:b/>
          <w:bCs/>
          <w:sz w:val="32"/>
          <w:szCs w:val="32"/>
        </w:rPr>
        <w:t xml:space="preserve">Author Biography</w:t>
      </w:r>
    </w:p>
    <w:p>
      <w:pPr>
        <w:spacing w:after="320"/>
      </w:pPr>
      <w:r>
        <w:rPr>
          <w:rFonts w:ascii="Arial" w:cs="Arial" w:eastAsia="Arial" w:hAnsi="Arial"/>
          <w:sz w:val="24"/>
          <w:szCs w:val="24"/>
        </w:rPr>
        <w:t xml:space="preserve">James P. Rice Jr. is an independent researcher and systems engineer with over three decades of experience in enterprise software architecture, financial technology, and distributed systems. He began his career in banking technology in the 1990s before co-founding a technology startup focused on enterprise retail systems. He holds U.S. Patent No. 8,290,898 for interactive database systems in high-concentration mobile user environments, awarded in 2012. He subsequently moved into large-scale corporate software engineering, where he has focused on agentic AI workflows and complex systems design. SIMSIV emerged from a longstanding interest in evolutionary anthropology, behavioral genetics, and computational social science. He is based in Northeast Ohio.</w:t>
      </w:r>
    </w:p>
    <w:p>
      <w:pPr>
        <w:pStyle w:val="Heading1"/>
      </w:pPr>
      <w:r>
        <w:rPr>
          <w:rFonts w:ascii="Arial" w:cs="Arial" w:eastAsia="Arial" w:hAnsi="Arial"/>
          <w:b/>
          <w:bCs/>
          <w:sz w:val="32"/>
          <w:szCs w:val="32"/>
        </w:rPr>
        <w:t xml:space="preserve">References</w:t>
      </w:r>
    </w:p>
    <w:p>
      <w:pPr>
        <w:spacing w:after="80" w:before="0"/>
        <w:ind w:left="720" w:hanging="720"/>
      </w:pPr>
      <w:r>
        <w:rPr>
          <w:rFonts w:ascii="Arial" w:cs="Arial" w:eastAsia="Arial" w:hAnsi="Arial"/>
          <w:sz w:val="22"/>
          <w:szCs w:val="22"/>
        </w:rPr>
        <w:t xml:space="preserve">Archer, J. (2009). Does sexual selection explain human sex differences in aggression? Behavioral and Brain Sciences, 32(3-4), 249-266.</w:t>
      </w:r>
    </w:p>
    <w:p>
      <w:pPr>
        <w:spacing w:after="80" w:before="0"/>
        <w:ind w:left="720" w:hanging="720"/>
      </w:pPr>
      <w:r>
        <w:rPr>
          <w:rFonts w:ascii="Arial" w:cs="Arial" w:eastAsia="Arial" w:hAnsi="Arial"/>
          <w:sz w:val="22"/>
          <w:szCs w:val="22"/>
        </w:rPr>
        <w:t xml:space="preserve">Bentley, G. R. (1996). How did prehistoric women bear 'man the hunter'? Reconstructing fertility from skeletal remains. In R. P. Gowland &amp; C. Knusel (Eds.), Social archaeology of funerary remains. Oxbow Books.</w:t>
      </w:r>
    </w:p>
    <w:p>
      <w:pPr>
        <w:spacing w:after="80" w:before="0"/>
        <w:ind w:left="720" w:hanging="720"/>
      </w:pPr>
      <w:r>
        <w:rPr>
          <w:rFonts w:ascii="Arial" w:cs="Arial" w:eastAsia="Arial" w:hAnsi="Arial"/>
          <w:sz w:val="22"/>
          <w:szCs w:val="22"/>
        </w:rPr>
        <w:t xml:space="preserve">Betzig, L. (1989). Causes of conjugal dissolution: A cross-cultural study. Current Anthropology, 30(5), 654-676.</w:t>
      </w:r>
    </w:p>
    <w:p>
      <w:pPr>
        <w:spacing w:after="80" w:before="0"/>
        <w:ind w:left="720" w:hanging="720"/>
      </w:pPr>
      <w:r>
        <w:rPr>
          <w:rFonts w:ascii="Arial" w:cs="Arial" w:eastAsia="Arial" w:hAnsi="Arial"/>
          <w:sz w:val="22"/>
          <w:szCs w:val="22"/>
        </w:rPr>
        <w:t xml:space="preserve">Betzig, L. (2012). Means, variances, and ranges in reproductive success: Comparative evidence. Evolution and Human Behavior, 33(4), 309-317.</w:t>
      </w:r>
    </w:p>
    <w:p>
      <w:pPr>
        <w:spacing w:after="80" w:before="0"/>
        <w:ind w:left="720" w:hanging="720"/>
      </w:pPr>
      <w:r>
        <w:rPr>
          <w:rFonts w:ascii="Arial" w:cs="Arial" w:eastAsia="Arial" w:hAnsi="Arial"/>
          <w:sz w:val="22"/>
          <w:szCs w:val="22"/>
        </w:rPr>
        <w:t xml:space="preserve">Biraben, J. N. (1980). An essay concerning mankind's evolution. Population, Special Issue, 13-25.</w:t>
      </w:r>
    </w:p>
    <w:p>
      <w:pPr>
        <w:spacing w:after="80" w:before="0"/>
        <w:ind w:left="720" w:hanging="720"/>
      </w:pPr>
      <w:r>
        <w:rPr>
          <w:rFonts w:ascii="Arial" w:cs="Arial" w:eastAsia="Arial" w:hAnsi="Arial"/>
          <w:sz w:val="22"/>
          <w:szCs w:val="22"/>
        </w:rPr>
        <w:t xml:space="preserve">Boyd, R., &amp; Richerson, P. J. (1985). Culture and the evolutionary process. University of Chicago Press.</w:t>
      </w:r>
    </w:p>
    <w:p>
      <w:pPr>
        <w:spacing w:after="80" w:before="0"/>
        <w:ind w:left="720" w:hanging="720"/>
      </w:pPr>
      <w:r>
        <w:rPr>
          <w:rFonts w:ascii="Arial" w:cs="Arial" w:eastAsia="Arial" w:hAnsi="Arial"/>
          <w:sz w:val="22"/>
          <w:szCs w:val="22"/>
        </w:rPr>
        <w:t xml:space="preserve">Borgerhoff Mulder, M., Bowles, S., Hertz, T., Bell, A., et al. (2009). Intergenerational wealth transmission and the dynamics of inequality in small-scale societies. Science, 326(5953), 682-688.</w:t>
      </w:r>
    </w:p>
    <w:p>
      <w:pPr>
        <w:spacing w:after="80" w:before="0"/>
        <w:ind w:left="720" w:hanging="720"/>
      </w:pPr>
      <w:r>
        <w:rPr>
          <w:rFonts w:ascii="Arial" w:cs="Arial" w:eastAsia="Arial" w:hAnsi="Arial"/>
          <w:sz w:val="22"/>
          <w:szCs w:val="22"/>
        </w:rPr>
        <w:t xml:space="preserve">Bowles, S. (2006). Group competition, reproductive leveling, and the evolution of human altruism. Science, 314(5805), 1569-1572.</w:t>
      </w:r>
    </w:p>
    <w:p>
      <w:pPr>
        <w:spacing w:after="80" w:before="0"/>
        <w:ind w:left="720" w:hanging="720"/>
      </w:pPr>
      <w:r>
        <w:rPr>
          <w:rFonts w:ascii="Arial" w:cs="Arial" w:eastAsia="Arial" w:hAnsi="Arial"/>
          <w:sz w:val="22"/>
          <w:szCs w:val="22"/>
        </w:rPr>
        <w:t xml:space="preserve">Bowles, S., &amp; Gintis, H. (2011). A cooperative species: Human reciprocity and its evolution. Princeton University Press.</w:t>
      </w:r>
    </w:p>
    <w:p>
      <w:pPr>
        <w:spacing w:after="80" w:before="0"/>
        <w:ind w:left="720" w:hanging="720"/>
      </w:pPr>
      <w:r>
        <w:rPr>
          <w:rFonts w:ascii="Arial" w:cs="Arial" w:eastAsia="Arial" w:hAnsi="Arial"/>
          <w:sz w:val="22"/>
          <w:szCs w:val="22"/>
        </w:rPr>
        <w:t xml:space="preserve">Boyd, R., &amp; Richerson, P. J. (2002). Group beneficial norms can spread rapidly in a structured population. Journal of Theoretical Biology, 215(2), 287-296.</w:t>
      </w:r>
    </w:p>
    <w:p>
      <w:pPr>
        <w:spacing w:after="80" w:before="0"/>
        <w:ind w:left="720" w:hanging="720"/>
      </w:pPr>
      <w:r>
        <w:rPr>
          <w:rFonts w:ascii="Arial" w:cs="Arial" w:eastAsia="Arial" w:hAnsi="Arial"/>
          <w:sz w:val="22"/>
          <w:szCs w:val="22"/>
        </w:rPr>
        <w:t xml:space="preserve">Cesarini, D., Dawes, C. T., Fowler, J. H., Johannesson, M., Lichtenstein, P., &amp; Wallace, B. (2008). Heritability of cooperative behavior in the trust game. Proceedings of the National Academy of Sciences, 105(10), 3721-3726.</w:t>
      </w:r>
    </w:p>
    <w:p>
      <w:pPr>
        <w:spacing w:after="80" w:before="0"/>
        <w:ind w:left="720" w:hanging="720"/>
      </w:pPr>
      <w:r>
        <w:rPr>
          <w:rFonts w:ascii="Arial" w:cs="Arial" w:eastAsia="Arial" w:hAnsi="Arial"/>
          <w:sz w:val="22"/>
          <w:szCs w:val="22"/>
        </w:rPr>
        <w:t xml:space="preserve">Chagnon, N. A. (1988). Life histories, blood revenge, and warfare in a tribal population. Science, 239(4843), 985-992.</w:t>
      </w:r>
    </w:p>
    <w:p>
      <w:pPr>
        <w:spacing w:after="80" w:before="0"/>
        <w:ind w:left="720" w:hanging="720"/>
      </w:pPr>
      <w:r>
        <w:rPr>
          <w:rFonts w:ascii="Arial" w:cs="Arial" w:eastAsia="Arial" w:hAnsi="Arial"/>
          <w:sz w:val="22"/>
          <w:szCs w:val="22"/>
        </w:rPr>
        <w:t xml:space="preserve">Coale, A. J., &amp; Demeny, P. (1966). Regional model life tables and stable populations. Princeton University Press.</w:t>
      </w:r>
    </w:p>
    <w:p>
      <w:pPr>
        <w:spacing w:after="80" w:before="0"/>
        <w:ind w:left="720" w:hanging="720"/>
      </w:pPr>
      <w:r>
        <w:rPr>
          <w:rFonts w:ascii="Arial" w:cs="Arial" w:eastAsia="Arial" w:hAnsi="Arial"/>
          <w:sz w:val="22"/>
          <w:szCs w:val="22"/>
        </w:rPr>
        <w:t xml:space="preserve">Daly, M., &amp; Wilson, M. (1988). Homicide. Aldine de Gruyter.</w:t>
      </w:r>
    </w:p>
    <w:p>
      <w:pPr>
        <w:spacing w:after="80" w:before="0"/>
        <w:ind w:left="720" w:hanging="720"/>
      </w:pPr>
      <w:r>
        <w:rPr>
          <w:rFonts w:ascii="Arial" w:cs="Arial" w:eastAsia="Arial" w:hAnsi="Arial"/>
          <w:sz w:val="22"/>
          <w:szCs w:val="22"/>
        </w:rPr>
        <w:t xml:space="preserve">Fehr, E., &amp; Gachter, S. (2002). Altruistic punishment in humans. Nature, 415(6868), 137-140.</w:t>
      </w:r>
    </w:p>
    <w:p>
      <w:pPr>
        <w:spacing w:after="80" w:before="0"/>
        <w:ind w:left="720" w:hanging="720"/>
      </w:pPr>
      <w:r>
        <w:rPr>
          <w:rFonts w:ascii="Arial" w:cs="Arial" w:eastAsia="Arial" w:hAnsi="Arial"/>
          <w:sz w:val="22"/>
          <w:szCs w:val="22"/>
        </w:rPr>
        <w:t xml:space="preserve">Fry, D. P. (2006). The human potential for peace: An anthropological challenge to assumptions about war and violence. Oxford University Press.</w:t>
      </w:r>
    </w:p>
    <w:p>
      <w:pPr>
        <w:spacing w:after="80" w:before="0"/>
        <w:ind w:left="720" w:hanging="720"/>
      </w:pPr>
      <w:r>
        <w:rPr>
          <w:rFonts w:ascii="Arial" w:cs="Arial" w:eastAsia="Arial" w:hAnsi="Arial"/>
          <w:sz w:val="22"/>
          <w:szCs w:val="22"/>
        </w:rPr>
        <w:t xml:space="preserve">Gavrilets, S., &amp; Fortunato, L. (2014). A solution to the collective action problem in between-group conflict with within-group inequality. Nature Communications, 5, 3526.</w:t>
      </w:r>
    </w:p>
    <w:p>
      <w:pPr>
        <w:spacing w:after="80" w:before="0"/>
        <w:ind w:left="720" w:hanging="720"/>
      </w:pPr>
      <w:r>
        <w:rPr>
          <w:rFonts w:ascii="Arial" w:cs="Arial" w:eastAsia="Arial" w:hAnsi="Arial"/>
          <w:sz w:val="22"/>
          <w:szCs w:val="22"/>
        </w:rPr>
        <w:t xml:space="preserve">Greif, A. (2006). Institutions and the path to the modern economy: Lessons from medieval trade. Cambridge University Press.</w:t>
      </w:r>
    </w:p>
    <w:p>
      <w:pPr>
        <w:spacing w:after="80" w:before="0"/>
        <w:ind w:left="720" w:hanging="720"/>
      </w:pPr>
      <w:r>
        <w:rPr>
          <w:rFonts w:ascii="Arial" w:cs="Arial" w:eastAsia="Arial" w:hAnsi="Arial"/>
          <w:sz w:val="22"/>
          <w:szCs w:val="22"/>
        </w:rPr>
        <w:t xml:space="preserve">Grimm, V., et al. (2006). A standard protocol for describing individual-based and agent-based models. Ecological Modelling, 198(1-2), 115-126.</w:t>
      </w:r>
    </w:p>
    <w:p>
      <w:pPr>
        <w:spacing w:after="80" w:before="0"/>
        <w:ind w:left="720" w:hanging="720"/>
      </w:pPr>
      <w:r>
        <w:rPr>
          <w:rFonts w:ascii="Arial" w:cs="Arial" w:eastAsia="Arial" w:hAnsi="Arial"/>
          <w:sz w:val="22"/>
          <w:szCs w:val="22"/>
        </w:rPr>
        <w:t xml:space="preserve">Grimm, V., et al. (2020). The ODD protocol for describing agent-based and other simulation models: A second update to improve clarity, replication, and structural realism. Journal of Artificial Societies and Social Simulation, 23(2), 7.</w:t>
      </w:r>
    </w:p>
    <w:p>
      <w:pPr>
        <w:spacing w:after="80" w:before="0"/>
        <w:ind w:left="720" w:hanging="720"/>
      </w:pPr>
      <w:r>
        <w:rPr>
          <w:rFonts w:ascii="Arial" w:cs="Arial" w:eastAsia="Arial" w:hAnsi="Arial"/>
          <w:sz w:val="22"/>
          <w:szCs w:val="22"/>
        </w:rPr>
        <w:t xml:space="preserve">Hassan, F. A. (1981). Demographic archaeology. Academic Press.</w:t>
      </w:r>
    </w:p>
    <w:p>
      <w:pPr>
        <w:spacing w:after="80" w:before="0"/>
        <w:ind w:left="720" w:hanging="720"/>
      </w:pPr>
      <w:r>
        <w:rPr>
          <w:rFonts w:ascii="Arial" w:cs="Arial" w:eastAsia="Arial" w:hAnsi="Arial"/>
          <w:sz w:val="22"/>
          <w:szCs w:val="22"/>
        </w:rPr>
        <w:t xml:space="preserve">Hauert, C., De Monte, S., Hofbauer, J., &amp; Sigmund, K. (2002). Volunteering as Red Queen mechanism for cooperation in public goods games. Science, 296(5570), 1129-1132.</w:t>
      </w:r>
    </w:p>
    <w:p>
      <w:pPr>
        <w:spacing w:after="80" w:before="0"/>
        <w:ind w:left="720" w:hanging="720"/>
      </w:pPr>
      <w:r>
        <w:rPr>
          <w:rFonts w:ascii="Arial" w:cs="Arial" w:eastAsia="Arial" w:hAnsi="Arial"/>
          <w:sz w:val="22"/>
          <w:szCs w:val="22"/>
        </w:rPr>
        <w:t xml:space="preserve">Henrich, J., Boyd, R., Bowles, S., Camerer, C., Fehr, E., Gintis, H., &amp; McElreath, R. (2001). In search of homo economicus: Behavioral experiments in 15 small-scale societies. American Economic Review, 91(2), 73-78.</w:t>
      </w:r>
    </w:p>
    <w:p>
      <w:pPr>
        <w:spacing w:after="80" w:before="0"/>
        <w:ind w:left="720" w:hanging="720"/>
      </w:pPr>
      <w:r>
        <w:rPr>
          <w:rFonts w:ascii="Arial" w:cs="Arial" w:eastAsia="Arial" w:hAnsi="Arial"/>
          <w:sz w:val="22"/>
          <w:szCs w:val="22"/>
        </w:rPr>
        <w:t xml:space="preserve">Henrich, J., Boyd, R., &amp; Richerson, P. J. (2012). The puzzle of monogamous marriage. Philosophical Transactions of the Royal Society B, 367(1589), 657-669.</w:t>
      </w:r>
    </w:p>
    <w:p>
      <w:pPr>
        <w:spacing w:after="80" w:before="0"/>
        <w:ind w:left="720" w:hanging="720"/>
      </w:pPr>
      <w:r>
        <w:rPr>
          <w:rFonts w:ascii="Arial" w:cs="Arial" w:eastAsia="Arial" w:hAnsi="Arial"/>
          <w:sz w:val="22"/>
          <w:szCs w:val="22"/>
        </w:rPr>
        <w:t xml:space="preserve">Henrich, J., et al. (2010). Markets, religion, community size, and the evolution of fairness and punishment. Science, 327(5972), 1480-1484.</w:t>
      </w:r>
    </w:p>
    <w:p>
      <w:pPr>
        <w:spacing w:after="80" w:before="0"/>
        <w:ind w:left="720" w:hanging="720"/>
      </w:pPr>
      <w:r>
        <w:rPr>
          <w:rFonts w:ascii="Arial" w:cs="Arial" w:eastAsia="Arial" w:hAnsi="Arial"/>
          <w:sz w:val="22"/>
          <w:szCs w:val="22"/>
        </w:rPr>
        <w:t xml:space="preserve">Keeley, L. H. (1996). War before civilization: The myth of the peaceful savage. Oxford University Press.</w:t>
      </w:r>
    </w:p>
    <w:p>
      <w:pPr>
        <w:spacing w:after="80" w:before="0"/>
        <w:ind w:left="720" w:hanging="720"/>
      </w:pPr>
      <w:r>
        <w:rPr>
          <w:rFonts w:ascii="Arial" w:cs="Arial" w:eastAsia="Arial" w:hAnsi="Arial"/>
          <w:sz w:val="22"/>
          <w:szCs w:val="22"/>
        </w:rPr>
        <w:t xml:space="preserve">Marlowe, F. W. (2010). The Hadza: Hunter-gatherers of Tanzania. University of California Press.</w:t>
      </w:r>
    </w:p>
    <w:p>
      <w:pPr>
        <w:spacing w:after="80" w:before="0"/>
        <w:ind w:left="720" w:hanging="720"/>
      </w:pPr>
      <w:r>
        <w:rPr>
          <w:rFonts w:ascii="Arial" w:cs="Arial" w:eastAsia="Arial" w:hAnsi="Arial"/>
          <w:sz w:val="22"/>
          <w:szCs w:val="22"/>
        </w:rPr>
        <w:t xml:space="preserve">Nettle, D. (2010). Dying young and living fast: Variation in life history across English neighborhoods. Behavioral Ecology, 21(2), 387-395.</w:t>
      </w:r>
    </w:p>
    <w:p>
      <w:pPr>
        <w:spacing w:after="80" w:before="0"/>
        <w:ind w:left="720" w:hanging="720"/>
      </w:pPr>
      <w:r>
        <w:rPr>
          <w:rFonts w:ascii="Arial" w:cs="Arial" w:eastAsia="Arial" w:hAnsi="Arial"/>
          <w:sz w:val="22"/>
          <w:szCs w:val="22"/>
        </w:rPr>
        <w:t xml:space="preserve">North, D. C. (1990). Institutions, institutional change, and economic performance. Cambridge University Press.</w:t>
      </w:r>
    </w:p>
    <w:p>
      <w:pPr>
        <w:spacing w:after="80" w:before="0"/>
        <w:ind w:left="720" w:hanging="720"/>
      </w:pPr>
      <w:r>
        <w:rPr>
          <w:rFonts w:ascii="Arial" w:cs="Arial" w:eastAsia="Arial" w:hAnsi="Arial"/>
          <w:sz w:val="22"/>
          <w:szCs w:val="22"/>
        </w:rPr>
        <w:t xml:space="preserve">Volk, A. A., &amp; Atkinson, J. A. (2013). Infant and child death in the human environment of evolutionary adaptedness. Evolution and Human Behavior, 34(3), 182-192.</w:t>
      </w:r>
    </w:p>
    <w:p>
      <w:pPr>
        <w:spacing w:after="80" w:before="0"/>
        <w:ind w:left="720" w:hanging="720"/>
      </w:pPr>
      <w:r>
        <w:rPr>
          <w:rFonts w:ascii="Arial" w:cs="Arial" w:eastAsia="Arial" w:hAnsi="Arial"/>
          <w:sz w:val="22"/>
          <w:szCs w:val="22"/>
        </w:rPr>
        <w:t xml:space="preserve">Walker, P. L. (2001). A bioarchaeological perspective on the history of violence. Annual Review of Anthropology, 30, 573-596.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49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2026-03-19T09:06:29.715Z</dcterms:created>
  <dcterms:modified xsi:type="dcterms:W3CDTF">2026-03-19T09:06:29.716Z</dcterms:modified>
</cp:coreProperties>
</file>

<file path=docProps/custom.xml><?xml version="1.0" encoding="utf-8"?>
<Properties xmlns="http://schemas.openxmlformats.org/officeDocument/2006/custom-properties" xmlns:vt="http://schemas.openxmlformats.org/officeDocument/2006/docPropsVTypes"/>
</file>