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Week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322176" cy="23060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2176" cy="230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NIST CSF: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701792" cy="2325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1792" cy="232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br w:type="textWrapping"/>
        <w:t xml:space="preserve">OWSAP Principles: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053013" cy="384644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846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Security Audits:</w:t>
        <w:br w:type="textWrapping"/>
        <w:t xml:space="preserve">1.Define scope and goals of the audit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2.Risk assessment: threats, risks, vulnerabilities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3.Controls assessment: examining administrative, technical, and physical controls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4.Risk mitigation/compliance: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5.Communication of findings: how to improve, risks and priority, etc.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Week 3: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643438" cy="11906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633913" cy="1388689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388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471988" cy="139749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397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SIEM: Dynamic software, analyzes logs to reduce manual indexing of logs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3919538" cy="1890674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1890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243388" cy="212169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121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