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4AE92" w14:textId="062E9D94" w:rsidR="004E74C5" w:rsidRDefault="00900AC2" w:rsidP="00900AC2">
      <w:pPr>
        <w:pStyle w:val="Heading1"/>
      </w:pPr>
      <w:r>
        <w:t>LC UI ID04 s</w:t>
      </w:r>
      <w:r w:rsidR="005D764D">
        <w:t>creen</w:t>
      </w:r>
      <w:r>
        <w:t xml:space="preserve"> data</w:t>
      </w:r>
    </w:p>
    <w:p w14:paraId="4F1F45DF" w14:textId="77777777" w:rsidR="00900AC2" w:rsidRDefault="00900AC2"/>
    <w:p w14:paraId="50D090E3" w14:textId="77777777" w:rsidR="00900AC2" w:rsidRDefault="00900AC2" w:rsidP="00900AC2">
      <w:pPr>
        <w:pStyle w:val="Heading1"/>
      </w:pPr>
      <w:r>
        <w:t>Case Summary</w:t>
      </w:r>
    </w:p>
    <w:p w14:paraId="6C533A84" w14:textId="77777777" w:rsidR="00900AC2" w:rsidRDefault="00900AC2" w:rsidP="00900AC2">
      <w:r w:rsidRPr="00D65EF5">
        <w:t>The purchase order (PO-1010) documents the acquisition of 12 Steelcase Office Desks for a total of $8,400 by Acme Corporation from the vendor Acme Procurement, dated 28 July 2025. This evidence is being scrutinized to detect signs of procurement fraud, improper billing, or other financial irregularities.</w:t>
      </w:r>
    </w:p>
    <w:p w14:paraId="4FF8C2ED" w14:textId="77777777" w:rsidR="00900AC2" w:rsidRDefault="00900AC2" w:rsidP="00900AC2">
      <w:pPr>
        <w:pStyle w:val="Heading1"/>
      </w:pPr>
      <w:r>
        <w:t>Actors Involved</w:t>
      </w:r>
    </w:p>
    <w:p w14:paraId="155AEA5F" w14:textId="77777777" w:rsidR="00900AC2" w:rsidRDefault="00900AC2" w:rsidP="00900AC2">
      <w:pPr>
        <w:pStyle w:val="ListParagraph"/>
        <w:numPr>
          <w:ilvl w:val="0"/>
          <w:numId w:val="1"/>
        </w:numPr>
      </w:pPr>
      <w:r w:rsidRPr="00D65EF5">
        <w:t>Acme Procurement – The vendor supplying the desks.</w:t>
      </w:r>
    </w:p>
    <w:p w14:paraId="5BDE040B" w14:textId="77777777" w:rsidR="00900AC2" w:rsidRDefault="00900AC2" w:rsidP="00900AC2">
      <w:pPr>
        <w:pStyle w:val="ListParagraph"/>
        <w:numPr>
          <w:ilvl w:val="0"/>
          <w:numId w:val="1"/>
        </w:numPr>
      </w:pPr>
      <w:r w:rsidRPr="00D65EF5">
        <w:t>Acme Corporation, Accounts Payable – The division responsible for processing payment.</w:t>
      </w:r>
    </w:p>
    <w:p w14:paraId="6F4E0969" w14:textId="77777777" w:rsidR="00900AC2" w:rsidRDefault="00900AC2" w:rsidP="00900AC2">
      <w:pPr>
        <w:pStyle w:val="ListParagraph"/>
        <w:numPr>
          <w:ilvl w:val="0"/>
          <w:numId w:val="1"/>
        </w:numPr>
      </w:pPr>
      <w:r w:rsidRPr="00D65EF5">
        <w:t>Acme Corporation, Office Planning – The department designated to receive the shipment.</w:t>
      </w:r>
    </w:p>
    <w:p w14:paraId="1FCC052C" w14:textId="77777777" w:rsidR="00900AC2" w:rsidRDefault="00900AC2" w:rsidP="00900AC2">
      <w:pPr>
        <w:pStyle w:val="Heading1"/>
      </w:pPr>
      <w:r>
        <w:t>Visual Timeline of Events</w:t>
      </w:r>
    </w:p>
    <w:tbl>
      <w:tblPr>
        <w:tblStyle w:val="PlainTable1"/>
        <w:tblW w:w="0" w:type="auto"/>
        <w:tblLook w:val="0420" w:firstRow="1" w:lastRow="0" w:firstColumn="0" w:lastColumn="0" w:noHBand="0" w:noVBand="1"/>
      </w:tblPr>
      <w:tblGrid>
        <w:gridCol w:w="3005"/>
        <w:gridCol w:w="3005"/>
        <w:gridCol w:w="3006"/>
      </w:tblGrid>
      <w:tr w:rsidR="00900AC2" w:rsidRPr="00D65EF5" w14:paraId="32B57F53" w14:textId="77777777" w:rsidTr="00B152A7">
        <w:trPr>
          <w:cnfStyle w:val="100000000000" w:firstRow="1" w:lastRow="0" w:firstColumn="0" w:lastColumn="0" w:oddVBand="0" w:evenVBand="0" w:oddHBand="0" w:evenHBand="0" w:firstRowFirstColumn="0" w:firstRowLastColumn="0" w:lastRowFirstColumn="0" w:lastRowLastColumn="0"/>
        </w:trPr>
        <w:tc>
          <w:tcPr>
            <w:tcW w:w="3005" w:type="dxa"/>
          </w:tcPr>
          <w:p w14:paraId="70EF1E8E" w14:textId="77777777" w:rsidR="00900AC2" w:rsidRPr="00D65EF5" w:rsidRDefault="00900AC2" w:rsidP="00B152A7">
            <w:r>
              <w:t>Date</w:t>
            </w:r>
          </w:p>
        </w:tc>
        <w:tc>
          <w:tcPr>
            <w:tcW w:w="3005" w:type="dxa"/>
          </w:tcPr>
          <w:p w14:paraId="207428EC" w14:textId="77777777" w:rsidR="00900AC2" w:rsidRPr="00D65EF5" w:rsidRDefault="00900AC2" w:rsidP="00B152A7">
            <w:r>
              <w:t>Event</w:t>
            </w:r>
          </w:p>
        </w:tc>
        <w:tc>
          <w:tcPr>
            <w:tcW w:w="3006" w:type="dxa"/>
          </w:tcPr>
          <w:p w14:paraId="2352989D" w14:textId="77777777" w:rsidR="00900AC2" w:rsidRPr="00D65EF5" w:rsidRDefault="00900AC2" w:rsidP="00B152A7">
            <w:r>
              <w:t>Details</w:t>
            </w:r>
          </w:p>
        </w:tc>
      </w:tr>
      <w:tr w:rsidR="00900AC2" w:rsidRPr="00D65EF5" w14:paraId="4ED95CBF"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77E26725" w14:textId="77777777" w:rsidR="00900AC2" w:rsidRDefault="00900AC2" w:rsidP="00B152A7">
            <w:r>
              <w:t>28 July 2025</w:t>
            </w:r>
          </w:p>
        </w:tc>
        <w:tc>
          <w:tcPr>
            <w:tcW w:w="3005" w:type="dxa"/>
          </w:tcPr>
          <w:p w14:paraId="439BE808" w14:textId="77777777" w:rsidR="00900AC2" w:rsidRDefault="00900AC2" w:rsidP="00B152A7">
            <w:r>
              <w:t>Purchase Order Issued</w:t>
            </w:r>
          </w:p>
        </w:tc>
        <w:tc>
          <w:tcPr>
            <w:tcW w:w="3006" w:type="dxa"/>
          </w:tcPr>
          <w:p w14:paraId="4F2162D5" w14:textId="77777777" w:rsidR="00900AC2" w:rsidRDefault="00900AC2" w:rsidP="00B152A7">
            <w:r>
              <w:t>PO-1010 created for 12 Steelcase Office Desks at $700 per unit</w:t>
            </w:r>
          </w:p>
        </w:tc>
      </w:tr>
      <w:tr w:rsidR="00900AC2" w:rsidRPr="00D65EF5" w14:paraId="5D5ED03D" w14:textId="77777777" w:rsidTr="00B152A7">
        <w:tc>
          <w:tcPr>
            <w:tcW w:w="3005" w:type="dxa"/>
          </w:tcPr>
          <w:p w14:paraId="03C7DD4A" w14:textId="77777777" w:rsidR="00900AC2" w:rsidRDefault="00900AC2" w:rsidP="00B152A7">
            <w:r>
              <w:t>Pending</w:t>
            </w:r>
          </w:p>
        </w:tc>
        <w:tc>
          <w:tcPr>
            <w:tcW w:w="3005" w:type="dxa"/>
          </w:tcPr>
          <w:p w14:paraId="25810174" w14:textId="77777777" w:rsidR="00900AC2" w:rsidRDefault="00900AC2" w:rsidP="00B152A7">
            <w:r>
              <w:t>Order Processed by Vendor</w:t>
            </w:r>
          </w:p>
        </w:tc>
        <w:tc>
          <w:tcPr>
            <w:tcW w:w="3006" w:type="dxa"/>
          </w:tcPr>
          <w:p w14:paraId="61218100" w14:textId="77777777" w:rsidR="00900AC2" w:rsidRDefault="00900AC2" w:rsidP="00B152A7">
            <w:r>
              <w:t>Acme Procurement expected to process and ship items</w:t>
            </w:r>
          </w:p>
        </w:tc>
      </w:tr>
      <w:tr w:rsidR="00900AC2" w:rsidRPr="00D65EF5" w14:paraId="2B954751"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19679BF0" w14:textId="77777777" w:rsidR="00900AC2" w:rsidRDefault="00900AC2" w:rsidP="00B152A7">
            <w:r>
              <w:t>Pending</w:t>
            </w:r>
          </w:p>
        </w:tc>
        <w:tc>
          <w:tcPr>
            <w:tcW w:w="3005" w:type="dxa"/>
          </w:tcPr>
          <w:p w14:paraId="36D60F9E" w14:textId="77777777" w:rsidR="00900AC2" w:rsidRDefault="00900AC2" w:rsidP="00B152A7">
            <w:r>
              <w:t>Desks Shipped</w:t>
            </w:r>
          </w:p>
        </w:tc>
        <w:tc>
          <w:tcPr>
            <w:tcW w:w="3006" w:type="dxa"/>
          </w:tcPr>
          <w:p w14:paraId="4D21FA89" w14:textId="77777777" w:rsidR="00900AC2" w:rsidRDefault="00900AC2" w:rsidP="00B152A7">
            <w:r>
              <w:t>Desks shipped to Acme Corporation, Office Planning</w:t>
            </w:r>
          </w:p>
        </w:tc>
      </w:tr>
      <w:tr w:rsidR="00900AC2" w:rsidRPr="00D65EF5" w14:paraId="6DA4771A" w14:textId="77777777" w:rsidTr="00B152A7">
        <w:tc>
          <w:tcPr>
            <w:tcW w:w="3005" w:type="dxa"/>
          </w:tcPr>
          <w:p w14:paraId="18DDB755" w14:textId="77777777" w:rsidR="00900AC2" w:rsidRDefault="00900AC2" w:rsidP="00B152A7">
            <w:r>
              <w:t>Pending</w:t>
            </w:r>
          </w:p>
        </w:tc>
        <w:tc>
          <w:tcPr>
            <w:tcW w:w="3005" w:type="dxa"/>
          </w:tcPr>
          <w:p w14:paraId="0CCF079B" w14:textId="77777777" w:rsidR="00900AC2" w:rsidRDefault="00900AC2" w:rsidP="00B152A7">
            <w:r>
              <w:t>Payment Processed</w:t>
            </w:r>
          </w:p>
        </w:tc>
        <w:tc>
          <w:tcPr>
            <w:tcW w:w="3006" w:type="dxa"/>
          </w:tcPr>
          <w:p w14:paraId="7D6382F9" w14:textId="77777777" w:rsidR="00900AC2" w:rsidRDefault="00900AC2" w:rsidP="00B152A7">
            <w:r>
              <w:t>Accounts Payable to release $8,400 payment</w:t>
            </w:r>
          </w:p>
        </w:tc>
      </w:tr>
    </w:tbl>
    <w:p w14:paraId="597A08F8" w14:textId="77777777" w:rsidR="00900AC2" w:rsidRDefault="00900AC2" w:rsidP="00900AC2">
      <w:pPr>
        <w:pStyle w:val="Heading1"/>
      </w:pPr>
      <w:r>
        <w:t>Risk Explanation</w:t>
      </w:r>
    </w:p>
    <w:p w14:paraId="39B6FAEB" w14:textId="77777777" w:rsidR="00900AC2" w:rsidRDefault="00900AC2" w:rsidP="00900AC2">
      <w:pPr>
        <w:pStyle w:val="ListParagraph"/>
        <w:numPr>
          <w:ilvl w:val="0"/>
          <w:numId w:val="2"/>
        </w:numPr>
      </w:pPr>
      <w:r w:rsidRPr="00D65EF5">
        <w:t>Vendor Legitimacy: Close similarity in names between Acme Procurement (vendor) and Acme Corporation (purchaser) may suggest possible self-dealing or related-party transactions, which increase the risk of fraudulent activity.</w:t>
      </w:r>
    </w:p>
    <w:p w14:paraId="3BC4E7A2" w14:textId="77777777" w:rsidR="00900AC2" w:rsidRDefault="00900AC2" w:rsidP="00900AC2">
      <w:pPr>
        <w:pStyle w:val="ListParagraph"/>
        <w:numPr>
          <w:ilvl w:val="0"/>
          <w:numId w:val="2"/>
        </w:numPr>
      </w:pPr>
      <w:r w:rsidRPr="00D65EF5">
        <w:t>Price Validation: The unit price of $700 for Steelcase Office Desks should be benchmarked to market rates to ensure no overbilling or kickbacks.</w:t>
      </w:r>
    </w:p>
    <w:p w14:paraId="0BF6F8AA" w14:textId="77777777" w:rsidR="00900AC2" w:rsidRDefault="00900AC2" w:rsidP="00900AC2">
      <w:pPr>
        <w:pStyle w:val="ListParagraph"/>
        <w:numPr>
          <w:ilvl w:val="0"/>
          <w:numId w:val="2"/>
        </w:numPr>
      </w:pPr>
      <w:r w:rsidRPr="00D65EF5">
        <w:t>Segregation of Duties: Both the “Bill To” and “Ship To” entities are within Acme Corporation, but if the same individuals authorize, receive, and pay for goods, it increases the risk of collusion and fraudulent billing.</w:t>
      </w:r>
    </w:p>
    <w:p w14:paraId="1CAE37D3" w14:textId="77777777" w:rsidR="00900AC2" w:rsidRDefault="00900AC2" w:rsidP="00900AC2">
      <w:pPr>
        <w:pStyle w:val="ListParagraph"/>
        <w:numPr>
          <w:ilvl w:val="0"/>
          <w:numId w:val="2"/>
        </w:numPr>
      </w:pPr>
      <w:r w:rsidRPr="00D65EF5">
        <w:t>Product Delivery: “Assembly required” note necessitates verification upon delivery to ensure full and correct receipt, preventing phantom goods fraud.</w:t>
      </w:r>
    </w:p>
    <w:p w14:paraId="62A0579E" w14:textId="77777777" w:rsidR="00900AC2" w:rsidRPr="00D65EF5" w:rsidRDefault="00900AC2" w:rsidP="00900AC2">
      <w:r w:rsidRPr="00D65EF5">
        <w:lastRenderedPageBreak/>
        <w:t>In summary, while the purchase order itself appears standard, the similarities in party names and lack of independent verification steps in the presented evidence highlight elevated fraud risk areas that require further investigation and validation.</w:t>
      </w:r>
    </w:p>
    <w:p w14:paraId="3C4E2A8E" w14:textId="77777777" w:rsidR="00900AC2" w:rsidRPr="00D65EF5" w:rsidRDefault="00900AC2" w:rsidP="00900AC2">
      <w:pPr>
        <w:pStyle w:val="Heading1"/>
      </w:pPr>
    </w:p>
    <w:p w14:paraId="0B6F8867" w14:textId="77777777" w:rsidR="00900AC2" w:rsidRDefault="00900AC2"/>
    <w:sectPr w:rsidR="00900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E7552"/>
    <w:multiLevelType w:val="hybridMultilevel"/>
    <w:tmpl w:val="24CE4C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7C6B58"/>
    <w:multiLevelType w:val="hybridMultilevel"/>
    <w:tmpl w:val="CFE8A2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78219915">
    <w:abstractNumId w:val="0"/>
  </w:num>
  <w:num w:numId="2" w16cid:durableId="112665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C2"/>
    <w:rsid w:val="0031781C"/>
    <w:rsid w:val="004E74C5"/>
    <w:rsid w:val="005D764D"/>
    <w:rsid w:val="00900AC2"/>
    <w:rsid w:val="00EC0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CA7C"/>
  <w15:chartTrackingRefBased/>
  <w15:docId w15:val="{88ADF2B9-0CAD-4EF8-8B71-C6E004F9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C2"/>
    <w:rPr>
      <w:rFonts w:eastAsiaTheme="majorEastAsia" w:cstheme="majorBidi"/>
      <w:color w:val="272727" w:themeColor="text1" w:themeTint="D8"/>
    </w:rPr>
  </w:style>
  <w:style w:type="paragraph" w:styleId="Title">
    <w:name w:val="Title"/>
    <w:basedOn w:val="Normal"/>
    <w:next w:val="Normal"/>
    <w:link w:val="TitleChar"/>
    <w:uiPriority w:val="10"/>
    <w:qFormat/>
    <w:rsid w:val="00900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C2"/>
    <w:pPr>
      <w:spacing w:before="160"/>
      <w:jc w:val="center"/>
    </w:pPr>
    <w:rPr>
      <w:i/>
      <w:iCs/>
      <w:color w:val="404040" w:themeColor="text1" w:themeTint="BF"/>
    </w:rPr>
  </w:style>
  <w:style w:type="character" w:customStyle="1" w:styleId="QuoteChar">
    <w:name w:val="Quote Char"/>
    <w:basedOn w:val="DefaultParagraphFont"/>
    <w:link w:val="Quote"/>
    <w:uiPriority w:val="29"/>
    <w:rsid w:val="00900AC2"/>
    <w:rPr>
      <w:i/>
      <w:iCs/>
      <w:color w:val="404040" w:themeColor="text1" w:themeTint="BF"/>
    </w:rPr>
  </w:style>
  <w:style w:type="paragraph" w:styleId="ListParagraph">
    <w:name w:val="List Paragraph"/>
    <w:basedOn w:val="Normal"/>
    <w:uiPriority w:val="34"/>
    <w:qFormat/>
    <w:rsid w:val="00900AC2"/>
    <w:pPr>
      <w:ind w:left="720"/>
      <w:contextualSpacing/>
    </w:pPr>
  </w:style>
  <w:style w:type="character" w:styleId="IntenseEmphasis">
    <w:name w:val="Intense Emphasis"/>
    <w:basedOn w:val="DefaultParagraphFont"/>
    <w:uiPriority w:val="21"/>
    <w:qFormat/>
    <w:rsid w:val="00900AC2"/>
    <w:rPr>
      <w:i/>
      <w:iCs/>
      <w:color w:val="0F4761" w:themeColor="accent1" w:themeShade="BF"/>
    </w:rPr>
  </w:style>
  <w:style w:type="paragraph" w:styleId="IntenseQuote">
    <w:name w:val="Intense Quote"/>
    <w:basedOn w:val="Normal"/>
    <w:next w:val="Normal"/>
    <w:link w:val="IntenseQuoteChar"/>
    <w:uiPriority w:val="30"/>
    <w:qFormat/>
    <w:rsid w:val="00900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C2"/>
    <w:rPr>
      <w:i/>
      <w:iCs/>
      <w:color w:val="0F4761" w:themeColor="accent1" w:themeShade="BF"/>
    </w:rPr>
  </w:style>
  <w:style w:type="character" w:styleId="IntenseReference">
    <w:name w:val="Intense Reference"/>
    <w:basedOn w:val="DefaultParagraphFont"/>
    <w:uiPriority w:val="32"/>
    <w:qFormat/>
    <w:rsid w:val="00900AC2"/>
    <w:rPr>
      <w:b/>
      <w:bCs/>
      <w:smallCaps/>
      <w:color w:val="0F4761" w:themeColor="accent1" w:themeShade="BF"/>
      <w:spacing w:val="5"/>
    </w:rPr>
  </w:style>
  <w:style w:type="table" w:styleId="PlainTable1">
    <w:name w:val="Plain Table 1"/>
    <w:basedOn w:val="TableNormal"/>
    <w:uiPriority w:val="41"/>
    <w:rsid w:val="00900A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2</cp:revision>
  <dcterms:created xsi:type="dcterms:W3CDTF">2025-07-28T21:30:00Z</dcterms:created>
  <dcterms:modified xsi:type="dcterms:W3CDTF">2025-07-28T21:32:00Z</dcterms:modified>
</cp:coreProperties>
</file>