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8C7E7" w14:textId="77777777" w:rsidR="00B27744" w:rsidRDefault="00B27744" w:rsidP="00B27744">
      <w:pPr>
        <w:pStyle w:val="Heading1"/>
      </w:pPr>
      <w:r>
        <w:t>Case Summary</w:t>
      </w:r>
    </w:p>
    <w:p w14:paraId="2B69BC17" w14:textId="77777777" w:rsidR="00B27744" w:rsidRDefault="00B27744" w:rsidP="00B27744">
      <w:r w:rsidRPr="00614F70">
        <w:t xml:space="preserve">This investigation concerns suspected unauthorised use of a company vehicle over the weekend of 14–15 June 2025. Analysis of vehicle tracking, fuel card transactions, and </w:t>
      </w:r>
      <w:proofErr w:type="gramStart"/>
      <w:r w:rsidRPr="00614F70">
        <w:t>log book</w:t>
      </w:r>
      <w:proofErr w:type="gramEnd"/>
      <w:r w:rsidRPr="00614F70">
        <w:t xml:space="preserve"> records revealed discrepancies indicating the vehicle was used for purposes not recorded in official documentation. Notably, the company car was stationary at Bluewater Beach, subsequently moved to a residential address, and then returned to company premises, all without corresponding </w:t>
      </w:r>
      <w:proofErr w:type="gramStart"/>
      <w:r w:rsidRPr="00614F70">
        <w:t>log book</w:t>
      </w:r>
      <w:proofErr w:type="gramEnd"/>
      <w:r w:rsidRPr="00614F70">
        <w:t xml:space="preserve"> entries. Fuel purchases during this period further support the likelihood of personal or unauthorised use.</w:t>
      </w:r>
    </w:p>
    <w:p w14:paraId="126189A9" w14:textId="77777777" w:rsidR="00B27744" w:rsidRDefault="00B27744" w:rsidP="00B27744">
      <w:pPr>
        <w:pStyle w:val="Heading1"/>
      </w:pPr>
      <w:r>
        <w:t>Actors Involved</w:t>
      </w:r>
    </w:p>
    <w:p w14:paraId="42EAE0ED" w14:textId="77777777" w:rsidR="00B27744" w:rsidRDefault="00B27744" w:rsidP="00B27744">
      <w:pPr>
        <w:pStyle w:val="ListParagraph"/>
        <w:numPr>
          <w:ilvl w:val="0"/>
          <w:numId w:val="1"/>
        </w:numPr>
      </w:pPr>
      <w:r w:rsidRPr="00614F70">
        <w:t>Company Vehicle Operator: The person in possession of, and responsible for, the company car during the period in question.</w:t>
      </w:r>
    </w:p>
    <w:p w14:paraId="47C3B758" w14:textId="77777777" w:rsidR="00B27744" w:rsidRDefault="00B27744" w:rsidP="00B27744">
      <w:pPr>
        <w:pStyle w:val="ListParagraph"/>
        <w:numPr>
          <w:ilvl w:val="0"/>
          <w:numId w:val="1"/>
        </w:numPr>
      </w:pPr>
      <w:r w:rsidRPr="00614F70">
        <w:t xml:space="preserve">Company Fleet/Logistics Department: The team responsible for monitoring vehicle usage, approving travel, and reconciling </w:t>
      </w:r>
      <w:proofErr w:type="gramStart"/>
      <w:r w:rsidRPr="00614F70">
        <w:t>log books</w:t>
      </w:r>
      <w:proofErr w:type="gramEnd"/>
      <w:r w:rsidRPr="00614F70">
        <w:t xml:space="preserve"> and fuel expenditures.</w:t>
      </w:r>
    </w:p>
    <w:p w14:paraId="3A5D7D3E" w14:textId="77777777" w:rsidR="00B27744" w:rsidRDefault="00B27744" w:rsidP="00B27744">
      <w:pPr>
        <w:pStyle w:val="ListParagraph"/>
        <w:numPr>
          <w:ilvl w:val="0"/>
          <w:numId w:val="1"/>
        </w:numPr>
      </w:pPr>
      <w:r w:rsidRPr="00614F70">
        <w:t>Fuel Stations: Shell Bluewater and Engen Meadow Park, where company fuel card transactions were made.</w:t>
      </w:r>
    </w:p>
    <w:p w14:paraId="2F9A77EF" w14:textId="77777777" w:rsidR="00B27744" w:rsidRDefault="00B27744" w:rsidP="00B27744">
      <w:pPr>
        <w:pStyle w:val="Heading1"/>
      </w:pPr>
      <w:r>
        <w:t>Visual Timeline of Events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451"/>
        <w:gridCol w:w="1470"/>
        <w:gridCol w:w="1615"/>
        <w:gridCol w:w="2805"/>
        <w:gridCol w:w="1675"/>
      </w:tblGrid>
      <w:tr w:rsidR="00B27744" w:rsidRPr="00614F70" w14:paraId="70E8BA26" w14:textId="77777777" w:rsidTr="00B15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1" w:type="dxa"/>
          </w:tcPr>
          <w:p w14:paraId="53F7DF71" w14:textId="77777777" w:rsidR="00B27744" w:rsidRPr="00614F70" w:rsidRDefault="00B27744" w:rsidP="00B152A7">
            <w:r>
              <w:t>Date</w:t>
            </w:r>
          </w:p>
        </w:tc>
        <w:tc>
          <w:tcPr>
            <w:tcW w:w="1470" w:type="dxa"/>
          </w:tcPr>
          <w:p w14:paraId="6743E729" w14:textId="77777777" w:rsidR="00B27744" w:rsidRPr="00614F70" w:rsidRDefault="00B27744" w:rsidP="00B152A7">
            <w:r>
              <w:t>Time</w:t>
            </w:r>
          </w:p>
        </w:tc>
        <w:tc>
          <w:tcPr>
            <w:tcW w:w="1615" w:type="dxa"/>
          </w:tcPr>
          <w:p w14:paraId="33080C6D" w14:textId="77777777" w:rsidR="00B27744" w:rsidRPr="00614F70" w:rsidRDefault="00B27744" w:rsidP="00B152A7">
            <w:r>
              <w:t>Event</w:t>
            </w:r>
          </w:p>
        </w:tc>
        <w:tc>
          <w:tcPr>
            <w:tcW w:w="2805" w:type="dxa"/>
          </w:tcPr>
          <w:p w14:paraId="56D18717" w14:textId="77777777" w:rsidR="00B27744" w:rsidRPr="00614F70" w:rsidRDefault="00B27744" w:rsidP="00B152A7">
            <w:r>
              <w:t>Location</w:t>
            </w:r>
          </w:p>
        </w:tc>
        <w:tc>
          <w:tcPr>
            <w:tcW w:w="1675" w:type="dxa"/>
          </w:tcPr>
          <w:p w14:paraId="3F3860DC" w14:textId="77777777" w:rsidR="00B27744" w:rsidRPr="00614F70" w:rsidRDefault="00B27744" w:rsidP="00B152A7">
            <w:r>
              <w:t>Notes</w:t>
            </w:r>
          </w:p>
        </w:tc>
      </w:tr>
      <w:tr w:rsidR="00B27744" w:rsidRPr="00614F70" w14:paraId="442F47FA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dxa"/>
          </w:tcPr>
          <w:p w14:paraId="2B3A4907" w14:textId="77777777" w:rsidR="00B27744" w:rsidRDefault="00B27744" w:rsidP="00B152A7">
            <w:r>
              <w:t>13 June 2025</w:t>
            </w:r>
          </w:p>
        </w:tc>
        <w:tc>
          <w:tcPr>
            <w:tcW w:w="1470" w:type="dxa"/>
          </w:tcPr>
          <w:p w14:paraId="761069E1" w14:textId="77777777" w:rsidR="00B27744" w:rsidRDefault="00B27744" w:rsidP="00B152A7">
            <w:r>
              <w:t>—</w:t>
            </w:r>
          </w:p>
        </w:tc>
        <w:tc>
          <w:tcPr>
            <w:tcW w:w="1615" w:type="dxa"/>
          </w:tcPr>
          <w:p w14:paraId="6EBAE2DB" w14:textId="77777777" w:rsidR="00B27744" w:rsidRDefault="00B27744" w:rsidP="00B152A7">
            <w:proofErr w:type="gramStart"/>
            <w:r>
              <w:t>Log Book</w:t>
            </w:r>
            <w:proofErr w:type="gramEnd"/>
            <w:r>
              <w:t xml:space="preserve"> Entry: Office to Client Site (Business)</w:t>
            </w:r>
          </w:p>
        </w:tc>
        <w:tc>
          <w:tcPr>
            <w:tcW w:w="2805" w:type="dxa"/>
          </w:tcPr>
          <w:p w14:paraId="129DF129" w14:textId="77777777" w:rsidR="00B27744" w:rsidRDefault="00B27744" w:rsidP="00B152A7">
            <w:r>
              <w:t>—</w:t>
            </w:r>
          </w:p>
        </w:tc>
        <w:tc>
          <w:tcPr>
            <w:tcW w:w="1675" w:type="dxa"/>
          </w:tcPr>
          <w:p w14:paraId="50396046" w14:textId="77777777" w:rsidR="00B27744" w:rsidRDefault="00B27744" w:rsidP="00B152A7">
            <w:r>
              <w:t>Start KM: 34,220; End KM: 34,235</w:t>
            </w:r>
          </w:p>
        </w:tc>
      </w:tr>
      <w:tr w:rsidR="00B27744" w:rsidRPr="00614F70" w14:paraId="1B43E06E" w14:textId="77777777" w:rsidTr="00B152A7">
        <w:tc>
          <w:tcPr>
            <w:tcW w:w="1451" w:type="dxa"/>
          </w:tcPr>
          <w:p w14:paraId="64E926E6" w14:textId="77777777" w:rsidR="00B27744" w:rsidRDefault="00B27744" w:rsidP="00B152A7">
            <w:r>
              <w:t>14 June 2025</w:t>
            </w:r>
          </w:p>
        </w:tc>
        <w:tc>
          <w:tcPr>
            <w:tcW w:w="1470" w:type="dxa"/>
          </w:tcPr>
          <w:p w14:paraId="5F8620AA" w14:textId="77777777" w:rsidR="00B27744" w:rsidRDefault="00B27744" w:rsidP="00B152A7">
            <w:r>
              <w:t>10:02 AM</w:t>
            </w:r>
          </w:p>
        </w:tc>
        <w:tc>
          <w:tcPr>
            <w:tcW w:w="1615" w:type="dxa"/>
          </w:tcPr>
          <w:p w14:paraId="37A0152A" w14:textId="77777777" w:rsidR="00B27744" w:rsidRDefault="00B27744" w:rsidP="00B152A7">
            <w:r>
              <w:t>Fuel Purchase</w:t>
            </w:r>
          </w:p>
        </w:tc>
        <w:tc>
          <w:tcPr>
            <w:tcW w:w="2805" w:type="dxa"/>
          </w:tcPr>
          <w:p w14:paraId="1358CC52" w14:textId="77777777" w:rsidR="00B27744" w:rsidRDefault="00B27744" w:rsidP="00B152A7">
            <w:r>
              <w:t>Shell Bluewater</w:t>
            </w:r>
          </w:p>
        </w:tc>
        <w:tc>
          <w:tcPr>
            <w:tcW w:w="1675" w:type="dxa"/>
          </w:tcPr>
          <w:p w14:paraId="50A31405" w14:textId="77777777" w:rsidR="00B27744" w:rsidRDefault="00B27744" w:rsidP="00B152A7">
            <w:r>
              <w:t>R420.00 (Receipt No: 523489)</w:t>
            </w:r>
          </w:p>
        </w:tc>
      </w:tr>
      <w:tr w:rsidR="00B27744" w:rsidRPr="00614F70" w14:paraId="3A1D3D34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dxa"/>
          </w:tcPr>
          <w:p w14:paraId="1605A2EC" w14:textId="77777777" w:rsidR="00B27744" w:rsidRDefault="00B27744" w:rsidP="00B152A7">
            <w:r>
              <w:t>14 June 2025</w:t>
            </w:r>
          </w:p>
        </w:tc>
        <w:tc>
          <w:tcPr>
            <w:tcW w:w="1470" w:type="dxa"/>
          </w:tcPr>
          <w:p w14:paraId="7147EBBB" w14:textId="77777777" w:rsidR="00B27744" w:rsidRDefault="00B27744" w:rsidP="00B152A7">
            <w:r>
              <w:t>03:47 PM</w:t>
            </w:r>
          </w:p>
        </w:tc>
        <w:tc>
          <w:tcPr>
            <w:tcW w:w="1615" w:type="dxa"/>
          </w:tcPr>
          <w:p w14:paraId="6F2B6762" w14:textId="77777777" w:rsidR="00B27744" w:rsidRDefault="00B27744" w:rsidP="00B152A7">
            <w:r>
              <w:t>Vehicle Stationary</w:t>
            </w:r>
          </w:p>
        </w:tc>
        <w:tc>
          <w:tcPr>
            <w:tcW w:w="2805" w:type="dxa"/>
          </w:tcPr>
          <w:p w14:paraId="6F29FD94" w14:textId="77777777" w:rsidR="00B27744" w:rsidRDefault="00B27744" w:rsidP="00B152A7">
            <w:r>
              <w:t>Bluewater Beach</w:t>
            </w:r>
          </w:p>
        </w:tc>
        <w:tc>
          <w:tcPr>
            <w:tcW w:w="1675" w:type="dxa"/>
          </w:tcPr>
          <w:p w14:paraId="38F21505" w14:textId="77777777" w:rsidR="00B27744" w:rsidRDefault="00B27744" w:rsidP="00B152A7">
            <w:r>
              <w:t>Remains until departure (time unspecified)</w:t>
            </w:r>
          </w:p>
        </w:tc>
      </w:tr>
      <w:tr w:rsidR="00B27744" w:rsidRPr="00614F70" w14:paraId="4A62A7C6" w14:textId="77777777" w:rsidTr="00B152A7">
        <w:tc>
          <w:tcPr>
            <w:tcW w:w="1451" w:type="dxa"/>
          </w:tcPr>
          <w:p w14:paraId="0EC1CC4F" w14:textId="77777777" w:rsidR="00B27744" w:rsidRDefault="00B27744" w:rsidP="00B152A7">
            <w:r>
              <w:t>15 June 2025</w:t>
            </w:r>
          </w:p>
        </w:tc>
        <w:tc>
          <w:tcPr>
            <w:tcW w:w="1470" w:type="dxa"/>
          </w:tcPr>
          <w:p w14:paraId="3BC7B310" w14:textId="77777777" w:rsidR="00B27744" w:rsidRDefault="00B27744" w:rsidP="00B152A7">
            <w:r>
              <w:t>10:30 AM</w:t>
            </w:r>
          </w:p>
        </w:tc>
        <w:tc>
          <w:tcPr>
            <w:tcW w:w="1615" w:type="dxa"/>
          </w:tcPr>
          <w:p w14:paraId="772D47C6" w14:textId="77777777" w:rsidR="00B27744" w:rsidRDefault="00B27744" w:rsidP="00B152A7">
            <w:r>
              <w:t>Vehicle Location Recorded</w:t>
            </w:r>
          </w:p>
        </w:tc>
        <w:tc>
          <w:tcPr>
            <w:tcW w:w="2805" w:type="dxa"/>
          </w:tcPr>
          <w:p w14:paraId="1F276467" w14:textId="77777777" w:rsidR="00B27744" w:rsidRDefault="00B27744" w:rsidP="00B152A7">
            <w:r>
              <w:t>24 Family Crescent, Meadow Park&lt;</w:t>
            </w:r>
            <w:proofErr w:type="spellStart"/>
            <w:r>
              <w:t>br</w:t>
            </w:r>
            <w:proofErr w:type="spellEnd"/>
            <w:r>
              <w:t>&gt;&lt;/</w:t>
            </w:r>
            <w:proofErr w:type="spellStart"/>
            <w:r>
              <w:t>br</w:t>
            </w:r>
            <w:proofErr w:type="spellEnd"/>
            <w:r>
              <w:t>&gt;Coordinates: -34.0211, 18.4912</w:t>
            </w:r>
          </w:p>
        </w:tc>
        <w:tc>
          <w:tcPr>
            <w:tcW w:w="1675" w:type="dxa"/>
          </w:tcPr>
          <w:p w14:paraId="4543856E" w14:textId="77777777" w:rsidR="00B27744" w:rsidRDefault="00B27744" w:rsidP="00B152A7">
            <w:r>
              <w:t>Residential area</w:t>
            </w:r>
          </w:p>
        </w:tc>
      </w:tr>
      <w:tr w:rsidR="00B27744" w:rsidRPr="00614F70" w14:paraId="5B8AA446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dxa"/>
          </w:tcPr>
          <w:p w14:paraId="45CB3677" w14:textId="77777777" w:rsidR="00B27744" w:rsidRDefault="00B27744" w:rsidP="00B152A7">
            <w:r>
              <w:t>15 June 2025</w:t>
            </w:r>
          </w:p>
        </w:tc>
        <w:tc>
          <w:tcPr>
            <w:tcW w:w="1470" w:type="dxa"/>
          </w:tcPr>
          <w:p w14:paraId="1FF53D69" w14:textId="77777777" w:rsidR="00B27744" w:rsidRDefault="00B27744" w:rsidP="00B152A7">
            <w:r>
              <w:t>11:15 AM</w:t>
            </w:r>
          </w:p>
        </w:tc>
        <w:tc>
          <w:tcPr>
            <w:tcW w:w="1615" w:type="dxa"/>
          </w:tcPr>
          <w:p w14:paraId="1E41B83E" w14:textId="77777777" w:rsidR="00B27744" w:rsidRDefault="00B27744" w:rsidP="00B152A7">
            <w:r>
              <w:t>Fuel Purchase</w:t>
            </w:r>
          </w:p>
        </w:tc>
        <w:tc>
          <w:tcPr>
            <w:tcW w:w="2805" w:type="dxa"/>
          </w:tcPr>
          <w:p w14:paraId="5A45E6DB" w14:textId="77777777" w:rsidR="00B27744" w:rsidRDefault="00B27744" w:rsidP="00B152A7">
            <w:r>
              <w:t>Engen Meadow Park</w:t>
            </w:r>
          </w:p>
        </w:tc>
        <w:tc>
          <w:tcPr>
            <w:tcW w:w="1675" w:type="dxa"/>
          </w:tcPr>
          <w:p w14:paraId="46B65293" w14:textId="77777777" w:rsidR="00B27744" w:rsidRDefault="00B27744" w:rsidP="00B152A7">
            <w:r>
              <w:t>R380.50 (Receipt No: 523573)</w:t>
            </w:r>
          </w:p>
        </w:tc>
      </w:tr>
      <w:tr w:rsidR="00B27744" w:rsidRPr="00614F70" w14:paraId="5E72BCD3" w14:textId="77777777" w:rsidTr="00B152A7">
        <w:tc>
          <w:tcPr>
            <w:tcW w:w="1451" w:type="dxa"/>
          </w:tcPr>
          <w:p w14:paraId="70CCE738" w14:textId="77777777" w:rsidR="00B27744" w:rsidRDefault="00B27744" w:rsidP="00B152A7">
            <w:r>
              <w:t>15 June 2025</w:t>
            </w:r>
          </w:p>
        </w:tc>
        <w:tc>
          <w:tcPr>
            <w:tcW w:w="1470" w:type="dxa"/>
          </w:tcPr>
          <w:p w14:paraId="7FCF4EB8" w14:textId="77777777" w:rsidR="00B27744" w:rsidRDefault="00B27744" w:rsidP="00B152A7">
            <w:r>
              <w:t>04:16 PM</w:t>
            </w:r>
          </w:p>
        </w:tc>
        <w:tc>
          <w:tcPr>
            <w:tcW w:w="1615" w:type="dxa"/>
          </w:tcPr>
          <w:p w14:paraId="4F0BE0F4" w14:textId="77777777" w:rsidR="00B27744" w:rsidRDefault="00B27744" w:rsidP="00B152A7">
            <w:r>
              <w:t>Vehicle Departs for Company Premises</w:t>
            </w:r>
          </w:p>
        </w:tc>
        <w:tc>
          <w:tcPr>
            <w:tcW w:w="2805" w:type="dxa"/>
          </w:tcPr>
          <w:p w14:paraId="15C1D114" w14:textId="77777777" w:rsidR="00B27744" w:rsidRDefault="00B27744" w:rsidP="00B152A7">
            <w:r>
              <w:t>Meadow Park</w:t>
            </w:r>
          </w:p>
        </w:tc>
        <w:tc>
          <w:tcPr>
            <w:tcW w:w="1675" w:type="dxa"/>
          </w:tcPr>
          <w:p w14:paraId="477E96FA" w14:textId="77777777" w:rsidR="00B27744" w:rsidRDefault="00B27744" w:rsidP="00B152A7">
            <w:r>
              <w:t>Returns to office</w:t>
            </w:r>
          </w:p>
        </w:tc>
      </w:tr>
      <w:tr w:rsidR="00B27744" w:rsidRPr="00614F70" w14:paraId="4CC13231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1" w:type="dxa"/>
          </w:tcPr>
          <w:p w14:paraId="72C2D9D8" w14:textId="77777777" w:rsidR="00B27744" w:rsidRDefault="00B27744" w:rsidP="00B152A7">
            <w:r>
              <w:t>16 June 2025</w:t>
            </w:r>
          </w:p>
        </w:tc>
        <w:tc>
          <w:tcPr>
            <w:tcW w:w="1470" w:type="dxa"/>
          </w:tcPr>
          <w:p w14:paraId="382C2297" w14:textId="77777777" w:rsidR="00B27744" w:rsidRDefault="00B27744" w:rsidP="00B152A7">
            <w:r>
              <w:t>—</w:t>
            </w:r>
          </w:p>
        </w:tc>
        <w:tc>
          <w:tcPr>
            <w:tcW w:w="1615" w:type="dxa"/>
          </w:tcPr>
          <w:p w14:paraId="1037BCB8" w14:textId="77777777" w:rsidR="00B27744" w:rsidRDefault="00B27744" w:rsidP="00B152A7">
            <w:proofErr w:type="gramStart"/>
            <w:r>
              <w:t>Log Book</w:t>
            </w:r>
            <w:proofErr w:type="gramEnd"/>
            <w:r>
              <w:t xml:space="preserve"> Entry: Office to Supplier </w:t>
            </w:r>
            <w:r>
              <w:lastRenderedPageBreak/>
              <w:t>Warehouse (Delivery)</w:t>
            </w:r>
          </w:p>
        </w:tc>
        <w:tc>
          <w:tcPr>
            <w:tcW w:w="2805" w:type="dxa"/>
          </w:tcPr>
          <w:p w14:paraId="454FABB8" w14:textId="77777777" w:rsidR="00B27744" w:rsidRDefault="00B27744" w:rsidP="00B152A7">
            <w:r>
              <w:lastRenderedPageBreak/>
              <w:t>—</w:t>
            </w:r>
          </w:p>
        </w:tc>
        <w:tc>
          <w:tcPr>
            <w:tcW w:w="1675" w:type="dxa"/>
          </w:tcPr>
          <w:p w14:paraId="1C7B999F" w14:textId="77777777" w:rsidR="00B27744" w:rsidRDefault="00B27744" w:rsidP="00B152A7">
            <w:r>
              <w:t>Start KM: 34,235; End KM: 34,270</w:t>
            </w:r>
          </w:p>
        </w:tc>
      </w:tr>
    </w:tbl>
    <w:p w14:paraId="2AAF5BF1" w14:textId="77777777" w:rsidR="00B27744" w:rsidRDefault="00B27744" w:rsidP="00B27744">
      <w:pPr>
        <w:pStyle w:val="Heading1"/>
      </w:pPr>
      <w:r>
        <w:t>Risk Explanation</w:t>
      </w:r>
    </w:p>
    <w:p w14:paraId="2466F3BC" w14:textId="77777777" w:rsidR="00B27744" w:rsidRDefault="00B27744" w:rsidP="00B27744">
      <w:r w:rsidRPr="00614F70">
        <w:t>The following risks are identified based on the evidence:</w:t>
      </w:r>
    </w:p>
    <w:p w14:paraId="1CA13C34" w14:textId="77777777" w:rsidR="00B27744" w:rsidRDefault="00B27744" w:rsidP="00B27744">
      <w:pPr>
        <w:pStyle w:val="ListParagraph"/>
        <w:numPr>
          <w:ilvl w:val="0"/>
          <w:numId w:val="2"/>
        </w:numPr>
      </w:pPr>
      <w:r w:rsidRPr="00614F70">
        <w:t xml:space="preserve">Unrecorded Use: The absence of </w:t>
      </w:r>
      <w:proofErr w:type="gramStart"/>
      <w:r w:rsidRPr="00614F70">
        <w:t>log book</w:t>
      </w:r>
      <w:proofErr w:type="gramEnd"/>
      <w:r w:rsidRPr="00614F70">
        <w:t xml:space="preserve"> entries for 14–15 June, despite recorded movement and fuel purchases, suggests the vehicle was used for purposes outside authorised business activity.</w:t>
      </w:r>
    </w:p>
    <w:p w14:paraId="708F669D" w14:textId="77777777" w:rsidR="00B27744" w:rsidRDefault="00B27744" w:rsidP="00B27744">
      <w:pPr>
        <w:pStyle w:val="ListParagraph"/>
        <w:numPr>
          <w:ilvl w:val="0"/>
          <w:numId w:val="2"/>
        </w:numPr>
      </w:pPr>
      <w:r w:rsidRPr="00614F70">
        <w:t>Personal Gain: Use of the company car at a beach and a residential address, coupled with company-funded fuel purchases, indicates possible personal benefit at company expense.</w:t>
      </w:r>
    </w:p>
    <w:p w14:paraId="48607910" w14:textId="77777777" w:rsidR="00B27744" w:rsidRDefault="00B27744" w:rsidP="00B27744">
      <w:pPr>
        <w:pStyle w:val="ListParagraph"/>
        <w:numPr>
          <w:ilvl w:val="0"/>
          <w:numId w:val="2"/>
        </w:numPr>
      </w:pPr>
      <w:r w:rsidRPr="00614F70">
        <w:t>Potential Policy Breach: Failing to document vehicle movement and purchases violates company policies on transparency, accountability, and asset management.</w:t>
      </w:r>
    </w:p>
    <w:p w14:paraId="38114789" w14:textId="77777777" w:rsidR="00B27744" w:rsidRDefault="00B27744" w:rsidP="00B27744">
      <w:pPr>
        <w:pStyle w:val="ListParagraph"/>
        <w:numPr>
          <w:ilvl w:val="0"/>
          <w:numId w:val="2"/>
        </w:numPr>
      </w:pPr>
      <w:r w:rsidRPr="00614F70">
        <w:t>Financial Loss: The cost of fuel and vehicle wear during unauthorised use represents a direct financial risk to the company.</w:t>
      </w:r>
    </w:p>
    <w:p w14:paraId="09F21BC1" w14:textId="77777777" w:rsidR="00B27744" w:rsidRDefault="00B27744" w:rsidP="00B27744">
      <w:pPr>
        <w:pStyle w:val="ListParagraph"/>
        <w:numPr>
          <w:ilvl w:val="0"/>
          <w:numId w:val="2"/>
        </w:numPr>
      </w:pPr>
      <w:r w:rsidRPr="00614F70">
        <w:t>Reputational Risk: If left unaddressed, such incidents may erode trust in company oversight and encourage further misuse of resources.</w:t>
      </w:r>
    </w:p>
    <w:p w14:paraId="281F6B72" w14:textId="77777777" w:rsidR="00B27744" w:rsidRPr="00614F70" w:rsidRDefault="00B27744" w:rsidP="00B27744">
      <w:r w:rsidRPr="00614F70">
        <w:t>In summary, the evidence points to unauthorised use of a company vehicle and resources, necessitating further review and possible disciplinary action to mitigate ongoing risk.</w:t>
      </w:r>
    </w:p>
    <w:p w14:paraId="62EF35A7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327EB"/>
    <w:multiLevelType w:val="hybridMultilevel"/>
    <w:tmpl w:val="48F0B4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21053"/>
    <w:multiLevelType w:val="hybridMultilevel"/>
    <w:tmpl w:val="CF8E34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83970">
    <w:abstractNumId w:val="0"/>
  </w:num>
  <w:num w:numId="2" w16cid:durableId="1220289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74"/>
    <w:rsid w:val="0031781C"/>
    <w:rsid w:val="004E74C5"/>
    <w:rsid w:val="00B27744"/>
    <w:rsid w:val="00EA6C74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3201"/>
  <w15:chartTrackingRefBased/>
  <w15:docId w15:val="{E40C5E4B-3A9D-471E-8A80-4DEDCAC4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44"/>
  </w:style>
  <w:style w:type="paragraph" w:styleId="Heading1">
    <w:name w:val="heading 1"/>
    <w:basedOn w:val="Normal"/>
    <w:next w:val="Normal"/>
    <w:link w:val="Heading1Char"/>
    <w:uiPriority w:val="9"/>
    <w:qFormat/>
    <w:rsid w:val="00EA6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C74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B277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2</cp:revision>
  <dcterms:created xsi:type="dcterms:W3CDTF">2025-07-28T21:52:00Z</dcterms:created>
  <dcterms:modified xsi:type="dcterms:W3CDTF">2025-07-28T21:52:00Z</dcterms:modified>
</cp:coreProperties>
</file>