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0C2" w:rsidRPr="00872652" w:rsidRDefault="00872652" w:rsidP="00872652">
      <w:pPr>
        <w:spacing w:line="360" w:lineRule="auto"/>
        <w:ind w:firstLine="420"/>
        <w:jc w:val="center"/>
        <w:rPr>
          <w:b/>
          <w:sz w:val="32"/>
          <w:szCs w:val="32"/>
        </w:rPr>
      </w:pPr>
      <w:r w:rsidRPr="00872652">
        <w:rPr>
          <w:rFonts w:hint="eastAsia"/>
          <w:b/>
          <w:sz w:val="32"/>
          <w:szCs w:val="32"/>
        </w:rPr>
        <w:t>CDS</w:t>
      </w:r>
      <w:r w:rsidRPr="00872652">
        <w:rPr>
          <w:rFonts w:hint="eastAsia"/>
          <w:b/>
          <w:sz w:val="32"/>
          <w:szCs w:val="32"/>
        </w:rPr>
        <w:t>产品概况</w:t>
      </w:r>
    </w:p>
    <w:p w:rsidR="004710C2" w:rsidRDefault="004710C2" w:rsidP="00263EE4">
      <w:pPr>
        <w:spacing w:line="360" w:lineRule="auto"/>
        <w:ind w:firstLine="420"/>
      </w:pPr>
      <w:r w:rsidRPr="004710C2">
        <w:rPr>
          <w:rFonts w:hint="eastAsia"/>
          <w:b/>
          <w:color w:val="FF0000"/>
        </w:rPr>
        <w:t>信用违约互换（</w:t>
      </w:r>
      <w:r w:rsidRPr="004710C2">
        <w:rPr>
          <w:rFonts w:hint="eastAsia"/>
          <w:b/>
          <w:color w:val="FF0000"/>
        </w:rPr>
        <w:t>Credit Default Swap</w:t>
      </w:r>
      <w:r w:rsidRPr="004710C2">
        <w:rPr>
          <w:rFonts w:hint="eastAsia"/>
          <w:b/>
          <w:color w:val="FF0000"/>
        </w:rPr>
        <w:t>，</w:t>
      </w:r>
      <w:r w:rsidRPr="004710C2">
        <w:rPr>
          <w:rFonts w:hint="eastAsia"/>
          <w:b/>
          <w:color w:val="FF0000"/>
        </w:rPr>
        <w:t>CDS</w:t>
      </w:r>
      <w:r w:rsidRPr="004710C2">
        <w:rPr>
          <w:rFonts w:hint="eastAsia"/>
          <w:b/>
          <w:color w:val="FF0000"/>
        </w:rPr>
        <w:t>）</w:t>
      </w:r>
      <w:r w:rsidRPr="004710C2">
        <w:rPr>
          <w:rFonts w:hint="eastAsia"/>
        </w:rPr>
        <w:t>是指双方通过签订协议，由一方（信用保护购买者）定期向另一方支付以名义本金的固定基点数表示的费用（称为信用违约互换的价格或信用违约互换价差）；同时，前者从对方那里收入一笔由于第三方违约时的或有偿付款。</w:t>
      </w:r>
    </w:p>
    <w:p w:rsidR="00872652" w:rsidRPr="00872652" w:rsidRDefault="00872652" w:rsidP="00263EE4">
      <w:pPr>
        <w:spacing w:line="360" w:lineRule="auto"/>
        <w:ind w:firstLine="420"/>
      </w:pPr>
      <w:r w:rsidRPr="00872652">
        <w:rPr>
          <w:rFonts w:hint="eastAsia"/>
        </w:rPr>
        <w:t>通常</w:t>
      </w:r>
      <w:r w:rsidRPr="00872652">
        <w:rPr>
          <w:rFonts w:hint="eastAsia"/>
        </w:rPr>
        <w:t>CDS</w:t>
      </w:r>
      <w:r w:rsidRPr="00872652">
        <w:rPr>
          <w:rFonts w:hint="eastAsia"/>
        </w:rPr>
        <w:t>交易发生在两个参与主体之间，购买</w:t>
      </w:r>
      <w:r w:rsidRPr="00872652">
        <w:rPr>
          <w:rFonts w:hint="eastAsia"/>
        </w:rPr>
        <w:t>CDS</w:t>
      </w:r>
      <w:r w:rsidRPr="00872652">
        <w:rPr>
          <w:rFonts w:hint="eastAsia"/>
        </w:rPr>
        <w:t>称作购买保护或多头保护，违约互换的购买者被称作“信用保护的买方”，出售</w:t>
      </w:r>
      <w:r w:rsidRPr="00872652">
        <w:rPr>
          <w:rFonts w:hint="eastAsia"/>
        </w:rPr>
        <w:t>CDS</w:t>
      </w:r>
      <w:r w:rsidRPr="00872652">
        <w:rPr>
          <w:rFonts w:hint="eastAsia"/>
        </w:rPr>
        <w:t>称作出售保护或空头保护，违约互换的卖方被称作“信用保护的卖方”。信用保护的买方一般为银行，卖方通常为投资银行或主承销商。</w:t>
      </w:r>
    </w:p>
    <w:p w:rsidR="004710C2" w:rsidRDefault="004710C2" w:rsidP="00263EE4">
      <w:pPr>
        <w:spacing w:line="360" w:lineRule="auto"/>
        <w:ind w:firstLine="420"/>
      </w:pPr>
      <w:r>
        <w:rPr>
          <w:noProof/>
        </w:rPr>
        <w:drawing>
          <wp:inline distT="0" distB="0" distL="0" distR="0" wp14:anchorId="1D24AB1E" wp14:editId="00F1865A">
            <wp:extent cx="5274310" cy="1482090"/>
            <wp:effectExtent l="0" t="0" r="254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1482090"/>
                    </a:xfrm>
                    <a:prstGeom prst="rect">
                      <a:avLst/>
                    </a:prstGeom>
                  </pic:spPr>
                </pic:pic>
              </a:graphicData>
            </a:graphic>
          </wp:inline>
        </w:drawing>
      </w:r>
    </w:p>
    <w:p w:rsidR="00872652" w:rsidRDefault="00872652" w:rsidP="00263EE4">
      <w:pPr>
        <w:spacing w:line="360" w:lineRule="auto"/>
        <w:ind w:firstLine="420"/>
      </w:pPr>
      <w:r>
        <w:rPr>
          <w:noProof/>
        </w:rPr>
        <w:drawing>
          <wp:inline distT="0" distB="0" distL="0" distR="0" wp14:anchorId="43A8B320" wp14:editId="39ECB049">
            <wp:extent cx="5274310" cy="2567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567305"/>
                    </a:xfrm>
                    <a:prstGeom prst="rect">
                      <a:avLst/>
                    </a:prstGeom>
                  </pic:spPr>
                </pic:pic>
              </a:graphicData>
            </a:graphic>
          </wp:inline>
        </w:drawing>
      </w:r>
    </w:p>
    <w:p w:rsidR="00AA4AED" w:rsidRDefault="00AA4AED" w:rsidP="00263EE4">
      <w:pPr>
        <w:spacing w:line="360" w:lineRule="auto"/>
        <w:ind w:firstLine="420"/>
      </w:pPr>
    </w:p>
    <w:p w:rsidR="00AA4AED" w:rsidRDefault="00AA4AED" w:rsidP="00263EE4">
      <w:pPr>
        <w:spacing w:line="360" w:lineRule="auto"/>
        <w:ind w:firstLine="420"/>
      </w:pPr>
    </w:p>
    <w:p w:rsidR="00AA4AED" w:rsidRDefault="00AA4AED" w:rsidP="00263EE4">
      <w:pPr>
        <w:spacing w:line="360" w:lineRule="auto"/>
        <w:ind w:firstLine="420"/>
      </w:pPr>
    </w:p>
    <w:p w:rsidR="00AA4AED" w:rsidRDefault="00AA4AED" w:rsidP="00263EE4">
      <w:pPr>
        <w:spacing w:line="360" w:lineRule="auto"/>
        <w:ind w:firstLine="420"/>
      </w:pPr>
    </w:p>
    <w:p w:rsidR="00AA4AED" w:rsidRDefault="00AA4AED" w:rsidP="00263EE4">
      <w:pPr>
        <w:spacing w:line="360" w:lineRule="auto"/>
        <w:ind w:firstLine="420"/>
      </w:pPr>
    </w:p>
    <w:p w:rsidR="00AA4AED" w:rsidRDefault="00AA4AED" w:rsidP="00263EE4">
      <w:pPr>
        <w:spacing w:line="360" w:lineRule="auto"/>
        <w:ind w:firstLine="420"/>
      </w:pPr>
    </w:p>
    <w:p w:rsidR="00AA4AED" w:rsidRDefault="00AA4AED" w:rsidP="00263EE4">
      <w:pPr>
        <w:spacing w:line="360" w:lineRule="auto"/>
        <w:ind w:firstLine="420"/>
        <w:rPr>
          <w:rFonts w:hint="eastAsia"/>
        </w:rPr>
      </w:pPr>
    </w:p>
    <w:p w:rsidR="00AA4AED" w:rsidRDefault="00AA4AED" w:rsidP="00263EE4">
      <w:pPr>
        <w:spacing w:line="360" w:lineRule="auto"/>
        <w:ind w:firstLine="420"/>
      </w:pPr>
    </w:p>
    <w:p w:rsidR="00AA4AED" w:rsidRDefault="00AA4AED" w:rsidP="00263EE4">
      <w:pPr>
        <w:spacing w:line="360" w:lineRule="auto"/>
        <w:ind w:firstLine="420"/>
      </w:pPr>
    </w:p>
    <w:p w:rsidR="00A73D56" w:rsidRDefault="00AA4AED" w:rsidP="00D32619">
      <w:pPr>
        <w:spacing w:line="360" w:lineRule="auto"/>
        <w:ind w:firstLineChars="1350" w:firstLine="2835"/>
      </w:pPr>
      <w:bookmarkStart w:id="0" w:name="_GoBack"/>
      <w:bookmarkEnd w:id="0"/>
      <w:r>
        <w:rPr>
          <w:rFonts w:hint="eastAsia"/>
        </w:rPr>
        <w:t>图</w:t>
      </w:r>
      <w:r>
        <w:rPr>
          <w:rFonts w:hint="eastAsia"/>
        </w:rPr>
        <w:t>1</w:t>
      </w:r>
      <w:r>
        <w:t xml:space="preserve">  </w:t>
      </w:r>
      <w:r>
        <w:rPr>
          <w:rFonts w:hint="eastAsia"/>
        </w:rPr>
        <w:t>信用违约互换结构图</w:t>
      </w:r>
    </w:p>
    <w:p w:rsidR="00AA4AED" w:rsidRDefault="00AA4AED" w:rsidP="00263EE4">
      <w:pPr>
        <w:spacing w:line="360" w:lineRule="auto"/>
        <w:ind w:firstLine="420"/>
        <w:rPr>
          <w:rFonts w:hint="eastAsia"/>
        </w:rPr>
      </w:pPr>
    </w:p>
    <w:p w:rsidR="00A73D56" w:rsidRPr="00332DD4" w:rsidRDefault="00A73D56" w:rsidP="00263EE4">
      <w:pPr>
        <w:spacing w:line="360" w:lineRule="auto"/>
        <w:ind w:firstLine="420"/>
        <w:rPr>
          <w:i/>
        </w:rPr>
      </w:pPr>
      <w:r w:rsidRPr="00332DD4">
        <w:rPr>
          <w:i/>
          <w:noProof/>
        </w:rPr>
        <mc:AlternateContent>
          <mc:Choice Requires="wps">
            <w:drawing>
              <wp:anchor distT="45720" distB="45720" distL="114300" distR="114300" simplePos="0" relativeHeight="251664384" behindDoc="0" locked="0" layoutInCell="1" allowOverlap="1" wp14:anchorId="6B040271" wp14:editId="13DE9507">
                <wp:simplePos x="0" y="0"/>
                <wp:positionH relativeFrom="column">
                  <wp:posOffset>1692910</wp:posOffset>
                </wp:positionH>
                <wp:positionV relativeFrom="paragraph">
                  <wp:posOffset>116840</wp:posOffset>
                </wp:positionV>
                <wp:extent cx="2360930" cy="1404620"/>
                <wp:effectExtent l="0" t="0" r="0" b="635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A73D56" w:rsidRPr="00A73D56" w:rsidRDefault="00A73D56" w:rsidP="00A73D56">
                            <w:pPr>
                              <w:jc w:val="center"/>
                              <w:rPr>
                                <w:rFonts w:hint="eastAsia"/>
                                <w14:textOutline w14:w="9525" w14:cap="rnd" w14:cmpd="sng" w14:algn="ctr">
                                  <w14:noFill/>
                                  <w14:prstDash w14:val="solid"/>
                                  <w14:bevel/>
                                </w14:textOutline>
                              </w:rPr>
                            </w:pPr>
                            <w:r w:rsidRPr="00A73D56">
                              <w:rPr>
                                <w14:textOutline w14:w="9525" w14:cap="rnd" w14:cmpd="sng" w14:algn="ctr">
                                  <w14:noFill/>
                                  <w14:prstDash w14:val="solid"/>
                                  <w14:bevel/>
                                </w14:textOutline>
                              </w:rPr>
                              <w:t>定期支付一定费用</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B040271" id="_x0000_t202" coordsize="21600,21600" o:spt="202" path="m,l,21600r21600,l21600,xe">
                <v:stroke joinstyle="miter"/>
                <v:path gradientshapeok="t" o:connecttype="rect"/>
              </v:shapetype>
              <v:shape id="文本框 2" o:spid="_x0000_s1026" type="#_x0000_t202" style="position:absolute;left:0;text-align:left;margin-left:133.3pt;margin-top:9.2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" filled="f" stroked="f">
                <v:textbox style="mso-fit-shape-to-text:t">
                  <w:txbxContent>
                    <w:p w:rsidR="00A73D56" w:rsidRPr="00A73D56" w:rsidRDefault="00A73D56" w:rsidP="00A73D56">
                      <w:pPr>
                        <w:jc w:val="center"/>
                        <w:rPr>
                          <w:rFonts w:hint="eastAsia"/>
                          <w14:textOutline w14:w="9525" w14:cap="rnd" w14:cmpd="sng" w14:algn="ctr">
                            <w14:noFill/>
                            <w14:prstDash w14:val="solid"/>
                            <w14:bevel/>
                          </w14:textOutline>
                        </w:rPr>
                      </w:pPr>
                      <w:r w:rsidRPr="00A73D56">
                        <w:rPr>
                          <w14:textOutline w14:w="9525" w14:cap="rnd" w14:cmpd="sng" w14:algn="ctr">
                            <w14:noFill/>
                            <w14:prstDash w14:val="solid"/>
                            <w14:bevel/>
                          </w14:textOutline>
                        </w:rPr>
                        <w:t>定期支付一定费用</w:t>
                      </w:r>
                    </w:p>
                  </w:txbxContent>
                </v:textbox>
                <w10:wrap type="square"/>
              </v:shape>
            </w:pict>
          </mc:Fallback>
        </mc:AlternateContent>
      </w:r>
      <w:r w:rsidRPr="00332DD4">
        <w:rPr>
          <w:i/>
          <w:noProof/>
        </w:rPr>
        <mc:AlternateContent>
          <mc:Choice Requires="wps">
            <w:drawing>
              <wp:anchor distT="0" distB="0" distL="114300" distR="114300" simplePos="0" relativeHeight="251661312" behindDoc="0" locked="0" layoutInCell="1" allowOverlap="1" wp14:anchorId="2BA73567" wp14:editId="48B87F78">
                <wp:simplePos x="0" y="0"/>
                <wp:positionH relativeFrom="column">
                  <wp:posOffset>349858</wp:posOffset>
                </wp:positionH>
                <wp:positionV relativeFrom="paragraph">
                  <wp:posOffset>9857</wp:posOffset>
                </wp:positionV>
                <wp:extent cx="1224501" cy="1049572"/>
                <wp:effectExtent l="0" t="0" r="13970" b="17780"/>
                <wp:wrapNone/>
                <wp:docPr id="10" name="圆角矩形 10"/>
                <wp:cNvGraphicFramePr/>
                <a:graphic xmlns:a="http://schemas.openxmlformats.org/drawingml/2006/main">
                  <a:graphicData uri="http://schemas.microsoft.com/office/word/2010/wordprocessingShape">
                    <wps:wsp>
                      <wps:cNvSpPr/>
                      <wps:spPr>
                        <a:xfrm>
                          <a:off x="0" y="0"/>
                          <a:ext cx="1224501" cy="1049572"/>
                        </a:xfrm>
                        <a:prstGeom prst="roundRect">
                          <a:avLst/>
                        </a:prstGeom>
                        <a:solidFill>
                          <a:sysClr val="window" lastClr="FFFFFF"/>
                        </a:solidFill>
                        <a:ln w="12700" cap="flat" cmpd="sng" algn="ctr">
                          <a:solidFill>
                            <a:srgbClr val="70AD47"/>
                          </a:solidFill>
                          <a:prstDash val="solid"/>
                          <a:miter lim="800000"/>
                        </a:ln>
                        <a:effectLst/>
                      </wps:spPr>
                      <wps:txbx>
                        <w:txbxContent>
                          <w:p w:rsidR="00A73D56" w:rsidRPr="00AA4AED" w:rsidRDefault="00A73D56" w:rsidP="00A73D56">
                            <w:pPr>
                              <w:jc w:val="center"/>
                              <w:rPr>
                                <w:rFonts w:hint="eastAsia"/>
                                <w:b/>
                                <w:szCs w:val="21"/>
                              </w:rPr>
                            </w:pPr>
                            <w:r w:rsidRPr="00AA4AED">
                              <w:rPr>
                                <w:b/>
                                <w:szCs w:val="21"/>
                              </w:rPr>
                              <w:t>信用保护</w:t>
                            </w:r>
                            <w:r w:rsidRPr="00AA4AED">
                              <w:rPr>
                                <w:rFonts w:hint="eastAsia"/>
                                <w:b/>
                                <w:szCs w:val="21"/>
                              </w:rPr>
                              <w:t>卖方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BA73567" id="圆角矩形 10" o:spid="_x0000_s1027" style="position:absolute;left:0;text-align:left;margin-left:27.55pt;margin-top:.8pt;width:96.4pt;height:82.6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" fillcolor="window" strokecolor="#70ad47" strokeweight="1pt">
                <v:stroke joinstyle="miter"/>
                <v:textbox>
                  <w:txbxContent>
                    <w:p w:rsidR="00A73D56" w:rsidRPr="00AA4AED" w:rsidRDefault="00A73D56" w:rsidP="00A73D56">
                      <w:pPr>
                        <w:jc w:val="center"/>
                        <w:rPr>
                          <w:rFonts w:hint="eastAsia"/>
                          <w:b/>
                          <w:szCs w:val="21"/>
                        </w:rPr>
                      </w:pPr>
                      <w:r w:rsidRPr="00AA4AED">
                        <w:rPr>
                          <w:b/>
                          <w:szCs w:val="21"/>
                        </w:rPr>
                        <w:t>信用保护</w:t>
                      </w:r>
                      <w:r w:rsidRPr="00AA4AED">
                        <w:rPr>
                          <w:rFonts w:hint="eastAsia"/>
                          <w:b/>
                          <w:szCs w:val="21"/>
                        </w:rPr>
                        <w:t>卖方</w:t>
                      </w:r>
                    </w:p>
                  </w:txbxContent>
                </v:textbox>
              </v:roundrect>
            </w:pict>
          </mc:Fallback>
        </mc:AlternateContent>
      </w:r>
      <w:r w:rsidRPr="00332DD4">
        <w:rPr>
          <w:i/>
          <w:noProof/>
        </w:rPr>
        <mc:AlternateContent>
          <mc:Choice Requires="wps">
            <w:drawing>
              <wp:anchor distT="0" distB="0" distL="114300" distR="114300" simplePos="0" relativeHeight="251659264" behindDoc="0" locked="0" layoutInCell="1" allowOverlap="1" wp14:anchorId="68FEEA45" wp14:editId="166E4471">
                <wp:simplePos x="0" y="0"/>
                <wp:positionH relativeFrom="column">
                  <wp:posOffset>3825875</wp:posOffset>
                </wp:positionH>
                <wp:positionV relativeFrom="paragraph">
                  <wp:posOffset>7620</wp:posOffset>
                </wp:positionV>
                <wp:extent cx="1224280" cy="1049020"/>
                <wp:effectExtent l="0" t="0" r="13970" b="17780"/>
                <wp:wrapNone/>
                <wp:docPr id="9" name="圆角矩形 9"/>
                <wp:cNvGraphicFramePr/>
                <a:graphic xmlns:a="http://schemas.openxmlformats.org/drawingml/2006/main">
                  <a:graphicData uri="http://schemas.microsoft.com/office/word/2010/wordprocessingShape">
                    <wps:wsp>
                      <wps:cNvSpPr/>
                      <wps:spPr>
                        <a:xfrm>
                          <a:off x="0" y="0"/>
                          <a:ext cx="1224280" cy="10490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A73D56" w:rsidRPr="00A73D56" w:rsidRDefault="00A73D56" w:rsidP="00A73D56">
                            <w:pPr>
                              <w:jc w:val="center"/>
                              <w:rPr>
                                <w:rFonts w:hint="eastAsia"/>
                                <w:b/>
                              </w:rPr>
                            </w:pPr>
                            <w:r w:rsidRPr="00A73D56">
                              <w:rPr>
                                <w:rFonts w:hint="eastAsia"/>
                                <w:b/>
                              </w:rPr>
                              <w:t>信用保护买方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8FEEA45" id="圆角矩形 9" o:spid="_x0000_s1028" style="position:absolute;left:0;text-align:left;margin-left:301.25pt;margin-top:.6pt;width:96.4pt;height:82.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" fillcolor="white [3201]" strokecolor="#70ad47 [3209]" strokeweight="1pt">
                <v:stroke joinstyle="miter"/>
                <v:textbox>
                  <w:txbxContent>
                    <w:p w:rsidR="00A73D56" w:rsidRPr="00A73D56" w:rsidRDefault="00A73D56" w:rsidP="00A73D56">
                      <w:pPr>
                        <w:jc w:val="center"/>
                        <w:rPr>
                          <w:rFonts w:hint="eastAsia"/>
                          <w:b/>
                        </w:rPr>
                      </w:pPr>
                      <w:r w:rsidRPr="00A73D56">
                        <w:rPr>
                          <w:rFonts w:hint="eastAsia"/>
                          <w:b/>
                        </w:rPr>
                        <w:t>信用保护买方</w:t>
                      </w:r>
                    </w:p>
                  </w:txbxContent>
                </v:textbox>
              </v:roundrect>
            </w:pict>
          </mc:Fallback>
        </mc:AlternateContent>
      </w:r>
    </w:p>
    <w:p w:rsidR="00A73D56" w:rsidRDefault="00332DD4" w:rsidP="00263EE4">
      <w:pPr>
        <w:spacing w:line="360" w:lineRule="auto"/>
        <w:ind w:firstLine="420"/>
      </w:pPr>
      <w:r>
        <w:rPr>
          <w:noProof/>
        </w:rPr>
        <mc:AlternateContent>
          <mc:Choice Requires="wps">
            <w:drawing>
              <wp:anchor distT="45720" distB="45720" distL="114300" distR="114300" simplePos="0" relativeHeight="251677696" behindDoc="0" locked="0" layoutInCell="1" allowOverlap="1" wp14:anchorId="68E423B7" wp14:editId="133B14C6">
                <wp:simplePos x="0" y="0"/>
                <wp:positionH relativeFrom="column">
                  <wp:posOffset>2895600</wp:posOffset>
                </wp:positionH>
                <wp:positionV relativeFrom="paragraph">
                  <wp:posOffset>74295</wp:posOffset>
                </wp:positionV>
                <wp:extent cx="906145" cy="294005"/>
                <wp:effectExtent l="0" t="0" r="0" b="0"/>
                <wp:wrapSquare wrapText="bothSides"/>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294005"/>
                        </a:xfrm>
                        <a:prstGeom prst="rect">
                          <a:avLst/>
                        </a:prstGeom>
                        <a:noFill/>
                        <a:ln w="9525">
                          <a:noFill/>
                          <a:miter lim="800000"/>
                          <a:headEnd/>
                          <a:tailEnd/>
                        </a:ln>
                      </wps:spPr>
                      <wps:txbx>
                        <w:txbxContent>
                          <w:p w:rsidR="00332DD4" w:rsidRDefault="00332DD4" w:rsidP="00332DD4">
                            <w:pPr>
                              <w:rPr>
                                <w:rFonts w:hint="eastAsia"/>
                              </w:rPr>
                            </w:pPr>
                            <w:r>
                              <w:rPr>
                                <w14:textOutline w14:w="9525" w14:cap="rnd" w14:cmpd="sng" w14:algn="ctr">
                                  <w14:noFill/>
                                  <w14:prstDash w14:val="solid"/>
                                  <w14:bevel/>
                                </w14:textOutline>
                              </w:rPr>
                              <w:t>不</w:t>
                            </w:r>
                            <w:r>
                              <w:rPr>
                                <w:rFonts w:hint="eastAsia"/>
                                <w14:textOutline w14:w="9525" w14:cap="rnd" w14:cmpd="sng" w14:algn="ctr">
                                  <w14:noFill/>
                                  <w14:prstDash w14:val="solid"/>
                                  <w14:bevel/>
                                </w14:textOutline>
                              </w:rPr>
                              <w:t>支付</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423B7" id="_x0000_s1029" type="#_x0000_t202" style="position:absolute;left:0;text-align:left;margin-left:228pt;margin-top:5.85pt;width:71.35pt;height:23.1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" filled="f" stroked="f">
                <v:textbox>
                  <w:txbxContent>
                    <w:p w:rsidR="00332DD4" w:rsidRDefault="00332DD4" w:rsidP="00332DD4">
                      <w:pPr>
                        <w:rPr>
                          <w:rFonts w:hint="eastAsia"/>
                        </w:rPr>
                      </w:pPr>
                      <w:r>
                        <w:rPr>
                          <w14:textOutline w14:w="9525" w14:cap="rnd" w14:cmpd="sng" w14:algn="ctr">
                            <w14:noFill/>
                            <w14:prstDash w14:val="solid"/>
                            <w14:bevel/>
                          </w14:textOutline>
                        </w:rPr>
                        <w:t>不</w:t>
                      </w:r>
                      <w:r>
                        <w:rPr>
                          <w:rFonts w:hint="eastAsia"/>
                          <w14:textOutline w14:w="9525" w14:cap="rnd" w14:cmpd="sng" w14:algn="ctr">
                            <w14:noFill/>
                            <w14:prstDash w14:val="solid"/>
                            <w14:bevel/>
                          </w14:textOutline>
                        </w:rPr>
                        <w:t>支付</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72BBDC35" wp14:editId="2BFBD704">
                <wp:simplePos x="0" y="0"/>
                <wp:positionH relativeFrom="column">
                  <wp:posOffset>1615440</wp:posOffset>
                </wp:positionH>
                <wp:positionV relativeFrom="paragraph">
                  <wp:posOffset>60960</wp:posOffset>
                </wp:positionV>
                <wp:extent cx="2178878" cy="15902"/>
                <wp:effectExtent l="38100" t="57150" r="0" b="98425"/>
                <wp:wrapNone/>
                <wp:docPr id="11" name="直接箭头连接符 11"/>
                <wp:cNvGraphicFramePr/>
                <a:graphic xmlns:a="http://schemas.openxmlformats.org/drawingml/2006/main">
                  <a:graphicData uri="http://schemas.microsoft.com/office/word/2010/wordprocessingShape">
                    <wps:wsp>
                      <wps:cNvCnPr/>
                      <wps:spPr>
                        <a:xfrm flipH="1">
                          <a:off x="0" y="0"/>
                          <a:ext cx="2178878" cy="159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1566DA" id="_x0000_t32" coordsize="21600,21600" o:spt="32" o:oned="t" path="m,l21600,21600e" filled="f">
                <v:path arrowok="t" fillok="f" o:connecttype="none"/>
                <o:lock v:ext="edit" shapetype="t"/>
              </v:shapetype>
              <v:shape id="直接箭头连接符 11" o:spid="_x0000_s1026" type="#_x0000_t32" style="position:absolute;left:0;text-align:left;margin-left:127.2pt;margin-top:4.8pt;width:171.55pt;height:1.2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" strokecolor="#5b9bd5 [3204]" strokeweight=".5pt">
                <v:stroke endarrow="block" joinstyle="miter"/>
              </v:shape>
            </w:pict>
          </mc:Fallback>
        </mc:AlternateContent>
      </w:r>
      <w:r w:rsidR="005E0B7B">
        <w:rPr>
          <w:noProof/>
        </w:rPr>
        <mc:AlternateContent>
          <mc:Choice Requires="wps">
            <w:drawing>
              <wp:anchor distT="45720" distB="45720" distL="114300" distR="114300" simplePos="0" relativeHeight="251667456" behindDoc="0" locked="0" layoutInCell="1" allowOverlap="1" wp14:anchorId="77746E5F" wp14:editId="48BB1C03">
                <wp:simplePos x="0" y="0"/>
                <wp:positionH relativeFrom="column">
                  <wp:posOffset>1606550</wp:posOffset>
                </wp:positionH>
                <wp:positionV relativeFrom="paragraph">
                  <wp:posOffset>227330</wp:posOffset>
                </wp:positionV>
                <wp:extent cx="906145" cy="294005"/>
                <wp:effectExtent l="0" t="0" r="0" b="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294005"/>
                        </a:xfrm>
                        <a:prstGeom prst="rect">
                          <a:avLst/>
                        </a:prstGeom>
                        <a:noFill/>
                        <a:ln w="9525">
                          <a:noFill/>
                          <a:miter lim="800000"/>
                          <a:headEnd/>
                          <a:tailEnd/>
                        </a:ln>
                      </wps:spPr>
                      <wps:txbx>
                        <w:txbxContent>
                          <w:p w:rsidR="005E0B7B" w:rsidRDefault="005E0B7B">
                            <w:pPr>
                              <w:rPr>
                                <w:rFonts w:hint="eastAsia"/>
                              </w:rPr>
                            </w:pPr>
                            <w:r>
                              <w:rPr>
                                <w:rFonts w:hint="eastAsia"/>
                                <w14:textOutline w14:w="9525" w14:cap="rnd" w14:cmpd="sng" w14:algn="ctr">
                                  <w14:noFill/>
                                  <w14:prstDash w14:val="solid"/>
                                  <w14:bevel/>
                                </w14:textOutline>
                              </w:rPr>
                              <w:t>无信用违约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746E5F" id="_x0000_s1030" type="#_x0000_t202" style="position:absolute;left:0;text-align:left;margin-left:126.5pt;margin-top:17.9pt;width:71.35pt;height:23.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" filled="f" stroked="f">
                <v:textbox>
                  <w:txbxContent>
                    <w:p w:rsidR="005E0B7B" w:rsidRDefault="005E0B7B">
                      <w:pPr>
                        <w:rPr>
                          <w:rFonts w:hint="eastAsia"/>
                        </w:rPr>
                      </w:pPr>
                      <w:r>
                        <w:rPr>
                          <w:rFonts w:hint="eastAsia"/>
                          <w14:textOutline w14:w="9525" w14:cap="rnd" w14:cmpd="sng" w14:algn="ctr">
                            <w14:noFill/>
                            <w14:prstDash w14:val="solid"/>
                            <w14:bevel/>
                          </w14:textOutline>
                        </w:rPr>
                        <w:t>无信用违约</w:t>
                      </w:r>
                    </w:p>
                  </w:txbxContent>
                </v:textbox>
                <w10:wrap type="square"/>
              </v:shape>
            </w:pict>
          </mc:Fallback>
        </mc:AlternateContent>
      </w:r>
    </w:p>
    <w:p w:rsidR="00A73D56" w:rsidRDefault="00AA0EA4" w:rsidP="00AA0EA4">
      <w:pPr>
        <w:tabs>
          <w:tab w:val="left" w:pos="2830"/>
        </w:tabs>
        <w:spacing w:line="360" w:lineRule="auto"/>
      </w:pPr>
      <w:r>
        <w:rPr>
          <w:noProof/>
        </w:rPr>
        <mc:AlternateContent>
          <mc:Choice Requires="wps">
            <w:drawing>
              <wp:anchor distT="0" distB="0" distL="114300" distR="114300" simplePos="0" relativeHeight="251673600" behindDoc="0" locked="0" layoutInCell="1" allowOverlap="1" wp14:anchorId="2BE6B28B" wp14:editId="4C5C3FE8">
                <wp:simplePos x="0" y="0"/>
                <wp:positionH relativeFrom="column">
                  <wp:posOffset>2521999</wp:posOffset>
                </wp:positionH>
                <wp:positionV relativeFrom="paragraph">
                  <wp:posOffset>11071</wp:posOffset>
                </wp:positionV>
                <wp:extent cx="1327868" cy="0"/>
                <wp:effectExtent l="0" t="76200" r="24765" b="95250"/>
                <wp:wrapNone/>
                <wp:docPr id="33" name="直接箭头连接符 33"/>
                <wp:cNvGraphicFramePr/>
                <a:graphic xmlns:a="http://schemas.openxmlformats.org/drawingml/2006/main">
                  <a:graphicData uri="http://schemas.microsoft.com/office/word/2010/wordprocessingShape">
                    <wps:wsp>
                      <wps:cNvCnPr/>
                      <wps:spPr>
                        <a:xfrm>
                          <a:off x="0" y="0"/>
                          <a:ext cx="13278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DABF73" id="直接箭头连接符 33" o:spid="_x0000_s1026" type="#_x0000_t32" style="position:absolute;left:0;text-align:left;margin-left:198.6pt;margin-top:.85pt;width:104.55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" strokecolor="#5b9bd5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A0C9714" wp14:editId="200C8E0B">
                <wp:simplePos x="0" y="0"/>
                <wp:positionH relativeFrom="column">
                  <wp:posOffset>2546350</wp:posOffset>
                </wp:positionH>
                <wp:positionV relativeFrom="paragraph">
                  <wp:posOffset>10712</wp:posOffset>
                </wp:positionV>
                <wp:extent cx="7344" cy="349830"/>
                <wp:effectExtent l="0" t="0" r="31115" b="31750"/>
                <wp:wrapNone/>
                <wp:docPr id="32" name="直接连接符 32"/>
                <wp:cNvGraphicFramePr/>
                <a:graphic xmlns:a="http://schemas.openxmlformats.org/drawingml/2006/main">
                  <a:graphicData uri="http://schemas.microsoft.com/office/word/2010/wordprocessingShape">
                    <wps:wsp>
                      <wps:cNvCnPr/>
                      <wps:spPr>
                        <a:xfrm flipH="1">
                          <a:off x="0" y="0"/>
                          <a:ext cx="7344" cy="3498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1D0625" id="直接连接符 32" o:spid="_x0000_s1026" style="position:absolute;left:0;text-align:lef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0.5pt,.85pt" to="201.1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" strokecolor="#5b9bd5 [3204]" strokeweight=".5pt">
                <v:stroke joinstyle="miter"/>
              </v:line>
            </w:pict>
          </mc:Fallback>
        </mc:AlternateContent>
      </w:r>
      <w:r w:rsidR="005E0B7B">
        <w:rPr>
          <w:noProof/>
        </w:rPr>
        <mc:AlternateContent>
          <mc:Choice Requires="wps">
            <w:drawing>
              <wp:anchor distT="45720" distB="45720" distL="114300" distR="114300" simplePos="0" relativeHeight="251669504" behindDoc="0" locked="0" layoutInCell="1" allowOverlap="1" wp14:anchorId="1CB2032E" wp14:editId="7430C49D">
                <wp:simplePos x="0" y="0"/>
                <wp:positionH relativeFrom="column">
                  <wp:posOffset>1551940</wp:posOffset>
                </wp:positionH>
                <wp:positionV relativeFrom="paragraph">
                  <wp:posOffset>146050</wp:posOffset>
                </wp:positionV>
                <wp:extent cx="1025525" cy="294005"/>
                <wp:effectExtent l="0" t="0" r="0" b="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5525" cy="294005"/>
                        </a:xfrm>
                        <a:prstGeom prst="rect">
                          <a:avLst/>
                        </a:prstGeom>
                        <a:noFill/>
                        <a:ln w="9525">
                          <a:noFill/>
                          <a:miter lim="800000"/>
                          <a:headEnd/>
                          <a:tailEnd/>
                        </a:ln>
                      </wps:spPr>
                      <wps:txbx>
                        <w:txbxContent>
                          <w:p w:rsidR="005E0B7B" w:rsidRDefault="005E0B7B" w:rsidP="005E0B7B">
                            <w:pPr>
                              <w:rPr>
                                <w:rFonts w:hint="eastAsia"/>
                              </w:rPr>
                            </w:pPr>
                            <w:r>
                              <w:rPr>
                                <w:rFonts w:hint="eastAsia"/>
                                <w14:textOutline w14:w="9525" w14:cap="rnd" w14:cmpd="sng" w14:algn="ctr">
                                  <w14:noFill/>
                                  <w14:prstDash w14:val="solid"/>
                                  <w14:bevel/>
                                </w14:textOutline>
                              </w:rPr>
                              <w:t>发生</w:t>
                            </w:r>
                            <w:r>
                              <w:rPr>
                                <w:rFonts w:hint="eastAsia"/>
                                <w14:textOutline w14:w="9525" w14:cap="rnd" w14:cmpd="sng" w14:algn="ctr">
                                  <w14:noFill/>
                                  <w14:prstDash w14:val="solid"/>
                                  <w14:bevel/>
                                </w14:textOutline>
                              </w:rPr>
                              <w:t>信用违约</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2032E" id="_x0000_s1031" type="#_x0000_t202" style="position:absolute;left:0;text-align:left;margin-left:122.2pt;margin-top:11.5pt;width:80.75pt;height:23.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" filled="f" stroked="f">
                <v:textbox>
                  <w:txbxContent>
                    <w:p w:rsidR="005E0B7B" w:rsidRDefault="005E0B7B" w:rsidP="005E0B7B">
                      <w:pPr>
                        <w:rPr>
                          <w:rFonts w:hint="eastAsia"/>
                        </w:rPr>
                      </w:pPr>
                      <w:r>
                        <w:rPr>
                          <w:rFonts w:hint="eastAsia"/>
                          <w14:textOutline w14:w="9525" w14:cap="rnd" w14:cmpd="sng" w14:algn="ctr">
                            <w14:noFill/>
                            <w14:prstDash w14:val="solid"/>
                            <w14:bevel/>
                          </w14:textOutline>
                        </w:rPr>
                        <w:t>发生</w:t>
                      </w:r>
                      <w:r>
                        <w:rPr>
                          <w:rFonts w:hint="eastAsia"/>
                          <w14:textOutline w14:w="9525" w14:cap="rnd" w14:cmpd="sng" w14:algn="ctr">
                            <w14:noFill/>
                            <w14:prstDash w14:val="solid"/>
                            <w14:bevel/>
                          </w14:textOutline>
                        </w:rPr>
                        <w:t>信用违约</w:t>
                      </w:r>
                    </w:p>
                  </w:txbxContent>
                </v:textbox>
                <w10:wrap type="square"/>
              </v:shape>
            </w:pict>
          </mc:Fallback>
        </mc:AlternateContent>
      </w:r>
      <w:r w:rsidR="00A73D56">
        <w:rPr>
          <w:noProof/>
        </w:rPr>
        <mc:AlternateContent>
          <mc:Choice Requires="wps">
            <w:drawing>
              <wp:anchor distT="0" distB="0" distL="114300" distR="114300" simplePos="0" relativeHeight="251665408" behindDoc="0" locked="0" layoutInCell="1" allowOverlap="1" wp14:anchorId="0DF3B120" wp14:editId="58DED64A">
                <wp:simplePos x="0" y="0"/>
                <wp:positionH relativeFrom="column">
                  <wp:posOffset>1584296</wp:posOffset>
                </wp:positionH>
                <wp:positionV relativeFrom="paragraph">
                  <wp:posOffset>162338</wp:posOffset>
                </wp:positionV>
                <wp:extent cx="954157" cy="7951"/>
                <wp:effectExtent l="0" t="0" r="36830" b="30480"/>
                <wp:wrapNone/>
                <wp:docPr id="13" name="直接连接符 13"/>
                <wp:cNvGraphicFramePr/>
                <a:graphic xmlns:a="http://schemas.openxmlformats.org/drawingml/2006/main">
                  <a:graphicData uri="http://schemas.microsoft.com/office/word/2010/wordprocessingShape">
                    <wps:wsp>
                      <wps:cNvCnPr/>
                      <wps:spPr>
                        <a:xfrm>
                          <a:off x="0" y="0"/>
                          <a:ext cx="954157" cy="795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9F8B93" id="直接连接符 13"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75pt,12.8pt" to="199.9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" strokecolor="#5b9bd5 [3204]" strokeweight=".5pt">
                <v:stroke joinstyle="miter"/>
              </v:line>
            </w:pict>
          </mc:Fallback>
        </mc:AlternateContent>
      </w:r>
      <w:r w:rsidR="00A73D56">
        <w:tab/>
      </w:r>
    </w:p>
    <w:p w:rsidR="00A73D56" w:rsidRDefault="00332DD4" w:rsidP="00263EE4">
      <w:pPr>
        <w:spacing w:line="360" w:lineRule="auto"/>
        <w:ind w:firstLine="420"/>
      </w:pPr>
      <w:r>
        <w:rPr>
          <w:noProof/>
        </w:rPr>
        <mc:AlternateContent>
          <mc:Choice Requires="wps">
            <w:drawing>
              <wp:anchor distT="45720" distB="45720" distL="114300" distR="114300" simplePos="0" relativeHeight="251679744" behindDoc="0" locked="0" layoutInCell="1" allowOverlap="1" wp14:anchorId="79CAD61C" wp14:editId="7584E5E2">
                <wp:simplePos x="0" y="0"/>
                <wp:positionH relativeFrom="column">
                  <wp:posOffset>2837180</wp:posOffset>
                </wp:positionH>
                <wp:positionV relativeFrom="paragraph">
                  <wp:posOffset>60325</wp:posOffset>
                </wp:positionV>
                <wp:extent cx="906145" cy="294005"/>
                <wp:effectExtent l="0" t="0" r="0" b="0"/>
                <wp:wrapSquare wrapText="bothSides"/>
                <wp:docPr id="3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6145" cy="294005"/>
                        </a:xfrm>
                        <a:prstGeom prst="rect">
                          <a:avLst/>
                        </a:prstGeom>
                        <a:noFill/>
                        <a:ln w="9525">
                          <a:noFill/>
                          <a:miter lim="800000"/>
                          <a:headEnd/>
                          <a:tailEnd/>
                        </a:ln>
                      </wps:spPr>
                      <wps:txbx>
                        <w:txbxContent>
                          <w:p w:rsidR="00332DD4" w:rsidRDefault="00332DD4" w:rsidP="00332DD4">
                            <w:pPr>
                              <w:rPr>
                                <w:rFonts w:hint="eastAsia"/>
                              </w:rPr>
                            </w:pPr>
                            <w:r>
                              <w:rPr>
                                <w:rFonts w:hint="eastAsia"/>
                                <w14:textOutline w14:w="9525" w14:cap="rnd" w14:cmpd="sng" w14:algn="ctr">
                                  <w14:noFill/>
                                  <w14:prstDash w14:val="solid"/>
                                  <w14:bevel/>
                                </w14:textOutline>
                              </w:rPr>
                              <w:t>支付</w:t>
                            </w:r>
                            <w:r>
                              <w:rPr>
                                <w:rFonts w:hint="eastAsia"/>
                                <w14:textOutline w14:w="9525" w14:cap="rnd" w14:cmpd="sng" w14:algn="ctr">
                                  <w14:noFill/>
                                  <w14:prstDash w14:val="solid"/>
                                  <w14:bevel/>
                                </w14:textOutline>
                              </w:rPr>
                              <w:t>损失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AD61C" id="_x0000_s1032" type="#_x0000_t202" style="position:absolute;left:0;text-align:left;margin-left:223.4pt;margin-top:4.75pt;width:71.35pt;height:23.1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" filled="f" stroked="f">
                <v:textbox>
                  <w:txbxContent>
                    <w:p w:rsidR="00332DD4" w:rsidRDefault="00332DD4" w:rsidP="00332DD4">
                      <w:pPr>
                        <w:rPr>
                          <w:rFonts w:hint="eastAsia"/>
                        </w:rPr>
                      </w:pPr>
                      <w:r>
                        <w:rPr>
                          <w:rFonts w:hint="eastAsia"/>
                          <w14:textOutline w14:w="9525" w14:cap="rnd" w14:cmpd="sng" w14:algn="ctr">
                            <w14:noFill/>
                            <w14:prstDash w14:val="solid"/>
                            <w14:bevel/>
                          </w14:textOutline>
                        </w:rPr>
                        <w:t>支付</w:t>
                      </w:r>
                      <w:r>
                        <w:rPr>
                          <w:rFonts w:hint="eastAsia"/>
                          <w14:textOutline w14:w="9525" w14:cap="rnd" w14:cmpd="sng" w14:algn="ctr">
                            <w14:noFill/>
                            <w14:prstDash w14:val="solid"/>
                            <w14:bevel/>
                          </w14:textOutline>
                        </w:rPr>
                        <w:t>损失</w:t>
                      </w:r>
                    </w:p>
                  </w:txbxContent>
                </v:textbox>
                <w10:wrap type="square"/>
              </v:shape>
            </w:pict>
          </mc:Fallback>
        </mc:AlternateContent>
      </w:r>
      <w:r>
        <w:rPr>
          <w:noProof/>
        </w:rPr>
        <mc:AlternateContent>
          <mc:Choice Requires="wps">
            <w:drawing>
              <wp:anchor distT="0" distB="0" distL="114300" distR="114300" simplePos="0" relativeHeight="251675648" behindDoc="0" locked="0" layoutInCell="1" allowOverlap="1" wp14:anchorId="1D620AD7" wp14:editId="55468C88">
                <wp:simplePos x="0" y="0"/>
                <wp:positionH relativeFrom="column">
                  <wp:posOffset>2524125</wp:posOffset>
                </wp:positionH>
                <wp:positionV relativeFrom="paragraph">
                  <wp:posOffset>57453</wp:posOffset>
                </wp:positionV>
                <wp:extent cx="1327868" cy="0"/>
                <wp:effectExtent l="0" t="76200" r="24765" b="95250"/>
                <wp:wrapNone/>
                <wp:docPr id="34" name="直接箭头连接符 34"/>
                <wp:cNvGraphicFramePr/>
                <a:graphic xmlns:a="http://schemas.openxmlformats.org/drawingml/2006/main">
                  <a:graphicData uri="http://schemas.microsoft.com/office/word/2010/wordprocessingShape">
                    <wps:wsp>
                      <wps:cNvCnPr/>
                      <wps:spPr>
                        <a:xfrm>
                          <a:off x="0" y="0"/>
                          <a:ext cx="13278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9F2D6A" id="直接箭头连接符 34" o:spid="_x0000_s1026" type="#_x0000_t32" style="position:absolute;left:0;text-align:left;margin-left:198.75pt;margin-top:4.5pt;width:104.55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" strokecolor="#5b9bd5 [3204]" strokeweight=".5pt">
                <v:stroke endarrow="block" joinstyle="miter"/>
              </v:shape>
            </w:pict>
          </mc:Fallback>
        </mc:AlternateContent>
      </w:r>
      <w:r w:rsidR="00AA0EA4">
        <w:rPr>
          <w:noProof/>
        </w:rPr>
        <mc:AlternateContent>
          <mc:Choice Requires="wps">
            <w:drawing>
              <wp:anchor distT="0" distB="0" distL="114300" distR="114300" simplePos="0" relativeHeight="251670528" behindDoc="0" locked="0" layoutInCell="1" allowOverlap="1" wp14:anchorId="0E8A209D" wp14:editId="6411ED64">
                <wp:simplePos x="0" y="0"/>
                <wp:positionH relativeFrom="column">
                  <wp:posOffset>2005717</wp:posOffset>
                </wp:positionH>
                <wp:positionV relativeFrom="paragraph">
                  <wp:posOffset>71893</wp:posOffset>
                </wp:positionV>
                <wp:extent cx="0" cy="532737"/>
                <wp:effectExtent l="76200" t="38100" r="57150" b="20320"/>
                <wp:wrapNone/>
                <wp:docPr id="30" name="直接箭头连接符 30"/>
                <wp:cNvGraphicFramePr/>
                <a:graphic xmlns:a="http://schemas.openxmlformats.org/drawingml/2006/main">
                  <a:graphicData uri="http://schemas.microsoft.com/office/word/2010/wordprocessingShape">
                    <wps:wsp>
                      <wps:cNvCnPr/>
                      <wps:spPr>
                        <a:xfrm flipV="1">
                          <a:off x="0" y="0"/>
                          <a:ext cx="0" cy="5327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C56E0" id="直接箭头连接符 30" o:spid="_x0000_s1026" type="#_x0000_t32" style="position:absolute;left:0;text-align:left;margin-left:157.95pt;margin-top:5.65pt;width:0;height:41.9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" strokecolor="#5b9bd5 [3204]" strokeweight=".5pt">
                <v:stroke endarrow="block" joinstyle="miter"/>
              </v:shape>
            </w:pict>
          </mc:Fallback>
        </mc:AlternateContent>
      </w:r>
    </w:p>
    <w:p w:rsidR="00A73D56" w:rsidRDefault="00A73D56" w:rsidP="00263EE4">
      <w:pPr>
        <w:spacing w:line="360" w:lineRule="auto"/>
        <w:ind w:firstLine="420"/>
        <w:rPr>
          <w:rFonts w:hint="eastAsia"/>
        </w:rPr>
      </w:pPr>
    </w:p>
    <w:p w:rsidR="00A73D56" w:rsidRDefault="00AA0EA4" w:rsidP="00263EE4">
      <w:pPr>
        <w:spacing w:line="360" w:lineRule="auto"/>
        <w:ind w:firstLine="420"/>
        <w:rPr>
          <w:rFonts w:hint="eastAsia"/>
        </w:rPr>
      </w:pPr>
      <w:r>
        <w:rPr>
          <w:rFonts w:hint="eastAsia"/>
          <w:noProof/>
        </w:rPr>
        <mc:AlternateContent>
          <mc:Choice Requires="wps">
            <w:drawing>
              <wp:anchor distT="0" distB="0" distL="114300" distR="114300" simplePos="0" relativeHeight="251671552" behindDoc="0" locked="0" layoutInCell="1" allowOverlap="1">
                <wp:simplePos x="0" y="0"/>
                <wp:positionH relativeFrom="column">
                  <wp:posOffset>1472427</wp:posOffset>
                </wp:positionH>
                <wp:positionV relativeFrom="paragraph">
                  <wp:posOffset>33655</wp:posOffset>
                </wp:positionV>
                <wp:extent cx="1081378" cy="429371"/>
                <wp:effectExtent l="0" t="0" r="24130" b="27940"/>
                <wp:wrapNone/>
                <wp:docPr id="31" name="椭圆 31"/>
                <wp:cNvGraphicFramePr/>
                <a:graphic xmlns:a="http://schemas.openxmlformats.org/drawingml/2006/main">
                  <a:graphicData uri="http://schemas.microsoft.com/office/word/2010/wordprocessingShape">
                    <wps:wsp>
                      <wps:cNvSpPr/>
                      <wps:spPr>
                        <a:xfrm>
                          <a:off x="0" y="0"/>
                          <a:ext cx="1081378" cy="4293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AA0EA4" w:rsidRDefault="00AA0EA4" w:rsidP="00AA0EA4">
                            <w:pPr>
                              <w:jc w:val="center"/>
                              <w:rPr>
                                <w:rFonts w:hint="eastAsia"/>
                              </w:rPr>
                            </w:pPr>
                            <w:r>
                              <w:rPr>
                                <w:rFonts w:hint="eastAsia"/>
                              </w:rPr>
                              <w:t>参照</w:t>
                            </w:r>
                            <w:r>
                              <w:t>资产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椭圆 31" o:spid="_x0000_s1033" style="position:absolute;left:0;text-align:left;margin-left:115.95pt;margin-top:2.65pt;width:85.15pt;height:3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" fillcolor="white [3201]" strokecolor="#70ad47 [3209]" strokeweight="1pt">
                <v:stroke joinstyle="miter"/>
                <v:textbox>
                  <w:txbxContent>
                    <w:p w:rsidR="00AA0EA4" w:rsidRDefault="00AA0EA4" w:rsidP="00AA0EA4">
                      <w:pPr>
                        <w:jc w:val="center"/>
                        <w:rPr>
                          <w:rFonts w:hint="eastAsia"/>
                        </w:rPr>
                      </w:pPr>
                      <w:r>
                        <w:rPr>
                          <w:rFonts w:hint="eastAsia"/>
                        </w:rPr>
                        <w:t>参照</w:t>
                      </w:r>
                      <w:r>
                        <w:t>资产</w:t>
                      </w:r>
                    </w:p>
                  </w:txbxContent>
                </v:textbox>
              </v:oval>
            </w:pict>
          </mc:Fallback>
        </mc:AlternateContent>
      </w:r>
    </w:p>
    <w:p w:rsidR="00AA4AED" w:rsidRDefault="00AA4AED" w:rsidP="00872652">
      <w:pPr>
        <w:spacing w:line="360" w:lineRule="auto"/>
        <w:ind w:firstLine="420"/>
      </w:pPr>
    </w:p>
    <w:p w:rsidR="00AA4AED" w:rsidRDefault="00AA4AED" w:rsidP="00872652">
      <w:pPr>
        <w:spacing w:line="360" w:lineRule="auto"/>
        <w:ind w:firstLine="420"/>
      </w:pPr>
    </w:p>
    <w:p w:rsidR="00AA4AED" w:rsidRDefault="00AA4AED" w:rsidP="00872652">
      <w:pPr>
        <w:spacing w:line="360" w:lineRule="auto"/>
        <w:ind w:firstLine="420"/>
      </w:pPr>
    </w:p>
    <w:p w:rsidR="00872652" w:rsidRDefault="00872652" w:rsidP="00872652">
      <w:pPr>
        <w:spacing w:line="360" w:lineRule="auto"/>
        <w:ind w:firstLine="420"/>
      </w:pPr>
      <w:r>
        <w:rPr>
          <w:rFonts w:hint="eastAsia"/>
        </w:rPr>
        <w:t>参考实体违约才会触发违约互换，违约和违约事件的概念略有不同，违约事件情况是由有关金融交易的法律文件中所规定的事件。根据国际互换和衍生工具协会（</w:t>
      </w:r>
      <w:r>
        <w:rPr>
          <w:rFonts w:hint="eastAsia"/>
        </w:rPr>
        <w:t xml:space="preserve">International Swaps and Derivatives Association, </w:t>
      </w:r>
      <w:r>
        <w:rPr>
          <w:rFonts w:hint="eastAsia"/>
        </w:rPr>
        <w:t>以下简称</w:t>
      </w:r>
      <w:r>
        <w:rPr>
          <w:rFonts w:hint="eastAsia"/>
        </w:rPr>
        <w:t>ISDA</w:t>
      </w:r>
      <w:r>
        <w:rPr>
          <w:rFonts w:hint="eastAsia"/>
        </w:rPr>
        <w:t>）有关的信用违约互换的标准文件（</w:t>
      </w:r>
      <w:r>
        <w:rPr>
          <w:rFonts w:hint="eastAsia"/>
        </w:rPr>
        <w:t>2003</w:t>
      </w:r>
      <w:r>
        <w:rPr>
          <w:rFonts w:hint="eastAsia"/>
        </w:rPr>
        <w:t>），</w:t>
      </w:r>
      <w:r w:rsidRPr="00872652">
        <w:rPr>
          <w:rFonts w:hint="eastAsia"/>
          <w:b/>
          <w:color w:val="FF0000"/>
        </w:rPr>
        <w:t>违约事件包括</w:t>
      </w:r>
      <w:r>
        <w:rPr>
          <w:rFonts w:hint="eastAsia"/>
        </w:rPr>
        <w:t>：</w:t>
      </w:r>
    </w:p>
    <w:p w:rsidR="00872652" w:rsidRDefault="00872652" w:rsidP="00872652">
      <w:pPr>
        <w:spacing w:line="360" w:lineRule="auto"/>
        <w:ind w:firstLine="420"/>
      </w:pPr>
      <w:r>
        <w:rPr>
          <w:rFonts w:hint="eastAsia"/>
        </w:rPr>
        <w:t>（</w:t>
      </w:r>
      <w:r>
        <w:rPr>
          <w:rFonts w:hint="eastAsia"/>
        </w:rPr>
        <w:t>1</w:t>
      </w:r>
      <w:r>
        <w:rPr>
          <w:rFonts w:hint="eastAsia"/>
        </w:rPr>
        <w:t>）破产，无力偿还破产导致触发信用违约互换。</w:t>
      </w:r>
    </w:p>
    <w:p w:rsidR="00872652" w:rsidRDefault="00872652" w:rsidP="00872652">
      <w:pPr>
        <w:spacing w:line="360" w:lineRule="auto"/>
        <w:ind w:firstLine="420"/>
      </w:pPr>
      <w:r>
        <w:rPr>
          <w:rFonts w:hint="eastAsia"/>
        </w:rPr>
        <w:t>（</w:t>
      </w:r>
      <w:r>
        <w:rPr>
          <w:rFonts w:hint="eastAsia"/>
        </w:rPr>
        <w:t>2</w:t>
      </w:r>
      <w:r>
        <w:rPr>
          <w:rFonts w:hint="eastAsia"/>
        </w:rPr>
        <w:t>）拒付以及暂停或延期支付，例如，拒绝或拖延支付利息和本金的行为都将触发信用违约互换。</w:t>
      </w:r>
    </w:p>
    <w:p w:rsidR="00872652" w:rsidRDefault="00872652" w:rsidP="00872652">
      <w:pPr>
        <w:spacing w:line="360" w:lineRule="auto"/>
        <w:ind w:firstLine="420"/>
      </w:pPr>
      <w:r>
        <w:rPr>
          <w:rFonts w:hint="eastAsia"/>
        </w:rPr>
        <w:t>（</w:t>
      </w:r>
      <w:r>
        <w:rPr>
          <w:rFonts w:hint="eastAsia"/>
        </w:rPr>
        <w:t>3</w:t>
      </w:r>
      <w:r>
        <w:rPr>
          <w:rFonts w:hint="eastAsia"/>
        </w:rPr>
        <w:t>）重组，重组是因参考实体信用恶化或财政状况不佳导致参考实体与债券持有人之间原有协议改变的情况。</w:t>
      </w:r>
    </w:p>
    <w:p w:rsidR="00872652" w:rsidRDefault="00872652" w:rsidP="00872652">
      <w:pPr>
        <w:spacing w:line="360" w:lineRule="auto"/>
        <w:ind w:firstLine="420"/>
      </w:pPr>
      <w:r>
        <w:rPr>
          <w:rFonts w:hint="eastAsia"/>
        </w:rPr>
        <w:t>（</w:t>
      </w:r>
      <w:r>
        <w:rPr>
          <w:rFonts w:hint="eastAsia"/>
        </w:rPr>
        <w:t>4</w:t>
      </w:r>
      <w:r>
        <w:rPr>
          <w:rFonts w:hint="eastAsia"/>
        </w:rPr>
        <w:t>）无法偿还，例如，在一定宽限期限后未能偿还一个或几个合约，同样可以触发信用违约互换。</w:t>
      </w:r>
    </w:p>
    <w:p w:rsidR="00872652" w:rsidRDefault="00872652" w:rsidP="00872652">
      <w:pPr>
        <w:spacing w:line="360" w:lineRule="auto"/>
        <w:ind w:firstLine="420"/>
      </w:pPr>
      <w:r>
        <w:rPr>
          <w:rFonts w:hint="eastAsia"/>
        </w:rPr>
        <w:t>（</w:t>
      </w:r>
      <w:r>
        <w:rPr>
          <w:rFonts w:hint="eastAsia"/>
        </w:rPr>
        <w:t>5</w:t>
      </w:r>
      <w:r>
        <w:rPr>
          <w:rFonts w:hint="eastAsia"/>
        </w:rPr>
        <w:t>）债务加速到期。指由于除无法偿还外其他原因导致某一或很多债务提前到期而触发信用违约互换。</w:t>
      </w:r>
    </w:p>
    <w:p w:rsidR="00872652" w:rsidRPr="00872652" w:rsidRDefault="00872652" w:rsidP="00872652">
      <w:pPr>
        <w:spacing w:line="360" w:lineRule="auto"/>
        <w:ind w:firstLine="420"/>
      </w:pPr>
      <w:r>
        <w:rPr>
          <w:rFonts w:hint="eastAsia"/>
        </w:rPr>
        <w:t>在实践当中，破产、拒付和重组是最常见的违约事件。</w:t>
      </w:r>
    </w:p>
    <w:p w:rsidR="00872652" w:rsidRDefault="00872652" w:rsidP="00263EE4">
      <w:pPr>
        <w:spacing w:line="360" w:lineRule="auto"/>
        <w:ind w:firstLine="420"/>
      </w:pPr>
    </w:p>
    <w:p w:rsidR="004710C2" w:rsidRPr="004710C2" w:rsidRDefault="004710C2" w:rsidP="00263EE4">
      <w:pPr>
        <w:spacing w:line="360" w:lineRule="auto"/>
        <w:ind w:firstLine="420"/>
        <w:rPr>
          <w:b/>
          <w:color w:val="FF0000"/>
          <w:sz w:val="24"/>
          <w:szCs w:val="24"/>
        </w:rPr>
      </w:pPr>
      <w:r w:rsidRPr="004710C2">
        <w:rPr>
          <w:rFonts w:hint="eastAsia"/>
          <w:b/>
          <w:color w:val="FF0000"/>
          <w:sz w:val="24"/>
          <w:szCs w:val="24"/>
        </w:rPr>
        <w:t>CDS</w:t>
      </w:r>
      <w:r w:rsidRPr="004710C2">
        <w:rPr>
          <w:rFonts w:hint="eastAsia"/>
          <w:b/>
          <w:color w:val="FF0000"/>
          <w:sz w:val="24"/>
          <w:szCs w:val="24"/>
        </w:rPr>
        <w:t>构成要素</w:t>
      </w:r>
    </w:p>
    <w:p w:rsidR="004710C2" w:rsidRDefault="004710C2" w:rsidP="00263EE4">
      <w:pPr>
        <w:spacing w:line="360" w:lineRule="auto"/>
        <w:ind w:firstLine="420"/>
      </w:pPr>
      <w:r>
        <w:rPr>
          <w:rFonts w:hint="eastAsia"/>
        </w:rPr>
        <w:t>信用违约互换的构成要素包括</w:t>
      </w:r>
      <w:r w:rsidRPr="004710C2">
        <w:rPr>
          <w:rFonts w:hint="eastAsia"/>
          <w:b/>
        </w:rPr>
        <w:t>参考实体、参考债务、支付条件、支付方式、结算条款、</w:t>
      </w:r>
      <w:r w:rsidRPr="004710C2">
        <w:rPr>
          <w:rFonts w:hint="eastAsia"/>
          <w:b/>
        </w:rPr>
        <w:lastRenderedPageBreak/>
        <w:t>保护期限等</w:t>
      </w:r>
      <w:r>
        <w:rPr>
          <w:rFonts w:hint="eastAsia"/>
        </w:rPr>
        <w:t>。在</w:t>
      </w:r>
      <w:r>
        <w:rPr>
          <w:rFonts w:hint="eastAsia"/>
        </w:rPr>
        <w:t>2003</w:t>
      </w:r>
      <w:r>
        <w:rPr>
          <w:rFonts w:hint="eastAsia"/>
        </w:rPr>
        <w:t>年国际互换与衍生品协会（</w:t>
      </w:r>
      <w:r>
        <w:rPr>
          <w:rFonts w:hint="eastAsia"/>
        </w:rPr>
        <w:t>ISDA</w:t>
      </w:r>
      <w:r>
        <w:rPr>
          <w:rFonts w:hint="eastAsia"/>
        </w:rPr>
        <w:t>）修订的定义中，信用事件主要包括未能支付、破产、债务加速到期、债务人不履行债务、拒绝清偿或延期还款和重组</w:t>
      </w:r>
      <w:r>
        <w:rPr>
          <w:rFonts w:hint="eastAsia"/>
        </w:rPr>
        <w:t>6</w:t>
      </w:r>
      <w:r>
        <w:rPr>
          <w:rFonts w:hint="eastAsia"/>
        </w:rPr>
        <w:t>种。以上事件中的任何一件发生，就可以被确定为信用违约。</w:t>
      </w:r>
    </w:p>
    <w:p w:rsidR="004710C2" w:rsidRDefault="004710C2" w:rsidP="00263EE4">
      <w:pPr>
        <w:spacing w:line="360" w:lineRule="auto"/>
        <w:ind w:firstLine="420"/>
      </w:pPr>
      <w:r w:rsidRPr="004710C2">
        <w:rPr>
          <w:rFonts w:hint="eastAsia"/>
          <w:b/>
        </w:rPr>
        <w:t>信用资产（</w:t>
      </w:r>
      <w:r w:rsidRPr="004710C2">
        <w:rPr>
          <w:rFonts w:hint="eastAsia"/>
          <w:b/>
        </w:rPr>
        <w:t>credit asset</w:t>
      </w:r>
      <w:r w:rsidRPr="004710C2">
        <w:rPr>
          <w:rFonts w:hint="eastAsia"/>
          <w:b/>
        </w:rPr>
        <w:t>）</w:t>
      </w:r>
      <w:r>
        <w:rPr>
          <w:rFonts w:hint="eastAsia"/>
        </w:rPr>
        <w:t>：也称参照资产（</w:t>
      </w:r>
      <w:r>
        <w:rPr>
          <w:rFonts w:hint="eastAsia"/>
        </w:rPr>
        <w:t>reference asset</w:t>
      </w:r>
      <w:r>
        <w:rPr>
          <w:rFonts w:hint="eastAsia"/>
        </w:rPr>
        <w:t>）或参照信用（</w:t>
      </w:r>
      <w:r>
        <w:rPr>
          <w:rFonts w:hint="eastAsia"/>
        </w:rPr>
        <w:t>reference credit</w:t>
      </w:r>
      <w:r>
        <w:rPr>
          <w:rFonts w:hint="eastAsia"/>
        </w:rPr>
        <w:t>），是指信用违约互换在契约签订时，确定的标的资产。根据参考债务的数量，违约互换可分为单一违约互换（</w:t>
      </w:r>
      <w:r>
        <w:rPr>
          <w:rFonts w:hint="eastAsia"/>
        </w:rPr>
        <w:t>single-name default swap</w:t>
      </w:r>
      <w:r>
        <w:rPr>
          <w:rFonts w:hint="eastAsia"/>
        </w:rPr>
        <w:t>）和信用篮子违约互换（</w:t>
      </w:r>
      <w:r>
        <w:rPr>
          <w:rFonts w:hint="eastAsia"/>
        </w:rPr>
        <w:t>basketcredit default swap</w:t>
      </w:r>
      <w:r>
        <w:rPr>
          <w:rFonts w:hint="eastAsia"/>
        </w:rPr>
        <w:t>），分别以单项债务和篮子多项债务为基础资产。</w:t>
      </w:r>
    </w:p>
    <w:p w:rsidR="004710C2" w:rsidRDefault="004710C2" w:rsidP="00263EE4">
      <w:pPr>
        <w:spacing w:line="360" w:lineRule="auto"/>
        <w:ind w:firstLine="420"/>
      </w:pPr>
      <w:r w:rsidRPr="004710C2">
        <w:rPr>
          <w:rFonts w:hint="eastAsia"/>
          <w:b/>
        </w:rPr>
        <w:t>保险费</w:t>
      </w:r>
      <w:r>
        <w:rPr>
          <w:rFonts w:hint="eastAsia"/>
        </w:rPr>
        <w:t>：以年基准点为基础，通常买方每季度最后一个月的第</w:t>
      </w:r>
      <w:r>
        <w:rPr>
          <w:rFonts w:hint="eastAsia"/>
        </w:rPr>
        <w:t>2</w:t>
      </w:r>
      <w:r>
        <w:rPr>
          <w:rFonts w:hint="eastAsia"/>
        </w:rPr>
        <w:t>天向卖方支付一次费用。根据</w:t>
      </w:r>
      <w:r>
        <w:rPr>
          <w:rFonts w:hint="eastAsia"/>
        </w:rPr>
        <w:t>2009</w:t>
      </w:r>
      <w:r>
        <w:rPr>
          <w:rFonts w:hint="eastAsia"/>
        </w:rPr>
        <w:t>年</w:t>
      </w:r>
      <w:r>
        <w:rPr>
          <w:rFonts w:hint="eastAsia"/>
        </w:rPr>
        <w:t>4</w:t>
      </w:r>
      <w:r>
        <w:rPr>
          <w:rFonts w:hint="eastAsia"/>
        </w:rPr>
        <w:t>月，</w:t>
      </w:r>
      <w:r>
        <w:rPr>
          <w:rFonts w:hint="eastAsia"/>
        </w:rPr>
        <w:t>ISDA</w:t>
      </w:r>
      <w:r>
        <w:rPr>
          <w:rFonts w:hint="eastAsia"/>
        </w:rPr>
        <w:t>对信用违约互换的定价进一步标准化的规定，参考实体为投资级的固定费用为</w:t>
      </w:r>
      <w:r>
        <w:rPr>
          <w:rFonts w:hint="eastAsia"/>
        </w:rPr>
        <w:t>100</w:t>
      </w:r>
      <w:r>
        <w:rPr>
          <w:rFonts w:hint="eastAsia"/>
        </w:rPr>
        <w:t>个基准点，非投资级的固定费用为</w:t>
      </w:r>
      <w:r>
        <w:rPr>
          <w:rFonts w:hint="eastAsia"/>
        </w:rPr>
        <w:t>500</w:t>
      </w:r>
      <w:r>
        <w:rPr>
          <w:rFonts w:hint="eastAsia"/>
        </w:rPr>
        <w:t>个基准点。由于信用违约互换的参考实体不尽相同，其面临的信用风险也不一样，因此各个具体的信用违约互换可能与规定的固定费用不同。为此在交易当日，买卖双方还必须通过一次性的即期费用彼此清算，以避免一方向另一方支付过多。在两个付息日之间签订的合同，卖方还必须将上个付息日到合同成交日的票息退还给买方。</w:t>
      </w:r>
    </w:p>
    <w:p w:rsidR="004710C2" w:rsidRDefault="004710C2" w:rsidP="00263EE4">
      <w:pPr>
        <w:spacing w:line="360" w:lineRule="auto"/>
        <w:ind w:firstLine="420"/>
      </w:pPr>
      <w:r w:rsidRPr="004710C2">
        <w:rPr>
          <w:rFonts w:hint="eastAsia"/>
          <w:b/>
        </w:rPr>
        <w:t>期限</w:t>
      </w:r>
      <w:r>
        <w:rPr>
          <w:rFonts w:hint="eastAsia"/>
        </w:rPr>
        <w:t>：指从信用违约互换的签订到其到期之间的时间间隔。由于信用违约互换是场外交易的，因此其</w:t>
      </w:r>
      <w:r w:rsidRPr="00263EE4">
        <w:rPr>
          <w:rFonts w:hint="eastAsia"/>
          <w:b/>
        </w:rPr>
        <w:t>期限由交易双方共同商讨确定</w:t>
      </w:r>
      <w:r>
        <w:rPr>
          <w:rFonts w:hint="eastAsia"/>
        </w:rPr>
        <w:t>，从几个月到十年都有可能，十年以上的也有，</w:t>
      </w:r>
      <w:r w:rsidRPr="00263EE4">
        <w:rPr>
          <w:rFonts w:hint="eastAsia"/>
          <w:b/>
        </w:rPr>
        <w:t>但期限为五年的所占比重最大，流动性最强</w:t>
      </w:r>
      <w:r>
        <w:rPr>
          <w:rFonts w:hint="eastAsia"/>
        </w:rPr>
        <w:t>。另外，</w:t>
      </w:r>
      <w:r w:rsidRPr="00263EE4">
        <w:rPr>
          <w:rFonts w:hint="eastAsia"/>
          <w:b/>
        </w:rPr>
        <w:t>其期限可以与参照资产的期限相同，也可以只是其期限的一部分</w:t>
      </w:r>
      <w:r>
        <w:rPr>
          <w:rFonts w:hint="eastAsia"/>
        </w:rPr>
        <w:t>，比如对于商业银行来说，它可以将信用违约互换的期限设定成与贷款的期限一致，也可以只是贷款可能出现的违约风险增加的一段时间。</w:t>
      </w:r>
    </w:p>
    <w:p w:rsidR="004710C2" w:rsidRDefault="004710C2" w:rsidP="00263EE4">
      <w:pPr>
        <w:spacing w:line="360" w:lineRule="auto"/>
        <w:ind w:firstLine="420"/>
      </w:pPr>
      <w:r w:rsidRPr="00263EE4">
        <w:rPr>
          <w:rFonts w:hint="eastAsia"/>
          <w:b/>
        </w:rPr>
        <w:t>结算方式</w:t>
      </w:r>
      <w:r>
        <w:rPr>
          <w:rFonts w:hint="eastAsia"/>
        </w:rPr>
        <w:t>：“</w:t>
      </w:r>
      <w:r w:rsidRPr="00263EE4">
        <w:rPr>
          <w:rFonts w:hint="eastAsia"/>
          <w:b/>
        </w:rPr>
        <w:t>实物结算</w:t>
      </w:r>
      <w:r>
        <w:rPr>
          <w:rFonts w:hint="eastAsia"/>
        </w:rPr>
        <w:t>”是指信用保险买方将参照基础资产交予信用保险卖方，收取与原面值相等的金额。信用保险买方将债券按照面值交与信用保险卖方。“</w:t>
      </w:r>
      <w:r w:rsidRPr="00263EE4">
        <w:rPr>
          <w:rFonts w:hint="eastAsia"/>
          <w:b/>
        </w:rPr>
        <w:t>现金结算</w:t>
      </w:r>
      <w:r>
        <w:rPr>
          <w:rFonts w:hint="eastAsia"/>
        </w:rPr>
        <w:t>”是指信用保险卖方向买方支付基础资产面值与违约债务实际回收值之间的差额。现金结算通常在违约事件发生数月后进行，给市场以估计残值的时间。现金结算不必涉及参考资产转移，实物结算则避免关于参考资产在信用事件发生后的公平市价发生争执。过去实物交割是较常用的交割方式，但随着</w:t>
      </w:r>
      <w:r>
        <w:rPr>
          <w:rFonts w:hint="eastAsia"/>
        </w:rPr>
        <w:t>2009</w:t>
      </w:r>
      <w:r>
        <w:rPr>
          <w:rFonts w:hint="eastAsia"/>
        </w:rPr>
        <w:t>年</w:t>
      </w:r>
      <w:r>
        <w:rPr>
          <w:rFonts w:hint="eastAsia"/>
        </w:rPr>
        <w:t>4</w:t>
      </w:r>
      <w:r>
        <w:rPr>
          <w:rFonts w:hint="eastAsia"/>
        </w:rPr>
        <w:t>月信用违约互换改革以来，依照</w:t>
      </w:r>
      <w:r>
        <w:rPr>
          <w:rFonts w:hint="eastAsia"/>
        </w:rPr>
        <w:t>ISDA</w:t>
      </w:r>
      <w:r>
        <w:rPr>
          <w:rFonts w:hint="eastAsia"/>
        </w:rPr>
        <w:t>交割程序实现</w:t>
      </w:r>
      <w:r w:rsidRPr="00263EE4">
        <w:rPr>
          <w:rFonts w:hint="eastAsia"/>
          <w:b/>
        </w:rPr>
        <w:t>现金交割逐渐成为占主导地位的交割方式</w:t>
      </w:r>
      <w:r>
        <w:rPr>
          <w:rFonts w:hint="eastAsia"/>
        </w:rPr>
        <w:t>。</w:t>
      </w:r>
    </w:p>
    <w:p w:rsidR="004710C2" w:rsidRDefault="004710C2" w:rsidP="00263EE4">
      <w:pPr>
        <w:spacing w:line="360" w:lineRule="auto"/>
        <w:ind w:firstLine="420"/>
      </w:pPr>
      <w:r w:rsidRPr="00263EE4">
        <w:rPr>
          <w:rFonts w:hint="eastAsia"/>
          <w:b/>
        </w:rPr>
        <w:t>与保险的异同</w:t>
      </w:r>
      <w:r>
        <w:rPr>
          <w:rFonts w:hint="eastAsia"/>
        </w:rPr>
        <w:t>：信用违约互换与担保或信贷保险有点类似，都是信用保护卖方取得保险费以补偿买方的损失。然而，作为衍生品，信用违约互换与担保和信用保险还不同。不管是担保还是信用保险，都是当信用事件发生时，对买方的损失进行补偿。合同既取决于状态（即信用事件的发生与否）也取决于后果（是否有实际的损失），</w:t>
      </w:r>
      <w:r w:rsidRPr="00263EE4">
        <w:rPr>
          <w:rFonts w:hint="eastAsia"/>
          <w:b/>
        </w:rPr>
        <w:t>但是信用违约互换的合约，却</w:t>
      </w:r>
      <w:r w:rsidRPr="00263EE4">
        <w:rPr>
          <w:rFonts w:hint="eastAsia"/>
          <w:b/>
        </w:rPr>
        <w:lastRenderedPageBreak/>
        <w:t>是“状态依存”的，而不是“后果依存”的</w:t>
      </w:r>
      <w:r>
        <w:rPr>
          <w:rFonts w:hint="eastAsia"/>
        </w:rPr>
        <w:t>。</w:t>
      </w:r>
      <w:r w:rsidRPr="00263EE4">
        <w:rPr>
          <w:rFonts w:hint="eastAsia"/>
          <w:b/>
        </w:rPr>
        <w:t>是否进行支付取决于信用事件是否发生而不管信用保护买方的损失或行动</w:t>
      </w:r>
      <w:r>
        <w:rPr>
          <w:rFonts w:hint="eastAsia"/>
        </w:rPr>
        <w:t>。正是由于这个原因，信用衍生品可以在各个市场参与者之间进行标准化交易。同样的，市场参与者也可以出于投机、套利或套期保值的目的而购买或出售合约，甚至他们根本就不持有参考资产头寸，例如可以直接通过信用违约保护来卖空信用风险。</w:t>
      </w:r>
    </w:p>
    <w:p w:rsidR="00872652" w:rsidRDefault="00872652" w:rsidP="00263EE4">
      <w:pPr>
        <w:spacing w:line="360" w:lineRule="auto"/>
        <w:ind w:firstLine="420"/>
      </w:pPr>
    </w:p>
    <w:p w:rsidR="00872652" w:rsidRPr="00872652" w:rsidRDefault="00872652" w:rsidP="00872652">
      <w:pPr>
        <w:spacing w:line="360" w:lineRule="auto"/>
        <w:ind w:firstLine="420"/>
        <w:rPr>
          <w:b/>
          <w:color w:val="FF0000"/>
        </w:rPr>
      </w:pPr>
      <w:r w:rsidRPr="00872652">
        <w:rPr>
          <w:rFonts w:hint="eastAsia"/>
          <w:b/>
          <w:color w:val="FF0000"/>
        </w:rPr>
        <w:t>信用违约互换的交易类型及属性</w:t>
      </w:r>
    </w:p>
    <w:p w:rsidR="00872652" w:rsidRPr="00872652" w:rsidRDefault="00872652" w:rsidP="00872652">
      <w:pPr>
        <w:spacing w:line="360" w:lineRule="auto"/>
        <w:ind w:firstLine="420"/>
        <w:rPr>
          <w:b/>
          <w:color w:val="FF0000"/>
        </w:rPr>
      </w:pPr>
      <w:r w:rsidRPr="00872652">
        <w:rPr>
          <w:rFonts w:hint="eastAsia"/>
          <w:b/>
          <w:color w:val="FF0000"/>
        </w:rPr>
        <w:t>（</w:t>
      </w:r>
      <w:r w:rsidRPr="00872652">
        <w:rPr>
          <w:rFonts w:hint="eastAsia"/>
          <w:b/>
          <w:color w:val="FF0000"/>
        </w:rPr>
        <w:t>1</w:t>
      </w:r>
      <w:r w:rsidRPr="00872652">
        <w:rPr>
          <w:rFonts w:hint="eastAsia"/>
          <w:b/>
          <w:color w:val="FF0000"/>
        </w:rPr>
        <w:t>）</w:t>
      </w:r>
      <w:r w:rsidRPr="00872652">
        <w:rPr>
          <w:rFonts w:hint="eastAsia"/>
          <w:b/>
          <w:color w:val="FF0000"/>
        </w:rPr>
        <w:t>CDS</w:t>
      </w:r>
      <w:r w:rsidRPr="00872652">
        <w:rPr>
          <w:rFonts w:hint="eastAsia"/>
          <w:b/>
          <w:color w:val="FF0000"/>
        </w:rPr>
        <w:t>交易类型</w:t>
      </w:r>
    </w:p>
    <w:p w:rsidR="00872652" w:rsidRDefault="00872652" w:rsidP="00872652">
      <w:pPr>
        <w:spacing w:line="360" w:lineRule="auto"/>
        <w:ind w:firstLine="420"/>
      </w:pPr>
      <w:r>
        <w:rPr>
          <w:rFonts w:hint="eastAsia"/>
        </w:rPr>
        <w:t>随着</w:t>
      </w:r>
      <w:r>
        <w:rPr>
          <w:rFonts w:hint="eastAsia"/>
        </w:rPr>
        <w:t>CDS</w:t>
      </w:r>
      <w:r>
        <w:rPr>
          <w:rFonts w:hint="eastAsia"/>
        </w:rPr>
        <w:t>的发展，信用违约互换的类型已经不再单一，目前主要有三种类型，单一经济实体的信用违约互换、一篮子信用违约互换和信用违约互换指数。</w:t>
      </w:r>
    </w:p>
    <w:p w:rsidR="00872652" w:rsidRDefault="00872652" w:rsidP="00872652">
      <w:pPr>
        <w:spacing w:line="360" w:lineRule="auto"/>
        <w:ind w:firstLine="420"/>
      </w:pPr>
      <w:r>
        <w:rPr>
          <w:rFonts w:hint="eastAsia"/>
        </w:rPr>
        <w:t>（</w:t>
      </w:r>
      <w:r>
        <w:rPr>
          <w:rFonts w:hint="eastAsia"/>
        </w:rPr>
        <w:t>a</w:t>
      </w:r>
      <w:r>
        <w:rPr>
          <w:rFonts w:hint="eastAsia"/>
        </w:rPr>
        <w:t>）单一经济实体的</w:t>
      </w:r>
      <w:r>
        <w:rPr>
          <w:rFonts w:hint="eastAsia"/>
        </w:rPr>
        <w:t>CDS</w:t>
      </w:r>
      <w:r>
        <w:rPr>
          <w:rFonts w:hint="eastAsia"/>
        </w:rPr>
        <w:t>是信用衍生品的最早形式，也是比较常见的一种。单一实体意味着参考资产只有一种，由买方向卖方定期支付预先商定好的保费或者票息直至合约到期，卖方承诺在参考资产发生违约事件时向买方提供索赔，一旦违约事件发生，合约即中止</w:t>
      </w:r>
    </w:p>
    <w:p w:rsidR="00872652" w:rsidRDefault="00872652" w:rsidP="00872652">
      <w:pPr>
        <w:spacing w:line="360" w:lineRule="auto"/>
        <w:ind w:firstLine="420"/>
      </w:pPr>
      <w:r>
        <w:rPr>
          <w:rFonts w:hint="eastAsia"/>
        </w:rPr>
        <w:t>（</w:t>
      </w:r>
      <w:r>
        <w:rPr>
          <w:rFonts w:hint="eastAsia"/>
        </w:rPr>
        <w:t>b</w:t>
      </w:r>
      <w:r>
        <w:rPr>
          <w:rFonts w:hint="eastAsia"/>
        </w:rPr>
        <w:t>）一篮子信用违约互换。信用保护出售者可以出售多个资产的保护，在首次违约篮子互换中，互换的出售者在合约期内通过补偿资产篮子中第一个资产的损失来承担资产篮子的违约风险。即在合约期内通过出售已确定的一篮子资产的保护获得保费收入，而承担着这一篮子资产的违约风险，直到其中有一个资产出现违约，合约中止，保护出售方支付违约资产的损失；若合约期内没有任何一种资产发生违约，则信用保护卖方赚了一笔保费。</w:t>
      </w:r>
    </w:p>
    <w:p w:rsidR="00872652" w:rsidRDefault="00872652" w:rsidP="00872652">
      <w:pPr>
        <w:spacing w:line="360" w:lineRule="auto"/>
        <w:ind w:firstLine="420"/>
      </w:pPr>
      <w:r>
        <w:rPr>
          <w:rFonts w:hint="eastAsia"/>
        </w:rPr>
        <w:t>（</w:t>
      </w:r>
      <w:r>
        <w:rPr>
          <w:rFonts w:hint="eastAsia"/>
        </w:rPr>
        <w:t>c</w:t>
      </w:r>
      <w:r>
        <w:rPr>
          <w:rFonts w:hint="eastAsia"/>
        </w:rPr>
        <w:t>）信用违约互换指数反映了的由多个单一实体信用风险合成的资产组合中各个参考资产的</w:t>
      </w:r>
      <w:r>
        <w:rPr>
          <w:rFonts w:hint="eastAsia"/>
        </w:rPr>
        <w:t>CDS</w:t>
      </w:r>
      <w:r>
        <w:rPr>
          <w:rFonts w:hint="eastAsia"/>
        </w:rPr>
        <w:t>风险加权值总和随时间波动的情况。和一篮子信用违约互换相比，其标准化程度更高，包含的参考资产数量多，覆盖面也较广。目前信用违约互换指数主要包括欧洲指数，北美指数等。</w:t>
      </w:r>
    </w:p>
    <w:p w:rsidR="00872652" w:rsidRPr="00872652" w:rsidRDefault="00872652" w:rsidP="00872652">
      <w:pPr>
        <w:spacing w:line="360" w:lineRule="auto"/>
        <w:ind w:firstLine="420"/>
        <w:rPr>
          <w:b/>
          <w:color w:val="FF0000"/>
        </w:rPr>
      </w:pPr>
      <w:r w:rsidRPr="00872652">
        <w:rPr>
          <w:rFonts w:hint="eastAsia"/>
          <w:b/>
          <w:color w:val="FF0000"/>
        </w:rPr>
        <w:t>（</w:t>
      </w:r>
      <w:r w:rsidRPr="00872652">
        <w:rPr>
          <w:rFonts w:hint="eastAsia"/>
          <w:b/>
          <w:color w:val="FF0000"/>
        </w:rPr>
        <w:t>2</w:t>
      </w:r>
      <w:r w:rsidRPr="00872652">
        <w:rPr>
          <w:rFonts w:hint="eastAsia"/>
          <w:b/>
          <w:color w:val="FF0000"/>
        </w:rPr>
        <w:t>）</w:t>
      </w:r>
      <w:r w:rsidRPr="00872652">
        <w:rPr>
          <w:rFonts w:hint="eastAsia"/>
          <w:b/>
          <w:color w:val="FF0000"/>
        </w:rPr>
        <w:t>CDS</w:t>
      </w:r>
      <w:r w:rsidRPr="00872652">
        <w:rPr>
          <w:rFonts w:hint="eastAsia"/>
          <w:b/>
          <w:color w:val="FF0000"/>
        </w:rPr>
        <w:t>的交易属性和动机</w:t>
      </w:r>
    </w:p>
    <w:p w:rsidR="00872652" w:rsidRDefault="00872652" w:rsidP="00872652">
      <w:pPr>
        <w:spacing w:line="360" w:lineRule="auto"/>
        <w:ind w:firstLine="420"/>
      </w:pPr>
      <w:r>
        <w:rPr>
          <w:rFonts w:hint="eastAsia"/>
        </w:rPr>
        <w:t>CDS</w:t>
      </w:r>
      <w:r>
        <w:rPr>
          <w:rFonts w:hint="eastAsia"/>
        </w:rPr>
        <w:t>实质上类似于保险合约，但它比保险合约具有更强的流动性。</w:t>
      </w:r>
      <w:r>
        <w:rPr>
          <w:rFonts w:hint="eastAsia"/>
        </w:rPr>
        <w:t>CDS</w:t>
      </w:r>
      <w:r>
        <w:rPr>
          <w:rFonts w:hint="eastAsia"/>
        </w:rPr>
        <w:t>与保险也存在着一定的差别，保险要求投保人对于保险标的有经济利益，而</w:t>
      </w:r>
      <w:r>
        <w:rPr>
          <w:rFonts w:hint="eastAsia"/>
        </w:rPr>
        <w:t>CDS</w:t>
      </w:r>
      <w:r>
        <w:rPr>
          <w:rFonts w:hint="eastAsia"/>
        </w:rPr>
        <w:t>不要求有利益关系，即使并未持有某个公司的债券也可以购买该公司的</w:t>
      </w:r>
      <w:r>
        <w:rPr>
          <w:rFonts w:hint="eastAsia"/>
        </w:rPr>
        <w:t>CDS</w:t>
      </w:r>
      <w:r>
        <w:rPr>
          <w:rFonts w:hint="eastAsia"/>
        </w:rPr>
        <w:t>，这就极大增强了</w:t>
      </w:r>
      <w:r>
        <w:rPr>
          <w:rFonts w:hint="eastAsia"/>
        </w:rPr>
        <w:t>CDS</w:t>
      </w:r>
      <w:r>
        <w:rPr>
          <w:rFonts w:hint="eastAsia"/>
        </w:rPr>
        <w:t>的流动性，使得</w:t>
      </w:r>
      <w:r>
        <w:rPr>
          <w:rFonts w:hint="eastAsia"/>
        </w:rPr>
        <w:t>CDS</w:t>
      </w:r>
      <w:r>
        <w:rPr>
          <w:rFonts w:hint="eastAsia"/>
        </w:rPr>
        <w:t>发展成为除了信用风险管理之外的一个投机的工具。同时，</w:t>
      </w:r>
      <w:r>
        <w:rPr>
          <w:rFonts w:hint="eastAsia"/>
        </w:rPr>
        <w:t>CDS</w:t>
      </w:r>
      <w:r>
        <w:rPr>
          <w:rFonts w:hint="eastAsia"/>
        </w:rPr>
        <w:t>的数量不受标的资产数量的限制，信用违约互换市场名义本金数量远远超过其参考实体债券的总量，这也体现了</w:t>
      </w:r>
      <w:r>
        <w:rPr>
          <w:rFonts w:hint="eastAsia"/>
        </w:rPr>
        <w:t>CDS</w:t>
      </w:r>
      <w:r>
        <w:rPr>
          <w:rFonts w:hint="eastAsia"/>
        </w:rPr>
        <w:t>的特有的交易属性。</w:t>
      </w:r>
    </w:p>
    <w:p w:rsidR="00872652" w:rsidRPr="00872652" w:rsidRDefault="00872652" w:rsidP="00872652">
      <w:pPr>
        <w:spacing w:line="360" w:lineRule="auto"/>
        <w:ind w:firstLine="420"/>
        <w:rPr>
          <w:b/>
        </w:rPr>
      </w:pPr>
      <w:r w:rsidRPr="00872652">
        <w:rPr>
          <w:rFonts w:hint="eastAsia"/>
          <w:b/>
        </w:rPr>
        <w:t>（</w:t>
      </w:r>
      <w:r w:rsidRPr="00872652">
        <w:rPr>
          <w:rFonts w:hint="eastAsia"/>
          <w:b/>
        </w:rPr>
        <w:t>a</w:t>
      </w:r>
      <w:r w:rsidRPr="00872652">
        <w:rPr>
          <w:rFonts w:hint="eastAsia"/>
          <w:b/>
        </w:rPr>
        <w:t>）交易用途</w:t>
      </w:r>
    </w:p>
    <w:p w:rsidR="00872652" w:rsidRDefault="00872652" w:rsidP="00872652">
      <w:pPr>
        <w:spacing w:line="360" w:lineRule="auto"/>
        <w:ind w:firstLine="420"/>
      </w:pPr>
      <w:r>
        <w:rPr>
          <w:rFonts w:hint="eastAsia"/>
        </w:rPr>
        <w:lastRenderedPageBreak/>
        <w:t>从</w:t>
      </w:r>
      <w:r>
        <w:rPr>
          <w:rFonts w:hint="eastAsia"/>
        </w:rPr>
        <w:t>CDS</w:t>
      </w:r>
      <w:r>
        <w:rPr>
          <w:rFonts w:hint="eastAsia"/>
        </w:rPr>
        <w:t>的交易用途来看，商业银行是</w:t>
      </w:r>
      <w:r>
        <w:rPr>
          <w:rFonts w:hint="eastAsia"/>
        </w:rPr>
        <w:t>CDS</w:t>
      </w:r>
      <w:r>
        <w:rPr>
          <w:rFonts w:hint="eastAsia"/>
        </w:rPr>
        <w:t>的最大买方，随着</w:t>
      </w:r>
      <w:r>
        <w:rPr>
          <w:rFonts w:hint="eastAsia"/>
        </w:rPr>
        <w:t>CDS</w:t>
      </w:r>
      <w:r>
        <w:rPr>
          <w:rFonts w:hint="eastAsia"/>
        </w:rPr>
        <w:t>市场的发展壮大，其他金融机构纷纷参与进来，如保险公司、对冲基金、投资银行等，并逐渐发展成为</w:t>
      </w:r>
      <w:r>
        <w:rPr>
          <w:rFonts w:hint="eastAsia"/>
        </w:rPr>
        <w:t>CDS</w:t>
      </w:r>
      <w:r>
        <w:rPr>
          <w:rFonts w:hint="eastAsia"/>
        </w:rPr>
        <w:t>市场的重要参与者，商业银行参与</w:t>
      </w:r>
      <w:r>
        <w:rPr>
          <w:rFonts w:hint="eastAsia"/>
        </w:rPr>
        <w:t>CDS</w:t>
      </w:r>
      <w:r>
        <w:rPr>
          <w:rFonts w:hint="eastAsia"/>
        </w:rPr>
        <w:t>主要是为了转移自身的信用风险，而对冲基金、投资银行等参与</w:t>
      </w:r>
      <w:r>
        <w:rPr>
          <w:rFonts w:hint="eastAsia"/>
        </w:rPr>
        <w:t>CDS</w:t>
      </w:r>
      <w:r>
        <w:rPr>
          <w:rFonts w:hint="eastAsia"/>
        </w:rPr>
        <w:t>交易的主要动机是投机和套利。</w:t>
      </w:r>
    </w:p>
    <w:p w:rsidR="00872652" w:rsidRPr="00872652" w:rsidRDefault="00872652" w:rsidP="00872652">
      <w:pPr>
        <w:spacing w:line="360" w:lineRule="auto"/>
        <w:ind w:firstLine="420"/>
        <w:rPr>
          <w:b/>
        </w:rPr>
      </w:pPr>
      <w:r w:rsidRPr="00872652">
        <w:rPr>
          <w:rFonts w:hint="eastAsia"/>
          <w:b/>
        </w:rPr>
        <w:t>（</w:t>
      </w:r>
      <w:r w:rsidRPr="00872652">
        <w:rPr>
          <w:rFonts w:hint="eastAsia"/>
          <w:b/>
        </w:rPr>
        <w:t>b</w:t>
      </w:r>
      <w:r w:rsidRPr="00872652">
        <w:rPr>
          <w:rFonts w:hint="eastAsia"/>
          <w:b/>
        </w:rPr>
        <w:t>）交易产生条件</w:t>
      </w:r>
    </w:p>
    <w:p w:rsidR="00872652" w:rsidRDefault="00872652" w:rsidP="00872652">
      <w:pPr>
        <w:spacing w:line="360" w:lineRule="auto"/>
        <w:ind w:firstLine="420"/>
      </w:pPr>
      <w:r>
        <w:rPr>
          <w:rFonts w:hint="eastAsia"/>
        </w:rPr>
        <w:t>CDS</w:t>
      </w:r>
      <w:r>
        <w:rPr>
          <w:rFonts w:hint="eastAsia"/>
        </w:rPr>
        <w:t>交易产生的现实条件是交易双方资金成本存在差异，这种差异可以看作不同金融主体承担和化解风险能力的差异。信用违约互换交易就是根据这种差异在不同金融主体间实现信用风险最优配置的过程</w:t>
      </w:r>
      <w:r>
        <w:rPr>
          <w:rFonts w:hint="eastAsia"/>
        </w:rPr>
        <w:t xml:space="preserve">, </w:t>
      </w:r>
      <w:r>
        <w:rPr>
          <w:rFonts w:hint="eastAsia"/>
        </w:rPr>
        <w:t>或者说是信用风险最优分散化的过程。信用违约互换交易的实现也可以用国际贸易理论中的“比较优势”来解释。信用违约互换交易可以看作是一种贸易，对于同样要“生产”出一种产品——即参考资产的信用损失的保护，由于双方的保护成本不同，银行自身承担风险的成本大，因此选择让信用违约互换的卖方来进行“生产”，银行来购买这种产品。这种交易的结果在使得信用违约互换卖方获得期望收益的条件下，也增加银行的收益。</w:t>
      </w:r>
    </w:p>
    <w:p w:rsidR="00872652" w:rsidRPr="00872652" w:rsidRDefault="00872652" w:rsidP="00872652">
      <w:pPr>
        <w:spacing w:line="360" w:lineRule="auto"/>
        <w:ind w:firstLine="420"/>
        <w:rPr>
          <w:b/>
        </w:rPr>
      </w:pPr>
      <w:r w:rsidRPr="00872652">
        <w:rPr>
          <w:rFonts w:hint="eastAsia"/>
          <w:b/>
        </w:rPr>
        <w:t>（</w:t>
      </w:r>
      <w:r w:rsidRPr="00872652">
        <w:rPr>
          <w:rFonts w:hint="eastAsia"/>
          <w:b/>
        </w:rPr>
        <w:t>c</w:t>
      </w:r>
      <w:r w:rsidRPr="00872652">
        <w:rPr>
          <w:rFonts w:hint="eastAsia"/>
          <w:b/>
        </w:rPr>
        <w:t>）</w:t>
      </w:r>
      <w:r w:rsidRPr="00872652">
        <w:rPr>
          <w:rFonts w:hint="eastAsia"/>
          <w:b/>
        </w:rPr>
        <w:t>CDS</w:t>
      </w:r>
      <w:r w:rsidRPr="00872652">
        <w:rPr>
          <w:rFonts w:hint="eastAsia"/>
          <w:b/>
        </w:rPr>
        <w:t>对交易主体的作用</w:t>
      </w:r>
    </w:p>
    <w:p w:rsidR="00872652" w:rsidRDefault="00872652" w:rsidP="00872652">
      <w:pPr>
        <w:spacing w:line="360" w:lineRule="auto"/>
        <w:ind w:firstLine="420"/>
      </w:pPr>
      <w:r>
        <w:rPr>
          <w:rFonts w:hint="eastAsia"/>
        </w:rPr>
        <w:t>银行同业之间进行信用违约互换的交易可以促进双方互相调整各自的风险头寸，重组贷款结构，降低信用风险。购买信用违约互换的银行可以向对手方转移信用风险，在降低风险的同时，拓展了新的业务。通过信用违约互换，可以实现跨地区、跨行业的贷款组合，避免信用风险过于集中。出售信用违约互换的银行在获得保费的同时，也能通过</w:t>
      </w:r>
      <w:r>
        <w:rPr>
          <w:rFonts w:hint="eastAsia"/>
        </w:rPr>
        <w:t>CDS</w:t>
      </w:r>
      <w:r>
        <w:rPr>
          <w:rFonts w:hint="eastAsia"/>
        </w:rPr>
        <w:t>选择自己偏好的风险暴露，优化自身的风险组合。信用违约互换的交易可以使银行突破信贷限额的限制。低信用等级、规模较小的银行难以获得直接投资高质量资产的机会，小银行通过出售信用保护给大银行而间接地进入高质量级贷款市场，平衡其高收益率贷款组合，大银行借此也转移了信用风险。</w:t>
      </w:r>
    </w:p>
    <w:p w:rsidR="00872652" w:rsidRDefault="00872652" w:rsidP="00872652">
      <w:pPr>
        <w:spacing w:line="360" w:lineRule="auto"/>
        <w:ind w:firstLine="420"/>
      </w:pPr>
      <w:r>
        <w:rPr>
          <w:rFonts w:hint="eastAsia"/>
        </w:rPr>
        <w:t>机构投资者参与信用违约互换的交易，拓宽了其投资渠道。我国的非银行金融机构如保险公司、投资基金、证券公司等拥有大量的资金，但缺乏足够的投资机会和渠道，大量资金集中于股市和债市，风险较集中。机构投资者可以与银行开展信用违约互换交易，作为信用保护的卖方，以低融资成本获得一笔贷款的收益</w:t>
      </w:r>
      <w:r>
        <w:rPr>
          <w:rFonts w:hint="eastAsia"/>
        </w:rPr>
        <w:t xml:space="preserve">, </w:t>
      </w:r>
      <w:r>
        <w:rPr>
          <w:rFonts w:hint="eastAsia"/>
        </w:rPr>
        <w:t>而不必直接持有信贷资产。这样在降低银行的信用风险的同时，也可以突破自身业务的限制，间接的参与到信贷市场，优化自身的资产结构，在控制好风险的情况下，增加了自身的收益。</w:t>
      </w:r>
    </w:p>
    <w:p w:rsidR="00263EE4" w:rsidRDefault="00872652" w:rsidP="00872652">
      <w:pPr>
        <w:spacing w:line="360" w:lineRule="auto"/>
        <w:ind w:firstLine="420"/>
      </w:pPr>
      <w:r>
        <w:rPr>
          <w:rFonts w:hint="eastAsia"/>
        </w:rPr>
        <w:t>另外，在国外比较活跃的</w:t>
      </w:r>
      <w:r>
        <w:rPr>
          <w:rFonts w:hint="eastAsia"/>
        </w:rPr>
        <w:t>CDS</w:t>
      </w:r>
      <w:r>
        <w:rPr>
          <w:rFonts w:hint="eastAsia"/>
        </w:rPr>
        <w:t>市场，交易量大，</w:t>
      </w:r>
      <w:r>
        <w:rPr>
          <w:rFonts w:hint="eastAsia"/>
        </w:rPr>
        <w:t>CDS</w:t>
      </w:r>
      <w:r>
        <w:rPr>
          <w:rFonts w:hint="eastAsia"/>
        </w:rPr>
        <w:t>合约成为标准化的产品，交易价格时刻都在变动，对冲基金、投资银行等机构投资者，参与</w:t>
      </w:r>
      <w:r>
        <w:rPr>
          <w:rFonts w:hint="eastAsia"/>
        </w:rPr>
        <w:t>CDS</w:t>
      </w:r>
      <w:r>
        <w:rPr>
          <w:rFonts w:hint="eastAsia"/>
        </w:rPr>
        <w:t>的交易的动机还包括投机和套</w:t>
      </w:r>
      <w:r>
        <w:rPr>
          <w:rFonts w:hint="eastAsia"/>
        </w:rPr>
        <w:lastRenderedPageBreak/>
        <w:t>利，可以通过对错误定价的</w:t>
      </w:r>
      <w:r>
        <w:rPr>
          <w:rFonts w:hint="eastAsia"/>
        </w:rPr>
        <w:t>CDS</w:t>
      </w:r>
      <w:r>
        <w:rPr>
          <w:rFonts w:hint="eastAsia"/>
        </w:rPr>
        <w:t>产品的买卖来获取差价利润。由于</w:t>
      </w:r>
      <w:r>
        <w:rPr>
          <w:rFonts w:hint="eastAsia"/>
        </w:rPr>
        <w:t>CDS</w:t>
      </w:r>
      <w:r>
        <w:rPr>
          <w:rFonts w:hint="eastAsia"/>
        </w:rPr>
        <w:t>合约将信用风险与产品本身分离开来，通过</w:t>
      </w:r>
      <w:r>
        <w:rPr>
          <w:rFonts w:hint="eastAsia"/>
        </w:rPr>
        <w:t>CDS</w:t>
      </w:r>
      <w:r>
        <w:rPr>
          <w:rFonts w:hint="eastAsia"/>
        </w:rPr>
        <w:t>的买卖交易，可以获得自身偏好的风险暴露或回避不想要的风险。</w:t>
      </w:r>
    </w:p>
    <w:p w:rsidR="00030969" w:rsidRDefault="00030969" w:rsidP="00872652">
      <w:pPr>
        <w:spacing w:line="360" w:lineRule="auto"/>
        <w:ind w:firstLine="420"/>
      </w:pPr>
      <w:r>
        <w:rPr>
          <w:noProof/>
        </w:rPr>
        <w:drawing>
          <wp:inline distT="0" distB="0" distL="0" distR="0" wp14:anchorId="4C916B7A" wp14:editId="6DEC6E98">
            <wp:extent cx="5274310" cy="21837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183765"/>
                    </a:xfrm>
                    <a:prstGeom prst="rect">
                      <a:avLst/>
                    </a:prstGeom>
                  </pic:spPr>
                </pic:pic>
              </a:graphicData>
            </a:graphic>
          </wp:inline>
        </w:drawing>
      </w:r>
    </w:p>
    <w:p w:rsidR="00C50B68" w:rsidRDefault="00C50B68" w:rsidP="00872652">
      <w:pPr>
        <w:spacing w:line="360" w:lineRule="auto"/>
        <w:ind w:firstLine="420"/>
      </w:pPr>
    </w:p>
    <w:p w:rsidR="00C50B68" w:rsidRPr="00C50B68" w:rsidRDefault="00C50B68" w:rsidP="00C50B68">
      <w:pPr>
        <w:spacing w:line="360" w:lineRule="auto"/>
        <w:ind w:firstLine="420"/>
        <w:rPr>
          <w:b/>
          <w:color w:val="FF0000"/>
        </w:rPr>
      </w:pPr>
      <w:r w:rsidRPr="00C50B68">
        <w:rPr>
          <w:rFonts w:hint="eastAsia"/>
          <w:b/>
          <w:color w:val="FF0000"/>
        </w:rPr>
        <w:t>信用违约互换的市场功能及意义</w:t>
      </w:r>
    </w:p>
    <w:p w:rsidR="00C50B68" w:rsidRDefault="00C50B68" w:rsidP="00C50B68">
      <w:pPr>
        <w:spacing w:line="360" w:lineRule="auto"/>
        <w:ind w:firstLine="420"/>
      </w:pPr>
      <w:r>
        <w:rPr>
          <w:rFonts w:hint="eastAsia"/>
        </w:rPr>
        <w:t>CDS</w:t>
      </w:r>
      <w:r>
        <w:rPr>
          <w:rFonts w:hint="eastAsia"/>
        </w:rPr>
        <w:t>的主要功能可以分为两大类：</w:t>
      </w:r>
      <w:r w:rsidRPr="00C50B68">
        <w:rPr>
          <w:rFonts w:hint="eastAsia"/>
          <w:b/>
        </w:rPr>
        <w:t>风险管理和投资功能</w:t>
      </w:r>
      <w:r>
        <w:rPr>
          <w:rFonts w:hint="eastAsia"/>
        </w:rPr>
        <w:t>。</w:t>
      </w:r>
    </w:p>
    <w:p w:rsidR="00C50B68" w:rsidRDefault="00C50B68" w:rsidP="00C50B68">
      <w:pPr>
        <w:spacing w:line="360" w:lineRule="auto"/>
        <w:ind w:firstLine="420"/>
      </w:pPr>
      <w:r>
        <w:rPr>
          <w:rFonts w:hint="eastAsia"/>
        </w:rPr>
        <w:t>（</w:t>
      </w:r>
      <w:r>
        <w:rPr>
          <w:rFonts w:hint="eastAsia"/>
        </w:rPr>
        <w:t>1</w:t>
      </w:r>
      <w:r>
        <w:rPr>
          <w:rFonts w:hint="eastAsia"/>
        </w:rPr>
        <w:t>）风险管理功能</w:t>
      </w:r>
    </w:p>
    <w:p w:rsidR="00C50B68" w:rsidRDefault="00C50B68" w:rsidP="00C50B68">
      <w:pPr>
        <w:spacing w:line="360" w:lineRule="auto"/>
        <w:ind w:firstLine="420"/>
      </w:pPr>
      <w:r>
        <w:rPr>
          <w:rFonts w:hint="eastAsia"/>
        </w:rPr>
        <w:t>信用违约互换的出现使得商业银行能够主动管理信用风险，将信用风险与市场风险进行分离并可以交易，实现了信用风险交易的市场化，对冲了信用风险，增强了流动性。市场上其他多种类型的机构参与，将信用风险分散并转移，减少了违约带来的损失，降低了市场整体的系统性风险。</w:t>
      </w:r>
    </w:p>
    <w:p w:rsidR="00C50B68" w:rsidRDefault="00C50B68" w:rsidP="00C50B68">
      <w:pPr>
        <w:spacing w:line="360" w:lineRule="auto"/>
        <w:ind w:firstLine="420"/>
      </w:pPr>
      <w:r>
        <w:rPr>
          <w:rFonts w:hint="eastAsia"/>
        </w:rPr>
        <w:t>（</w:t>
      </w:r>
      <w:r>
        <w:rPr>
          <w:rFonts w:hint="eastAsia"/>
        </w:rPr>
        <w:t>2</w:t>
      </w:r>
      <w:r>
        <w:rPr>
          <w:rFonts w:hint="eastAsia"/>
        </w:rPr>
        <w:t>）投资功能</w:t>
      </w:r>
    </w:p>
    <w:p w:rsidR="00C50B68" w:rsidRDefault="00C50B68" w:rsidP="00C50B68">
      <w:pPr>
        <w:spacing w:line="360" w:lineRule="auto"/>
        <w:ind w:firstLine="420"/>
      </w:pPr>
      <w:r>
        <w:rPr>
          <w:rFonts w:hint="eastAsia"/>
        </w:rPr>
        <w:t>随着信用违约互换的发展，它已成为一些金融机构投机和套利的工具。参考资产的信用评级的变动，会引起</w:t>
      </w:r>
      <w:r>
        <w:rPr>
          <w:rFonts w:hint="eastAsia"/>
        </w:rPr>
        <w:t>CDS</w:t>
      </w:r>
      <w:r>
        <w:rPr>
          <w:rFonts w:hint="eastAsia"/>
        </w:rPr>
        <w:t>价格变化的较大波动。当市场预期参照实体的违约概率上升时，</w:t>
      </w:r>
      <w:r>
        <w:rPr>
          <w:rFonts w:hint="eastAsia"/>
        </w:rPr>
        <w:t>CDS</w:t>
      </w:r>
      <w:r>
        <w:rPr>
          <w:rFonts w:hint="eastAsia"/>
        </w:rPr>
        <w:t>的息差将相应上升，反之亦然。当投资者预期参照实体违约概率下降时，他可以出售</w:t>
      </w:r>
      <w:r>
        <w:rPr>
          <w:rFonts w:hint="eastAsia"/>
        </w:rPr>
        <w:t>CDS</w:t>
      </w:r>
      <w:r>
        <w:rPr>
          <w:rFonts w:hint="eastAsia"/>
        </w:rPr>
        <w:t>。如果预期准确，则投资者将获得投机收益。同时，因为</w:t>
      </w:r>
      <w:r>
        <w:rPr>
          <w:rFonts w:hint="eastAsia"/>
        </w:rPr>
        <w:t>CDS</w:t>
      </w:r>
      <w:r>
        <w:rPr>
          <w:rFonts w:hint="eastAsia"/>
        </w:rPr>
        <w:t>的交易者可以不受标的资产数量的限制，信用违约互换市场名义本金数量远远超过其参考实体债券的总量。这种杠杆效应使资金拥有量不是十分庞大的非银行金融机构也可以通过对大额贷款风险的部分承担而参与其收益分配，使保险公司、再保险公司、担保公司等实现自身风险结构的优化并提高投资组合的收益，增强了盈利能力。</w:t>
      </w:r>
    </w:p>
    <w:p w:rsidR="00C50B68" w:rsidRDefault="00C50B68" w:rsidP="00C50B68">
      <w:pPr>
        <w:spacing w:line="360" w:lineRule="auto"/>
        <w:ind w:firstLine="420"/>
      </w:pPr>
      <w:r>
        <w:rPr>
          <w:rFonts w:hint="eastAsia"/>
        </w:rPr>
        <w:t>除了上述两个主要的功能，信用违约互换的推出还产生了一定的积极的意义。</w:t>
      </w:r>
    </w:p>
    <w:p w:rsidR="00C50B68" w:rsidRDefault="00C50B68" w:rsidP="00C50B68">
      <w:pPr>
        <w:spacing w:line="360" w:lineRule="auto"/>
        <w:ind w:firstLine="420"/>
      </w:pPr>
      <w:r>
        <w:rPr>
          <w:rFonts w:hint="eastAsia"/>
        </w:rPr>
        <w:t>首先，信用违约互换的出现提高了市场的效率，促进了资源的有效配置。</w:t>
      </w:r>
      <w:r>
        <w:rPr>
          <w:rFonts w:hint="eastAsia"/>
        </w:rPr>
        <w:t>CDS</w:t>
      </w:r>
      <w:r>
        <w:rPr>
          <w:rFonts w:hint="eastAsia"/>
        </w:rPr>
        <w:t>的流动性</w:t>
      </w:r>
      <w:r>
        <w:rPr>
          <w:rFonts w:hint="eastAsia"/>
        </w:rPr>
        <w:lastRenderedPageBreak/>
        <w:t>高于一般的企业债券，在交易双方的议价过程中，价格会反映参考资产的发行人所处的经济环境，市场动态信息等的变化情况，其价格发现功能能够及时提供市场对债券违约概率的看法，也能揭示出一些市场上的隐含的信息，增加市场的透明度。同时，其交易价格的变化也对不同公司的信用评级提供了重要的信息，是金融市场资源配置重要的价格信号。此外，</w:t>
      </w:r>
      <w:r>
        <w:rPr>
          <w:rFonts w:hint="eastAsia"/>
        </w:rPr>
        <w:t>CDS</w:t>
      </w:r>
      <w:r>
        <w:rPr>
          <w:rFonts w:hint="eastAsia"/>
        </w:rPr>
        <w:t>使更多的机构参与进市场，有利于不同行业之间风险的分配和转移。为市场提供了多样化的投资工具，满足了不同风险偏好的投资者的需求，促进了资源的有效配置。</w:t>
      </w:r>
    </w:p>
    <w:p w:rsidR="00C50B68" w:rsidRDefault="00C50B68" w:rsidP="00C50B68">
      <w:pPr>
        <w:spacing w:line="360" w:lineRule="auto"/>
        <w:ind w:firstLine="420"/>
      </w:pPr>
      <w:r>
        <w:rPr>
          <w:rFonts w:hint="eastAsia"/>
        </w:rPr>
        <w:t>其次，对于发行债券的企业来说，通过发行附有</w:t>
      </w:r>
      <w:r>
        <w:rPr>
          <w:rFonts w:hint="eastAsia"/>
        </w:rPr>
        <w:t>CDS</w:t>
      </w:r>
      <w:r>
        <w:rPr>
          <w:rFonts w:hint="eastAsia"/>
        </w:rPr>
        <w:t>的债券，有利于提高债券的信用等级，可以降低债券的发行成本。同时，</w:t>
      </w:r>
      <w:r>
        <w:rPr>
          <w:rFonts w:hint="eastAsia"/>
        </w:rPr>
        <w:t>CDS</w:t>
      </w:r>
      <w:r>
        <w:rPr>
          <w:rFonts w:hint="eastAsia"/>
        </w:rPr>
        <w:t>还降低了交易成本，信用违约互换具有高杠杆性，其交易成本低于其他的金融衍生品，</w:t>
      </w:r>
      <w:r>
        <w:rPr>
          <w:rFonts w:hint="eastAsia"/>
        </w:rPr>
        <w:t>CDS</w:t>
      </w:r>
      <w:r>
        <w:rPr>
          <w:rFonts w:hint="eastAsia"/>
        </w:rPr>
        <w:t>合约的标准化使其成为了投资者对冲风险头寸的有效工具，通过合成头寸实现卖空风险资产的效果，具有成本低的特点。</w:t>
      </w:r>
    </w:p>
    <w:p w:rsidR="00C50B68" w:rsidRDefault="00C50B68" w:rsidP="00C50B68">
      <w:pPr>
        <w:spacing w:line="360" w:lineRule="auto"/>
        <w:ind w:firstLine="420"/>
      </w:pPr>
      <w:r>
        <w:rPr>
          <w:rFonts w:hint="eastAsia"/>
        </w:rPr>
        <w:t>最后，信用违约互换提高了债券市场的流动性。在信用违约互换不存在的情况下，信用风险等级高的债券很难发行或被卖出，流动性很低。</w:t>
      </w:r>
      <w:r>
        <w:rPr>
          <w:rFonts w:hint="eastAsia"/>
        </w:rPr>
        <w:t>CDS</w:t>
      </w:r>
      <w:r>
        <w:rPr>
          <w:rFonts w:hint="eastAsia"/>
        </w:rPr>
        <w:t>的出现不仅促进了低风险证券的发行量的增大，还在一定程度上促进了高风险债券的发行和流通，信用风险和市场风险的分离，可以提升相应证券的评级水平，丰富了债券可投资的品种，有利于债券市场的流动性。</w:t>
      </w:r>
    </w:p>
    <w:p w:rsidR="00C50B68" w:rsidRPr="00C50B68" w:rsidRDefault="00C50B68" w:rsidP="00C50B68">
      <w:pPr>
        <w:spacing w:line="360" w:lineRule="auto"/>
        <w:ind w:firstLine="420"/>
      </w:pPr>
    </w:p>
    <w:p w:rsidR="00C50B68" w:rsidRPr="00263EE4" w:rsidRDefault="00263EE4" w:rsidP="00C50B68">
      <w:pPr>
        <w:spacing w:line="360" w:lineRule="auto"/>
        <w:ind w:firstLine="420"/>
        <w:rPr>
          <w:b/>
          <w:color w:val="FF0000"/>
        </w:rPr>
      </w:pPr>
      <w:r w:rsidRPr="00263EE4">
        <w:rPr>
          <w:rFonts w:hint="eastAsia"/>
          <w:b/>
          <w:color w:val="FF0000"/>
        </w:rPr>
        <w:t>CDS</w:t>
      </w:r>
      <w:r w:rsidRPr="00263EE4">
        <w:rPr>
          <w:rFonts w:hint="eastAsia"/>
          <w:b/>
          <w:color w:val="FF0000"/>
        </w:rPr>
        <w:t>的定价机制</w:t>
      </w:r>
    </w:p>
    <w:p w:rsidR="00263EE4" w:rsidRDefault="00263EE4" w:rsidP="00263EE4">
      <w:pPr>
        <w:spacing w:line="360" w:lineRule="auto"/>
        <w:ind w:firstLine="420"/>
      </w:pPr>
      <w:r w:rsidRPr="00263EE4">
        <w:rPr>
          <w:rFonts w:hint="eastAsia"/>
          <w:b/>
        </w:rPr>
        <w:t>CDS</w:t>
      </w:r>
      <w:r w:rsidRPr="00263EE4">
        <w:rPr>
          <w:rFonts w:hint="eastAsia"/>
          <w:b/>
        </w:rPr>
        <w:t>以无套利理论为基础，通过现金流净现值为</w:t>
      </w:r>
      <w:r w:rsidRPr="00263EE4">
        <w:rPr>
          <w:rFonts w:hint="eastAsia"/>
          <w:b/>
        </w:rPr>
        <w:t>0</w:t>
      </w:r>
      <w:r w:rsidRPr="00263EE4">
        <w:rPr>
          <w:rFonts w:hint="eastAsia"/>
          <w:b/>
        </w:rPr>
        <w:t>来进行定价。</w:t>
      </w:r>
      <w:r>
        <w:rPr>
          <w:rFonts w:hint="eastAsia"/>
        </w:rPr>
        <w:t>在</w:t>
      </w:r>
      <w:r>
        <w:rPr>
          <w:rFonts w:hint="eastAsia"/>
        </w:rPr>
        <w:t>CDS</w:t>
      </w:r>
      <w:r>
        <w:rPr>
          <w:rFonts w:hint="eastAsia"/>
        </w:rPr>
        <w:t>持有期间，买方的现金流出为定期支付的保费，现金流入为或有违约发生时收到的或有支付。可以推导出保费与违约概率与回收率的关系。</w:t>
      </w:r>
    </w:p>
    <w:p w:rsidR="00263EE4" w:rsidRDefault="00263EE4" w:rsidP="00263EE4">
      <w:pPr>
        <w:spacing w:line="360" w:lineRule="auto"/>
        <w:ind w:firstLine="420"/>
      </w:pPr>
      <w:r>
        <w:rPr>
          <w:noProof/>
        </w:rPr>
        <w:drawing>
          <wp:inline distT="0" distB="0" distL="0" distR="0" wp14:anchorId="28CBA506" wp14:editId="41537E10">
            <wp:extent cx="5274310" cy="30505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050540"/>
                    </a:xfrm>
                    <a:prstGeom prst="rect">
                      <a:avLst/>
                    </a:prstGeom>
                  </pic:spPr>
                </pic:pic>
              </a:graphicData>
            </a:graphic>
          </wp:inline>
        </w:drawing>
      </w:r>
    </w:p>
    <w:p w:rsidR="001725B6" w:rsidRDefault="001725B6" w:rsidP="00263EE4">
      <w:pPr>
        <w:spacing w:line="360" w:lineRule="auto"/>
        <w:ind w:firstLine="420"/>
      </w:pPr>
      <w:r w:rsidRPr="001725B6">
        <w:rPr>
          <w:rFonts w:hint="eastAsia"/>
        </w:rPr>
        <w:lastRenderedPageBreak/>
        <w:t>由净现金流为</w:t>
      </w:r>
      <w:r w:rsidRPr="001725B6">
        <w:rPr>
          <w:rFonts w:hint="eastAsia"/>
        </w:rPr>
        <w:t>0</w:t>
      </w:r>
      <w:r w:rsidRPr="001725B6">
        <w:rPr>
          <w:rFonts w:hint="eastAsia"/>
        </w:rPr>
        <w:t>的无套利理论推出的公式可知：</w:t>
      </w:r>
      <w:r w:rsidRPr="001725B6">
        <w:rPr>
          <w:rFonts w:hint="eastAsia"/>
          <w:b/>
        </w:rPr>
        <w:t>当期违约概率越高，则</w:t>
      </w:r>
      <w:r w:rsidRPr="001725B6">
        <w:rPr>
          <w:rFonts w:hint="eastAsia"/>
          <w:b/>
        </w:rPr>
        <w:t>t</w:t>
      </w:r>
      <w:r w:rsidRPr="001725B6">
        <w:rPr>
          <w:rFonts w:hint="eastAsia"/>
          <w:b/>
        </w:rPr>
        <w:t>时间内违约概率越高，则保费越高，反之亦然；回收率率</w:t>
      </w:r>
      <w:r w:rsidRPr="001725B6">
        <w:rPr>
          <w:rFonts w:hint="eastAsia"/>
          <w:b/>
        </w:rPr>
        <w:t>d</w:t>
      </w:r>
      <w:r w:rsidRPr="001725B6">
        <w:rPr>
          <w:rFonts w:hint="eastAsia"/>
          <w:b/>
        </w:rPr>
        <w:t>越高，保费越低，反之亦然</w:t>
      </w:r>
      <w:r w:rsidRPr="001725B6">
        <w:rPr>
          <w:rFonts w:hint="eastAsia"/>
        </w:rPr>
        <w:t>。所以</w:t>
      </w:r>
      <w:r w:rsidRPr="001725B6">
        <w:rPr>
          <w:rFonts w:hint="eastAsia"/>
          <w:b/>
        </w:rPr>
        <w:t>CDS</w:t>
      </w:r>
      <w:r w:rsidRPr="001725B6">
        <w:rPr>
          <w:rFonts w:hint="eastAsia"/>
          <w:b/>
        </w:rPr>
        <w:t>定价的关键落在了对基础信用资产违约率与回收率的判别上</w:t>
      </w:r>
      <w:r w:rsidRPr="001725B6">
        <w:rPr>
          <w:rFonts w:hint="eastAsia"/>
        </w:rPr>
        <w:t>。</w:t>
      </w:r>
      <w:r w:rsidRPr="001725B6">
        <w:rPr>
          <w:rFonts w:hint="eastAsia"/>
        </w:rPr>
        <w:t>CDS</w:t>
      </w:r>
      <w:r w:rsidRPr="001725B6">
        <w:rPr>
          <w:rFonts w:hint="eastAsia"/>
        </w:rPr>
        <w:t>价格既可以采用以基础信用资产为基础的点差（</w:t>
      </w:r>
      <w:r w:rsidRPr="001725B6">
        <w:rPr>
          <w:rFonts w:hint="eastAsia"/>
        </w:rPr>
        <w:t>Spread</w:t>
      </w:r>
      <w:r w:rsidRPr="001725B6">
        <w:rPr>
          <w:rFonts w:hint="eastAsia"/>
        </w:rPr>
        <w:t>）来衡量，也可以通过保费的绝对值（</w:t>
      </w:r>
      <w:r w:rsidRPr="001725B6">
        <w:rPr>
          <w:rFonts w:hint="eastAsia"/>
        </w:rPr>
        <w:t>Upfront/Price</w:t>
      </w:r>
      <w:r w:rsidRPr="001725B6">
        <w:rPr>
          <w:rFonts w:hint="eastAsia"/>
        </w:rPr>
        <w:t>）来衡量，两者有较为确定的关系，</w:t>
      </w:r>
      <w:r w:rsidRPr="001725B6">
        <w:rPr>
          <w:rFonts w:hint="eastAsia"/>
        </w:rPr>
        <w:t>ISDA</w:t>
      </w:r>
      <w:r w:rsidRPr="001725B6">
        <w:rPr>
          <w:rFonts w:hint="eastAsia"/>
        </w:rPr>
        <w:t>提供了两者进行转换的标准公式。</w:t>
      </w:r>
    </w:p>
    <w:p w:rsidR="001725B6" w:rsidRDefault="001725B6" w:rsidP="00263EE4">
      <w:pPr>
        <w:spacing w:line="360" w:lineRule="auto"/>
        <w:ind w:firstLine="420"/>
      </w:pPr>
      <w:r>
        <w:rPr>
          <w:noProof/>
        </w:rPr>
        <w:drawing>
          <wp:inline distT="0" distB="0" distL="0" distR="0" wp14:anchorId="7095DF06" wp14:editId="14A81A45">
            <wp:extent cx="5274310" cy="223456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4565"/>
                    </a:xfrm>
                    <a:prstGeom prst="rect">
                      <a:avLst/>
                    </a:prstGeom>
                  </pic:spPr>
                </pic:pic>
              </a:graphicData>
            </a:graphic>
          </wp:inline>
        </w:drawing>
      </w:r>
    </w:p>
    <w:p w:rsidR="001725B6" w:rsidRDefault="001725B6" w:rsidP="001725B6">
      <w:pPr>
        <w:spacing w:line="360" w:lineRule="auto"/>
        <w:ind w:firstLine="420"/>
      </w:pPr>
      <w:r w:rsidRPr="001725B6">
        <w:rPr>
          <w:rFonts w:hint="eastAsia"/>
          <w:b/>
          <w:color w:val="FF0000"/>
        </w:rPr>
        <w:t>违约率的估计</w:t>
      </w:r>
      <w:r>
        <w:rPr>
          <w:rFonts w:hint="eastAsia"/>
        </w:rPr>
        <w:t>有以下两种方式：（</w:t>
      </w:r>
      <w:r>
        <w:rPr>
          <w:rFonts w:hint="eastAsia"/>
        </w:rPr>
        <w:t>1</w:t>
      </w:r>
      <w:r>
        <w:rPr>
          <w:rFonts w:hint="eastAsia"/>
        </w:rPr>
        <w:t>）</w:t>
      </w:r>
      <w:r w:rsidRPr="001725B6">
        <w:rPr>
          <w:rFonts w:hint="eastAsia"/>
          <w:b/>
        </w:rPr>
        <w:t>信用评级机构数据模型</w:t>
      </w:r>
      <w:r>
        <w:rPr>
          <w:rFonts w:hint="eastAsia"/>
        </w:rPr>
        <w:t>。信用评级机构以信用等级为基础，根据公司债券信用变化的历史数据，建立公司信用转移的概率空间，用有限状态空间的马尔科夫链描述信用等级的变化过程，进而衡量其信用的长期风险得出违约率。（</w:t>
      </w:r>
      <w:r>
        <w:rPr>
          <w:rFonts w:hint="eastAsia"/>
        </w:rPr>
        <w:t>2</w:t>
      </w:r>
      <w:r>
        <w:rPr>
          <w:rFonts w:hint="eastAsia"/>
        </w:rPr>
        <w:t>）</w:t>
      </w:r>
      <w:r w:rsidRPr="001725B6">
        <w:rPr>
          <w:rFonts w:hint="eastAsia"/>
          <w:b/>
        </w:rPr>
        <w:t>莫顿期权定价模型</w:t>
      </w:r>
      <w:r>
        <w:rPr>
          <w:rFonts w:hint="eastAsia"/>
        </w:rPr>
        <w:t>。将公司债券的收益率分解为无风险收益率和信用风险收益率，价格分解为无风险债券价格和看跌期权的价格，从而计算出风险加价，进而求得违约率。</w:t>
      </w:r>
    </w:p>
    <w:p w:rsidR="001725B6" w:rsidRDefault="001725B6" w:rsidP="001725B6">
      <w:pPr>
        <w:spacing w:line="360" w:lineRule="auto"/>
        <w:ind w:firstLine="420"/>
      </w:pPr>
      <w:r>
        <w:rPr>
          <w:rFonts w:hint="eastAsia"/>
        </w:rPr>
        <w:t>违约率的确定与违约资产的拍卖处理流程有很大关系。</w:t>
      </w:r>
      <w:r>
        <w:rPr>
          <w:rFonts w:hint="eastAsia"/>
        </w:rPr>
        <w:t>ISDA</w:t>
      </w:r>
      <w:r>
        <w:rPr>
          <w:rFonts w:hint="eastAsia"/>
        </w:rPr>
        <w:t>按</w:t>
      </w:r>
      <w:r>
        <w:rPr>
          <w:rFonts w:hint="eastAsia"/>
        </w:rPr>
        <w:t>CDS</w:t>
      </w:r>
      <w:r>
        <w:rPr>
          <w:rFonts w:hint="eastAsia"/>
        </w:rPr>
        <w:t>的优先级对回收假设进行了标准化。在发达国家，优先级无担保</w:t>
      </w:r>
      <w:r>
        <w:rPr>
          <w:rFonts w:hint="eastAsia"/>
        </w:rPr>
        <w:t>CDS</w:t>
      </w:r>
      <w:r>
        <w:rPr>
          <w:rFonts w:hint="eastAsia"/>
        </w:rPr>
        <w:t>和次级</w:t>
      </w:r>
      <w:r>
        <w:rPr>
          <w:rFonts w:hint="eastAsia"/>
        </w:rPr>
        <w:t>CDS</w:t>
      </w:r>
      <w:r>
        <w:rPr>
          <w:rFonts w:hint="eastAsia"/>
        </w:rPr>
        <w:t>的回收率分别为</w:t>
      </w:r>
      <w:r>
        <w:rPr>
          <w:rFonts w:hint="eastAsia"/>
        </w:rPr>
        <w:t>40%</w:t>
      </w:r>
      <w:r>
        <w:rPr>
          <w:rFonts w:hint="eastAsia"/>
        </w:rPr>
        <w:t>和</w:t>
      </w:r>
      <w:r>
        <w:rPr>
          <w:rFonts w:hint="eastAsia"/>
        </w:rPr>
        <w:t>20%</w:t>
      </w:r>
      <w:r>
        <w:rPr>
          <w:rFonts w:hint="eastAsia"/>
        </w:rPr>
        <w:t>。在新兴市场，优先级无担保</w:t>
      </w:r>
      <w:r>
        <w:rPr>
          <w:rFonts w:hint="eastAsia"/>
        </w:rPr>
        <w:t>CDS</w:t>
      </w:r>
      <w:r>
        <w:rPr>
          <w:rFonts w:hint="eastAsia"/>
        </w:rPr>
        <w:t>和次级</w:t>
      </w:r>
      <w:r>
        <w:rPr>
          <w:rFonts w:hint="eastAsia"/>
        </w:rPr>
        <w:t>CDS</w:t>
      </w:r>
      <w:r>
        <w:rPr>
          <w:rFonts w:hint="eastAsia"/>
        </w:rPr>
        <w:t>的回收率均为</w:t>
      </w:r>
      <w:r>
        <w:rPr>
          <w:rFonts w:hint="eastAsia"/>
        </w:rPr>
        <w:t>25%</w:t>
      </w:r>
      <w:r>
        <w:rPr>
          <w:rFonts w:hint="eastAsia"/>
        </w:rPr>
        <w:t>。</w:t>
      </w:r>
    </w:p>
    <w:p w:rsidR="001725B6" w:rsidRDefault="001725B6" w:rsidP="001725B6">
      <w:pPr>
        <w:spacing w:line="360" w:lineRule="auto"/>
        <w:ind w:firstLine="420"/>
      </w:pPr>
      <w:r>
        <w:rPr>
          <w:noProof/>
        </w:rPr>
        <w:drawing>
          <wp:inline distT="0" distB="0" distL="0" distR="0" wp14:anchorId="470EEFC6" wp14:editId="72790673">
            <wp:extent cx="5274310" cy="17551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55140"/>
                    </a:xfrm>
                    <a:prstGeom prst="rect">
                      <a:avLst/>
                    </a:prstGeom>
                  </pic:spPr>
                </pic:pic>
              </a:graphicData>
            </a:graphic>
          </wp:inline>
        </w:drawing>
      </w:r>
    </w:p>
    <w:p w:rsidR="001725B6" w:rsidRDefault="001725B6" w:rsidP="001725B6">
      <w:pPr>
        <w:spacing w:line="360" w:lineRule="auto"/>
        <w:ind w:firstLine="420"/>
      </w:pPr>
      <w:r w:rsidRPr="001725B6">
        <w:rPr>
          <w:rFonts w:hint="eastAsia"/>
        </w:rPr>
        <w:t>当市场相信该发行人违约几率增大时，大家都倾向做</w:t>
      </w:r>
      <w:r w:rsidRPr="001725B6">
        <w:rPr>
          <w:rFonts w:hint="eastAsia"/>
        </w:rPr>
        <w:t>CDS</w:t>
      </w:r>
      <w:r w:rsidRPr="001725B6">
        <w:rPr>
          <w:rFonts w:hint="eastAsia"/>
        </w:rPr>
        <w:t>买方（买方支付</w:t>
      </w:r>
      <w:r w:rsidRPr="001725B6">
        <w:rPr>
          <w:rFonts w:hint="eastAsia"/>
        </w:rPr>
        <w:t>CDS Spread)</w:t>
      </w:r>
      <w:r w:rsidRPr="001725B6">
        <w:rPr>
          <w:rFonts w:hint="eastAsia"/>
        </w:rPr>
        <w:t>，便会推高</w:t>
      </w:r>
      <w:r w:rsidRPr="001725B6">
        <w:rPr>
          <w:rFonts w:hint="eastAsia"/>
        </w:rPr>
        <w:t>CDS spread</w:t>
      </w:r>
      <w:r w:rsidRPr="001725B6">
        <w:rPr>
          <w:rFonts w:hint="eastAsia"/>
        </w:rPr>
        <w:t>。当市场判断该发行人违约几率降低时，更多人会愿意做</w:t>
      </w:r>
      <w:r w:rsidRPr="001725B6">
        <w:rPr>
          <w:rFonts w:hint="eastAsia"/>
        </w:rPr>
        <w:t>CDS</w:t>
      </w:r>
      <w:r w:rsidRPr="001725B6">
        <w:rPr>
          <w:rFonts w:hint="eastAsia"/>
        </w:rPr>
        <w:t>卖方</w:t>
      </w:r>
      <w:r w:rsidRPr="001725B6">
        <w:rPr>
          <w:rFonts w:hint="eastAsia"/>
        </w:rPr>
        <w:t>(</w:t>
      </w:r>
      <w:r w:rsidRPr="001725B6">
        <w:rPr>
          <w:rFonts w:hint="eastAsia"/>
        </w:rPr>
        <w:t>以收取</w:t>
      </w:r>
      <w:r w:rsidRPr="001725B6">
        <w:rPr>
          <w:rFonts w:hint="eastAsia"/>
        </w:rPr>
        <w:t>CDS Spread)</w:t>
      </w:r>
      <w:r w:rsidRPr="001725B6">
        <w:rPr>
          <w:rFonts w:hint="eastAsia"/>
        </w:rPr>
        <w:t>，因此便会拉低</w:t>
      </w:r>
      <w:r w:rsidRPr="001725B6">
        <w:rPr>
          <w:rFonts w:hint="eastAsia"/>
        </w:rPr>
        <w:t>CDS spread</w:t>
      </w:r>
      <w:r w:rsidRPr="001725B6">
        <w:rPr>
          <w:rFonts w:hint="eastAsia"/>
        </w:rPr>
        <w:t>。</w:t>
      </w:r>
    </w:p>
    <w:p w:rsidR="001725B6" w:rsidRDefault="001725B6" w:rsidP="001725B6">
      <w:pPr>
        <w:spacing w:line="360" w:lineRule="auto"/>
        <w:ind w:firstLine="420"/>
      </w:pPr>
    </w:p>
    <w:p w:rsidR="001725B6" w:rsidRPr="001725B6" w:rsidRDefault="001725B6" w:rsidP="001725B6">
      <w:pPr>
        <w:spacing w:line="360" w:lineRule="auto"/>
        <w:ind w:firstLine="420"/>
        <w:rPr>
          <w:b/>
          <w:color w:val="FF0000"/>
        </w:rPr>
      </w:pPr>
      <w:r w:rsidRPr="001725B6">
        <w:rPr>
          <w:rFonts w:hint="eastAsia"/>
          <w:b/>
          <w:color w:val="FF0000"/>
        </w:rPr>
        <w:t>CDS</w:t>
      </w:r>
      <w:r w:rsidRPr="001725B6">
        <w:rPr>
          <w:rFonts w:hint="eastAsia"/>
          <w:b/>
          <w:color w:val="FF0000"/>
        </w:rPr>
        <w:t>市场的参与机构</w:t>
      </w:r>
    </w:p>
    <w:p w:rsidR="001725B6" w:rsidRDefault="001725B6" w:rsidP="001725B6">
      <w:pPr>
        <w:spacing w:line="360" w:lineRule="auto"/>
        <w:ind w:firstLine="420"/>
      </w:pPr>
      <w:r>
        <w:rPr>
          <w:rFonts w:hint="eastAsia"/>
        </w:rPr>
        <w:t>CDS</w:t>
      </w:r>
      <w:r>
        <w:rPr>
          <w:rFonts w:hint="eastAsia"/>
        </w:rPr>
        <w:t>市场的参与机构包括：</w:t>
      </w:r>
    </w:p>
    <w:p w:rsidR="001725B6" w:rsidRDefault="001725B6" w:rsidP="001725B6">
      <w:pPr>
        <w:spacing w:line="360" w:lineRule="auto"/>
        <w:ind w:firstLine="420"/>
      </w:pPr>
      <w:r w:rsidRPr="001D3088">
        <w:rPr>
          <w:rFonts w:hint="eastAsia"/>
          <w:b/>
        </w:rPr>
        <w:t>国际银行和中间商</w:t>
      </w:r>
      <w:r>
        <w:rPr>
          <w:rFonts w:hint="eastAsia"/>
        </w:rPr>
        <w:t>。一些国际知名银行，比如美国</w:t>
      </w:r>
      <w:r>
        <w:rPr>
          <w:rFonts w:hint="eastAsia"/>
        </w:rPr>
        <w:t>J.P.</w:t>
      </w:r>
      <w:r>
        <w:rPr>
          <w:rFonts w:hint="eastAsia"/>
        </w:rPr>
        <w:t>摩根大通、花旗以及美洲银行等，凭借自身强大的信贷资产组合和成熟的资本市场运作管理，成为信用风险转移市场最重要的参与者。信用违约互换作为低成本的管理工具，不仅使这些银行明显降低了传统放贷业务的资金成本，还加强了对自由信贷资产组合的管理，提高了客户风险管理水平，同时作为衍生品市场的主要中间商，还可以获取丰厚的价差收益。另外，像高盛、摩根斯坦利等一些国际知名投行，通过提供包装、分解、组合和上市交易等传统投行业务也成为</w:t>
      </w:r>
      <w:r>
        <w:rPr>
          <w:rFonts w:hint="eastAsia"/>
        </w:rPr>
        <w:t>CDS</w:t>
      </w:r>
      <w:r>
        <w:rPr>
          <w:rFonts w:hint="eastAsia"/>
        </w:rPr>
        <w:t>市场交易的重要力量。</w:t>
      </w:r>
    </w:p>
    <w:p w:rsidR="001725B6" w:rsidRDefault="001725B6" w:rsidP="001725B6">
      <w:pPr>
        <w:spacing w:line="360" w:lineRule="auto"/>
        <w:ind w:firstLine="420"/>
      </w:pPr>
      <w:r w:rsidRPr="001D3088">
        <w:rPr>
          <w:rFonts w:hint="eastAsia"/>
          <w:b/>
        </w:rPr>
        <w:t>中小银行</w:t>
      </w:r>
      <w:r>
        <w:rPr>
          <w:rFonts w:hint="eastAsia"/>
        </w:rPr>
        <w:t>。一些中小银行主要作为信用违约互换的</w:t>
      </w:r>
      <w:r w:rsidRPr="001D3088">
        <w:rPr>
          <w:rFonts w:hint="eastAsia"/>
          <w:b/>
        </w:rPr>
        <w:t>出售方</w:t>
      </w:r>
      <w:r>
        <w:rPr>
          <w:rFonts w:hint="eastAsia"/>
        </w:rPr>
        <w:t>，通过向一些大银行出售信用违约互换，使得他们可以间接获得大银行信贷资产组合的收益。由于中小银行和大银行的客户相对不同，其中大银行的资产质量通常高于行业平均水平，而中小银行的客户质量相对较低，这使得大银行和中小银行的信贷资产组合的相关性很低，这样信用违约互换就可以提高自身资产组合的分散化效应，在收益提高的条件下，还能够降低整个贷款组合的风险。</w:t>
      </w:r>
    </w:p>
    <w:p w:rsidR="001725B6" w:rsidRDefault="001725B6" w:rsidP="001725B6">
      <w:pPr>
        <w:spacing w:line="360" w:lineRule="auto"/>
        <w:ind w:firstLine="420"/>
      </w:pPr>
      <w:r w:rsidRPr="001D3088">
        <w:rPr>
          <w:rFonts w:hint="eastAsia"/>
          <w:b/>
        </w:rPr>
        <w:t>保险公司</w:t>
      </w:r>
      <w:r>
        <w:rPr>
          <w:rFonts w:hint="eastAsia"/>
        </w:rPr>
        <w:t>。保险公司提供的保险服务在某种程度上和信用违约互换相似，因此其一般作为信用保护的主要提供者，从国际市场来看，保险公司有着作为卖方的先天优势，是信用衍生品市场上最大的风险出售者。</w:t>
      </w:r>
    </w:p>
    <w:p w:rsidR="001725B6" w:rsidRDefault="001725B6" w:rsidP="001725B6">
      <w:pPr>
        <w:spacing w:line="360" w:lineRule="auto"/>
        <w:ind w:firstLine="420"/>
      </w:pPr>
      <w:r>
        <w:rPr>
          <w:rFonts w:hint="eastAsia"/>
        </w:rPr>
        <w:t>随着金融市场的发展，对冲基金、特殊目的公司等也成为信用衍生品市场上重要的参与者，通过对信用违约互换的运用来进行套利、规避风险者获取杠杆效应等。</w:t>
      </w:r>
    </w:p>
    <w:p w:rsidR="001D3088" w:rsidRDefault="001D3088" w:rsidP="001725B6">
      <w:pPr>
        <w:spacing w:line="360" w:lineRule="auto"/>
        <w:ind w:firstLine="420"/>
      </w:pPr>
      <w:r>
        <w:rPr>
          <w:noProof/>
        </w:rPr>
        <w:drawing>
          <wp:inline distT="0" distB="0" distL="0" distR="0" wp14:anchorId="0F7A4BF3" wp14:editId="3F2A5EBA">
            <wp:extent cx="5274310" cy="24244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24430"/>
                    </a:xfrm>
                    <a:prstGeom prst="rect">
                      <a:avLst/>
                    </a:prstGeom>
                  </pic:spPr>
                </pic:pic>
              </a:graphicData>
            </a:graphic>
          </wp:inline>
        </w:drawing>
      </w:r>
    </w:p>
    <w:p w:rsidR="001D3088" w:rsidRPr="001D3088" w:rsidRDefault="001D3088" w:rsidP="001D3088">
      <w:pPr>
        <w:spacing w:line="360" w:lineRule="auto"/>
        <w:ind w:firstLine="420"/>
        <w:rPr>
          <w:b/>
          <w:color w:val="FF0000"/>
        </w:rPr>
      </w:pPr>
      <w:r w:rsidRPr="001D3088">
        <w:rPr>
          <w:rFonts w:hint="eastAsia"/>
          <w:b/>
          <w:color w:val="FF0000"/>
        </w:rPr>
        <w:t>对冲信用风险，提高债券流动性</w:t>
      </w:r>
    </w:p>
    <w:p w:rsidR="001D3088" w:rsidRDefault="001D3088" w:rsidP="001D3088">
      <w:pPr>
        <w:spacing w:line="360" w:lineRule="auto"/>
        <w:ind w:firstLine="420"/>
      </w:pPr>
      <w:r>
        <w:rPr>
          <w:rFonts w:hint="eastAsia"/>
        </w:rPr>
        <w:lastRenderedPageBreak/>
        <w:t>CDS</w:t>
      </w:r>
      <w:r>
        <w:rPr>
          <w:rFonts w:hint="eastAsia"/>
        </w:rPr>
        <w:t>不仅可剥离出信用风险交易，对冲信用风险，还有提高债券市场流动性、价格发现的作用。具体来说主要有以下几点：</w:t>
      </w:r>
    </w:p>
    <w:p w:rsidR="001D3088" w:rsidRDefault="001D3088" w:rsidP="001D3088">
      <w:pPr>
        <w:spacing w:line="360" w:lineRule="auto"/>
        <w:ind w:firstLine="420"/>
      </w:pPr>
      <w:r w:rsidRPr="001D3088">
        <w:rPr>
          <w:rFonts w:hint="eastAsia"/>
          <w:b/>
        </w:rPr>
        <w:t>提高债券流动性</w:t>
      </w:r>
      <w:r>
        <w:rPr>
          <w:rFonts w:hint="eastAsia"/>
        </w:rPr>
        <w:t>。由于低评级的债券违约风险更多的是依赖于</w:t>
      </w:r>
      <w:r>
        <w:rPr>
          <w:rFonts w:hint="eastAsia"/>
        </w:rPr>
        <w:t xml:space="preserve">CDS </w:t>
      </w:r>
      <w:r>
        <w:rPr>
          <w:rFonts w:hint="eastAsia"/>
        </w:rPr>
        <w:t>市场直接交易，而非直接交易个券，故</w:t>
      </w:r>
      <w:r>
        <w:rPr>
          <w:rFonts w:hint="eastAsia"/>
        </w:rPr>
        <w:t xml:space="preserve">CDS </w:t>
      </w:r>
      <w:r>
        <w:rPr>
          <w:rFonts w:hint="eastAsia"/>
        </w:rPr>
        <w:t>可在一定条件下与基础债券形成流动性的互补，提高低等级债券流动性。此外，对于多种创新债券品种，如高收益债券，</w:t>
      </w:r>
      <w:r>
        <w:rPr>
          <w:rFonts w:hint="eastAsia"/>
        </w:rPr>
        <w:t>CDS</w:t>
      </w:r>
      <w:r>
        <w:rPr>
          <w:rFonts w:hint="eastAsia"/>
        </w:rPr>
        <w:t>可以提高此类低评级、高收益债券的流动性，同时对冲信用风险，发展空间较大。在当前一级市场遇冷的情况下，</w:t>
      </w:r>
      <w:r>
        <w:rPr>
          <w:rFonts w:hint="eastAsia"/>
        </w:rPr>
        <w:t>CDS</w:t>
      </w:r>
      <w:r>
        <w:rPr>
          <w:rFonts w:hint="eastAsia"/>
        </w:rPr>
        <w:t>能在一定程度上改善市场，降低企业发行难度和成本。</w:t>
      </w:r>
    </w:p>
    <w:p w:rsidR="001D3088" w:rsidRDefault="001D3088" w:rsidP="001D3088">
      <w:pPr>
        <w:spacing w:line="360" w:lineRule="auto"/>
        <w:ind w:firstLine="420"/>
      </w:pPr>
      <w:r w:rsidRPr="00510873">
        <w:rPr>
          <w:rFonts w:hint="eastAsia"/>
          <w:b/>
        </w:rPr>
        <w:t>价格发现</w:t>
      </w:r>
      <w:r>
        <w:rPr>
          <w:rFonts w:hint="eastAsia"/>
        </w:rPr>
        <w:t>。从定价机理上看，</w:t>
      </w:r>
      <w:r>
        <w:rPr>
          <w:rFonts w:hint="eastAsia"/>
        </w:rPr>
        <w:t>CDS</w:t>
      </w:r>
      <w:r>
        <w:rPr>
          <w:rFonts w:hint="eastAsia"/>
        </w:rPr>
        <w:t>是由市场定价，主要是通过对剥离出的信用利差进行评估而实现，保费会随着参考产品的信用情况波动，高价格反映高风险，</w:t>
      </w:r>
      <w:r w:rsidRPr="00510873">
        <w:rPr>
          <w:rFonts w:hint="eastAsia"/>
          <w:b/>
        </w:rPr>
        <w:t>比市场上的外部评级变动更敏感</w:t>
      </w:r>
      <w:r>
        <w:rPr>
          <w:rFonts w:hint="eastAsia"/>
        </w:rPr>
        <w:t>，从而起到揭示风险和价格发现的作用。</w:t>
      </w:r>
    </w:p>
    <w:p w:rsidR="001D3088" w:rsidRDefault="001D3088" w:rsidP="001D3088">
      <w:pPr>
        <w:spacing w:line="360" w:lineRule="auto"/>
        <w:ind w:firstLine="420"/>
      </w:pPr>
      <w:r w:rsidRPr="00510873">
        <w:rPr>
          <w:rFonts w:hint="eastAsia"/>
          <w:b/>
        </w:rPr>
        <w:t>转移信用风险</w:t>
      </w:r>
      <w:r>
        <w:rPr>
          <w:rFonts w:hint="eastAsia"/>
        </w:rPr>
        <w:t>。</w:t>
      </w:r>
      <w:r>
        <w:rPr>
          <w:rFonts w:hint="eastAsia"/>
        </w:rPr>
        <w:t>CDS</w:t>
      </w:r>
      <w:r>
        <w:rPr>
          <w:rFonts w:hint="eastAsia"/>
        </w:rPr>
        <w:t>卖方有义务以现金形式补偿债券面值与违约事件发生后债券价值之间的差额，或者以面值购买</w:t>
      </w:r>
      <w:r>
        <w:rPr>
          <w:rFonts w:hint="eastAsia"/>
        </w:rPr>
        <w:t>CDS</w:t>
      </w:r>
      <w:r>
        <w:rPr>
          <w:rFonts w:hint="eastAsia"/>
        </w:rPr>
        <w:t>买方所持债券，这样可以分散集中在某些机构的信用风险，提高金融体系的稳定性。</w:t>
      </w:r>
    </w:p>
    <w:p w:rsidR="001D3088" w:rsidRDefault="001D3088" w:rsidP="001D3088">
      <w:pPr>
        <w:spacing w:line="360" w:lineRule="auto"/>
        <w:ind w:firstLine="420"/>
      </w:pPr>
      <w:r>
        <w:rPr>
          <w:rFonts w:hint="eastAsia"/>
        </w:rPr>
        <w:t>信用违约互换具有</w:t>
      </w:r>
      <w:r w:rsidRPr="00510873">
        <w:rPr>
          <w:rFonts w:hint="eastAsia"/>
          <w:b/>
        </w:rPr>
        <w:t>保密性、杠杠性和灵活性</w:t>
      </w:r>
      <w:r>
        <w:rPr>
          <w:rFonts w:hint="eastAsia"/>
        </w:rPr>
        <w:t>等特点。它可以在不让客户知晓的条件下与第三方展开针对客户的交易，这样在不破坏客户关系的前提下又能避免风险过度集中；通过信用违约互换可以使得在无需获取信贷资产的条件下获得风险暴露，进而获取风险收益；信用违约互换当中的条款大都是有双方共同商讨确定的，这样使得信用违约互换可以保证很大的灵活性，进而满足客户不同的需求。</w:t>
      </w:r>
    </w:p>
    <w:p w:rsidR="00510873" w:rsidRDefault="00510873" w:rsidP="001D3088">
      <w:pPr>
        <w:spacing w:line="360" w:lineRule="auto"/>
        <w:ind w:firstLine="420"/>
      </w:pPr>
      <w:r>
        <w:rPr>
          <w:noProof/>
        </w:rPr>
        <w:drawing>
          <wp:inline distT="0" distB="0" distL="0" distR="0" wp14:anchorId="61475641" wp14:editId="6657C14C">
            <wp:extent cx="5274310" cy="1349375"/>
            <wp:effectExtent l="0" t="0" r="254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49375"/>
                    </a:xfrm>
                    <a:prstGeom prst="rect">
                      <a:avLst/>
                    </a:prstGeom>
                  </pic:spPr>
                </pic:pic>
              </a:graphicData>
            </a:graphic>
          </wp:inline>
        </w:drawing>
      </w:r>
    </w:p>
    <w:p w:rsidR="00510873" w:rsidRDefault="00510873" w:rsidP="001D3088">
      <w:pPr>
        <w:spacing w:line="360" w:lineRule="auto"/>
        <w:ind w:firstLine="420"/>
      </w:pPr>
    </w:p>
    <w:p w:rsidR="00510873" w:rsidRPr="00510873" w:rsidRDefault="00510873" w:rsidP="00510873">
      <w:pPr>
        <w:spacing w:line="360" w:lineRule="auto"/>
        <w:ind w:firstLine="420"/>
        <w:rPr>
          <w:b/>
          <w:color w:val="FF0000"/>
        </w:rPr>
      </w:pPr>
      <w:r w:rsidRPr="00510873">
        <w:rPr>
          <w:rFonts w:hint="eastAsia"/>
          <w:b/>
          <w:color w:val="FF0000"/>
        </w:rPr>
        <w:t>CDS</w:t>
      </w:r>
      <w:r w:rsidRPr="00510873">
        <w:rPr>
          <w:rFonts w:hint="eastAsia"/>
          <w:b/>
          <w:color w:val="FF0000"/>
        </w:rPr>
        <w:t>海外市场的发展：疯狂向理性的回归</w:t>
      </w:r>
    </w:p>
    <w:p w:rsidR="00510873" w:rsidRPr="00510873" w:rsidRDefault="00510873" w:rsidP="00510873">
      <w:pPr>
        <w:spacing w:line="360" w:lineRule="auto"/>
        <w:ind w:firstLine="420"/>
        <w:rPr>
          <w:b/>
          <w:color w:val="FF0000"/>
        </w:rPr>
      </w:pPr>
      <w:r w:rsidRPr="00510873">
        <w:rPr>
          <w:rFonts w:hint="eastAsia"/>
          <w:b/>
          <w:color w:val="FF0000"/>
        </w:rPr>
        <w:t>海外</w:t>
      </w:r>
      <w:r w:rsidRPr="00510873">
        <w:rPr>
          <w:rFonts w:hint="eastAsia"/>
          <w:b/>
          <w:color w:val="FF0000"/>
        </w:rPr>
        <w:t>CDS</w:t>
      </w:r>
      <w:r w:rsidRPr="00510873">
        <w:rPr>
          <w:rFonts w:hint="eastAsia"/>
          <w:b/>
          <w:color w:val="FF0000"/>
        </w:rPr>
        <w:t>的兴起和发展</w:t>
      </w:r>
    </w:p>
    <w:p w:rsidR="00510873" w:rsidRDefault="00510873" w:rsidP="00510873">
      <w:pPr>
        <w:spacing w:line="360" w:lineRule="auto"/>
        <w:ind w:firstLine="420"/>
      </w:pPr>
      <w:r>
        <w:rPr>
          <w:rFonts w:hint="eastAsia"/>
        </w:rPr>
        <w:t>信用违约互换第一次使用是</w:t>
      </w:r>
      <w:r>
        <w:rPr>
          <w:rFonts w:hint="eastAsia"/>
        </w:rPr>
        <w:t xml:space="preserve"> 1993 </w:t>
      </w:r>
      <w:r>
        <w:rPr>
          <w:rFonts w:hint="eastAsia"/>
        </w:rPr>
        <w:t>年的信孚银行，当时信孚银行为了保证给日本金融界的贷款安全，与交易对手达成了一个协定，信孚银行定期支付一定的费用给交易对手，并以给日本的贷款作为参照资产发行债券，如果贷款发生违约，则债券的投资者需要赔偿由此给信孚银行造成的损失。这是信用违约掉期的雏形。</w:t>
      </w:r>
    </w:p>
    <w:p w:rsidR="00510873" w:rsidRDefault="00510873" w:rsidP="00510873">
      <w:pPr>
        <w:spacing w:line="360" w:lineRule="auto"/>
        <w:ind w:firstLine="420"/>
      </w:pPr>
      <w:r>
        <w:rPr>
          <w:rFonts w:hint="eastAsia"/>
        </w:rPr>
        <w:lastRenderedPageBreak/>
        <w:t>一开始信用违约互换并未引起投资者的注意，但在</w:t>
      </w:r>
      <w:r>
        <w:rPr>
          <w:rFonts w:hint="eastAsia"/>
        </w:rPr>
        <w:t>2001</w:t>
      </w:r>
      <w:r>
        <w:rPr>
          <w:rFonts w:hint="eastAsia"/>
        </w:rPr>
        <w:t>年</w:t>
      </w:r>
      <w:r>
        <w:rPr>
          <w:rFonts w:hint="eastAsia"/>
        </w:rPr>
        <w:t>2002</w:t>
      </w:r>
      <w:r>
        <w:rPr>
          <w:rFonts w:hint="eastAsia"/>
        </w:rPr>
        <w:t>年接连爆发的安然事件和世界通讯公司危机，美国的花旗、摩根大通等多家大银行却因为持有信用违约互换等衍生品并未遭受大的损失，而许多小银行却遭受了重大损失。此后，金融机构开始意识到信用违约互换在风险管理中的重大作用，越来越多的银行和交易者开始加入该市场。</w:t>
      </w:r>
    </w:p>
    <w:p w:rsidR="00510873" w:rsidRPr="00510873" w:rsidRDefault="00510873" w:rsidP="00510873">
      <w:pPr>
        <w:spacing w:line="360" w:lineRule="auto"/>
        <w:ind w:firstLine="420"/>
        <w:rPr>
          <w:b/>
        </w:rPr>
      </w:pPr>
      <w:r>
        <w:rPr>
          <w:rFonts w:hint="eastAsia"/>
        </w:rPr>
        <w:t>在经历了初期的平稳发展阶段之后，</w:t>
      </w:r>
      <w:r>
        <w:rPr>
          <w:rFonts w:hint="eastAsia"/>
        </w:rPr>
        <w:t>CDS</w:t>
      </w:r>
      <w:r>
        <w:rPr>
          <w:rFonts w:hint="eastAsia"/>
        </w:rPr>
        <w:t>市场从</w:t>
      </w:r>
      <w:r>
        <w:rPr>
          <w:rFonts w:hint="eastAsia"/>
        </w:rPr>
        <w:t>2005</w:t>
      </w:r>
      <w:r>
        <w:rPr>
          <w:rFonts w:hint="eastAsia"/>
        </w:rPr>
        <w:t>年起出现了爆炸式增长。</w:t>
      </w:r>
      <w:r w:rsidRPr="00510873">
        <w:rPr>
          <w:rFonts w:hint="eastAsia"/>
          <w:b/>
        </w:rPr>
        <w:t>据</w:t>
      </w:r>
      <w:r w:rsidRPr="00510873">
        <w:rPr>
          <w:rFonts w:hint="eastAsia"/>
          <w:b/>
        </w:rPr>
        <w:t>ISDA</w:t>
      </w:r>
      <w:r w:rsidRPr="00510873">
        <w:rPr>
          <w:rFonts w:hint="eastAsia"/>
          <w:b/>
        </w:rPr>
        <w:t>的估计，</w:t>
      </w:r>
      <w:r w:rsidRPr="00510873">
        <w:rPr>
          <w:rFonts w:hint="eastAsia"/>
          <w:b/>
        </w:rPr>
        <w:t>CDS</w:t>
      </w:r>
      <w:r w:rsidRPr="00510873">
        <w:rPr>
          <w:rFonts w:hint="eastAsia"/>
          <w:b/>
        </w:rPr>
        <w:t>的名义总额在</w:t>
      </w:r>
      <w:r w:rsidRPr="00510873">
        <w:rPr>
          <w:rFonts w:hint="eastAsia"/>
          <w:b/>
        </w:rPr>
        <w:t>2007</w:t>
      </w:r>
      <w:r w:rsidRPr="00510873">
        <w:rPr>
          <w:rFonts w:hint="eastAsia"/>
          <w:b/>
        </w:rPr>
        <w:t>年底达到顶峰</w:t>
      </w:r>
      <w:r w:rsidRPr="00510873">
        <w:rPr>
          <w:rFonts w:hint="eastAsia"/>
          <w:b/>
        </w:rPr>
        <w:t xml:space="preserve"> 62 </w:t>
      </w:r>
      <w:r w:rsidRPr="00510873">
        <w:rPr>
          <w:rFonts w:hint="eastAsia"/>
          <w:b/>
        </w:rPr>
        <w:t>万亿美元，远远超出当时</w:t>
      </w:r>
      <w:r w:rsidRPr="00510873">
        <w:rPr>
          <w:rFonts w:hint="eastAsia"/>
          <w:b/>
        </w:rPr>
        <w:t>36</w:t>
      </w:r>
      <w:r w:rsidRPr="00510873">
        <w:rPr>
          <w:rFonts w:hint="eastAsia"/>
          <w:b/>
        </w:rPr>
        <w:t>万亿美元的全球股票市场资本总市值。</w:t>
      </w:r>
    </w:p>
    <w:p w:rsidR="00510873" w:rsidRDefault="00510873" w:rsidP="00510873">
      <w:pPr>
        <w:spacing w:line="360" w:lineRule="auto"/>
        <w:ind w:firstLine="420"/>
        <w:rPr>
          <w:b/>
        </w:rPr>
      </w:pPr>
      <w:r w:rsidRPr="00510873">
        <w:rPr>
          <w:rFonts w:hint="eastAsia"/>
          <w:b/>
        </w:rPr>
        <w:t>2008</w:t>
      </w:r>
      <w:r w:rsidRPr="00510873">
        <w:rPr>
          <w:rFonts w:hint="eastAsia"/>
          <w:b/>
        </w:rPr>
        <w:t>年以后，</w:t>
      </w:r>
      <w:r w:rsidRPr="00510873">
        <w:rPr>
          <w:rFonts w:hint="eastAsia"/>
          <w:b/>
        </w:rPr>
        <w:t>CDS</w:t>
      </w:r>
      <w:r w:rsidRPr="00510873">
        <w:rPr>
          <w:rFonts w:hint="eastAsia"/>
          <w:b/>
        </w:rPr>
        <w:t>的交易总额大幅缩量。</w:t>
      </w:r>
      <w:r>
        <w:rPr>
          <w:rFonts w:hint="eastAsia"/>
        </w:rPr>
        <w:t>一方面是由于</w:t>
      </w:r>
      <w:r w:rsidRPr="00510873">
        <w:rPr>
          <w:rFonts w:hint="eastAsia"/>
          <w:b/>
        </w:rPr>
        <w:t>次贷危机</w:t>
      </w:r>
      <w:r>
        <w:rPr>
          <w:rFonts w:hint="eastAsia"/>
        </w:rPr>
        <w:t>爆发时，大规模的信用事件爆发，使得</w:t>
      </w:r>
      <w:r>
        <w:rPr>
          <w:rFonts w:hint="eastAsia"/>
        </w:rPr>
        <w:t xml:space="preserve">CDS </w:t>
      </w:r>
      <w:r>
        <w:rPr>
          <w:rFonts w:hint="eastAsia"/>
        </w:rPr>
        <w:t>卖方履行偿还义务的难度增大，不少机构纷纷破产，全球交易总额由</w:t>
      </w:r>
      <w:r>
        <w:rPr>
          <w:rFonts w:hint="eastAsia"/>
        </w:rPr>
        <w:t>2007</w:t>
      </w:r>
      <w:r>
        <w:rPr>
          <w:rFonts w:hint="eastAsia"/>
        </w:rPr>
        <w:t>年的</w:t>
      </w:r>
      <w:r>
        <w:rPr>
          <w:rFonts w:hint="eastAsia"/>
        </w:rPr>
        <w:t>58</w:t>
      </w:r>
      <w:r>
        <w:rPr>
          <w:rFonts w:hint="eastAsia"/>
        </w:rPr>
        <w:t>万亿直降</w:t>
      </w:r>
      <w:r>
        <w:rPr>
          <w:rFonts w:hint="eastAsia"/>
        </w:rPr>
        <w:t>44%</w:t>
      </w:r>
      <w:r>
        <w:rPr>
          <w:rFonts w:hint="eastAsia"/>
        </w:rPr>
        <w:t>，跌落到</w:t>
      </w:r>
      <w:r>
        <w:rPr>
          <w:rFonts w:hint="eastAsia"/>
        </w:rPr>
        <w:t>2009</w:t>
      </w:r>
      <w:r>
        <w:rPr>
          <w:rFonts w:hint="eastAsia"/>
        </w:rPr>
        <w:t>年的</w:t>
      </w:r>
      <w:r>
        <w:rPr>
          <w:rFonts w:hint="eastAsia"/>
        </w:rPr>
        <w:t>33</w:t>
      </w:r>
      <w:r>
        <w:rPr>
          <w:rFonts w:hint="eastAsia"/>
        </w:rPr>
        <w:t>万亿，</w:t>
      </w:r>
      <w:r>
        <w:rPr>
          <w:rFonts w:hint="eastAsia"/>
        </w:rPr>
        <w:t>CDS</w:t>
      </w:r>
      <w:r>
        <w:rPr>
          <w:rFonts w:hint="eastAsia"/>
        </w:rPr>
        <w:t>市场受到重创。另一方面，</w:t>
      </w:r>
      <w:r w:rsidRPr="00510873">
        <w:rPr>
          <w:rFonts w:hint="eastAsia"/>
          <w:b/>
        </w:rPr>
        <w:t>欧洲债务危机</w:t>
      </w:r>
      <w:r>
        <w:rPr>
          <w:rFonts w:hint="eastAsia"/>
        </w:rPr>
        <w:t>发生后，</w:t>
      </w:r>
      <w:r>
        <w:rPr>
          <w:rFonts w:hint="eastAsia"/>
        </w:rPr>
        <w:t>CDS</w:t>
      </w:r>
      <w:r>
        <w:rPr>
          <w:rFonts w:hint="eastAsia"/>
        </w:rPr>
        <w:t>以推高了各国主权债务收益率和政府融资成本为由被视为危机的“罪魁祸首”，德国甚至单方面限制</w:t>
      </w:r>
      <w:r>
        <w:rPr>
          <w:rFonts w:hint="eastAsia"/>
        </w:rPr>
        <w:t xml:space="preserve"> CDS</w:t>
      </w:r>
      <w:r>
        <w:rPr>
          <w:rFonts w:hint="eastAsia"/>
        </w:rPr>
        <w:t>“裸头寸”，即不持有参考实体债务而购买其</w:t>
      </w:r>
      <w:r>
        <w:rPr>
          <w:rFonts w:hint="eastAsia"/>
        </w:rPr>
        <w:t>CDS</w:t>
      </w:r>
      <w:r>
        <w:rPr>
          <w:rFonts w:hint="eastAsia"/>
        </w:rPr>
        <w:t>的行为。</w:t>
      </w:r>
      <w:r w:rsidRPr="00510873">
        <w:rPr>
          <w:rFonts w:hint="eastAsia"/>
          <w:b/>
        </w:rPr>
        <w:t>截至</w:t>
      </w:r>
      <w:r w:rsidRPr="00510873">
        <w:rPr>
          <w:rFonts w:hint="eastAsia"/>
          <w:b/>
        </w:rPr>
        <w:t xml:space="preserve"> 2015</w:t>
      </w:r>
      <w:r w:rsidRPr="00510873">
        <w:rPr>
          <w:rFonts w:hint="eastAsia"/>
          <w:b/>
        </w:rPr>
        <w:t>年底，全球</w:t>
      </w:r>
      <w:r w:rsidRPr="00510873">
        <w:rPr>
          <w:rFonts w:hint="eastAsia"/>
          <w:b/>
        </w:rPr>
        <w:t>CDS</w:t>
      </w:r>
      <w:r w:rsidRPr="00510873">
        <w:rPr>
          <w:rFonts w:hint="eastAsia"/>
          <w:b/>
        </w:rPr>
        <w:t>市场规模约为</w:t>
      </w:r>
      <w:r w:rsidRPr="00510873">
        <w:rPr>
          <w:rFonts w:hint="eastAsia"/>
          <w:b/>
        </w:rPr>
        <w:t>12.3</w:t>
      </w:r>
      <w:r w:rsidRPr="00510873">
        <w:rPr>
          <w:rFonts w:hint="eastAsia"/>
          <w:b/>
        </w:rPr>
        <w:t>万亿。</w:t>
      </w:r>
    </w:p>
    <w:p w:rsidR="00AA1844" w:rsidRDefault="00AA1844" w:rsidP="00510873">
      <w:pPr>
        <w:spacing w:line="360" w:lineRule="auto"/>
        <w:ind w:firstLine="420"/>
        <w:rPr>
          <w:b/>
        </w:rPr>
      </w:pPr>
      <w:r w:rsidRPr="00AA1844">
        <w:rPr>
          <w:b/>
          <w:highlight w:val="yellow"/>
        </w:rPr>
        <w:t>(</w:t>
      </w:r>
      <w:r w:rsidRPr="00AA1844">
        <w:rPr>
          <w:rFonts w:hint="eastAsia"/>
          <w:b/>
          <w:highlight w:val="yellow"/>
        </w:rPr>
        <w:t>another</w:t>
      </w:r>
      <w:r w:rsidRPr="00AA1844">
        <w:rPr>
          <w:b/>
          <w:highlight w:val="yellow"/>
        </w:rPr>
        <w:t xml:space="preserve"> </w:t>
      </w:r>
      <w:r w:rsidRPr="00AA1844">
        <w:rPr>
          <w:rFonts w:hint="eastAsia"/>
          <w:b/>
          <w:highlight w:val="yellow"/>
        </w:rPr>
        <w:t>version</w:t>
      </w:r>
      <w:r w:rsidRPr="00AA1844">
        <w:rPr>
          <w:b/>
          <w:highlight w:val="yellow"/>
        </w:rPr>
        <w:t>)</w:t>
      </w:r>
    </w:p>
    <w:p w:rsidR="00AA1844" w:rsidRPr="00AA1844" w:rsidRDefault="00AA1844" w:rsidP="00AA1844">
      <w:pPr>
        <w:spacing w:line="360" w:lineRule="auto"/>
        <w:ind w:firstLine="420"/>
        <w:rPr>
          <w:i/>
        </w:rPr>
      </w:pPr>
      <w:r>
        <w:rPr>
          <w:rFonts w:hint="eastAsia"/>
        </w:rPr>
        <w:t>//</w:t>
      </w:r>
      <w:r w:rsidRPr="00AA1844">
        <w:rPr>
          <w:rFonts w:hint="eastAsia"/>
          <w:i/>
        </w:rPr>
        <w:t>信用违约互换在</w:t>
      </w:r>
      <w:r w:rsidRPr="00AA1844">
        <w:rPr>
          <w:rFonts w:hint="eastAsia"/>
          <w:i/>
        </w:rPr>
        <w:t>20</w:t>
      </w:r>
      <w:r w:rsidRPr="00AA1844">
        <w:rPr>
          <w:rFonts w:hint="eastAsia"/>
          <w:i/>
        </w:rPr>
        <w:t>世纪</w:t>
      </w:r>
      <w:r w:rsidRPr="00AA1844">
        <w:rPr>
          <w:rFonts w:hint="eastAsia"/>
          <w:i/>
        </w:rPr>
        <w:t>90</w:t>
      </w:r>
      <w:r w:rsidRPr="00AA1844">
        <w:rPr>
          <w:rFonts w:hint="eastAsia"/>
          <w:i/>
        </w:rPr>
        <w:t>年代初期，雏形已经产生。</w:t>
      </w:r>
      <w:r w:rsidRPr="00AA1844">
        <w:rPr>
          <w:rFonts w:hint="eastAsia"/>
          <w:i/>
        </w:rPr>
        <w:t>1993</w:t>
      </w:r>
      <w:r w:rsidRPr="00AA1844">
        <w:rPr>
          <w:rFonts w:hint="eastAsia"/>
          <w:i/>
        </w:rPr>
        <w:t>年，美国埃克森因为原油泄露面临</w:t>
      </w:r>
      <w:r w:rsidRPr="00AA1844">
        <w:rPr>
          <w:rFonts w:hint="eastAsia"/>
          <w:i/>
        </w:rPr>
        <w:t>50</w:t>
      </w:r>
      <w:r w:rsidRPr="00AA1844">
        <w:rPr>
          <w:rFonts w:hint="eastAsia"/>
          <w:i/>
        </w:rPr>
        <w:t>亿美元的罚款，埃克森公司请求摩根大通予以贷款支持。根据巴塞尔协议对银行贷款</w:t>
      </w:r>
      <w:r w:rsidRPr="00AA1844">
        <w:rPr>
          <w:rFonts w:hint="eastAsia"/>
          <w:i/>
        </w:rPr>
        <w:t>8%</w:t>
      </w:r>
      <w:r w:rsidRPr="00AA1844">
        <w:rPr>
          <w:rFonts w:hint="eastAsia"/>
          <w:i/>
        </w:rPr>
        <w:t>的资本储备的要求，这笔贷款要占用摩根大通</w:t>
      </w:r>
      <w:r w:rsidRPr="00AA1844">
        <w:rPr>
          <w:rFonts w:hint="eastAsia"/>
          <w:i/>
        </w:rPr>
        <w:t>4</w:t>
      </w:r>
      <w:r w:rsidRPr="00AA1844">
        <w:rPr>
          <w:rFonts w:hint="eastAsia"/>
          <w:i/>
        </w:rPr>
        <w:t>亿美元的资本储备金，摩根大通将这笔贷款的信用风险转移给了欧洲复兴开发银行，由摩根大通支付一定费用，欧洲复兴开发银行来保证这笔贷款没有任何风险，这样摩根大通则不必计提资本储备金，这就是</w:t>
      </w:r>
      <w:r w:rsidRPr="00AA1844">
        <w:rPr>
          <w:rFonts w:hint="eastAsia"/>
          <w:i/>
        </w:rPr>
        <w:t>CDS</w:t>
      </w:r>
      <w:r w:rsidRPr="00AA1844">
        <w:rPr>
          <w:rFonts w:hint="eastAsia"/>
          <w:i/>
        </w:rPr>
        <w:t>的首次运用。结果表明，摩根大通既获得了利息收入，转移了信用风险，又节省了资本金。同时，埃克森石油公司获得了贷款，欧洲复兴开发银行也获得了相应的保险收入。这是信用违约互换运用的首次创新，得到了市场参与者和监管当局的认可，以参考公司为实体的</w:t>
      </w:r>
      <w:r w:rsidRPr="00AA1844">
        <w:rPr>
          <w:rFonts w:hint="eastAsia"/>
          <w:i/>
        </w:rPr>
        <w:t>CDS</w:t>
      </w:r>
      <w:r w:rsidRPr="00AA1844">
        <w:rPr>
          <w:rFonts w:hint="eastAsia"/>
          <w:i/>
        </w:rPr>
        <w:t>产品很快就出现在了美国的金融市场。</w:t>
      </w:r>
    </w:p>
    <w:p w:rsidR="00AA1844" w:rsidRPr="00AA1844" w:rsidRDefault="00AA1844" w:rsidP="00AA1844">
      <w:pPr>
        <w:spacing w:line="360" w:lineRule="auto"/>
        <w:ind w:firstLine="420"/>
        <w:rPr>
          <w:i/>
        </w:rPr>
      </w:pPr>
      <w:r w:rsidRPr="00AA1844">
        <w:rPr>
          <w:rFonts w:hint="eastAsia"/>
          <w:i/>
        </w:rPr>
        <w:t>信用违约互换从</w:t>
      </w:r>
      <w:r w:rsidRPr="00AA1844">
        <w:rPr>
          <w:rFonts w:hint="eastAsia"/>
          <w:i/>
        </w:rPr>
        <w:t>2000</w:t>
      </w:r>
      <w:r w:rsidRPr="00AA1844">
        <w:rPr>
          <w:rFonts w:hint="eastAsia"/>
          <w:i/>
        </w:rPr>
        <w:t>年起进入了快速的发展阶段，一方面是由于</w:t>
      </w:r>
      <w:r w:rsidRPr="00AA1844">
        <w:rPr>
          <w:rFonts w:hint="eastAsia"/>
          <w:i/>
        </w:rPr>
        <w:t>ISDA</w:t>
      </w:r>
      <w:r w:rsidRPr="00AA1844">
        <w:rPr>
          <w:rFonts w:hint="eastAsia"/>
          <w:i/>
        </w:rPr>
        <w:t>在</w:t>
      </w:r>
      <w:r w:rsidRPr="00AA1844">
        <w:rPr>
          <w:rFonts w:hint="eastAsia"/>
          <w:i/>
        </w:rPr>
        <w:t>1999</w:t>
      </w:r>
      <w:r w:rsidRPr="00AA1844">
        <w:rPr>
          <w:rFonts w:hint="eastAsia"/>
          <w:i/>
        </w:rPr>
        <w:t>年创立了标准化的</w:t>
      </w:r>
      <w:r w:rsidRPr="00AA1844">
        <w:rPr>
          <w:rFonts w:hint="eastAsia"/>
          <w:i/>
        </w:rPr>
        <w:t>CDS</w:t>
      </w:r>
      <w:r w:rsidRPr="00AA1844">
        <w:rPr>
          <w:rFonts w:hint="eastAsia"/>
          <w:i/>
        </w:rPr>
        <w:t>合约，规范了场外交易的秩序。另一方面，信用违约互换还与资产支持证券相结合，成为抵押贷款支持证券（</w:t>
      </w:r>
      <w:r w:rsidRPr="00AA1844">
        <w:rPr>
          <w:rFonts w:hint="eastAsia"/>
          <w:i/>
        </w:rPr>
        <w:t>MBS</w:t>
      </w:r>
      <w:r w:rsidRPr="00AA1844">
        <w:rPr>
          <w:rFonts w:hint="eastAsia"/>
          <w:i/>
        </w:rPr>
        <w:t>）和担保债务凭证（</w:t>
      </w:r>
      <w:r w:rsidRPr="00AA1844">
        <w:rPr>
          <w:rFonts w:hint="eastAsia"/>
          <w:i/>
        </w:rPr>
        <w:t>CDO</w:t>
      </w:r>
      <w:r w:rsidRPr="00AA1844">
        <w:rPr>
          <w:rFonts w:hint="eastAsia"/>
          <w:i/>
        </w:rPr>
        <w:t>）中的重要环节，次级抵押贷款的规模增大促进了信用违约互换市场的发展壮大。</w:t>
      </w:r>
    </w:p>
    <w:p w:rsidR="00AA1844" w:rsidRPr="00AA1844" w:rsidRDefault="00AA1844" w:rsidP="00AA1844">
      <w:pPr>
        <w:spacing w:line="360" w:lineRule="auto"/>
        <w:ind w:firstLine="420"/>
        <w:rPr>
          <w:i/>
        </w:rPr>
      </w:pPr>
      <w:r w:rsidRPr="00AA1844">
        <w:rPr>
          <w:rFonts w:hint="eastAsia"/>
          <w:i/>
        </w:rPr>
        <w:t>根据国际清算银行（</w:t>
      </w:r>
      <w:r w:rsidRPr="00AA1844">
        <w:rPr>
          <w:rFonts w:hint="eastAsia"/>
          <w:i/>
        </w:rPr>
        <w:t>Bank for International Settlements</w:t>
      </w:r>
      <w:r w:rsidRPr="00AA1844">
        <w:rPr>
          <w:rFonts w:hint="eastAsia"/>
          <w:i/>
        </w:rPr>
        <w:t>，简称</w:t>
      </w:r>
      <w:r w:rsidRPr="00AA1844">
        <w:rPr>
          <w:rFonts w:hint="eastAsia"/>
          <w:i/>
        </w:rPr>
        <w:t>BIS</w:t>
      </w:r>
      <w:r w:rsidRPr="00AA1844">
        <w:rPr>
          <w:rFonts w:hint="eastAsia"/>
          <w:i/>
        </w:rPr>
        <w:t>）的数据统计显示，从</w:t>
      </w:r>
      <w:r w:rsidRPr="00AA1844">
        <w:rPr>
          <w:rFonts w:hint="eastAsia"/>
          <w:i/>
        </w:rPr>
        <w:t>2004</w:t>
      </w:r>
      <w:r w:rsidRPr="00AA1844">
        <w:rPr>
          <w:rFonts w:hint="eastAsia"/>
          <w:i/>
        </w:rPr>
        <w:t>年到</w:t>
      </w:r>
      <w:r w:rsidRPr="00AA1844">
        <w:rPr>
          <w:rFonts w:hint="eastAsia"/>
          <w:i/>
        </w:rPr>
        <w:t>2007</w:t>
      </w:r>
      <w:r w:rsidRPr="00AA1844">
        <w:rPr>
          <w:rFonts w:hint="eastAsia"/>
          <w:i/>
        </w:rPr>
        <w:t>年，全球信用违约互换市场未清偿余额从</w:t>
      </w:r>
      <w:r w:rsidRPr="00AA1844">
        <w:rPr>
          <w:rFonts w:hint="eastAsia"/>
          <w:i/>
        </w:rPr>
        <w:t>2004</w:t>
      </w:r>
      <w:r w:rsidRPr="00AA1844">
        <w:rPr>
          <w:rFonts w:hint="eastAsia"/>
          <w:i/>
        </w:rPr>
        <w:t>年末的</w:t>
      </w:r>
      <w:r w:rsidRPr="00AA1844">
        <w:rPr>
          <w:rFonts w:hint="eastAsia"/>
          <w:i/>
        </w:rPr>
        <w:t>6.4</w:t>
      </w:r>
      <w:r w:rsidRPr="00AA1844">
        <w:rPr>
          <w:rFonts w:hint="eastAsia"/>
          <w:i/>
        </w:rPr>
        <w:t>万亿美元增长到</w:t>
      </w:r>
      <w:r w:rsidRPr="00AA1844">
        <w:rPr>
          <w:rFonts w:hint="eastAsia"/>
          <w:i/>
        </w:rPr>
        <w:t>2007</w:t>
      </w:r>
      <w:r w:rsidRPr="00AA1844">
        <w:rPr>
          <w:rFonts w:hint="eastAsia"/>
          <w:i/>
        </w:rPr>
        <w:t>年末</w:t>
      </w:r>
      <w:r w:rsidRPr="00AA1844">
        <w:rPr>
          <w:rFonts w:hint="eastAsia"/>
          <w:i/>
        </w:rPr>
        <w:t>58.24</w:t>
      </w:r>
      <w:r w:rsidRPr="00AA1844">
        <w:rPr>
          <w:rFonts w:hint="eastAsia"/>
          <w:i/>
        </w:rPr>
        <w:t>万亿美元，年均复合增长率接近</w:t>
      </w:r>
      <w:r w:rsidRPr="00AA1844">
        <w:rPr>
          <w:rFonts w:hint="eastAsia"/>
          <w:i/>
        </w:rPr>
        <w:t>109%</w:t>
      </w:r>
      <w:r w:rsidRPr="00AA1844">
        <w:rPr>
          <w:rFonts w:hint="eastAsia"/>
          <w:i/>
        </w:rPr>
        <w:t>。</w:t>
      </w:r>
    </w:p>
    <w:p w:rsidR="00AA1844" w:rsidRDefault="00AA1844" w:rsidP="00AA1844">
      <w:pPr>
        <w:spacing w:line="360" w:lineRule="auto"/>
        <w:ind w:firstLine="420"/>
      </w:pPr>
      <w:r>
        <w:rPr>
          <w:noProof/>
        </w:rPr>
        <w:lastRenderedPageBreak/>
        <w:drawing>
          <wp:inline distT="0" distB="0" distL="0" distR="0" wp14:anchorId="73948893" wp14:editId="37C845F2">
            <wp:extent cx="5274310" cy="312864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128645"/>
                    </a:xfrm>
                    <a:prstGeom prst="rect">
                      <a:avLst/>
                    </a:prstGeom>
                  </pic:spPr>
                </pic:pic>
              </a:graphicData>
            </a:graphic>
          </wp:inline>
        </w:drawing>
      </w:r>
    </w:p>
    <w:p w:rsidR="00AA1844" w:rsidRDefault="00AA1844" w:rsidP="00AA1844">
      <w:pPr>
        <w:spacing w:line="360" w:lineRule="auto"/>
        <w:ind w:firstLine="420"/>
      </w:pPr>
      <w:r w:rsidRPr="00AA1844">
        <w:rPr>
          <w:rFonts w:hint="eastAsia"/>
          <w:b/>
          <w:i/>
        </w:rPr>
        <w:t>2008</w:t>
      </w:r>
      <w:r w:rsidRPr="00AA1844">
        <w:rPr>
          <w:rFonts w:hint="eastAsia"/>
          <w:b/>
          <w:i/>
        </w:rPr>
        <w:t>年金融危机之前，次级贷款规模的增大促进了信用违约互换市场的发展，也正是因为信用违约互换的高杠杆率，它也被认为是次贷危机引发的系统性金融风险的根源。</w:t>
      </w:r>
      <w:r w:rsidRPr="00AA1844">
        <w:rPr>
          <w:rFonts w:hint="eastAsia"/>
          <w:i/>
        </w:rPr>
        <w:t>银行将次级贷款资产证券化，然后打包出售，以次级贷款及其资产证券化产品为基础资产的</w:t>
      </w:r>
      <w:r w:rsidRPr="00AA1844">
        <w:rPr>
          <w:rFonts w:hint="eastAsia"/>
          <w:i/>
        </w:rPr>
        <w:t>CDS</w:t>
      </w:r>
      <w:r w:rsidRPr="00AA1844">
        <w:rPr>
          <w:rFonts w:hint="eastAsia"/>
          <w:i/>
        </w:rPr>
        <w:t>大量发行。美国的房地产泡沫越来越大，当泡沫破裂后，次级贷款人的违约率激增，大量</w:t>
      </w:r>
      <w:r w:rsidRPr="00AA1844">
        <w:rPr>
          <w:rFonts w:hint="eastAsia"/>
          <w:i/>
        </w:rPr>
        <w:t>CDS</w:t>
      </w:r>
      <w:r w:rsidRPr="00AA1844">
        <w:rPr>
          <w:rFonts w:hint="eastAsia"/>
          <w:i/>
        </w:rPr>
        <w:t>的信用条款被触发，导致</w:t>
      </w:r>
      <w:r w:rsidRPr="00AA1844">
        <w:rPr>
          <w:rFonts w:hint="eastAsia"/>
          <w:i/>
        </w:rPr>
        <w:t>CDS</w:t>
      </w:r>
      <w:r w:rsidRPr="00AA1844">
        <w:rPr>
          <w:rFonts w:hint="eastAsia"/>
          <w:i/>
        </w:rPr>
        <w:t>的卖方也赔光了所有的资本，最后不能偿付约定而面临破产，破产的公司作为其他</w:t>
      </w:r>
      <w:r w:rsidRPr="00AA1844">
        <w:rPr>
          <w:rFonts w:hint="eastAsia"/>
          <w:i/>
        </w:rPr>
        <w:t>CDS</w:t>
      </w:r>
      <w:r w:rsidRPr="00AA1844">
        <w:rPr>
          <w:rFonts w:hint="eastAsia"/>
          <w:i/>
        </w:rPr>
        <w:t>的参考资产，又触发了一系列的</w:t>
      </w:r>
      <w:r w:rsidRPr="00AA1844">
        <w:rPr>
          <w:rFonts w:hint="eastAsia"/>
          <w:i/>
        </w:rPr>
        <w:t>CDS</w:t>
      </w:r>
      <w:r w:rsidRPr="00AA1844">
        <w:rPr>
          <w:rFonts w:hint="eastAsia"/>
          <w:i/>
        </w:rPr>
        <w:t>条约。金融危机爆发之后，</w:t>
      </w:r>
      <w:r w:rsidRPr="00AA1844">
        <w:rPr>
          <w:rFonts w:hint="eastAsia"/>
          <w:i/>
        </w:rPr>
        <w:t>CDS</w:t>
      </w:r>
      <w:r w:rsidRPr="00AA1844">
        <w:rPr>
          <w:rFonts w:hint="eastAsia"/>
          <w:i/>
        </w:rPr>
        <w:t>的风险性受到了各方的关注，危机的爆发体现了信用违约互换市场中监管的缺陷，场外交易的信息量大，市场透明度低，信息不对称等都给监管带来了难度。随后，</w:t>
      </w:r>
      <w:r w:rsidRPr="00AA1844">
        <w:rPr>
          <w:rFonts w:hint="eastAsia"/>
          <w:i/>
        </w:rPr>
        <w:t>ISDA</w:t>
      </w:r>
      <w:r w:rsidRPr="00AA1844">
        <w:rPr>
          <w:rFonts w:hint="eastAsia"/>
          <w:i/>
        </w:rPr>
        <w:t>在</w:t>
      </w:r>
      <w:r w:rsidRPr="00AA1844">
        <w:rPr>
          <w:rFonts w:hint="eastAsia"/>
          <w:i/>
        </w:rPr>
        <w:t>2009</w:t>
      </w:r>
      <w:r w:rsidRPr="00AA1844">
        <w:rPr>
          <w:rFonts w:hint="eastAsia"/>
          <w:i/>
        </w:rPr>
        <w:t>年的“大爆炸”里出台了一系列改革文件，对</w:t>
      </w:r>
      <w:r w:rsidRPr="00AA1844">
        <w:rPr>
          <w:rFonts w:hint="eastAsia"/>
          <w:i/>
        </w:rPr>
        <w:t>CDS</w:t>
      </w:r>
      <w:r w:rsidRPr="00AA1844">
        <w:rPr>
          <w:rFonts w:hint="eastAsia"/>
          <w:i/>
        </w:rPr>
        <w:t>的票息和交割等进行了更加详细的规定。各方监管的加强使得</w:t>
      </w:r>
      <w:r w:rsidRPr="00AA1844">
        <w:rPr>
          <w:rFonts w:hint="eastAsia"/>
          <w:i/>
        </w:rPr>
        <w:t>CDS</w:t>
      </w:r>
      <w:r w:rsidRPr="00AA1844">
        <w:rPr>
          <w:rFonts w:hint="eastAsia"/>
          <w:i/>
        </w:rPr>
        <w:t>合约的规模逐年下降，到</w:t>
      </w:r>
      <w:r w:rsidRPr="00AA1844">
        <w:rPr>
          <w:rFonts w:hint="eastAsia"/>
          <w:i/>
        </w:rPr>
        <w:t>2015</w:t>
      </w:r>
      <w:r w:rsidRPr="00AA1844">
        <w:rPr>
          <w:rFonts w:hint="eastAsia"/>
          <w:i/>
        </w:rPr>
        <w:t>年为</w:t>
      </w:r>
      <w:r w:rsidRPr="00AA1844">
        <w:rPr>
          <w:rFonts w:hint="eastAsia"/>
          <w:i/>
        </w:rPr>
        <w:t>12.29</w:t>
      </w:r>
      <w:r w:rsidRPr="00AA1844">
        <w:rPr>
          <w:rFonts w:hint="eastAsia"/>
          <w:i/>
        </w:rPr>
        <w:t>万亿美元，不足</w:t>
      </w:r>
      <w:r w:rsidRPr="00AA1844">
        <w:rPr>
          <w:rFonts w:hint="eastAsia"/>
          <w:i/>
        </w:rPr>
        <w:t>2007</w:t>
      </w:r>
      <w:r w:rsidRPr="00AA1844">
        <w:rPr>
          <w:rFonts w:hint="eastAsia"/>
          <w:i/>
        </w:rPr>
        <w:t>年的四分之一。</w:t>
      </w:r>
      <w:r>
        <w:rPr>
          <w:rFonts w:hint="eastAsia"/>
        </w:rPr>
        <w:t>\</w:t>
      </w:r>
      <w:r>
        <w:t>\</w:t>
      </w:r>
    </w:p>
    <w:p w:rsidR="00AA1844" w:rsidRPr="00AA1844" w:rsidRDefault="00AA1844" w:rsidP="00AA1844">
      <w:pPr>
        <w:spacing w:line="360" w:lineRule="auto"/>
        <w:ind w:firstLine="420"/>
      </w:pPr>
    </w:p>
    <w:p w:rsidR="00BF179D" w:rsidRDefault="00BF179D" w:rsidP="00510873">
      <w:pPr>
        <w:spacing w:line="360" w:lineRule="auto"/>
        <w:ind w:firstLine="420"/>
      </w:pPr>
      <w:r>
        <w:rPr>
          <w:noProof/>
        </w:rPr>
        <w:lastRenderedPageBreak/>
        <w:drawing>
          <wp:inline distT="0" distB="0" distL="0" distR="0" wp14:anchorId="71BC3198" wp14:editId="34FCD9B8">
            <wp:extent cx="5274310" cy="47199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719955"/>
                    </a:xfrm>
                    <a:prstGeom prst="rect">
                      <a:avLst/>
                    </a:prstGeom>
                  </pic:spPr>
                </pic:pic>
              </a:graphicData>
            </a:graphic>
          </wp:inline>
        </w:drawing>
      </w:r>
    </w:p>
    <w:p w:rsidR="00BF179D" w:rsidRPr="00BF179D" w:rsidRDefault="00BF179D" w:rsidP="00BF179D">
      <w:pPr>
        <w:spacing w:line="360" w:lineRule="auto"/>
        <w:ind w:firstLine="420"/>
        <w:rPr>
          <w:b/>
          <w:color w:val="FF0000"/>
        </w:rPr>
      </w:pPr>
      <w:r w:rsidRPr="00BF179D">
        <w:rPr>
          <w:rFonts w:hint="eastAsia"/>
          <w:b/>
          <w:color w:val="FF0000"/>
        </w:rPr>
        <w:t>2009</w:t>
      </w:r>
      <w:r w:rsidRPr="00BF179D">
        <w:rPr>
          <w:rFonts w:hint="eastAsia"/>
          <w:b/>
          <w:color w:val="FF0000"/>
        </w:rPr>
        <w:t>年监管体制改革——</w:t>
      </w:r>
      <w:r w:rsidRPr="00BF179D">
        <w:rPr>
          <w:rFonts w:hint="eastAsia"/>
          <w:b/>
          <w:color w:val="FF0000"/>
        </w:rPr>
        <w:t>CDS</w:t>
      </w:r>
      <w:r w:rsidRPr="00BF179D">
        <w:rPr>
          <w:rFonts w:hint="eastAsia"/>
          <w:b/>
          <w:color w:val="FF0000"/>
        </w:rPr>
        <w:t>大爆炸</w:t>
      </w:r>
    </w:p>
    <w:p w:rsidR="00BF179D" w:rsidRDefault="00BF179D" w:rsidP="00BF179D">
      <w:pPr>
        <w:spacing w:line="360" w:lineRule="auto"/>
        <w:ind w:firstLine="420"/>
      </w:pPr>
      <w:r>
        <w:rPr>
          <w:rFonts w:hint="eastAsia"/>
        </w:rPr>
        <w:t>很多人认为</w:t>
      </w:r>
      <w:r>
        <w:rPr>
          <w:rFonts w:hint="eastAsia"/>
        </w:rPr>
        <w:t>CDS</w:t>
      </w:r>
      <w:r>
        <w:rPr>
          <w:rFonts w:hint="eastAsia"/>
        </w:rPr>
        <w:t>对金融危机起到了推波助澜的副作用，尤其是</w:t>
      </w:r>
      <w:r>
        <w:rPr>
          <w:rFonts w:hint="eastAsia"/>
        </w:rPr>
        <w:t>CDS</w:t>
      </w:r>
      <w:r>
        <w:rPr>
          <w:rFonts w:hint="eastAsia"/>
        </w:rPr>
        <w:t>中普遍存在的对手方风险。</w:t>
      </w:r>
      <w:r w:rsidRPr="00BF179D">
        <w:rPr>
          <w:rFonts w:hint="eastAsia"/>
          <w:b/>
        </w:rPr>
        <w:t>CDS</w:t>
      </w:r>
      <w:r w:rsidRPr="00BF179D">
        <w:rPr>
          <w:rFonts w:hint="eastAsia"/>
          <w:b/>
        </w:rPr>
        <w:t>交易对手风险存在一定的不对称性</w:t>
      </w:r>
      <w:r>
        <w:rPr>
          <w:rFonts w:hint="eastAsia"/>
        </w:rPr>
        <w:t>，即买方的交易对手风险要比卖方大。比如，人们认为，如果买方违约，卖方最大的损失不过是损失剩余的票息全额；而卖方一旦违约，买方将失去可能从卖方那里可能得到的索赔。比起</w:t>
      </w:r>
      <w:r>
        <w:rPr>
          <w:rFonts w:hint="eastAsia"/>
        </w:rPr>
        <w:t>CDS</w:t>
      </w:r>
      <w:r>
        <w:rPr>
          <w:rFonts w:hint="eastAsia"/>
        </w:rPr>
        <w:t>的票息，索赔的金额可能会大得多。正是出于这个原因，买方面临的交易对手风险通常是交易对手风险关注的核心。</w:t>
      </w:r>
    </w:p>
    <w:p w:rsidR="00BF179D" w:rsidRDefault="00BF179D" w:rsidP="00BF179D">
      <w:pPr>
        <w:spacing w:line="360" w:lineRule="auto"/>
        <w:ind w:firstLine="420"/>
      </w:pPr>
      <w:r>
        <w:rPr>
          <w:rFonts w:hint="eastAsia"/>
        </w:rPr>
        <w:t>2009</w:t>
      </w:r>
      <w:r>
        <w:rPr>
          <w:rFonts w:hint="eastAsia"/>
        </w:rPr>
        <w:t>年，面对</w:t>
      </w:r>
      <w:r>
        <w:rPr>
          <w:rFonts w:hint="eastAsia"/>
        </w:rPr>
        <w:t>CDS</w:t>
      </w:r>
      <w:r>
        <w:rPr>
          <w:rFonts w:hint="eastAsia"/>
        </w:rPr>
        <w:t>交易对手风险的现状，</w:t>
      </w:r>
      <w:r>
        <w:rPr>
          <w:rFonts w:hint="eastAsia"/>
        </w:rPr>
        <w:t>CDS</w:t>
      </w:r>
      <w:r>
        <w:rPr>
          <w:rFonts w:hint="eastAsia"/>
        </w:rPr>
        <w:t>市场进行了一系列改革。其中，</w:t>
      </w:r>
      <w:r>
        <w:rPr>
          <w:rFonts w:hint="eastAsia"/>
        </w:rPr>
        <w:t>CDS</w:t>
      </w:r>
      <w:r>
        <w:rPr>
          <w:rFonts w:hint="eastAsia"/>
        </w:rPr>
        <w:t>将由以前的柜台式的双边交易改为实行</w:t>
      </w:r>
      <w:r w:rsidRPr="00BF179D">
        <w:rPr>
          <w:rFonts w:hint="eastAsia"/>
          <w:b/>
        </w:rPr>
        <w:t>清算中心式的交易</w:t>
      </w:r>
      <w:r>
        <w:rPr>
          <w:rFonts w:hint="eastAsia"/>
        </w:rPr>
        <w:t>。建立清算中心后，至少在券商（清算中心成员）之间的</w:t>
      </w:r>
      <w:r>
        <w:rPr>
          <w:rFonts w:hint="eastAsia"/>
        </w:rPr>
        <w:t>CDS</w:t>
      </w:r>
      <w:r>
        <w:rPr>
          <w:rFonts w:hint="eastAsia"/>
        </w:rPr>
        <w:t>交易将通过清算中心进行。这样，清算中心的成员将不再承受对手交易风险，交易中心将有责任担保交易的执行，从而成为交易对手风险的直接承担者。</w:t>
      </w:r>
    </w:p>
    <w:p w:rsidR="00BF179D" w:rsidRDefault="00BF179D" w:rsidP="00BF179D">
      <w:pPr>
        <w:spacing w:line="360" w:lineRule="auto"/>
        <w:ind w:firstLine="420"/>
      </w:pPr>
      <w:r>
        <w:rPr>
          <w:noProof/>
        </w:rPr>
        <w:lastRenderedPageBreak/>
        <w:drawing>
          <wp:inline distT="0" distB="0" distL="0" distR="0" wp14:anchorId="0D6652D3" wp14:editId="1D5BF7FD">
            <wp:extent cx="5274310" cy="19126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12620"/>
                    </a:xfrm>
                    <a:prstGeom prst="rect">
                      <a:avLst/>
                    </a:prstGeom>
                  </pic:spPr>
                </pic:pic>
              </a:graphicData>
            </a:graphic>
          </wp:inline>
        </w:drawing>
      </w:r>
    </w:p>
    <w:p w:rsidR="00BF179D" w:rsidRDefault="00BF179D" w:rsidP="00BF179D">
      <w:pPr>
        <w:spacing w:line="360" w:lineRule="auto"/>
        <w:ind w:firstLine="420"/>
      </w:pPr>
    </w:p>
    <w:p w:rsidR="00BF179D" w:rsidRPr="006E697B" w:rsidRDefault="00BF179D" w:rsidP="00BF179D">
      <w:pPr>
        <w:spacing w:line="360" w:lineRule="auto"/>
        <w:ind w:firstLine="420"/>
        <w:rPr>
          <w:rFonts w:asciiTheme="minorEastAsia" w:hAnsiTheme="minorEastAsia"/>
          <w:b/>
          <w:color w:val="FF0000"/>
        </w:rPr>
      </w:pPr>
      <w:r w:rsidRPr="006E697B">
        <w:rPr>
          <w:rFonts w:asciiTheme="minorEastAsia" w:hAnsiTheme="minorEastAsia" w:hint="eastAsia"/>
          <w:b/>
          <w:color w:val="FF0000"/>
        </w:rPr>
        <w:t>CDS初探——CRM的诞生与搁浅</w:t>
      </w:r>
    </w:p>
    <w:p w:rsidR="00BF179D" w:rsidRPr="00AA1844" w:rsidRDefault="00BF179D" w:rsidP="00AA1844">
      <w:pPr>
        <w:spacing w:before="240" w:line="360" w:lineRule="auto"/>
        <w:ind w:firstLine="420"/>
        <w:jc w:val="left"/>
        <w:rPr>
          <w:rFonts w:asciiTheme="minorEastAsia" w:hAnsiTheme="minorEastAsia"/>
        </w:rPr>
      </w:pPr>
      <w:r w:rsidRPr="006E697B">
        <w:rPr>
          <w:rFonts w:asciiTheme="minorEastAsia" w:hAnsiTheme="minorEastAsia" w:hint="eastAsia"/>
          <w:b/>
          <w:color w:val="FF0000"/>
        </w:rPr>
        <w:t>2010年CRM的诞生</w:t>
      </w:r>
      <w:r w:rsidR="00AA1844" w:rsidRPr="00AA1844">
        <w:rPr>
          <w:rFonts w:asciiTheme="minorEastAsia" w:hAnsiTheme="minorEastAsia" w:hint="eastAsia"/>
        </w:rPr>
        <w:t>(</w:t>
      </w:r>
      <w:r w:rsidR="00AA1844" w:rsidRPr="00AA1844">
        <w:rPr>
          <w:rFonts w:asciiTheme="minorEastAsia" w:hAnsiTheme="minorEastAsia"/>
        </w:rPr>
        <w:t>http://mp.weixin.qq.com/s?__biz=MzA5MjE1MjMzNg==&amp;mid=2650178092&amp;idx=4&amp;sn=44293ebed6b58c47260980d7a8a1de7e&amp;scene=7#wechat_redirect</w:t>
      </w:r>
      <w:r w:rsidR="00AA1844" w:rsidRPr="00AA1844">
        <w:rPr>
          <w:rFonts w:asciiTheme="minorEastAsia" w:hAnsiTheme="minorEastAsia" w:hint="eastAsia"/>
        </w:rPr>
        <w:t>)</w:t>
      </w:r>
    </w:p>
    <w:p w:rsidR="00BF179D" w:rsidRPr="006E697B" w:rsidRDefault="00BF179D" w:rsidP="00BF179D">
      <w:pPr>
        <w:spacing w:line="360" w:lineRule="auto"/>
        <w:ind w:firstLine="420"/>
        <w:rPr>
          <w:b/>
        </w:rPr>
      </w:pPr>
      <w:r w:rsidRPr="006E697B">
        <w:rPr>
          <w:rFonts w:hint="eastAsia"/>
          <w:b/>
        </w:rPr>
        <w:t>2010</w:t>
      </w:r>
      <w:r w:rsidRPr="006E697B">
        <w:rPr>
          <w:rFonts w:hint="eastAsia"/>
          <w:b/>
        </w:rPr>
        <w:t>年</w:t>
      </w:r>
      <w:r w:rsidRPr="006E697B">
        <w:rPr>
          <w:rFonts w:hint="eastAsia"/>
          <w:b/>
        </w:rPr>
        <w:t>10</w:t>
      </w:r>
      <w:r w:rsidRPr="006E697B">
        <w:rPr>
          <w:rFonts w:hint="eastAsia"/>
          <w:b/>
        </w:rPr>
        <w:t>月</w:t>
      </w:r>
      <w:r w:rsidRPr="006E697B">
        <w:rPr>
          <w:rFonts w:hint="eastAsia"/>
          <w:b/>
        </w:rPr>
        <w:t>29</w:t>
      </w:r>
      <w:r w:rsidRPr="006E697B">
        <w:rPr>
          <w:rFonts w:hint="eastAsia"/>
          <w:b/>
        </w:rPr>
        <w:t>日，中国银行间交易商协会发布的《银行间市场信用风险缓释工具试点业务指引》，标志着信用风险缓释工具试点业务在我国银行间市场的正式推出。</w:t>
      </w:r>
    </w:p>
    <w:p w:rsidR="00BF179D" w:rsidRDefault="00BF179D" w:rsidP="00BF179D">
      <w:pPr>
        <w:spacing w:line="360" w:lineRule="auto"/>
        <w:ind w:firstLine="420"/>
      </w:pPr>
      <w:r w:rsidRPr="006E697B">
        <w:rPr>
          <w:rFonts w:hint="eastAsia"/>
          <w:b/>
        </w:rPr>
        <w:t>信用风险缓释工具（</w:t>
      </w:r>
      <w:r w:rsidRPr="006E697B">
        <w:rPr>
          <w:rFonts w:hint="eastAsia"/>
          <w:b/>
        </w:rPr>
        <w:t>Credit Risk Mitigation, CRM</w:t>
      </w:r>
      <w:r w:rsidRPr="006E697B">
        <w:rPr>
          <w:rFonts w:hint="eastAsia"/>
          <w:b/>
        </w:rPr>
        <w:t>）</w:t>
      </w:r>
      <w:r>
        <w:rPr>
          <w:rFonts w:hint="eastAsia"/>
        </w:rPr>
        <w:t>，以信用风险缓释合约和信用风险缓释凭证为核心，同时辅以其他的将来可能产生的一系列的基础性信用衍生产品，用来加强对信用风险的管理。</w:t>
      </w:r>
      <w:r w:rsidRPr="006E697B">
        <w:rPr>
          <w:rFonts w:hint="eastAsia"/>
          <w:b/>
        </w:rPr>
        <w:t>信用风险缓释合约（</w:t>
      </w:r>
      <w:r w:rsidRPr="006E697B">
        <w:rPr>
          <w:rFonts w:hint="eastAsia"/>
          <w:b/>
        </w:rPr>
        <w:t>Credit RiskMitigation Agreement</w:t>
      </w:r>
      <w:r w:rsidRPr="006E697B">
        <w:rPr>
          <w:rFonts w:hint="eastAsia"/>
          <w:b/>
        </w:rPr>
        <w:t>，</w:t>
      </w:r>
      <w:r w:rsidRPr="006E697B">
        <w:rPr>
          <w:rFonts w:hint="eastAsia"/>
          <w:b/>
        </w:rPr>
        <w:t>CRMA</w:t>
      </w:r>
      <w:r w:rsidRPr="006E697B">
        <w:rPr>
          <w:rFonts w:hint="eastAsia"/>
          <w:b/>
        </w:rPr>
        <w:t>）</w:t>
      </w:r>
      <w:r>
        <w:rPr>
          <w:rFonts w:hint="eastAsia"/>
        </w:rPr>
        <w:t>，是一种场外交易的信用衍生工具，交易双方约定在未来的一段时间内，合约的买方按照约定定期向卖方支付保护费用，合约的卖方则为买方就约定的债务提供信用保护。</w:t>
      </w:r>
      <w:r w:rsidRPr="006E697B">
        <w:rPr>
          <w:rFonts w:hint="eastAsia"/>
          <w:b/>
        </w:rPr>
        <w:t>信用风险缓释凭证（</w:t>
      </w:r>
      <w:r w:rsidRPr="006E697B">
        <w:rPr>
          <w:rFonts w:hint="eastAsia"/>
          <w:b/>
        </w:rPr>
        <w:t>Credit RiskMitigation Warrant</w:t>
      </w:r>
      <w:r w:rsidRPr="006E697B">
        <w:rPr>
          <w:rFonts w:hint="eastAsia"/>
          <w:b/>
        </w:rPr>
        <w:t>，</w:t>
      </w:r>
      <w:r w:rsidRPr="006E697B">
        <w:rPr>
          <w:rFonts w:hint="eastAsia"/>
          <w:b/>
        </w:rPr>
        <w:t>CRMW</w:t>
      </w:r>
      <w:r w:rsidRPr="006E697B">
        <w:rPr>
          <w:rFonts w:hint="eastAsia"/>
          <w:b/>
        </w:rPr>
        <w:t>）</w:t>
      </w:r>
      <w:r>
        <w:rPr>
          <w:rFonts w:hint="eastAsia"/>
        </w:rPr>
        <w:t>，是一种标准化的信用衍生产品，由标的实体以外的第三方创设，为持有人就公开发行的标的债务提供信用保护，并且是可以转让交易可以流通的有价凭证。实质上它就相当于</w:t>
      </w:r>
      <w:r w:rsidRPr="00D65310">
        <w:rPr>
          <w:rFonts w:hint="eastAsia"/>
          <w:b/>
        </w:rPr>
        <w:t>标准化的信用风险缓释合约，能够在不同的投资者之间买卖转让。</w:t>
      </w:r>
    </w:p>
    <w:p w:rsidR="00BF179D" w:rsidRPr="00741EA2" w:rsidRDefault="00BF179D" w:rsidP="00BF179D">
      <w:pPr>
        <w:spacing w:line="360" w:lineRule="auto"/>
        <w:ind w:firstLine="420"/>
        <w:rPr>
          <w:b/>
        </w:rPr>
      </w:pPr>
      <w:r>
        <w:rPr>
          <w:rFonts w:hint="eastAsia"/>
        </w:rPr>
        <w:t>CRMW</w:t>
      </w:r>
      <w:r>
        <w:rPr>
          <w:rFonts w:hint="eastAsia"/>
        </w:rPr>
        <w:t>与</w:t>
      </w:r>
      <w:r>
        <w:rPr>
          <w:rFonts w:hint="eastAsia"/>
        </w:rPr>
        <w:t>CRMA</w:t>
      </w:r>
      <w:r>
        <w:rPr>
          <w:rFonts w:hint="eastAsia"/>
        </w:rPr>
        <w:t>的不同之处在于，其交易双方均不必持有标的债券或贷款</w:t>
      </w:r>
      <w:r>
        <w:rPr>
          <w:rFonts w:hint="eastAsia"/>
        </w:rPr>
        <w:t>,</w:t>
      </w:r>
      <w:r>
        <w:rPr>
          <w:rFonts w:hint="eastAsia"/>
        </w:rPr>
        <w:t>且可以在二级市场上自由流通转让。</w:t>
      </w:r>
      <w:r w:rsidRPr="00D65310">
        <w:rPr>
          <w:rFonts w:hint="eastAsia"/>
          <w:b/>
        </w:rPr>
        <w:t>CRM</w:t>
      </w:r>
      <w:r w:rsidRPr="00D65310">
        <w:rPr>
          <w:rFonts w:hint="eastAsia"/>
          <w:b/>
        </w:rPr>
        <w:t>与国外</w:t>
      </w:r>
      <w:r w:rsidRPr="00D65310">
        <w:rPr>
          <w:rFonts w:hint="eastAsia"/>
          <w:b/>
        </w:rPr>
        <w:t>CDS</w:t>
      </w:r>
      <w:r w:rsidRPr="00D65310">
        <w:rPr>
          <w:rFonts w:hint="eastAsia"/>
          <w:b/>
        </w:rPr>
        <w:t>的最大不同之处在于</w:t>
      </w:r>
      <w:r>
        <w:rPr>
          <w:rFonts w:hint="eastAsia"/>
        </w:rPr>
        <w:t>：（</w:t>
      </w:r>
      <w:r>
        <w:rPr>
          <w:rFonts w:hint="eastAsia"/>
        </w:rPr>
        <w:t>1</w:t>
      </w:r>
      <w:r>
        <w:rPr>
          <w:rFonts w:hint="eastAsia"/>
        </w:rPr>
        <w:t>）</w:t>
      </w:r>
      <w:r w:rsidRPr="00D65310">
        <w:rPr>
          <w:rFonts w:hint="eastAsia"/>
          <w:b/>
        </w:rPr>
        <w:t>参照实体的选择单一</w:t>
      </w:r>
      <w:r>
        <w:rPr>
          <w:rFonts w:hint="eastAsia"/>
        </w:rPr>
        <w:t>。国外的信用违约互换对参照实体的规定较少，可以是单笔债务，也可以是一组债务，像</w:t>
      </w:r>
      <w:r>
        <w:rPr>
          <w:rFonts w:hint="eastAsia"/>
        </w:rPr>
        <w:t xml:space="preserve"> CDO</w:t>
      </w:r>
      <w:r>
        <w:rPr>
          <w:rFonts w:hint="eastAsia"/>
        </w:rPr>
        <w:t>、</w:t>
      </w:r>
      <w:r>
        <w:rPr>
          <w:rFonts w:hint="eastAsia"/>
        </w:rPr>
        <w:t xml:space="preserve">ABS </w:t>
      </w:r>
      <w:r>
        <w:rPr>
          <w:rFonts w:hint="eastAsia"/>
        </w:rPr>
        <w:t>等都可以进行而且不加限制，只要交易双方同意能够达成一致即可，因此信用保护范围较广。相较国外，</w:t>
      </w:r>
      <w:r w:rsidRPr="00D65310">
        <w:rPr>
          <w:rFonts w:hint="eastAsia"/>
          <w:b/>
        </w:rPr>
        <w:t>我国的信用风险缓释合约对标的债务进行了明确的规定，每一个合约都针对某一单独的债务，不涉及分层、打包等复杂的结构，目前来看主要限于债券以及与此相类似的债务，比如银行贷款等</w:t>
      </w:r>
      <w:r>
        <w:rPr>
          <w:rFonts w:hint="eastAsia"/>
        </w:rPr>
        <w:t>。（</w:t>
      </w:r>
      <w:r>
        <w:rPr>
          <w:rFonts w:hint="eastAsia"/>
        </w:rPr>
        <w:t>2</w:t>
      </w:r>
      <w:r>
        <w:rPr>
          <w:rFonts w:hint="eastAsia"/>
        </w:rPr>
        <w:t>）</w:t>
      </w:r>
      <w:r w:rsidRPr="00D65310">
        <w:rPr>
          <w:rFonts w:hint="eastAsia"/>
          <w:b/>
        </w:rPr>
        <w:t>市场流通性强</w:t>
      </w:r>
      <w:r>
        <w:rPr>
          <w:rFonts w:hint="eastAsia"/>
        </w:rPr>
        <w:t>。</w:t>
      </w:r>
      <w:r w:rsidRPr="00741EA2">
        <w:rPr>
          <w:rFonts w:hint="eastAsia"/>
          <w:b/>
        </w:rPr>
        <w:t>CDS</w:t>
      </w:r>
      <w:r w:rsidRPr="00741EA2">
        <w:rPr>
          <w:rFonts w:hint="eastAsia"/>
          <w:b/>
        </w:rPr>
        <w:t>一般以双边合约的形式出现，其交易</w:t>
      </w:r>
      <w:r w:rsidRPr="00741EA2">
        <w:rPr>
          <w:rFonts w:hint="eastAsia"/>
          <w:b/>
        </w:rPr>
        <w:lastRenderedPageBreak/>
        <w:t>相关条款在标准化条款的基础上有交易双方协商确定，个性化程度很高，合约无法转让交易。</w:t>
      </w:r>
      <w:r w:rsidRPr="00741EA2">
        <w:rPr>
          <w:rFonts w:hint="eastAsia"/>
          <w:b/>
        </w:rPr>
        <w:t>CRMW</w:t>
      </w:r>
      <w:r w:rsidRPr="00741EA2">
        <w:rPr>
          <w:rFonts w:hint="eastAsia"/>
          <w:b/>
        </w:rPr>
        <w:t>是高度标准化的合约，实行“集中登记，集中托管，集中清算”，并可以在二级市场流通转让。</w:t>
      </w:r>
    </w:p>
    <w:p w:rsidR="00BF179D" w:rsidRPr="00741EA2" w:rsidRDefault="00BF179D" w:rsidP="00BF179D">
      <w:pPr>
        <w:spacing w:line="360" w:lineRule="auto"/>
        <w:ind w:firstLine="420"/>
        <w:rPr>
          <w:b/>
          <w:color w:val="FF0000"/>
        </w:rPr>
      </w:pPr>
      <w:r w:rsidRPr="00741EA2">
        <w:rPr>
          <w:rFonts w:hint="eastAsia"/>
          <w:b/>
          <w:color w:val="FF0000"/>
        </w:rPr>
        <w:t>CRM</w:t>
      </w:r>
      <w:r w:rsidRPr="00741EA2">
        <w:rPr>
          <w:rFonts w:hint="eastAsia"/>
          <w:b/>
          <w:color w:val="FF0000"/>
        </w:rPr>
        <w:t>的定价机制</w:t>
      </w:r>
    </w:p>
    <w:p w:rsidR="00BF179D" w:rsidRDefault="00BF179D" w:rsidP="00BF179D">
      <w:pPr>
        <w:spacing w:line="360" w:lineRule="auto"/>
        <w:ind w:firstLine="420"/>
      </w:pPr>
      <w:r>
        <w:rPr>
          <w:rFonts w:hint="eastAsia"/>
        </w:rPr>
        <w:t>成熟市场的信用违约互换的定价理论包括</w:t>
      </w:r>
      <w:r w:rsidRPr="00741EA2">
        <w:rPr>
          <w:rFonts w:hint="eastAsia"/>
          <w:b/>
        </w:rPr>
        <w:t>等成本法、基于信用利差的方法、信用套利简化模型、现金流折现模型、基于评级的违约率模型等</w:t>
      </w:r>
      <w:r>
        <w:rPr>
          <w:rFonts w:hint="eastAsia"/>
        </w:rPr>
        <w:t>。其中，</w:t>
      </w:r>
      <w:r w:rsidRPr="00741EA2">
        <w:rPr>
          <w:rFonts w:hint="eastAsia"/>
          <w:b/>
        </w:rPr>
        <w:t>信用利差模型和违约率模型是主要的两种</w:t>
      </w:r>
      <w:r>
        <w:rPr>
          <w:rFonts w:hint="eastAsia"/>
        </w:rPr>
        <w:t>。结合我国的实际情况，</w:t>
      </w:r>
      <w:r>
        <w:rPr>
          <w:rFonts w:hint="eastAsia"/>
        </w:rPr>
        <w:t>CRM</w:t>
      </w:r>
      <w:r>
        <w:rPr>
          <w:rFonts w:hint="eastAsia"/>
        </w:rPr>
        <w:t>定价由于违约率数据较为缺失，初期多采用信用利差模型。长远的说，采用违约率模型较好，模型的违约回收率可以设为某个常数，如</w:t>
      </w:r>
      <w:r>
        <w:rPr>
          <w:rFonts w:hint="eastAsia"/>
        </w:rPr>
        <w:t>40%</w:t>
      </w:r>
      <w:r>
        <w:rPr>
          <w:rFonts w:hint="eastAsia"/>
        </w:rPr>
        <w:t>和</w:t>
      </w:r>
      <w:r>
        <w:rPr>
          <w:rFonts w:hint="eastAsia"/>
        </w:rPr>
        <w:t>0%</w:t>
      </w:r>
      <w:r>
        <w:rPr>
          <w:rFonts w:hint="eastAsia"/>
        </w:rPr>
        <w:t>。</w:t>
      </w:r>
    </w:p>
    <w:p w:rsidR="00741EA2" w:rsidRDefault="00741EA2" w:rsidP="00BF179D">
      <w:pPr>
        <w:spacing w:line="360" w:lineRule="auto"/>
        <w:ind w:firstLine="420"/>
      </w:pPr>
      <w:r>
        <w:rPr>
          <w:noProof/>
        </w:rPr>
        <w:drawing>
          <wp:inline distT="0" distB="0" distL="0" distR="0" wp14:anchorId="287396C9" wp14:editId="6428419E">
            <wp:extent cx="5274310" cy="315976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59760"/>
                    </a:xfrm>
                    <a:prstGeom prst="rect">
                      <a:avLst/>
                    </a:prstGeom>
                  </pic:spPr>
                </pic:pic>
              </a:graphicData>
            </a:graphic>
          </wp:inline>
        </w:drawing>
      </w:r>
    </w:p>
    <w:p w:rsidR="00741EA2" w:rsidRDefault="00741EA2" w:rsidP="00741EA2">
      <w:pPr>
        <w:spacing w:line="360" w:lineRule="auto"/>
        <w:ind w:firstLine="420"/>
      </w:pPr>
      <w:r w:rsidRPr="00741EA2">
        <w:rPr>
          <w:rFonts w:hint="eastAsia"/>
          <w:b/>
        </w:rPr>
        <w:t>信用利差模型</w:t>
      </w:r>
      <w:r>
        <w:rPr>
          <w:rFonts w:hint="eastAsia"/>
        </w:rPr>
        <w:t>。假设基础债券基于无风险利率之上的风险利差完全是由于发行人的信用风险导致的，并不考虑税收和流动性的问题，那么</w:t>
      </w:r>
      <w:r w:rsidRPr="00B3411D">
        <w:rPr>
          <w:rFonts w:hint="eastAsia"/>
          <w:b/>
        </w:rPr>
        <w:t>在该模型下，</w:t>
      </w:r>
      <w:r w:rsidRPr="00B3411D">
        <w:rPr>
          <w:rFonts w:hint="eastAsia"/>
          <w:b/>
        </w:rPr>
        <w:t>CRM</w:t>
      </w:r>
      <w:r w:rsidRPr="00B3411D">
        <w:rPr>
          <w:rFonts w:hint="eastAsia"/>
          <w:b/>
        </w:rPr>
        <w:t>的定价即信用违约掉期曲线为风险收益率曲线和无风险收益率曲线的差值</w:t>
      </w:r>
      <w:r>
        <w:rPr>
          <w:rFonts w:hint="eastAsia"/>
        </w:rPr>
        <w:t>。一般步骤是：首先根据债券收益率曲线构建风险收益率曲线，其次采用基于政策性金融债收益率转换成的零息利率曲线作为无风险收益率曲线。</w:t>
      </w:r>
    </w:p>
    <w:p w:rsidR="00741EA2" w:rsidRDefault="00741EA2" w:rsidP="00741EA2">
      <w:pPr>
        <w:spacing w:line="360" w:lineRule="auto"/>
        <w:ind w:firstLine="420"/>
      </w:pPr>
      <w:r w:rsidRPr="00741EA2">
        <w:rPr>
          <w:rFonts w:hint="eastAsia"/>
          <w:b/>
        </w:rPr>
        <w:t>违约率模型</w:t>
      </w:r>
      <w:r>
        <w:rPr>
          <w:rFonts w:hint="eastAsia"/>
        </w:rPr>
        <w:t>。主要是</w:t>
      </w:r>
      <w:r w:rsidRPr="00B3411D">
        <w:rPr>
          <w:rFonts w:hint="eastAsia"/>
          <w:b/>
        </w:rPr>
        <w:t>二叉树模型</w:t>
      </w:r>
      <w:r>
        <w:rPr>
          <w:rFonts w:hint="eastAsia"/>
        </w:rPr>
        <w:t>，即通过债券现值、违约回收率、无风险收益率等变量推算出不同期限的有违约风险债券的违约率；假设购买</w:t>
      </w:r>
      <w:r>
        <w:rPr>
          <w:rFonts w:hint="eastAsia"/>
        </w:rPr>
        <w:t>CRM</w:t>
      </w:r>
      <w:r>
        <w:rPr>
          <w:rFonts w:hint="eastAsia"/>
        </w:rPr>
        <w:t>是购买了一种期权，信用事件发生时可行权，</w:t>
      </w:r>
      <w:r>
        <w:rPr>
          <w:rFonts w:hint="eastAsia"/>
        </w:rPr>
        <w:t>CRM</w:t>
      </w:r>
      <w:r>
        <w:rPr>
          <w:rFonts w:hint="eastAsia"/>
        </w:rPr>
        <w:t>的价值即为期权所代表的未来现金流的期望值，主要通过违约损失率、无风险收益率、违约率等变量推算不同期限的信用风险缓释工具的价值。</w:t>
      </w:r>
    </w:p>
    <w:p w:rsidR="00741EA2" w:rsidRDefault="00741EA2" w:rsidP="00741EA2">
      <w:pPr>
        <w:spacing w:line="360" w:lineRule="auto"/>
        <w:ind w:firstLine="420"/>
      </w:pPr>
      <w:r>
        <w:rPr>
          <w:noProof/>
        </w:rPr>
        <w:lastRenderedPageBreak/>
        <w:drawing>
          <wp:inline distT="0" distB="0" distL="0" distR="0" wp14:anchorId="2D8E245B" wp14:editId="7845D537">
            <wp:extent cx="5274310" cy="15424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42415"/>
                    </a:xfrm>
                    <a:prstGeom prst="rect">
                      <a:avLst/>
                    </a:prstGeom>
                  </pic:spPr>
                </pic:pic>
              </a:graphicData>
            </a:graphic>
          </wp:inline>
        </w:drawing>
      </w:r>
    </w:p>
    <w:p w:rsidR="00741EA2" w:rsidRDefault="00741EA2" w:rsidP="00741EA2">
      <w:pPr>
        <w:spacing w:line="360" w:lineRule="auto"/>
        <w:ind w:firstLine="420"/>
      </w:pPr>
    </w:p>
    <w:p w:rsidR="00B3411D" w:rsidRPr="00B3411D" w:rsidRDefault="00B3411D" w:rsidP="00B3411D">
      <w:pPr>
        <w:spacing w:line="360" w:lineRule="auto"/>
        <w:ind w:firstLine="420"/>
        <w:rPr>
          <w:b/>
          <w:color w:val="FF0000"/>
        </w:rPr>
      </w:pPr>
      <w:r w:rsidRPr="00B3411D">
        <w:rPr>
          <w:rFonts w:hint="eastAsia"/>
          <w:b/>
          <w:color w:val="FF0000"/>
        </w:rPr>
        <w:t>CRM</w:t>
      </w:r>
      <w:r w:rsidRPr="00B3411D">
        <w:rPr>
          <w:rFonts w:hint="eastAsia"/>
          <w:b/>
          <w:color w:val="FF0000"/>
        </w:rPr>
        <w:t>市场准入机制严格，参与主体结构单一</w:t>
      </w:r>
    </w:p>
    <w:p w:rsidR="00B3411D" w:rsidRPr="00B3411D" w:rsidRDefault="00B3411D" w:rsidP="00B3411D">
      <w:pPr>
        <w:spacing w:line="360" w:lineRule="auto"/>
        <w:ind w:firstLine="420"/>
      </w:pPr>
      <w:r>
        <w:rPr>
          <w:rFonts w:hint="eastAsia"/>
        </w:rPr>
        <w:t>区别于国外信用违约互换市场广泛的市场参与者，国内机构参与者比较单一，以银行和券商为主。《银行间市场信用风险缓释工具试点业务指引》对市场参与者进行分层管理，将其分为核心交易商、交易商和非交易商，并且对各交易主体的交易权利、交易范围进行了限制。截至</w:t>
      </w:r>
      <w:r>
        <w:rPr>
          <w:rFonts w:hint="eastAsia"/>
        </w:rPr>
        <w:t>2014</w:t>
      </w:r>
      <w:r>
        <w:rPr>
          <w:rFonts w:hint="eastAsia"/>
        </w:rPr>
        <w:t>年</w:t>
      </w:r>
      <w:r>
        <w:rPr>
          <w:rFonts w:hint="eastAsia"/>
        </w:rPr>
        <w:t>11</w:t>
      </w:r>
      <w:r>
        <w:rPr>
          <w:rFonts w:hint="eastAsia"/>
        </w:rPr>
        <w:t>月，已有</w:t>
      </w:r>
      <w:r>
        <w:rPr>
          <w:rFonts w:hint="eastAsia"/>
        </w:rPr>
        <w:t>CRM</w:t>
      </w:r>
      <w:r>
        <w:rPr>
          <w:rFonts w:hint="eastAsia"/>
        </w:rPr>
        <w:t>交易商</w:t>
      </w:r>
      <w:r>
        <w:rPr>
          <w:rFonts w:hint="eastAsia"/>
        </w:rPr>
        <w:t>47</w:t>
      </w:r>
      <w:r>
        <w:rPr>
          <w:rFonts w:hint="eastAsia"/>
        </w:rPr>
        <w:t>家、</w:t>
      </w:r>
      <w:r>
        <w:rPr>
          <w:rFonts w:hint="eastAsia"/>
        </w:rPr>
        <w:t>CRM</w:t>
      </w:r>
      <w:r>
        <w:rPr>
          <w:rFonts w:hint="eastAsia"/>
        </w:rPr>
        <w:t>核心交易商</w:t>
      </w:r>
      <w:r>
        <w:rPr>
          <w:rFonts w:hint="eastAsia"/>
        </w:rPr>
        <w:t>26</w:t>
      </w:r>
      <w:r>
        <w:rPr>
          <w:rFonts w:hint="eastAsia"/>
        </w:rPr>
        <w:t>家和</w:t>
      </w:r>
      <w:r>
        <w:rPr>
          <w:rFonts w:hint="eastAsia"/>
        </w:rPr>
        <w:t>CRMW</w:t>
      </w:r>
      <w:r>
        <w:rPr>
          <w:rFonts w:hint="eastAsia"/>
        </w:rPr>
        <w:t>创设机构</w:t>
      </w:r>
      <w:r>
        <w:rPr>
          <w:rFonts w:hint="eastAsia"/>
        </w:rPr>
        <w:t>30</w:t>
      </w:r>
      <w:r>
        <w:rPr>
          <w:rFonts w:hint="eastAsia"/>
        </w:rPr>
        <w:t>家。</w:t>
      </w:r>
    </w:p>
    <w:p w:rsidR="00117FC3" w:rsidRDefault="00B3411D" w:rsidP="00741EA2">
      <w:pPr>
        <w:spacing w:line="360" w:lineRule="auto"/>
        <w:ind w:firstLine="420"/>
      </w:pPr>
      <w:r>
        <w:rPr>
          <w:noProof/>
        </w:rPr>
        <w:drawing>
          <wp:inline distT="0" distB="0" distL="0" distR="0" wp14:anchorId="67866B72" wp14:editId="0DEA233E">
            <wp:extent cx="5274310" cy="398208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982085"/>
                    </a:xfrm>
                    <a:prstGeom prst="rect">
                      <a:avLst/>
                    </a:prstGeom>
                  </pic:spPr>
                </pic:pic>
              </a:graphicData>
            </a:graphic>
          </wp:inline>
        </w:drawing>
      </w:r>
    </w:p>
    <w:p w:rsidR="00B3411D" w:rsidRDefault="00B3411D" w:rsidP="00741EA2">
      <w:pPr>
        <w:spacing w:line="360" w:lineRule="auto"/>
        <w:ind w:firstLine="420"/>
      </w:pPr>
    </w:p>
    <w:p w:rsidR="00B3411D" w:rsidRPr="00B3411D" w:rsidRDefault="00B3411D" w:rsidP="00B3411D">
      <w:pPr>
        <w:spacing w:line="360" w:lineRule="auto"/>
        <w:ind w:firstLine="420"/>
        <w:rPr>
          <w:b/>
          <w:color w:val="FF0000"/>
        </w:rPr>
      </w:pPr>
      <w:r w:rsidRPr="00B3411D">
        <w:rPr>
          <w:rFonts w:hint="eastAsia"/>
          <w:b/>
          <w:color w:val="FF0000"/>
        </w:rPr>
        <w:t>CRM</w:t>
      </w:r>
      <w:r w:rsidRPr="00B3411D">
        <w:rPr>
          <w:rFonts w:hint="eastAsia"/>
          <w:b/>
          <w:color w:val="FF0000"/>
        </w:rPr>
        <w:t>出师不利，陷入停滞</w:t>
      </w:r>
    </w:p>
    <w:p w:rsidR="00B3411D" w:rsidRDefault="00B3411D" w:rsidP="00B3411D">
      <w:pPr>
        <w:spacing w:line="360" w:lineRule="auto"/>
        <w:ind w:firstLine="420"/>
      </w:pPr>
      <w:r w:rsidRPr="00B3411D">
        <w:rPr>
          <w:rFonts w:hint="eastAsia"/>
          <w:b/>
        </w:rPr>
        <w:t>2010</w:t>
      </w:r>
      <w:r w:rsidRPr="00B3411D">
        <w:rPr>
          <w:rFonts w:hint="eastAsia"/>
          <w:b/>
        </w:rPr>
        <w:t>年</w:t>
      </w:r>
      <w:r w:rsidRPr="00B3411D">
        <w:rPr>
          <w:rFonts w:hint="eastAsia"/>
          <w:b/>
        </w:rPr>
        <w:t>11</w:t>
      </w:r>
      <w:r w:rsidRPr="00B3411D">
        <w:rPr>
          <w:rFonts w:hint="eastAsia"/>
          <w:b/>
        </w:rPr>
        <w:t>月</w:t>
      </w:r>
      <w:r w:rsidRPr="00B3411D">
        <w:rPr>
          <w:rFonts w:hint="eastAsia"/>
          <w:b/>
        </w:rPr>
        <w:t>5</w:t>
      </w:r>
      <w:r w:rsidRPr="00B3411D">
        <w:rPr>
          <w:rFonts w:hint="eastAsia"/>
          <w:b/>
        </w:rPr>
        <w:t>日，我国首批信用风险缓释合约正式上线</w:t>
      </w:r>
      <w:r>
        <w:rPr>
          <w:rFonts w:hint="eastAsia"/>
        </w:rPr>
        <w:t>。首批信用风险缓释合约</w:t>
      </w:r>
      <w:r w:rsidRPr="00B3411D">
        <w:rPr>
          <w:rFonts w:hint="eastAsia"/>
          <w:b/>
        </w:rPr>
        <w:t>以单</w:t>
      </w:r>
      <w:r w:rsidRPr="00B3411D">
        <w:rPr>
          <w:rFonts w:hint="eastAsia"/>
          <w:b/>
        </w:rPr>
        <w:lastRenderedPageBreak/>
        <w:t>笔债务为标的，债务类型涵盖了中期票据、短期融资券和贷款</w:t>
      </w:r>
      <w:r>
        <w:rPr>
          <w:rFonts w:hint="eastAsia"/>
        </w:rPr>
        <w:t>。截至当年</w:t>
      </w:r>
      <w:r>
        <w:rPr>
          <w:rFonts w:hint="eastAsia"/>
        </w:rPr>
        <w:t xml:space="preserve">12 </w:t>
      </w:r>
      <w:r>
        <w:rPr>
          <w:rFonts w:hint="eastAsia"/>
        </w:rPr>
        <w:t>月</w:t>
      </w:r>
      <w:r>
        <w:rPr>
          <w:rFonts w:hint="eastAsia"/>
        </w:rPr>
        <w:t xml:space="preserve"> 9 </w:t>
      </w:r>
      <w:r>
        <w:rPr>
          <w:rFonts w:hint="eastAsia"/>
        </w:rPr>
        <w:t>日，包括国家开发银行、建设银行、工商银行、交通银行、民生银行、兴业银行、光大银行、德意志银行及中债增信在内的</w:t>
      </w:r>
      <w:r>
        <w:rPr>
          <w:rFonts w:hint="eastAsia"/>
        </w:rPr>
        <w:t>11</w:t>
      </w:r>
      <w:r>
        <w:rPr>
          <w:rFonts w:hint="eastAsia"/>
        </w:rPr>
        <w:t>家交易商共达成了信用风险缓释合约</w:t>
      </w:r>
      <w:r>
        <w:rPr>
          <w:rFonts w:hint="eastAsia"/>
        </w:rPr>
        <w:t>23</w:t>
      </w:r>
      <w:r>
        <w:rPr>
          <w:rFonts w:hint="eastAsia"/>
        </w:rPr>
        <w:t>笔，以中期票据和贷款为主，合计名义本金</w:t>
      </w:r>
      <w:r>
        <w:rPr>
          <w:rFonts w:hint="eastAsia"/>
        </w:rPr>
        <w:t>19.9</w:t>
      </w:r>
      <w:r>
        <w:rPr>
          <w:rFonts w:hint="eastAsia"/>
        </w:rPr>
        <w:t>亿元人民币。合约期限从</w:t>
      </w:r>
      <w:r>
        <w:rPr>
          <w:rFonts w:hint="eastAsia"/>
        </w:rPr>
        <w:t>36</w:t>
      </w:r>
      <w:r>
        <w:rPr>
          <w:rFonts w:hint="eastAsia"/>
        </w:rPr>
        <w:t>天到</w:t>
      </w:r>
      <w:r>
        <w:rPr>
          <w:rFonts w:hint="eastAsia"/>
        </w:rPr>
        <w:t>2.21</w:t>
      </w:r>
      <w:r>
        <w:rPr>
          <w:rFonts w:hint="eastAsia"/>
        </w:rPr>
        <w:t>年不等，其中以一年期为主，结算方式包括现金结算和实物结算。</w:t>
      </w:r>
    </w:p>
    <w:p w:rsidR="00B3411D" w:rsidRDefault="00B3411D" w:rsidP="00B3411D">
      <w:pPr>
        <w:spacing w:line="360" w:lineRule="auto"/>
        <w:ind w:firstLine="420"/>
      </w:pPr>
      <w:r>
        <w:rPr>
          <w:rFonts w:hint="eastAsia"/>
        </w:rPr>
        <w:t xml:space="preserve">2010 </w:t>
      </w:r>
      <w:r>
        <w:rPr>
          <w:rFonts w:hint="eastAsia"/>
        </w:rPr>
        <w:t>年</w:t>
      </w:r>
      <w:r>
        <w:rPr>
          <w:rFonts w:hint="eastAsia"/>
        </w:rPr>
        <w:t xml:space="preserve"> 11 </w:t>
      </w:r>
      <w:r>
        <w:rPr>
          <w:rFonts w:hint="eastAsia"/>
        </w:rPr>
        <w:t>月</w:t>
      </w:r>
      <w:r>
        <w:rPr>
          <w:rFonts w:hint="eastAsia"/>
        </w:rPr>
        <w:t xml:space="preserve"> 11 </w:t>
      </w:r>
      <w:r>
        <w:rPr>
          <w:rFonts w:hint="eastAsia"/>
        </w:rPr>
        <w:t>日，交易商协会“金融衍生品专家会议”审议通过了中债公司、民生银行和交通银行等</w:t>
      </w:r>
      <w:r>
        <w:rPr>
          <w:rFonts w:hint="eastAsia"/>
        </w:rPr>
        <w:t>3</w:t>
      </w:r>
      <w:r>
        <w:rPr>
          <w:rFonts w:hint="eastAsia"/>
        </w:rPr>
        <w:t>家创设机构提交的</w:t>
      </w:r>
      <w:r>
        <w:rPr>
          <w:rFonts w:hint="eastAsia"/>
        </w:rPr>
        <w:t>4</w:t>
      </w:r>
      <w:r>
        <w:rPr>
          <w:rFonts w:hint="eastAsia"/>
        </w:rPr>
        <w:t>只信用风险缓释凭证，并于</w:t>
      </w:r>
      <w:r>
        <w:rPr>
          <w:rFonts w:hint="eastAsia"/>
        </w:rPr>
        <w:t>11</w:t>
      </w:r>
      <w:r>
        <w:rPr>
          <w:rFonts w:hint="eastAsia"/>
        </w:rPr>
        <w:t>月</w:t>
      </w:r>
      <w:r>
        <w:rPr>
          <w:rFonts w:hint="eastAsia"/>
        </w:rPr>
        <w:t>23</w:t>
      </w:r>
      <w:r>
        <w:rPr>
          <w:rFonts w:hint="eastAsia"/>
        </w:rPr>
        <w:t>日正式创设成功，名义本金合计总共</w:t>
      </w:r>
      <w:r>
        <w:rPr>
          <w:rFonts w:hint="eastAsia"/>
        </w:rPr>
        <w:t>4.8</w:t>
      </w:r>
      <w:r>
        <w:rPr>
          <w:rFonts w:hint="eastAsia"/>
        </w:rPr>
        <w:t>亿元。随后汇丰银行、浦发银行、兴业银行等又相继在</w:t>
      </w:r>
      <w:r>
        <w:rPr>
          <w:rFonts w:hint="eastAsia"/>
        </w:rPr>
        <w:t>2010</w:t>
      </w:r>
      <w:r>
        <w:rPr>
          <w:rFonts w:hint="eastAsia"/>
        </w:rPr>
        <w:t>年底和</w:t>
      </w:r>
      <w:r>
        <w:rPr>
          <w:rFonts w:hint="eastAsia"/>
        </w:rPr>
        <w:t>2011</w:t>
      </w:r>
      <w:r>
        <w:rPr>
          <w:rFonts w:hint="eastAsia"/>
        </w:rPr>
        <w:t>年初发行了</w:t>
      </w:r>
      <w:r>
        <w:rPr>
          <w:rFonts w:hint="eastAsia"/>
        </w:rPr>
        <w:t>5</w:t>
      </w:r>
      <w:r>
        <w:rPr>
          <w:rFonts w:hint="eastAsia"/>
        </w:rPr>
        <w:t>只信用风险缓释凭证，总计</w:t>
      </w:r>
      <w:r>
        <w:rPr>
          <w:rFonts w:hint="eastAsia"/>
        </w:rPr>
        <w:t>2.6</w:t>
      </w:r>
      <w:r>
        <w:rPr>
          <w:rFonts w:hint="eastAsia"/>
        </w:rPr>
        <w:t>亿元。</w:t>
      </w:r>
    </w:p>
    <w:p w:rsidR="00D62D92" w:rsidRPr="00D62D92" w:rsidRDefault="00D62D92" w:rsidP="00B3411D">
      <w:pPr>
        <w:spacing w:line="360" w:lineRule="auto"/>
        <w:ind w:firstLine="420"/>
      </w:pPr>
      <w:r w:rsidRPr="00D62D92">
        <w:rPr>
          <w:rFonts w:hint="eastAsia"/>
          <w:b/>
        </w:rPr>
        <w:t>信用缓释工具随后并没有大规模发展起来</w:t>
      </w:r>
      <w:r w:rsidRPr="00D62D92">
        <w:rPr>
          <w:rFonts w:hint="eastAsia"/>
        </w:rPr>
        <w:t>，一部分原因在于具备资格的交易商数量并不多。根据中国银行间市场交易商协会的信息披露，截止到</w:t>
      </w:r>
      <w:r w:rsidRPr="00D62D92">
        <w:rPr>
          <w:rFonts w:hint="eastAsia"/>
        </w:rPr>
        <w:t>2013</w:t>
      </w:r>
      <w:r w:rsidRPr="00D62D92">
        <w:rPr>
          <w:rFonts w:hint="eastAsia"/>
        </w:rPr>
        <w:t>年</w:t>
      </w:r>
      <w:r w:rsidRPr="00D62D92">
        <w:rPr>
          <w:rFonts w:hint="eastAsia"/>
        </w:rPr>
        <w:t>8</w:t>
      </w:r>
      <w:r w:rsidRPr="00D62D92">
        <w:rPr>
          <w:rFonts w:hint="eastAsia"/>
        </w:rPr>
        <w:t>月</w:t>
      </w:r>
      <w:r w:rsidRPr="00D62D92">
        <w:rPr>
          <w:rFonts w:hint="eastAsia"/>
        </w:rPr>
        <w:t>28</w:t>
      </w:r>
      <w:r w:rsidRPr="00D62D92">
        <w:rPr>
          <w:rFonts w:hint="eastAsia"/>
        </w:rPr>
        <w:t>日，信用风险缓释凭证创设机构共</w:t>
      </w:r>
      <w:r w:rsidRPr="00D62D92">
        <w:rPr>
          <w:rFonts w:hint="eastAsia"/>
        </w:rPr>
        <w:t>30</w:t>
      </w:r>
      <w:r w:rsidRPr="00D62D92">
        <w:rPr>
          <w:rFonts w:hint="eastAsia"/>
        </w:rPr>
        <w:t>家，截止到</w:t>
      </w:r>
      <w:r w:rsidRPr="00D62D92">
        <w:rPr>
          <w:rFonts w:hint="eastAsia"/>
        </w:rPr>
        <w:t>2014</w:t>
      </w:r>
      <w:r w:rsidRPr="00D62D92">
        <w:rPr>
          <w:rFonts w:hint="eastAsia"/>
        </w:rPr>
        <w:t>年</w:t>
      </w:r>
      <w:r w:rsidRPr="00D62D92">
        <w:rPr>
          <w:rFonts w:hint="eastAsia"/>
        </w:rPr>
        <w:t>11</w:t>
      </w:r>
      <w:r w:rsidRPr="00D62D92">
        <w:rPr>
          <w:rFonts w:hint="eastAsia"/>
        </w:rPr>
        <w:t>月</w:t>
      </w:r>
      <w:r w:rsidRPr="00D62D92">
        <w:rPr>
          <w:rFonts w:hint="eastAsia"/>
        </w:rPr>
        <w:t>2</w:t>
      </w:r>
      <w:r w:rsidRPr="00D62D92">
        <w:rPr>
          <w:rFonts w:hint="eastAsia"/>
        </w:rPr>
        <w:t>日，信用风险缓释工具交易商共有</w:t>
      </w:r>
      <w:r w:rsidRPr="00D62D92">
        <w:rPr>
          <w:rFonts w:hint="eastAsia"/>
        </w:rPr>
        <w:t>47</w:t>
      </w:r>
      <w:r w:rsidRPr="00D62D92">
        <w:rPr>
          <w:rFonts w:hint="eastAsia"/>
        </w:rPr>
        <w:t>家，总体市场参与方的数量不多，其中多以银行为主，也有一小部分证券公司。</w:t>
      </w:r>
    </w:p>
    <w:p w:rsidR="000618B3" w:rsidRDefault="000618B3" w:rsidP="00B3411D">
      <w:pPr>
        <w:spacing w:line="360" w:lineRule="auto"/>
        <w:ind w:firstLine="420"/>
      </w:pPr>
      <w:r>
        <w:rPr>
          <w:noProof/>
        </w:rPr>
        <w:drawing>
          <wp:inline distT="0" distB="0" distL="0" distR="0" wp14:anchorId="118A3882" wp14:editId="4F03AB16">
            <wp:extent cx="5274310" cy="413131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31310"/>
                    </a:xfrm>
                    <a:prstGeom prst="rect">
                      <a:avLst/>
                    </a:prstGeom>
                  </pic:spPr>
                </pic:pic>
              </a:graphicData>
            </a:graphic>
          </wp:inline>
        </w:drawing>
      </w:r>
    </w:p>
    <w:p w:rsidR="000618B3" w:rsidRDefault="000618B3" w:rsidP="000618B3">
      <w:pPr>
        <w:spacing w:line="360" w:lineRule="auto"/>
        <w:ind w:firstLine="420"/>
      </w:pPr>
      <w:r>
        <w:rPr>
          <w:rFonts w:hint="eastAsia"/>
        </w:rPr>
        <w:t>2011</w:t>
      </w:r>
      <w:r>
        <w:rPr>
          <w:rFonts w:hint="eastAsia"/>
        </w:rPr>
        <w:t>年</w:t>
      </w:r>
      <w:r>
        <w:rPr>
          <w:rFonts w:hint="eastAsia"/>
        </w:rPr>
        <w:t>4</w:t>
      </w:r>
      <w:r>
        <w:rPr>
          <w:rFonts w:hint="eastAsia"/>
        </w:rPr>
        <w:t>月至今，</w:t>
      </w:r>
      <w:r w:rsidRPr="000618B3">
        <w:rPr>
          <w:rFonts w:hint="eastAsia"/>
          <w:b/>
        </w:rPr>
        <w:t>CRMW</w:t>
      </w:r>
      <w:r w:rsidRPr="000618B3">
        <w:rPr>
          <w:rFonts w:hint="eastAsia"/>
          <w:b/>
        </w:rPr>
        <w:t>市场几乎一片空白，陷入停滞状态。究其原因</w:t>
      </w:r>
      <w:r>
        <w:rPr>
          <w:rFonts w:hint="eastAsia"/>
        </w:rPr>
        <w:t>，主要有以下几点：（</w:t>
      </w:r>
      <w:r>
        <w:rPr>
          <w:rFonts w:hint="eastAsia"/>
        </w:rPr>
        <w:t>1</w:t>
      </w:r>
      <w:r>
        <w:rPr>
          <w:rFonts w:hint="eastAsia"/>
        </w:rPr>
        <w:t>）</w:t>
      </w:r>
      <w:r w:rsidRPr="000618B3">
        <w:rPr>
          <w:rFonts w:hint="eastAsia"/>
          <w:b/>
        </w:rPr>
        <w:t>市场参与主体过于单调</w:t>
      </w:r>
      <w:r>
        <w:rPr>
          <w:rFonts w:hint="eastAsia"/>
        </w:rPr>
        <w:t>。我国的信用风险缓释工具现在只能运用于银行和部分券商，阻碍了类似国外很多保险公司、投资银行、对冲基金等机构的参与，对信用保护购买方</w:t>
      </w:r>
      <w:r>
        <w:rPr>
          <w:rFonts w:hint="eastAsia"/>
        </w:rPr>
        <w:lastRenderedPageBreak/>
        <w:t>能够转移的信用风险范围却造成了较大的限制，无法满足市场的各种需求。（</w:t>
      </w:r>
      <w:r>
        <w:rPr>
          <w:rFonts w:hint="eastAsia"/>
        </w:rPr>
        <w:t>2</w:t>
      </w:r>
      <w:r>
        <w:rPr>
          <w:rFonts w:hint="eastAsia"/>
        </w:rPr>
        <w:t>）</w:t>
      </w:r>
      <w:r w:rsidRPr="000618B3">
        <w:rPr>
          <w:rFonts w:hint="eastAsia"/>
          <w:b/>
        </w:rPr>
        <w:t>鲜有违约，逐渐被淡忘</w:t>
      </w:r>
      <w:r>
        <w:rPr>
          <w:rFonts w:hint="eastAsia"/>
        </w:rPr>
        <w:t>。</w:t>
      </w:r>
      <w:r>
        <w:rPr>
          <w:rFonts w:hint="eastAsia"/>
        </w:rPr>
        <w:t>2010</w:t>
      </w:r>
      <w:r>
        <w:rPr>
          <w:rFonts w:hint="eastAsia"/>
        </w:rPr>
        <w:t>年和</w:t>
      </w:r>
      <w:r>
        <w:rPr>
          <w:rFonts w:hint="eastAsia"/>
        </w:rPr>
        <w:t>2011</w:t>
      </w:r>
      <w:r>
        <w:rPr>
          <w:rFonts w:hint="eastAsia"/>
        </w:rPr>
        <w:t>年初发行的</w:t>
      </w:r>
      <w:r>
        <w:rPr>
          <w:rFonts w:hint="eastAsia"/>
        </w:rPr>
        <w:t>CRM</w:t>
      </w:r>
      <w:r>
        <w:rPr>
          <w:rFonts w:hint="eastAsia"/>
        </w:rPr>
        <w:t>产品在上市流通期间，并没有出现信用违约现象。在</w:t>
      </w:r>
      <w:r>
        <w:rPr>
          <w:rFonts w:hint="eastAsia"/>
        </w:rPr>
        <w:t>2015</w:t>
      </w:r>
      <w:r>
        <w:rPr>
          <w:rFonts w:hint="eastAsia"/>
        </w:rPr>
        <w:t>年信用债违约接连而至之前，违约现象的鲜少发生使得人们对对冲风险的需求并不强烈。（</w:t>
      </w:r>
      <w:r>
        <w:rPr>
          <w:rFonts w:hint="eastAsia"/>
        </w:rPr>
        <w:t>3</w:t>
      </w:r>
      <w:r>
        <w:rPr>
          <w:rFonts w:hint="eastAsia"/>
        </w:rPr>
        <w:t>）</w:t>
      </w:r>
      <w:r w:rsidRPr="000618B3">
        <w:rPr>
          <w:rFonts w:hint="eastAsia"/>
          <w:b/>
        </w:rPr>
        <w:t>债务暴露</w:t>
      </w:r>
      <w:r>
        <w:rPr>
          <w:rFonts w:hint="eastAsia"/>
        </w:rPr>
        <w:t>。信用违约互换具有保密性的特点。它可以在不让客户知晓的条件下与第三方展开针对客户的交易，这样在不破坏客户关系的前提下又能避免风险过度集中。而</w:t>
      </w:r>
      <w:r>
        <w:rPr>
          <w:rFonts w:hint="eastAsia"/>
        </w:rPr>
        <w:t>CRM</w:t>
      </w:r>
      <w:r>
        <w:rPr>
          <w:rFonts w:hint="eastAsia"/>
        </w:rPr>
        <w:t>为了控制风险，要求每个产品都需要明确对应债务标的，这样容易影响客户关系。（</w:t>
      </w:r>
      <w:r>
        <w:rPr>
          <w:rFonts w:hint="eastAsia"/>
        </w:rPr>
        <w:t>4</w:t>
      </w:r>
      <w:r>
        <w:rPr>
          <w:rFonts w:hint="eastAsia"/>
        </w:rPr>
        <w:t>）</w:t>
      </w:r>
      <w:r w:rsidRPr="000618B3">
        <w:rPr>
          <w:rFonts w:hint="eastAsia"/>
          <w:b/>
        </w:rPr>
        <w:t>定价机制不完善</w:t>
      </w:r>
      <w:r>
        <w:rPr>
          <w:rFonts w:hint="eastAsia"/>
        </w:rPr>
        <w:t>。信用评级机构市场不完善，评级虚高司空见惯，违约概率和债务回收率的数据库的缺乏使得当下的定价工具比较粗糙。</w:t>
      </w:r>
    </w:p>
    <w:p w:rsidR="00215C61" w:rsidRPr="00215C61" w:rsidRDefault="00215C61" w:rsidP="000618B3">
      <w:pPr>
        <w:spacing w:line="360" w:lineRule="auto"/>
        <w:ind w:firstLine="420"/>
      </w:pPr>
      <w:r w:rsidRPr="00215C61">
        <w:rPr>
          <w:rFonts w:hint="eastAsia"/>
        </w:rPr>
        <w:t>国内信用衍生品此前的相关实践并不多，值得探讨并用来比较的就是中国银行间市场交易商协会此前推出的信用风险缓释工具（</w:t>
      </w:r>
      <w:r w:rsidRPr="00215C61">
        <w:rPr>
          <w:rFonts w:hint="eastAsia"/>
        </w:rPr>
        <w:t>CRM</w:t>
      </w:r>
      <w:r w:rsidRPr="00215C61">
        <w:rPr>
          <w:rFonts w:hint="eastAsia"/>
        </w:rPr>
        <w:t>）。</w:t>
      </w:r>
      <w:r w:rsidRPr="00215C61">
        <w:rPr>
          <w:rFonts w:hint="eastAsia"/>
        </w:rPr>
        <w:t>2010</w:t>
      </w:r>
      <w:r w:rsidRPr="00215C61">
        <w:rPr>
          <w:rFonts w:hint="eastAsia"/>
        </w:rPr>
        <w:t>年</w:t>
      </w:r>
      <w:r w:rsidRPr="00215C61">
        <w:rPr>
          <w:rFonts w:hint="eastAsia"/>
        </w:rPr>
        <w:t>10</w:t>
      </w:r>
      <w:r w:rsidRPr="00215C61">
        <w:rPr>
          <w:rFonts w:hint="eastAsia"/>
        </w:rPr>
        <w:t>月交易商协会发布了《银行间市场信用风险缓释工具试点业务指引》，引入信用风险缓释工具（</w:t>
      </w:r>
      <w:r w:rsidRPr="00215C61">
        <w:rPr>
          <w:rFonts w:hint="eastAsia"/>
        </w:rPr>
        <w:t>CRM</w:t>
      </w:r>
      <w:r w:rsidRPr="00215C61">
        <w:rPr>
          <w:rFonts w:hint="eastAsia"/>
        </w:rPr>
        <w:t>）。信用风险缓释工具从</w:t>
      </w:r>
      <w:r w:rsidRPr="00215C61">
        <w:rPr>
          <w:rFonts w:hint="eastAsia"/>
        </w:rPr>
        <w:t>2010</w:t>
      </w:r>
      <w:r w:rsidRPr="00215C61">
        <w:rPr>
          <w:rFonts w:hint="eastAsia"/>
        </w:rPr>
        <w:t>年</w:t>
      </w:r>
      <w:r w:rsidRPr="00215C61">
        <w:rPr>
          <w:rFonts w:hint="eastAsia"/>
        </w:rPr>
        <w:t>10</w:t>
      </w:r>
      <w:r w:rsidRPr="00215C61">
        <w:rPr>
          <w:rFonts w:hint="eastAsia"/>
        </w:rPr>
        <w:t>月推出至今已有将近</w:t>
      </w:r>
      <w:r w:rsidRPr="00215C61">
        <w:rPr>
          <w:rFonts w:hint="eastAsia"/>
        </w:rPr>
        <w:t>6</w:t>
      </w:r>
      <w:r w:rsidRPr="00215C61">
        <w:rPr>
          <w:rFonts w:hint="eastAsia"/>
        </w:rPr>
        <w:t>年时间，除了在“试点初期”部分交易商之间达成交易外，市场成交极为清淡。</w:t>
      </w:r>
      <w:r w:rsidRPr="00215C61">
        <w:rPr>
          <w:rFonts w:hint="eastAsia"/>
        </w:rPr>
        <w:t>CRM</w:t>
      </w:r>
      <w:r w:rsidRPr="00215C61">
        <w:rPr>
          <w:rFonts w:hint="eastAsia"/>
        </w:rPr>
        <w:t>只打破了国内信用风险对冲工具从无到有的局面，但是其缓释、对冲信用风险的功能并没有发挥，配套的监管和会计税务等法律法规的缺位、参与主体的单一化等其他因素是导致</w:t>
      </w:r>
      <w:r w:rsidRPr="00215C61">
        <w:rPr>
          <w:rFonts w:hint="eastAsia"/>
        </w:rPr>
        <w:t>CRM</w:t>
      </w:r>
      <w:r w:rsidRPr="00215C61">
        <w:rPr>
          <w:rFonts w:hint="eastAsia"/>
        </w:rPr>
        <w:t>未能在全市场大范围推进的原因。因此，在国内计划推出</w:t>
      </w:r>
      <w:r w:rsidRPr="00215C61">
        <w:rPr>
          <w:rFonts w:hint="eastAsia"/>
        </w:rPr>
        <w:t>CDS</w:t>
      </w:r>
      <w:r w:rsidRPr="00215C61">
        <w:rPr>
          <w:rFonts w:hint="eastAsia"/>
        </w:rPr>
        <w:t>之际，相关的法律法规的配套跟进是必不可少的环节。</w:t>
      </w:r>
    </w:p>
    <w:p w:rsidR="000618B3" w:rsidRDefault="000618B3" w:rsidP="000618B3">
      <w:pPr>
        <w:spacing w:line="360" w:lineRule="auto"/>
        <w:ind w:firstLine="420"/>
      </w:pPr>
    </w:p>
    <w:p w:rsidR="000618B3" w:rsidRPr="000618B3" w:rsidRDefault="000618B3" w:rsidP="000618B3">
      <w:pPr>
        <w:spacing w:line="360" w:lineRule="auto"/>
        <w:ind w:firstLine="420"/>
        <w:rPr>
          <w:b/>
          <w:color w:val="FF0000"/>
        </w:rPr>
      </w:pPr>
      <w:r w:rsidRPr="000618B3">
        <w:rPr>
          <w:rFonts w:hint="eastAsia"/>
          <w:b/>
          <w:color w:val="FF0000"/>
        </w:rPr>
        <w:t>CDS</w:t>
      </w:r>
      <w:r w:rsidRPr="000618B3">
        <w:rPr>
          <w:rFonts w:hint="eastAsia"/>
          <w:b/>
          <w:color w:val="FF0000"/>
        </w:rPr>
        <w:t>重启——生于忧患，行于荆棘</w:t>
      </w:r>
    </w:p>
    <w:p w:rsidR="000618B3" w:rsidRPr="000618B3" w:rsidRDefault="000618B3" w:rsidP="000618B3">
      <w:pPr>
        <w:spacing w:line="360" w:lineRule="auto"/>
        <w:ind w:firstLine="420"/>
        <w:rPr>
          <w:b/>
          <w:color w:val="FF0000"/>
        </w:rPr>
      </w:pPr>
      <w:r w:rsidRPr="000618B3">
        <w:rPr>
          <w:rFonts w:hint="eastAsia"/>
          <w:b/>
          <w:color w:val="FF0000"/>
        </w:rPr>
        <w:t>刚兑信仰破灭，违约对冲机制呼之欲出</w:t>
      </w:r>
    </w:p>
    <w:p w:rsidR="000618B3" w:rsidRDefault="000618B3" w:rsidP="000618B3">
      <w:pPr>
        <w:spacing w:line="360" w:lineRule="auto"/>
        <w:ind w:firstLine="420"/>
      </w:pPr>
      <w:r>
        <w:rPr>
          <w:rFonts w:hint="eastAsia"/>
        </w:rPr>
        <w:t>在经济下行和供给侧改革去产能的大背景下，实体经济走弱，企业面临更大的经营压力，社会风险正在积聚。债券市场中违约事件越来越密集，国企刚兑信仰超预期被打破，投资者对于冲信用风险的需求与日俱增。另一方面，</w:t>
      </w:r>
      <w:r>
        <w:rPr>
          <w:rFonts w:hint="eastAsia"/>
        </w:rPr>
        <w:t>CRM</w:t>
      </w:r>
      <w:r>
        <w:rPr>
          <w:rFonts w:hint="eastAsia"/>
        </w:rPr>
        <w:t>在中国的尝试使人们对这一信用衍生品并非完全陌生，知识覆盖和心理接受度逐渐提高，相关市场方面的尝试也为</w:t>
      </w:r>
      <w:r>
        <w:rPr>
          <w:rFonts w:hint="eastAsia"/>
        </w:rPr>
        <w:t>CDS</w:t>
      </w:r>
      <w:r>
        <w:rPr>
          <w:rFonts w:hint="eastAsia"/>
        </w:rPr>
        <w:t>的诞生做好的铺垫。</w:t>
      </w:r>
    </w:p>
    <w:p w:rsidR="000618B3" w:rsidRPr="000618B3" w:rsidRDefault="000618B3" w:rsidP="000618B3">
      <w:pPr>
        <w:spacing w:line="360" w:lineRule="auto"/>
        <w:ind w:firstLine="420"/>
        <w:rPr>
          <w:b/>
          <w:color w:val="FF0000"/>
        </w:rPr>
      </w:pPr>
      <w:r w:rsidRPr="000618B3">
        <w:rPr>
          <w:rFonts w:hint="eastAsia"/>
          <w:b/>
          <w:color w:val="FF0000"/>
        </w:rPr>
        <w:t>CDS</w:t>
      </w:r>
      <w:r w:rsidRPr="000618B3">
        <w:rPr>
          <w:rFonts w:hint="eastAsia"/>
          <w:b/>
          <w:color w:val="FF0000"/>
        </w:rPr>
        <w:t>将至，前方却非坦途</w:t>
      </w:r>
    </w:p>
    <w:p w:rsidR="000618B3" w:rsidRDefault="000618B3" w:rsidP="000618B3">
      <w:pPr>
        <w:spacing w:line="360" w:lineRule="auto"/>
        <w:ind w:firstLine="420"/>
      </w:pPr>
      <w:r>
        <w:rPr>
          <w:rFonts w:hint="eastAsia"/>
        </w:rPr>
        <w:t>根据国内多家媒体转引路透的报道，中国银行间市场交易商协会（</w:t>
      </w:r>
      <w:r>
        <w:rPr>
          <w:rFonts w:hint="eastAsia"/>
        </w:rPr>
        <w:t>NAFMII</w:t>
      </w:r>
      <w:r>
        <w:rPr>
          <w:rFonts w:hint="eastAsia"/>
        </w:rPr>
        <w:t>）的金融衍生品专业委员会</w:t>
      </w:r>
      <w:r>
        <w:rPr>
          <w:rFonts w:hint="eastAsia"/>
        </w:rPr>
        <w:t>6</w:t>
      </w:r>
      <w:r>
        <w:rPr>
          <w:rFonts w:hint="eastAsia"/>
        </w:rPr>
        <w:t>月</w:t>
      </w:r>
      <w:r>
        <w:rPr>
          <w:rFonts w:hint="eastAsia"/>
        </w:rPr>
        <w:t>1</w:t>
      </w:r>
      <w:r>
        <w:rPr>
          <w:rFonts w:hint="eastAsia"/>
        </w:rPr>
        <w:t>日就银行间市场信用风险缓释工具召开会议，审议通过了</w:t>
      </w:r>
      <w:r>
        <w:rPr>
          <w:rFonts w:hint="eastAsia"/>
        </w:rPr>
        <w:t>CRM</w:t>
      </w:r>
      <w:r>
        <w:rPr>
          <w:rFonts w:hint="eastAsia"/>
        </w:rPr>
        <w:t>规则修订，其中包含信用违约互换（</w:t>
      </w:r>
      <w:r>
        <w:rPr>
          <w:rFonts w:hint="eastAsia"/>
        </w:rPr>
        <w:t>CDS</w:t>
      </w:r>
      <w:r>
        <w:rPr>
          <w:rFonts w:hint="eastAsia"/>
        </w:rPr>
        <w:t>）和信用联结票据（</w:t>
      </w:r>
      <w:r>
        <w:rPr>
          <w:rFonts w:hint="eastAsia"/>
        </w:rPr>
        <w:t>CLN</w:t>
      </w:r>
      <w:r>
        <w:rPr>
          <w:rFonts w:hint="eastAsia"/>
        </w:rPr>
        <w:t>）指引。</w:t>
      </w:r>
    </w:p>
    <w:p w:rsidR="000618B3" w:rsidRDefault="000618B3" w:rsidP="000618B3">
      <w:pPr>
        <w:spacing w:line="360" w:lineRule="auto"/>
        <w:ind w:firstLine="420"/>
      </w:pPr>
      <w:r>
        <w:rPr>
          <w:rFonts w:hint="eastAsia"/>
        </w:rPr>
        <w:t>首先，</w:t>
      </w:r>
      <w:r w:rsidRPr="000618B3">
        <w:rPr>
          <w:rFonts w:hint="eastAsia"/>
          <w:b/>
        </w:rPr>
        <w:t>参与者将更加多样化</w:t>
      </w:r>
      <w:r>
        <w:rPr>
          <w:rFonts w:hint="eastAsia"/>
        </w:rPr>
        <w:t>。在</w:t>
      </w:r>
      <w:r>
        <w:rPr>
          <w:rFonts w:hint="eastAsia"/>
        </w:rPr>
        <w:t>4</w:t>
      </w:r>
      <w:r>
        <w:rPr>
          <w:rFonts w:hint="eastAsia"/>
        </w:rPr>
        <w:t>月份发布的征求意见稿中，核心交易商、交易商的资质门槛被取消。这解决了此前行业集中度过高的问题，满足了市场多样化的需求，实现了信</w:t>
      </w:r>
      <w:r>
        <w:rPr>
          <w:rFonts w:hint="eastAsia"/>
        </w:rPr>
        <w:lastRenderedPageBreak/>
        <w:t>用风险在行业间的分散。</w:t>
      </w:r>
    </w:p>
    <w:p w:rsidR="000618B3" w:rsidRDefault="000618B3" w:rsidP="000618B3">
      <w:pPr>
        <w:spacing w:line="360" w:lineRule="auto"/>
        <w:ind w:firstLine="420"/>
      </w:pPr>
      <w:r>
        <w:rPr>
          <w:rFonts w:hint="eastAsia"/>
        </w:rPr>
        <w:t>其次，在原有基础上，</w:t>
      </w:r>
      <w:r w:rsidRPr="000618B3">
        <w:rPr>
          <w:rFonts w:hint="eastAsia"/>
          <w:b/>
        </w:rPr>
        <w:t>信用事件范围被扩大</w:t>
      </w:r>
      <w:r>
        <w:rPr>
          <w:rFonts w:hint="eastAsia"/>
        </w:rPr>
        <w:t>。</w:t>
      </w:r>
      <w:r>
        <w:rPr>
          <w:rFonts w:hint="eastAsia"/>
        </w:rPr>
        <w:t>CDS</w:t>
      </w:r>
      <w:r>
        <w:rPr>
          <w:rFonts w:hint="eastAsia"/>
        </w:rPr>
        <w:t>业务指引中明确，信用违约互换产品交易时确定的信用事件范围至少应包括支付违约、破产。根据参考实体实际信用情况的不同，可纳入债务加速到期、债务潜在加速到期以及债务重组等其他信用事件；同时，信用风险缓释工具业务参与者开展信用违约互换交易时应确定参考实体，包括但不限于企业、公司、合伙、主权国家或国际多边机构，并应根据债务类别和债务特征等债务确定方法确定受保护的债务范围。</w:t>
      </w:r>
    </w:p>
    <w:p w:rsidR="000618B3" w:rsidRPr="000618B3" w:rsidRDefault="000618B3" w:rsidP="000618B3">
      <w:pPr>
        <w:spacing w:line="360" w:lineRule="auto"/>
        <w:ind w:firstLine="420"/>
        <w:rPr>
          <w:b/>
        </w:rPr>
      </w:pPr>
      <w:r>
        <w:rPr>
          <w:rFonts w:hint="eastAsia"/>
        </w:rPr>
        <w:t>虽然银行间市场交易商协会并未对此作出回应，但如此详尽的信息内容相信并非空穴来风，我们预计，</w:t>
      </w:r>
      <w:r>
        <w:rPr>
          <w:rFonts w:hint="eastAsia"/>
        </w:rPr>
        <w:t>CDS</w:t>
      </w:r>
      <w:r>
        <w:rPr>
          <w:rFonts w:hint="eastAsia"/>
        </w:rPr>
        <w:t>正式登陆银行间市场可能指日可待。但是，结合当下的情况，</w:t>
      </w:r>
      <w:r w:rsidRPr="000618B3">
        <w:rPr>
          <w:rFonts w:hint="eastAsia"/>
          <w:b/>
        </w:rPr>
        <w:t>CDS</w:t>
      </w:r>
      <w:r w:rsidRPr="000618B3">
        <w:rPr>
          <w:rFonts w:hint="eastAsia"/>
          <w:b/>
        </w:rPr>
        <w:t>市场的发展和壮大仍将面临以下困境：</w:t>
      </w:r>
    </w:p>
    <w:p w:rsidR="000618B3" w:rsidRDefault="000618B3" w:rsidP="000618B3">
      <w:pPr>
        <w:spacing w:line="360" w:lineRule="auto"/>
        <w:ind w:firstLine="420"/>
      </w:pPr>
      <w:r w:rsidRPr="000618B3">
        <w:rPr>
          <w:rFonts w:hint="eastAsia"/>
          <w:b/>
        </w:rPr>
        <w:t>社会信用秩序问题突出</w:t>
      </w:r>
      <w:r>
        <w:rPr>
          <w:rFonts w:hint="eastAsia"/>
        </w:rPr>
        <w:t>。在目前信用交易规模不断扩大的情况下，社会信用秩序问题突出，严重制约经济发展。失信现象不仅普遍，而且相当严重。</w:t>
      </w:r>
      <w:r>
        <w:rPr>
          <w:rFonts w:hint="eastAsia"/>
        </w:rPr>
        <w:t>P2P</w:t>
      </w:r>
      <w:r>
        <w:rPr>
          <w:rFonts w:hint="eastAsia"/>
        </w:rPr>
        <w:t>跑路案例不断增多、互联网金融乱象、担保公司担而不保甚至破产、金融传销骗局涌现。大量银行贷款逾期收不回来，成为呆账、坏账，使商业银行不良贷款不断增加，金融的系统风险加剧；企业之间的三角债务链久拖难解，甚至拖垮拖死了部分企业；资本市场中欺骗瞒报，虚假信息披露和恶庄炒作不乏其例；个人消费信贷中的一些恶意欠款行为也不断暴露出来。</w:t>
      </w:r>
    </w:p>
    <w:p w:rsidR="000618B3" w:rsidRDefault="000618B3" w:rsidP="000618B3">
      <w:pPr>
        <w:spacing w:line="360" w:lineRule="auto"/>
        <w:ind w:firstLine="420"/>
      </w:pPr>
      <w:r>
        <w:rPr>
          <w:rFonts w:hint="eastAsia"/>
        </w:rPr>
        <w:t>这些蓄意逃废债务的经济环境对包括</w:t>
      </w:r>
      <w:r>
        <w:rPr>
          <w:rFonts w:hint="eastAsia"/>
        </w:rPr>
        <w:t>CDS</w:t>
      </w:r>
      <w:r>
        <w:rPr>
          <w:rFonts w:hint="eastAsia"/>
        </w:rPr>
        <w:t>在内的信用衍生品发展极为不利。社会信用秩序混乱使得</w:t>
      </w:r>
      <w:r>
        <w:rPr>
          <w:rFonts w:hint="eastAsia"/>
        </w:rPr>
        <w:t>CDS</w:t>
      </w:r>
      <w:r>
        <w:rPr>
          <w:rFonts w:hint="eastAsia"/>
        </w:rPr>
        <w:t>的买卖双方始终处于不平等的交易地位，卖方，也就是信用风险的承担者极易成为债务逃废的牺牲品。在这样的环境下，信用衍生品的发展最终只有两种结果：一是没有一家机构愿意充当信用衍生品的卖方；二是信用衍生品价格居高不下，使买方望而却步。这两种情况都会导致</w:t>
      </w:r>
      <w:r>
        <w:rPr>
          <w:rFonts w:hint="eastAsia"/>
        </w:rPr>
        <w:t>CDS</w:t>
      </w:r>
      <w:r>
        <w:rPr>
          <w:rFonts w:hint="eastAsia"/>
        </w:rPr>
        <w:t>市场的畸形发展。</w:t>
      </w:r>
    </w:p>
    <w:p w:rsidR="000618B3" w:rsidRDefault="000618B3" w:rsidP="000618B3">
      <w:pPr>
        <w:spacing w:line="360" w:lineRule="auto"/>
        <w:ind w:firstLine="420"/>
      </w:pPr>
      <w:r w:rsidRPr="000618B3">
        <w:rPr>
          <w:rFonts w:hint="eastAsia"/>
          <w:b/>
        </w:rPr>
        <w:t>定价能力弱</w:t>
      </w:r>
      <w:r>
        <w:rPr>
          <w:rFonts w:hint="eastAsia"/>
        </w:rPr>
        <w:t>。从发达国家的经验看，信用评级在</w:t>
      </w:r>
      <w:r>
        <w:rPr>
          <w:rFonts w:hint="eastAsia"/>
        </w:rPr>
        <w:t>CDS</w:t>
      </w:r>
      <w:r>
        <w:rPr>
          <w:rFonts w:hint="eastAsia"/>
        </w:rPr>
        <w:t>定价及交易过程中发挥着重要的作用。信用违约互换的定价理论中对于违约概率和违约后的债务回收率的确定是准确定价的关键。由于不对称信息的影响，信用衍生品交易中风险的承担者需要借助于第三方评级机构的评级结果来确定是否进行交易。但从目前中国评级机构的情况来看，要为信用衍生品交易双方提供有价值的信息资料尚需时日。从国内企业债券市场的发行情况看，评级虚高现象普遍。“</w:t>
      </w:r>
      <w:r>
        <w:rPr>
          <w:rFonts w:hint="eastAsia"/>
        </w:rPr>
        <w:t>rating shopping</w:t>
      </w:r>
      <w:r>
        <w:rPr>
          <w:rFonts w:hint="eastAsia"/>
        </w:rPr>
        <w:t>”现象的普遍存在使评级结果的公正、客观受到影响。</w:t>
      </w:r>
    </w:p>
    <w:p w:rsidR="000618B3" w:rsidRDefault="000618B3" w:rsidP="000618B3">
      <w:pPr>
        <w:spacing w:line="360" w:lineRule="auto"/>
        <w:ind w:firstLine="420"/>
      </w:pPr>
      <w:r>
        <w:rPr>
          <w:noProof/>
        </w:rPr>
        <w:lastRenderedPageBreak/>
        <w:drawing>
          <wp:inline distT="0" distB="0" distL="0" distR="0" wp14:anchorId="5A8CE237" wp14:editId="142289AA">
            <wp:extent cx="5274310" cy="27266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26690"/>
                    </a:xfrm>
                    <a:prstGeom prst="rect">
                      <a:avLst/>
                    </a:prstGeom>
                  </pic:spPr>
                </pic:pic>
              </a:graphicData>
            </a:graphic>
          </wp:inline>
        </w:drawing>
      </w:r>
    </w:p>
    <w:p w:rsidR="000618B3" w:rsidRDefault="000618B3" w:rsidP="000618B3">
      <w:pPr>
        <w:spacing w:line="360" w:lineRule="auto"/>
        <w:ind w:firstLine="420"/>
      </w:pPr>
      <w:r w:rsidRPr="000618B3">
        <w:rPr>
          <w:rFonts w:hint="eastAsia"/>
          <w:b/>
        </w:rPr>
        <w:t>监管、会计和税收制度缺乏</w:t>
      </w:r>
      <w:r w:rsidRPr="000618B3">
        <w:rPr>
          <w:rFonts w:hint="eastAsia"/>
        </w:rPr>
        <w:t>。</w:t>
      </w:r>
      <w:r w:rsidRPr="000618B3">
        <w:rPr>
          <w:rFonts w:hint="eastAsia"/>
        </w:rPr>
        <w:t>CDS</w:t>
      </w:r>
      <w:r w:rsidRPr="000618B3">
        <w:rPr>
          <w:rFonts w:hint="eastAsia"/>
        </w:rPr>
        <w:t>市场的功效是建立在其市场完备性的基础之上，如市场的完全竞争性、信息对称等。当存在严重信息不对称时，可能会产生逆向选择和道德风险的问题。因此必须加强对信用违约互换的监管。目前分业经营导致银监会、证监会和保监会的分业监管，在某种程度上造成监管重叠使得监管效率降低，或者可能出现监管的空白。</w:t>
      </w:r>
    </w:p>
    <w:p w:rsidR="000618B3" w:rsidRDefault="0056411A" w:rsidP="000618B3">
      <w:pPr>
        <w:spacing w:line="360" w:lineRule="auto"/>
        <w:ind w:firstLine="420"/>
      </w:pPr>
      <w:r>
        <w:rPr>
          <w:noProof/>
        </w:rPr>
        <w:drawing>
          <wp:inline distT="0" distB="0" distL="0" distR="0" wp14:anchorId="79DA249B" wp14:editId="6D97C70D">
            <wp:extent cx="5274310" cy="24949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494915"/>
                    </a:xfrm>
                    <a:prstGeom prst="rect">
                      <a:avLst/>
                    </a:prstGeom>
                  </pic:spPr>
                </pic:pic>
              </a:graphicData>
            </a:graphic>
          </wp:inline>
        </w:drawing>
      </w:r>
    </w:p>
    <w:p w:rsidR="0056411A" w:rsidRPr="0056411A" w:rsidRDefault="0056411A" w:rsidP="0056411A">
      <w:pPr>
        <w:spacing w:line="360" w:lineRule="auto"/>
        <w:ind w:firstLine="420"/>
        <w:rPr>
          <w:b/>
          <w:color w:val="FF0000"/>
        </w:rPr>
      </w:pPr>
      <w:r w:rsidRPr="0056411A">
        <w:rPr>
          <w:rFonts w:hint="eastAsia"/>
          <w:b/>
          <w:color w:val="FF0000"/>
        </w:rPr>
        <w:t>规范信用评级，推动高收益债发展</w:t>
      </w:r>
    </w:p>
    <w:p w:rsidR="0056411A" w:rsidRDefault="0056411A" w:rsidP="0056411A">
      <w:pPr>
        <w:spacing w:line="360" w:lineRule="auto"/>
        <w:ind w:firstLine="420"/>
      </w:pPr>
      <w:r>
        <w:rPr>
          <w:rFonts w:hint="eastAsia"/>
        </w:rPr>
        <w:t>CDS</w:t>
      </w:r>
      <w:r>
        <w:rPr>
          <w:rFonts w:hint="eastAsia"/>
        </w:rPr>
        <w:t>对我国信用衍生品市场的作用不言而喻。除此之外，还有以下几点值得关注：（</w:t>
      </w:r>
      <w:r>
        <w:rPr>
          <w:rFonts w:hint="eastAsia"/>
        </w:rPr>
        <w:t>1</w:t>
      </w:r>
      <w:r>
        <w:rPr>
          <w:rFonts w:hint="eastAsia"/>
        </w:rPr>
        <w:t>）</w:t>
      </w:r>
      <w:r w:rsidRPr="0056411A">
        <w:rPr>
          <w:rFonts w:hint="eastAsia"/>
          <w:b/>
        </w:rPr>
        <w:t>信号作用明显</w:t>
      </w:r>
      <w:r>
        <w:rPr>
          <w:rFonts w:hint="eastAsia"/>
        </w:rPr>
        <w:t>。由于存在定价、监管等难题，国内的大环境并没有完全成熟，所以</w:t>
      </w:r>
      <w:r>
        <w:rPr>
          <w:rFonts w:hint="eastAsia"/>
        </w:rPr>
        <w:t>CDS</w:t>
      </w:r>
      <w:r>
        <w:rPr>
          <w:rFonts w:hint="eastAsia"/>
        </w:rPr>
        <w:t>的到来更像是国家逐步释放金融风险的前奏，预计未来债券市场和银行市场将更加市场化、开放化。（</w:t>
      </w:r>
      <w:r>
        <w:rPr>
          <w:rFonts w:hint="eastAsia"/>
        </w:rPr>
        <w:t>2</w:t>
      </w:r>
      <w:r>
        <w:rPr>
          <w:rFonts w:hint="eastAsia"/>
        </w:rPr>
        <w:t>）</w:t>
      </w:r>
      <w:r>
        <w:rPr>
          <w:rFonts w:hint="eastAsia"/>
        </w:rPr>
        <w:t>CDS</w:t>
      </w:r>
      <w:r>
        <w:rPr>
          <w:rFonts w:hint="eastAsia"/>
        </w:rPr>
        <w:t>定价要求的评级客观性将对信用评级市场形成倒逼机制，或者出现一批第三方信评机构，虚高评级企业的评级将面临调整。（</w:t>
      </w:r>
      <w:r>
        <w:rPr>
          <w:rFonts w:hint="eastAsia"/>
        </w:rPr>
        <w:t>3</w:t>
      </w:r>
      <w:r>
        <w:rPr>
          <w:rFonts w:hint="eastAsia"/>
        </w:rPr>
        <w:t>）信用风险的分散使信用债流动性增强，高收益债的市场也将获得进一步发展。</w:t>
      </w:r>
    </w:p>
    <w:p w:rsidR="00D62D92" w:rsidRDefault="00D62D92" w:rsidP="0056411A">
      <w:pPr>
        <w:spacing w:line="360" w:lineRule="auto"/>
        <w:ind w:firstLine="420"/>
      </w:pPr>
    </w:p>
    <w:p w:rsidR="00D62D92" w:rsidRPr="00D62D92" w:rsidRDefault="00D62D92" w:rsidP="00D62D92">
      <w:pPr>
        <w:spacing w:line="360" w:lineRule="auto"/>
        <w:ind w:firstLine="420"/>
        <w:rPr>
          <w:b/>
          <w:color w:val="FF0000"/>
        </w:rPr>
      </w:pPr>
      <w:r w:rsidRPr="00D62D92">
        <w:rPr>
          <w:rFonts w:hint="eastAsia"/>
          <w:b/>
          <w:color w:val="FF0000"/>
        </w:rPr>
        <w:lastRenderedPageBreak/>
        <w:t>信用债市场违约频发</w:t>
      </w:r>
    </w:p>
    <w:p w:rsidR="00D62D92" w:rsidRDefault="00D62D92" w:rsidP="00D62D92">
      <w:pPr>
        <w:spacing w:line="360" w:lineRule="auto"/>
        <w:ind w:firstLine="420"/>
      </w:pPr>
      <w:r>
        <w:rPr>
          <w:rFonts w:hint="eastAsia"/>
        </w:rPr>
        <w:t>近期债市信用风险频发，不断有违约的消息传出，各类债券都相继出现违约现象，从民企到央企，从私募到公募，债市“打破刚兑”正在加速前进，市场上非常需要一个信用风险分散的工具，这也是信用风险缓释工具发展的一个契机，各个机构都有分散信用风险的需求。</w:t>
      </w:r>
    </w:p>
    <w:p w:rsidR="00D62D92" w:rsidRDefault="00D62D92" w:rsidP="00D62D92">
      <w:pPr>
        <w:spacing w:line="360" w:lineRule="auto"/>
        <w:ind w:firstLine="420"/>
      </w:pPr>
      <w:r>
        <w:rPr>
          <w:rFonts w:hint="eastAsia"/>
        </w:rPr>
        <w:t>“</w:t>
      </w:r>
      <w:r>
        <w:rPr>
          <w:rFonts w:hint="eastAsia"/>
        </w:rPr>
        <w:t>11</w:t>
      </w:r>
      <w:r>
        <w:rPr>
          <w:rFonts w:hint="eastAsia"/>
        </w:rPr>
        <w:t>超日债”开启了中国债市违约的先例，</w:t>
      </w:r>
      <w:r>
        <w:rPr>
          <w:rFonts w:hint="eastAsia"/>
        </w:rPr>
        <w:t>2014</w:t>
      </w:r>
      <w:r>
        <w:rPr>
          <w:rFonts w:hint="eastAsia"/>
        </w:rPr>
        <w:t>年</w:t>
      </w:r>
      <w:r>
        <w:rPr>
          <w:rFonts w:hint="eastAsia"/>
        </w:rPr>
        <w:t>3</w:t>
      </w:r>
      <w:r>
        <w:rPr>
          <w:rFonts w:hint="eastAsia"/>
        </w:rPr>
        <w:t>月，“</w:t>
      </w:r>
      <w:r>
        <w:rPr>
          <w:rFonts w:hint="eastAsia"/>
        </w:rPr>
        <w:t>11</w:t>
      </w:r>
      <w:r>
        <w:rPr>
          <w:rFonts w:hint="eastAsia"/>
        </w:rPr>
        <w:t>超日债”本期利息将无法于原定付息日</w:t>
      </w:r>
      <w:r>
        <w:rPr>
          <w:rFonts w:hint="eastAsia"/>
        </w:rPr>
        <w:t>2014</w:t>
      </w:r>
      <w:r>
        <w:rPr>
          <w:rFonts w:hint="eastAsia"/>
        </w:rPr>
        <w:t>年</w:t>
      </w:r>
      <w:r>
        <w:rPr>
          <w:rFonts w:hint="eastAsia"/>
        </w:rPr>
        <w:t>3</w:t>
      </w:r>
      <w:r>
        <w:rPr>
          <w:rFonts w:hint="eastAsia"/>
        </w:rPr>
        <w:t>月</w:t>
      </w:r>
      <w:r>
        <w:rPr>
          <w:rFonts w:hint="eastAsia"/>
        </w:rPr>
        <w:t>7</w:t>
      </w:r>
      <w:r>
        <w:rPr>
          <w:rFonts w:hint="eastAsia"/>
        </w:rPr>
        <w:t>日按期全额支付，仅能够按期支付共计人民币</w:t>
      </w:r>
      <w:r>
        <w:rPr>
          <w:rFonts w:hint="eastAsia"/>
        </w:rPr>
        <w:t>400</w:t>
      </w:r>
      <w:r>
        <w:rPr>
          <w:rFonts w:hint="eastAsia"/>
        </w:rPr>
        <w:t>万元。至此，“</w:t>
      </w:r>
      <w:r>
        <w:rPr>
          <w:rFonts w:hint="eastAsia"/>
        </w:rPr>
        <w:t>11</w:t>
      </w:r>
      <w:r>
        <w:rPr>
          <w:rFonts w:hint="eastAsia"/>
        </w:rPr>
        <w:t>超日债”正式宣告违约，并成为国内首例违约的公募债券。随后，</w:t>
      </w:r>
      <w:r>
        <w:rPr>
          <w:rFonts w:hint="eastAsia"/>
        </w:rPr>
        <w:t>2015</w:t>
      </w:r>
      <w:r>
        <w:rPr>
          <w:rFonts w:hint="eastAsia"/>
        </w:rPr>
        <w:t>年</w:t>
      </w:r>
      <w:r>
        <w:rPr>
          <w:rFonts w:hint="eastAsia"/>
        </w:rPr>
        <w:t>4</w:t>
      </w:r>
      <w:r>
        <w:rPr>
          <w:rFonts w:hint="eastAsia"/>
        </w:rPr>
        <w:t>月，发行人中科云网科技集团股份有限公司公告，无法在</w:t>
      </w:r>
      <w:r>
        <w:rPr>
          <w:rFonts w:hint="eastAsia"/>
        </w:rPr>
        <w:t>4</w:t>
      </w:r>
      <w:r>
        <w:rPr>
          <w:rFonts w:hint="eastAsia"/>
        </w:rPr>
        <w:t>月</w:t>
      </w:r>
      <w:r>
        <w:rPr>
          <w:rFonts w:hint="eastAsia"/>
        </w:rPr>
        <w:t>7</w:t>
      </w:r>
      <w:r>
        <w:rPr>
          <w:rFonts w:hint="eastAsia"/>
        </w:rPr>
        <w:t>日之前筹集到足额资金用于支付“</w:t>
      </w:r>
      <w:r>
        <w:rPr>
          <w:rFonts w:hint="eastAsia"/>
        </w:rPr>
        <w:t>ST</w:t>
      </w:r>
      <w:r>
        <w:rPr>
          <w:rFonts w:hint="eastAsia"/>
        </w:rPr>
        <w:t>湘鄂债”利息及回售款项，这是我国首单本金违约公募债。之后这两年，债市频频爆出违约事件，中国债市开启了违约浪潮。</w:t>
      </w:r>
    </w:p>
    <w:p w:rsidR="00D62D92" w:rsidRDefault="00D62D92" w:rsidP="00D62D92">
      <w:pPr>
        <w:spacing w:line="360" w:lineRule="auto"/>
        <w:ind w:firstLine="420"/>
      </w:pPr>
      <w:r>
        <w:rPr>
          <w:rFonts w:hint="eastAsia"/>
        </w:rPr>
        <w:t>今年前四个月，中国债市已有</w:t>
      </w:r>
      <w:r>
        <w:rPr>
          <w:rFonts w:hint="eastAsia"/>
        </w:rPr>
        <w:t>8</w:t>
      </w:r>
      <w:r>
        <w:rPr>
          <w:rFonts w:hint="eastAsia"/>
        </w:rPr>
        <w:t>个发行主体出现实质性违约，涉及</w:t>
      </w:r>
      <w:r>
        <w:rPr>
          <w:rFonts w:hint="eastAsia"/>
        </w:rPr>
        <w:t>12</w:t>
      </w:r>
      <w:r>
        <w:rPr>
          <w:rFonts w:hint="eastAsia"/>
        </w:rPr>
        <w:t>只债券，违约事件爆发频率短期激增。</w:t>
      </w:r>
      <w:r>
        <w:rPr>
          <w:rFonts w:hint="eastAsia"/>
        </w:rPr>
        <w:t>4</w:t>
      </w:r>
      <w:r>
        <w:rPr>
          <w:rFonts w:hint="eastAsia"/>
        </w:rPr>
        <w:t>月</w:t>
      </w:r>
      <w:r>
        <w:rPr>
          <w:rFonts w:hint="eastAsia"/>
        </w:rPr>
        <w:t>11</w:t>
      </w:r>
      <w:r>
        <w:rPr>
          <w:rFonts w:hint="eastAsia"/>
        </w:rPr>
        <w:t>日，中国铁路物资股份公司（以下简称“中铁物资”）公告称，公司正对下一步的改革脱困措施及债务偿付安排等重大事项进行论证，申请相关债务融资工具于</w:t>
      </w:r>
      <w:r>
        <w:rPr>
          <w:rFonts w:hint="eastAsia"/>
        </w:rPr>
        <w:t>2016</w:t>
      </w:r>
      <w:r>
        <w:rPr>
          <w:rFonts w:hint="eastAsia"/>
        </w:rPr>
        <w:t>年</w:t>
      </w:r>
      <w:r>
        <w:rPr>
          <w:rFonts w:hint="eastAsia"/>
        </w:rPr>
        <w:t>4</w:t>
      </w:r>
      <w:r>
        <w:rPr>
          <w:rFonts w:hint="eastAsia"/>
        </w:rPr>
        <w:t>月</w:t>
      </w:r>
      <w:r>
        <w:rPr>
          <w:rFonts w:hint="eastAsia"/>
        </w:rPr>
        <w:t>11</w:t>
      </w:r>
      <w:r>
        <w:rPr>
          <w:rFonts w:hint="eastAsia"/>
        </w:rPr>
        <w:t>日上午开始暂停交易。这是继天威、二重、中钢之后又一例曝出信用事件的央企，但这次事件影响之大，一是因为其规模太大，存续债券高达</w:t>
      </w:r>
      <w:r>
        <w:rPr>
          <w:rFonts w:hint="eastAsia"/>
        </w:rPr>
        <w:t>168</w:t>
      </w:r>
      <w:r>
        <w:rPr>
          <w:rFonts w:hint="eastAsia"/>
        </w:rPr>
        <w:t>亿元，持有人范围更广泛，二是作为评级在“</w:t>
      </w:r>
      <w:r>
        <w:rPr>
          <w:rFonts w:hint="eastAsia"/>
        </w:rPr>
        <w:t>AA+</w:t>
      </w:r>
      <w:r>
        <w:rPr>
          <w:rFonts w:hint="eastAsia"/>
        </w:rPr>
        <w:t>”的央企，公司评级高。这起违约对我国债市的冲击较大，违约的增加打击了投资者的信心，导致大量信用债取消发行。</w:t>
      </w:r>
    </w:p>
    <w:p w:rsidR="00D62D92" w:rsidRDefault="00D62D92" w:rsidP="00D62D92">
      <w:pPr>
        <w:spacing w:line="360" w:lineRule="auto"/>
        <w:ind w:firstLine="420"/>
      </w:pPr>
      <w:r>
        <w:rPr>
          <w:rFonts w:hint="eastAsia"/>
        </w:rPr>
        <w:t>中国债市的违约率上升，刚兑打破，使得投资者在投资时更加谨慎，不再只看重收益率而忽视其信用风险，这也使得债券市场对信用风险的定价更加合理。以前我国市场缺乏应有的违约事件的数据，使得违约率、损失率等难以估计，</w:t>
      </w:r>
      <w:r>
        <w:rPr>
          <w:rFonts w:hint="eastAsia"/>
        </w:rPr>
        <w:t>CRM</w:t>
      </w:r>
      <w:r>
        <w:rPr>
          <w:rFonts w:hint="eastAsia"/>
        </w:rPr>
        <w:t>的定价无从谈起。如今，债券市场的有序违约，迎来了市场对信用缓释工具的需求，中国版</w:t>
      </w:r>
      <w:r>
        <w:rPr>
          <w:rFonts w:hint="eastAsia"/>
        </w:rPr>
        <w:t>CDS</w:t>
      </w:r>
      <w:r>
        <w:rPr>
          <w:rFonts w:hint="eastAsia"/>
        </w:rPr>
        <w:t>能否在新规下破局重生，或将决定着中国债市的未来走向。</w:t>
      </w:r>
    </w:p>
    <w:p w:rsidR="00D62D92" w:rsidRDefault="00D62D92" w:rsidP="00D62D92">
      <w:pPr>
        <w:spacing w:line="360" w:lineRule="auto"/>
        <w:ind w:firstLine="420"/>
      </w:pPr>
    </w:p>
    <w:p w:rsidR="00117FC3" w:rsidRDefault="00D32619" w:rsidP="00D62D92">
      <w:pPr>
        <w:spacing w:line="360" w:lineRule="auto"/>
        <w:ind w:firstLine="420"/>
      </w:pPr>
      <w:hyperlink r:id="rId22" w:anchor="wechat_redirect" w:history="1">
        <w:r w:rsidR="00117FC3" w:rsidRPr="003E3496">
          <w:rPr>
            <w:rStyle w:val="a3"/>
          </w:rPr>
          <w:t>http://mp.weixin.qq.com/s?__biz=MzIwOTA4MDU1OA==&amp;mid=2653930839&amp;idx=1&amp;sn=a5005b5ba0e23824d11445a2ed53cc4a&amp;scene=2&amp;srcid=0621rto1Zb33mR14cgMaW0AN&amp;from=timeline&amp;isappinstalled=0#wechat_redirect</w:t>
        </w:r>
      </w:hyperlink>
    </w:p>
    <w:p w:rsidR="00117FC3" w:rsidRDefault="00117FC3" w:rsidP="00741EA2">
      <w:pPr>
        <w:spacing w:line="360" w:lineRule="auto"/>
        <w:ind w:firstLine="420"/>
      </w:pPr>
    </w:p>
    <w:p w:rsidR="00117FC3" w:rsidRDefault="00D32619" w:rsidP="00741EA2">
      <w:pPr>
        <w:spacing w:line="360" w:lineRule="auto"/>
        <w:ind w:firstLine="420"/>
      </w:pPr>
      <w:hyperlink r:id="rId23" w:anchor="wechat_redirect" w:history="1">
        <w:r w:rsidR="00117FC3" w:rsidRPr="003E3496">
          <w:rPr>
            <w:rStyle w:val="a3"/>
          </w:rPr>
          <w:t>http://mp.weixin.qq.com/s?__biz=MzA5MjE1MjMzNg==&amp;mid=2650178092&amp;idx=4&amp;sn=44293ebed6b58c47260980d7a8a1de7e&amp;scene=7#wechat_redirect</w:t>
        </w:r>
      </w:hyperlink>
    </w:p>
    <w:p w:rsidR="00117FC3" w:rsidRDefault="00117FC3" w:rsidP="00741EA2">
      <w:pPr>
        <w:spacing w:line="360" w:lineRule="auto"/>
        <w:ind w:firstLine="420"/>
      </w:pPr>
    </w:p>
    <w:p w:rsidR="00117FC3" w:rsidRDefault="00D32619" w:rsidP="00741EA2">
      <w:pPr>
        <w:spacing w:line="360" w:lineRule="auto"/>
        <w:ind w:firstLine="420"/>
      </w:pPr>
      <w:hyperlink r:id="rId24" w:anchor="wechat_redirect" w:history="1">
        <w:r w:rsidR="00117FC3" w:rsidRPr="003E3496">
          <w:rPr>
            <w:rStyle w:val="a3"/>
          </w:rPr>
          <w:t>http://mp.weixin.qq.com/s?__biz=MzA4MzA1MjIzOQ==&amp;mid=2650710414&amp;idx=3&amp;sn=89cee057d95c43c553789a37704773cc&amp;scene=7#wechat_redirect</w:t>
        </w:r>
      </w:hyperlink>
    </w:p>
    <w:p w:rsidR="00117FC3" w:rsidRDefault="00117FC3" w:rsidP="00741EA2">
      <w:pPr>
        <w:spacing w:line="360" w:lineRule="auto"/>
        <w:ind w:firstLine="420"/>
      </w:pPr>
    </w:p>
    <w:p w:rsidR="00117FC3" w:rsidRDefault="00D32619" w:rsidP="00741EA2">
      <w:pPr>
        <w:spacing w:line="360" w:lineRule="auto"/>
        <w:ind w:firstLine="420"/>
      </w:pPr>
      <w:hyperlink r:id="rId25" w:anchor="wechat_redirect" w:history="1">
        <w:r w:rsidR="00117FC3" w:rsidRPr="003E3496">
          <w:rPr>
            <w:rStyle w:val="a3"/>
          </w:rPr>
          <w:t>http://mp.weixin.qq.com/s?__biz=MzI1MzM2NzA3MA==&amp;mid=2247484021&amp;idx=2&amp;sn=0dee075aa9e50cc6931ba0117fd86ca7&amp;scene=7#wechat_redirect</w:t>
        </w:r>
      </w:hyperlink>
    </w:p>
    <w:p w:rsidR="00117FC3" w:rsidRDefault="00117FC3" w:rsidP="00741EA2">
      <w:pPr>
        <w:spacing w:line="360" w:lineRule="auto"/>
        <w:ind w:firstLine="420"/>
      </w:pPr>
    </w:p>
    <w:p w:rsidR="00117FC3" w:rsidRDefault="00D32619" w:rsidP="00741EA2">
      <w:pPr>
        <w:spacing w:line="360" w:lineRule="auto"/>
        <w:ind w:firstLine="420"/>
      </w:pPr>
      <w:hyperlink r:id="rId26" w:anchor="wechat_redirect" w:history="1">
        <w:r w:rsidR="00117FC3" w:rsidRPr="003E3496">
          <w:rPr>
            <w:rStyle w:val="a3"/>
          </w:rPr>
          <w:t>http://mp.weixin.qq.com/s?__biz=MzAwNzMzODYyNg==&amp;mid=2650359430&amp;idx=1&amp;sn=4f0bf66b711a7363fe718d69fc38c2b9&amp;scene=1&amp;srcid=0725div6OSfVbZ4wRzbcATkG#wechat_redirect</w:t>
        </w:r>
      </w:hyperlink>
    </w:p>
    <w:p w:rsidR="00117FC3" w:rsidRPr="00741EA2" w:rsidRDefault="00117FC3" w:rsidP="00741EA2">
      <w:pPr>
        <w:spacing w:line="360" w:lineRule="auto"/>
        <w:ind w:firstLine="420"/>
      </w:pPr>
    </w:p>
    <w:sectPr w:rsidR="00117FC3" w:rsidRPr="00741E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868"/>
    <w:rsid w:val="00030969"/>
    <w:rsid w:val="000618B3"/>
    <w:rsid w:val="00117FC3"/>
    <w:rsid w:val="001725B6"/>
    <w:rsid w:val="00175959"/>
    <w:rsid w:val="001D3088"/>
    <w:rsid w:val="00215C61"/>
    <w:rsid w:val="00263EE4"/>
    <w:rsid w:val="00332DD4"/>
    <w:rsid w:val="003D309A"/>
    <w:rsid w:val="004710C2"/>
    <w:rsid w:val="004C5868"/>
    <w:rsid w:val="00510873"/>
    <w:rsid w:val="0056411A"/>
    <w:rsid w:val="005E0B7B"/>
    <w:rsid w:val="006E697B"/>
    <w:rsid w:val="00741EA2"/>
    <w:rsid w:val="00872652"/>
    <w:rsid w:val="008B78C1"/>
    <w:rsid w:val="0097004C"/>
    <w:rsid w:val="00A73D56"/>
    <w:rsid w:val="00AA0EA4"/>
    <w:rsid w:val="00AA1844"/>
    <w:rsid w:val="00AA4AED"/>
    <w:rsid w:val="00B3411D"/>
    <w:rsid w:val="00BF179D"/>
    <w:rsid w:val="00C50B68"/>
    <w:rsid w:val="00D32619"/>
    <w:rsid w:val="00D62D92"/>
    <w:rsid w:val="00D65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84C71F-3125-4320-8B1B-EA66A04E0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117F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260502">
      <w:bodyDiv w:val="1"/>
      <w:marLeft w:val="0"/>
      <w:marRight w:val="0"/>
      <w:marTop w:val="0"/>
      <w:marBottom w:val="0"/>
      <w:divBdr>
        <w:top w:val="none" w:sz="0" w:space="0" w:color="auto"/>
        <w:left w:val="none" w:sz="0" w:space="0" w:color="auto"/>
        <w:bottom w:val="none" w:sz="0" w:space="0" w:color="auto"/>
        <w:right w:val="none" w:sz="0" w:space="0" w:color="auto"/>
      </w:divBdr>
    </w:div>
    <w:div w:id="629702353">
      <w:bodyDiv w:val="1"/>
      <w:marLeft w:val="0"/>
      <w:marRight w:val="0"/>
      <w:marTop w:val="0"/>
      <w:marBottom w:val="0"/>
      <w:divBdr>
        <w:top w:val="none" w:sz="0" w:space="0" w:color="auto"/>
        <w:left w:val="none" w:sz="0" w:space="0" w:color="auto"/>
        <w:bottom w:val="none" w:sz="0" w:space="0" w:color="auto"/>
        <w:right w:val="none" w:sz="0" w:space="0" w:color="auto"/>
      </w:divBdr>
    </w:div>
    <w:div w:id="698317076">
      <w:bodyDiv w:val="1"/>
      <w:marLeft w:val="0"/>
      <w:marRight w:val="0"/>
      <w:marTop w:val="0"/>
      <w:marBottom w:val="0"/>
      <w:divBdr>
        <w:top w:val="none" w:sz="0" w:space="0" w:color="auto"/>
        <w:left w:val="none" w:sz="0" w:space="0" w:color="auto"/>
        <w:bottom w:val="none" w:sz="0" w:space="0" w:color="auto"/>
        <w:right w:val="none" w:sz="0" w:space="0" w:color="auto"/>
      </w:divBdr>
    </w:div>
    <w:div w:id="894661767">
      <w:bodyDiv w:val="1"/>
      <w:marLeft w:val="0"/>
      <w:marRight w:val="0"/>
      <w:marTop w:val="0"/>
      <w:marBottom w:val="0"/>
      <w:divBdr>
        <w:top w:val="none" w:sz="0" w:space="0" w:color="auto"/>
        <w:left w:val="none" w:sz="0" w:space="0" w:color="auto"/>
        <w:bottom w:val="none" w:sz="0" w:space="0" w:color="auto"/>
        <w:right w:val="none" w:sz="0" w:space="0" w:color="auto"/>
      </w:divBdr>
    </w:div>
    <w:div w:id="899438587">
      <w:bodyDiv w:val="1"/>
      <w:marLeft w:val="0"/>
      <w:marRight w:val="0"/>
      <w:marTop w:val="0"/>
      <w:marBottom w:val="0"/>
      <w:divBdr>
        <w:top w:val="none" w:sz="0" w:space="0" w:color="auto"/>
        <w:left w:val="none" w:sz="0" w:space="0" w:color="auto"/>
        <w:bottom w:val="none" w:sz="0" w:space="0" w:color="auto"/>
        <w:right w:val="none" w:sz="0" w:space="0" w:color="auto"/>
      </w:divBdr>
    </w:div>
    <w:div w:id="927619429">
      <w:bodyDiv w:val="1"/>
      <w:marLeft w:val="0"/>
      <w:marRight w:val="0"/>
      <w:marTop w:val="0"/>
      <w:marBottom w:val="0"/>
      <w:divBdr>
        <w:top w:val="none" w:sz="0" w:space="0" w:color="auto"/>
        <w:left w:val="none" w:sz="0" w:space="0" w:color="auto"/>
        <w:bottom w:val="none" w:sz="0" w:space="0" w:color="auto"/>
        <w:right w:val="none" w:sz="0" w:space="0" w:color="auto"/>
      </w:divBdr>
    </w:div>
    <w:div w:id="936208527">
      <w:bodyDiv w:val="1"/>
      <w:marLeft w:val="0"/>
      <w:marRight w:val="0"/>
      <w:marTop w:val="0"/>
      <w:marBottom w:val="0"/>
      <w:divBdr>
        <w:top w:val="none" w:sz="0" w:space="0" w:color="auto"/>
        <w:left w:val="none" w:sz="0" w:space="0" w:color="auto"/>
        <w:bottom w:val="none" w:sz="0" w:space="0" w:color="auto"/>
        <w:right w:val="none" w:sz="0" w:space="0" w:color="auto"/>
      </w:divBdr>
    </w:div>
    <w:div w:id="937714499">
      <w:bodyDiv w:val="1"/>
      <w:marLeft w:val="0"/>
      <w:marRight w:val="0"/>
      <w:marTop w:val="0"/>
      <w:marBottom w:val="0"/>
      <w:divBdr>
        <w:top w:val="none" w:sz="0" w:space="0" w:color="auto"/>
        <w:left w:val="none" w:sz="0" w:space="0" w:color="auto"/>
        <w:bottom w:val="none" w:sz="0" w:space="0" w:color="auto"/>
        <w:right w:val="none" w:sz="0" w:space="0" w:color="auto"/>
      </w:divBdr>
    </w:div>
    <w:div w:id="958951269">
      <w:bodyDiv w:val="1"/>
      <w:marLeft w:val="0"/>
      <w:marRight w:val="0"/>
      <w:marTop w:val="0"/>
      <w:marBottom w:val="0"/>
      <w:divBdr>
        <w:top w:val="none" w:sz="0" w:space="0" w:color="auto"/>
        <w:left w:val="none" w:sz="0" w:space="0" w:color="auto"/>
        <w:bottom w:val="none" w:sz="0" w:space="0" w:color="auto"/>
        <w:right w:val="none" w:sz="0" w:space="0" w:color="auto"/>
      </w:divBdr>
    </w:div>
    <w:div w:id="990518314">
      <w:bodyDiv w:val="1"/>
      <w:marLeft w:val="0"/>
      <w:marRight w:val="0"/>
      <w:marTop w:val="0"/>
      <w:marBottom w:val="0"/>
      <w:divBdr>
        <w:top w:val="none" w:sz="0" w:space="0" w:color="auto"/>
        <w:left w:val="none" w:sz="0" w:space="0" w:color="auto"/>
        <w:bottom w:val="none" w:sz="0" w:space="0" w:color="auto"/>
        <w:right w:val="none" w:sz="0" w:space="0" w:color="auto"/>
      </w:divBdr>
    </w:div>
    <w:div w:id="1208444404">
      <w:bodyDiv w:val="1"/>
      <w:marLeft w:val="0"/>
      <w:marRight w:val="0"/>
      <w:marTop w:val="0"/>
      <w:marBottom w:val="0"/>
      <w:divBdr>
        <w:top w:val="none" w:sz="0" w:space="0" w:color="auto"/>
        <w:left w:val="none" w:sz="0" w:space="0" w:color="auto"/>
        <w:bottom w:val="none" w:sz="0" w:space="0" w:color="auto"/>
        <w:right w:val="none" w:sz="0" w:space="0" w:color="auto"/>
      </w:divBdr>
    </w:div>
    <w:div w:id="1263878278">
      <w:bodyDiv w:val="1"/>
      <w:marLeft w:val="0"/>
      <w:marRight w:val="0"/>
      <w:marTop w:val="0"/>
      <w:marBottom w:val="0"/>
      <w:divBdr>
        <w:top w:val="none" w:sz="0" w:space="0" w:color="auto"/>
        <w:left w:val="none" w:sz="0" w:space="0" w:color="auto"/>
        <w:bottom w:val="none" w:sz="0" w:space="0" w:color="auto"/>
        <w:right w:val="none" w:sz="0" w:space="0" w:color="auto"/>
      </w:divBdr>
    </w:div>
    <w:div w:id="1336112999">
      <w:bodyDiv w:val="1"/>
      <w:marLeft w:val="0"/>
      <w:marRight w:val="0"/>
      <w:marTop w:val="0"/>
      <w:marBottom w:val="0"/>
      <w:divBdr>
        <w:top w:val="none" w:sz="0" w:space="0" w:color="auto"/>
        <w:left w:val="none" w:sz="0" w:space="0" w:color="auto"/>
        <w:bottom w:val="none" w:sz="0" w:space="0" w:color="auto"/>
        <w:right w:val="none" w:sz="0" w:space="0" w:color="auto"/>
      </w:divBdr>
    </w:div>
    <w:div w:id="1372461675">
      <w:bodyDiv w:val="1"/>
      <w:marLeft w:val="0"/>
      <w:marRight w:val="0"/>
      <w:marTop w:val="0"/>
      <w:marBottom w:val="0"/>
      <w:divBdr>
        <w:top w:val="none" w:sz="0" w:space="0" w:color="auto"/>
        <w:left w:val="none" w:sz="0" w:space="0" w:color="auto"/>
        <w:bottom w:val="none" w:sz="0" w:space="0" w:color="auto"/>
        <w:right w:val="none" w:sz="0" w:space="0" w:color="auto"/>
      </w:divBdr>
    </w:div>
    <w:div w:id="1612778199">
      <w:bodyDiv w:val="1"/>
      <w:marLeft w:val="0"/>
      <w:marRight w:val="0"/>
      <w:marTop w:val="0"/>
      <w:marBottom w:val="0"/>
      <w:divBdr>
        <w:top w:val="none" w:sz="0" w:space="0" w:color="auto"/>
        <w:left w:val="none" w:sz="0" w:space="0" w:color="auto"/>
        <w:bottom w:val="none" w:sz="0" w:space="0" w:color="auto"/>
        <w:right w:val="none" w:sz="0" w:space="0" w:color="auto"/>
      </w:divBdr>
    </w:div>
    <w:div w:id="1792816484">
      <w:bodyDiv w:val="1"/>
      <w:marLeft w:val="0"/>
      <w:marRight w:val="0"/>
      <w:marTop w:val="0"/>
      <w:marBottom w:val="0"/>
      <w:divBdr>
        <w:top w:val="none" w:sz="0" w:space="0" w:color="auto"/>
        <w:left w:val="none" w:sz="0" w:space="0" w:color="auto"/>
        <w:bottom w:val="none" w:sz="0" w:space="0" w:color="auto"/>
        <w:right w:val="none" w:sz="0" w:space="0" w:color="auto"/>
      </w:divBdr>
    </w:div>
    <w:div w:id="1808232517">
      <w:bodyDiv w:val="1"/>
      <w:marLeft w:val="0"/>
      <w:marRight w:val="0"/>
      <w:marTop w:val="0"/>
      <w:marBottom w:val="0"/>
      <w:divBdr>
        <w:top w:val="none" w:sz="0" w:space="0" w:color="auto"/>
        <w:left w:val="none" w:sz="0" w:space="0" w:color="auto"/>
        <w:bottom w:val="none" w:sz="0" w:space="0" w:color="auto"/>
        <w:right w:val="none" w:sz="0" w:space="0" w:color="auto"/>
      </w:divBdr>
    </w:div>
    <w:div w:id="1930890784">
      <w:bodyDiv w:val="1"/>
      <w:marLeft w:val="0"/>
      <w:marRight w:val="0"/>
      <w:marTop w:val="0"/>
      <w:marBottom w:val="0"/>
      <w:divBdr>
        <w:top w:val="none" w:sz="0" w:space="0" w:color="auto"/>
        <w:left w:val="none" w:sz="0" w:space="0" w:color="auto"/>
        <w:bottom w:val="none" w:sz="0" w:space="0" w:color="auto"/>
        <w:right w:val="none" w:sz="0" w:space="0" w:color="auto"/>
      </w:divBdr>
    </w:div>
    <w:div w:id="1958680041">
      <w:bodyDiv w:val="1"/>
      <w:marLeft w:val="0"/>
      <w:marRight w:val="0"/>
      <w:marTop w:val="0"/>
      <w:marBottom w:val="0"/>
      <w:divBdr>
        <w:top w:val="none" w:sz="0" w:space="0" w:color="auto"/>
        <w:left w:val="none" w:sz="0" w:space="0" w:color="auto"/>
        <w:bottom w:val="none" w:sz="0" w:space="0" w:color="auto"/>
        <w:right w:val="none" w:sz="0" w:space="0" w:color="auto"/>
      </w:divBdr>
    </w:div>
    <w:div w:id="2037928993">
      <w:bodyDiv w:val="1"/>
      <w:marLeft w:val="0"/>
      <w:marRight w:val="0"/>
      <w:marTop w:val="0"/>
      <w:marBottom w:val="0"/>
      <w:divBdr>
        <w:top w:val="none" w:sz="0" w:space="0" w:color="auto"/>
        <w:left w:val="none" w:sz="0" w:space="0" w:color="auto"/>
        <w:bottom w:val="none" w:sz="0" w:space="0" w:color="auto"/>
        <w:right w:val="none" w:sz="0" w:space="0" w:color="auto"/>
      </w:divBdr>
    </w:div>
    <w:div w:id="2045597242">
      <w:bodyDiv w:val="1"/>
      <w:marLeft w:val="0"/>
      <w:marRight w:val="0"/>
      <w:marTop w:val="0"/>
      <w:marBottom w:val="0"/>
      <w:divBdr>
        <w:top w:val="none" w:sz="0" w:space="0" w:color="auto"/>
        <w:left w:val="none" w:sz="0" w:space="0" w:color="auto"/>
        <w:bottom w:val="none" w:sz="0" w:space="0" w:color="auto"/>
        <w:right w:val="none" w:sz="0" w:space="0" w:color="auto"/>
      </w:divBdr>
    </w:div>
    <w:div w:id="2052877657">
      <w:bodyDiv w:val="1"/>
      <w:marLeft w:val="0"/>
      <w:marRight w:val="0"/>
      <w:marTop w:val="0"/>
      <w:marBottom w:val="0"/>
      <w:divBdr>
        <w:top w:val="none" w:sz="0" w:space="0" w:color="auto"/>
        <w:left w:val="none" w:sz="0" w:space="0" w:color="auto"/>
        <w:bottom w:val="none" w:sz="0" w:space="0" w:color="auto"/>
        <w:right w:val="none" w:sz="0" w:space="0" w:color="auto"/>
      </w:divBdr>
    </w:div>
    <w:div w:id="2104719641">
      <w:bodyDiv w:val="1"/>
      <w:marLeft w:val="0"/>
      <w:marRight w:val="0"/>
      <w:marTop w:val="0"/>
      <w:marBottom w:val="0"/>
      <w:divBdr>
        <w:top w:val="none" w:sz="0" w:space="0" w:color="auto"/>
        <w:left w:val="none" w:sz="0" w:space="0" w:color="auto"/>
        <w:bottom w:val="none" w:sz="0" w:space="0" w:color="auto"/>
        <w:right w:val="none" w:sz="0" w:space="0" w:color="auto"/>
      </w:divBdr>
    </w:div>
    <w:div w:id="2128816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mp.weixin.qq.com/s?__biz=MzAwNzMzODYyNg==&amp;mid=2650359430&amp;idx=1&amp;sn=4f0bf66b711a7363fe718d69fc38c2b9&amp;scene=1&amp;srcid=0725div6OSfVbZ4wRzbcATk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mp.weixin.qq.com/s?__biz=MzI1MzM2NzA3MA==&amp;mid=2247484021&amp;idx=2&amp;sn=0dee075aa9e50cc6931ba0117fd86ca7&amp;scene=7"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mp.weixin.qq.com/s?__biz=MzA4MzA1MjIzOQ==&amp;mid=2650710414&amp;idx=3&amp;sn=89cee057d95c43c553789a37704773cc&amp;scene=7"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mp.weixin.qq.com/s?__biz=MzA5MjE1MjMzNg==&amp;mid=2650178092&amp;idx=4&amp;sn=44293ebed6b58c47260980d7a8a1de7e&amp;scene=7"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mp.weixin.qq.com/s?__biz=MzIwOTA4MDU1OA==&amp;mid=2653930839&amp;idx=1&amp;sn=a5005b5ba0e23824d11445a2ed53cc4a&amp;scene=2&amp;srcid=0621rto1Zb33mR14cgMaW0AN&amp;from=timeline&amp;isappinstalled=0" TargetMode="Externa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6F5063-A82A-48FE-8D7B-B63F09C52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2446</Words>
  <Characters>13945</Characters>
  <Application>Microsoft Office Word</Application>
  <DocSecurity>0</DocSecurity>
  <Lines>116</Lines>
  <Paragraphs>32</Paragraphs>
  <ScaleCrop>false</ScaleCrop>
  <Company/>
  <LinksUpToDate>false</LinksUpToDate>
  <CharactersWithSpaces>16359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dc:creator>
  <cp:keywords/>
  <dc:description/>
  <cp:lastModifiedBy>Shih Chosen</cp:lastModifiedBy>
  <cp:revision>2</cp:revision>
  <cp:lastPrinted>2016-09-11T03:35:00Z</cp:lastPrinted>
  <dcterms:created xsi:type="dcterms:W3CDTF">2016-09-11T03:38:00Z</dcterms:created>
  <dcterms:modified xsi:type="dcterms:W3CDTF">2016-09-11T03:38:00Z</dcterms:modified>
</cp:coreProperties>
</file>