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平台角色：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也可以认为是一种身份。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子系统持有者：系统所有者，享有该系统售卖时的利润，及持有系统股份。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模块持有者：开发人员，持有其开发模块分红。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代理：拥有租户，引导租户成功签署合约时，获取中间利润。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租户：子系统及模块租赁者，通过签署期限合约，获取模块使用权限。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基本架构：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28866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测试报告从1-8是一个测试流程。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780631"/>
    <w:rsid w:val="48276920"/>
    <w:rsid w:val="497F0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Administrator.SC-201607110103</dc:creator>
  <cp:lastModifiedBy>许志濠</cp:lastModifiedBy>
  <dcterms:modified xsi:type="dcterms:W3CDTF">2019-06-27T17:23:54Z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