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410DB" w14:textId="6C3372A1" w:rsidR="00E4319C" w:rsidRDefault="00972DA3" w:rsidP="00972DA3">
      <w:pPr>
        <w:jc w:val="center"/>
        <w:outlineLvl w:val="0"/>
        <w:rPr>
          <w:b/>
          <w:sz w:val="28"/>
          <w:szCs w:val="28"/>
        </w:rPr>
      </w:pPr>
      <w:proofErr w:type="spellStart"/>
      <w:r>
        <w:rPr>
          <w:b/>
          <w:sz w:val="28"/>
          <w:szCs w:val="28"/>
        </w:rPr>
        <w:t>ParConnect</w:t>
      </w:r>
      <w:proofErr w:type="spellEnd"/>
      <w:r w:rsidR="00A12C27">
        <w:rPr>
          <w:b/>
          <w:sz w:val="28"/>
          <w:szCs w:val="28"/>
        </w:rPr>
        <w:t xml:space="preserve"> Reproducibility Report</w:t>
      </w:r>
    </w:p>
    <w:p w14:paraId="40F77B79" w14:textId="77777777" w:rsidR="00A12C27" w:rsidRDefault="00A12C27" w:rsidP="00972DA3">
      <w:pPr>
        <w:jc w:val="center"/>
        <w:outlineLvl w:val="0"/>
        <w:rPr>
          <w:b/>
        </w:rPr>
      </w:pPr>
      <w:proofErr w:type="spellStart"/>
      <w:r>
        <w:rPr>
          <w:b/>
        </w:rPr>
        <w:t>Supercomputes</w:t>
      </w:r>
      <w:proofErr w:type="spellEnd"/>
    </w:p>
    <w:p w14:paraId="7148A998" w14:textId="77777777" w:rsidR="006E4D8D" w:rsidRDefault="006E4D8D" w:rsidP="00DB3312">
      <w:pPr>
        <w:jc w:val="center"/>
        <w:rPr>
          <w:b/>
        </w:rPr>
      </w:pPr>
    </w:p>
    <w:p w14:paraId="0B9F27DB" w14:textId="77777777" w:rsidR="006E4D8D" w:rsidRDefault="006E4D8D" w:rsidP="00972DA3">
      <w:pPr>
        <w:jc w:val="center"/>
        <w:outlineLvl w:val="0"/>
        <w:rPr>
          <w:b/>
        </w:rPr>
      </w:pPr>
      <w:r>
        <w:rPr>
          <w:b/>
        </w:rPr>
        <w:t>Introduction</w:t>
      </w:r>
    </w:p>
    <w:p w14:paraId="73C8A4F1" w14:textId="5BACD792" w:rsidR="00C77973" w:rsidRDefault="006829C3" w:rsidP="005573C9">
      <w:pPr>
        <w:jc w:val="both"/>
      </w:pPr>
      <w:r>
        <w:t xml:space="preserve">   </w:t>
      </w:r>
      <w:r w:rsidR="0076625D">
        <w:t>The paper describes a new, distributed algorithm for finding connected components</w:t>
      </w:r>
      <w:r w:rsidR="00C77973">
        <w:t xml:space="preserve"> in gr</w:t>
      </w:r>
      <w:r w:rsidR="00A20DA9">
        <w:t xml:space="preserve">aphs, specifically for de </w:t>
      </w:r>
      <w:proofErr w:type="spellStart"/>
      <w:r w:rsidR="00A20DA9">
        <w:t>Bruij</w:t>
      </w:r>
      <w:r w:rsidR="00C77973">
        <w:t>n</w:t>
      </w:r>
      <w:proofErr w:type="spellEnd"/>
      <w:r w:rsidR="00C77973">
        <w:t xml:space="preserve"> graphs for </w:t>
      </w:r>
      <w:proofErr w:type="spellStart"/>
      <w:r w:rsidR="00C77973">
        <w:t>metagenomic</w:t>
      </w:r>
      <w:proofErr w:type="spellEnd"/>
      <w:r w:rsidR="004543AD">
        <w:t xml:space="preserve"> assembly. A </w:t>
      </w:r>
      <w:r w:rsidR="00C77973">
        <w:t>bucketing algorithm based on tuples representing undirected edges in the graph</w:t>
      </w:r>
      <w:r w:rsidR="004543AD">
        <w:t xml:space="preserve"> is used to identify connected components</w:t>
      </w:r>
      <w:r w:rsidR="00C77973">
        <w:t xml:space="preserve">. The number of edges considered is initially distributed evenly across the MPI ranks. A sorting and reverse procedure </w:t>
      </w:r>
      <w:r w:rsidR="6B523D09">
        <w:t>allows</w:t>
      </w:r>
      <w:r w:rsidR="00C77973">
        <w:t xml:space="preserve"> the ranks to find nodes that are connected between MPI ranks, by checking the last element after sort. The authors further describe an </w:t>
      </w:r>
      <w:r w:rsidR="00C77973">
        <w:rPr>
          <w:i/>
        </w:rPr>
        <w:t>active partition</w:t>
      </w:r>
      <w:r w:rsidR="00C77973">
        <w:t xml:space="preserve"> approach where tuples that are part of a component that is not connected to any other nodes are removed. This allows the algorithm to focus on finding new components, while ignoring tuples that are part of a connected component </w:t>
      </w:r>
      <w:r w:rsidR="6B523D09">
        <w:t xml:space="preserve">and </w:t>
      </w:r>
      <w:r w:rsidR="00C77973">
        <w:t>thereby reducing workload. This is the AP algorithm. A further enhancement of AP is proposed where after each BFS iteration, the tuples are redistributed so that all ranks are load balanced. This is the AP_LB algorithm.</w:t>
      </w:r>
      <w:r w:rsidR="006B4CC7">
        <w:t xml:space="preserve"> The </w:t>
      </w:r>
      <w:r w:rsidR="6B523D09">
        <w:t>authors'</w:t>
      </w:r>
      <w:r w:rsidR="006B4CC7">
        <w:t xml:space="preserve"> claims are that the active partition makes the distributed BFS connected-component algorithm faster</w:t>
      </w:r>
      <w:r w:rsidR="6B523D09">
        <w:t>.   By</w:t>
      </w:r>
      <w:r w:rsidR="006B4CC7">
        <w:t xml:space="preserve"> adding load balancing, the algorithm runs faster, as all ranks are working on the same amount of data. We are testing the authors’ assertion that the naive approach is slower than the active partition approach and load balancing further enhances the active partition algorithm. In addition, we are testing the weak scaling behavior of the algorithms.</w:t>
      </w:r>
    </w:p>
    <w:p w14:paraId="736CAE14" w14:textId="77777777" w:rsidR="00A12C27" w:rsidRDefault="00C77973" w:rsidP="00A12C27">
      <w:r>
        <w:tab/>
        <w:t xml:space="preserve"> </w:t>
      </w:r>
    </w:p>
    <w:p w14:paraId="2B5F3146" w14:textId="085B6D4D" w:rsidR="006E4D8D" w:rsidRDefault="00AC1BA3" w:rsidP="00972DA3">
      <w:pPr>
        <w:jc w:val="center"/>
        <w:outlineLvl w:val="0"/>
        <w:rPr>
          <w:b/>
        </w:rPr>
      </w:pPr>
      <w:r>
        <w:rPr>
          <w:b/>
        </w:rPr>
        <w:t>Cluster Details</w:t>
      </w:r>
    </w:p>
    <w:p w14:paraId="7FB55541" w14:textId="4E64DED3" w:rsidR="006B4CC7" w:rsidRPr="006B4CC7" w:rsidRDefault="006829C3" w:rsidP="005573C9">
      <w:pPr>
        <w:jc w:val="both"/>
      </w:pPr>
      <w:r>
        <w:t xml:space="preserve">   </w:t>
      </w:r>
      <w:r w:rsidR="00433FD4">
        <w:t>We have two Dell PowerEdge C</w:t>
      </w:r>
      <w:r w:rsidR="00B54C9B">
        <w:t xml:space="preserve">1430 nodes. Each node has two </w:t>
      </w:r>
      <w:r w:rsidR="00AC1BA3">
        <w:t>Intel Xeon E5-2640 v4 CPUs</w:t>
      </w:r>
      <w:r w:rsidR="00B54C9B">
        <w:t xml:space="preserve"> clocked at </w:t>
      </w:r>
      <w:r w:rsidR="00B54C9B" w:rsidRPr="00B54C9B">
        <w:t>2.40</w:t>
      </w:r>
      <w:r w:rsidR="00AC1BA3">
        <w:t xml:space="preserve"> </w:t>
      </w:r>
      <w:r w:rsidR="00B54C9B" w:rsidRPr="00B54C9B">
        <w:t>GHz</w:t>
      </w:r>
      <w:r w:rsidR="00B54C9B">
        <w:t>. Each socket has 64 GB of</w:t>
      </w:r>
      <w:r w:rsidR="00AC1BA3">
        <w:t xml:space="preserve"> DDR4</w:t>
      </w:r>
      <w:r w:rsidR="00B54C9B">
        <w:t xml:space="preserve"> memory</w:t>
      </w:r>
      <w:r w:rsidR="00AC1BA3">
        <w:t xml:space="preserve"> clocked at 2133 MHz</w:t>
      </w:r>
      <w:r w:rsidR="00B54C9B">
        <w:t>,</w:t>
      </w:r>
      <w:r w:rsidR="00AC1BA3">
        <w:t xml:space="preserve"> with</w:t>
      </w:r>
      <w:r w:rsidR="00B54C9B">
        <w:t xml:space="preserve"> a total of 256 GB of memory across the entire cluster. </w:t>
      </w:r>
      <w:r w:rsidR="00AC6160">
        <w:t xml:space="preserve">Our cluster was supplied by Dell with support from Intel </w:t>
      </w:r>
      <w:r w:rsidR="007D202C">
        <w:t xml:space="preserve">and </w:t>
      </w:r>
      <w:proofErr w:type="spellStart"/>
      <w:r w:rsidR="007D202C">
        <w:t>Nvidia</w:t>
      </w:r>
      <w:proofErr w:type="spellEnd"/>
      <w:r w:rsidR="00171685">
        <w:t xml:space="preserve">. For our interconnect, we use </w:t>
      </w:r>
      <w:r w:rsidR="0087025F">
        <w:t>four</w:t>
      </w:r>
      <w:r w:rsidR="00171685">
        <w:t xml:space="preserve"> </w:t>
      </w:r>
      <w:r w:rsidR="00AC6160">
        <w:t>Intel Omni</w:t>
      </w:r>
      <w:r w:rsidR="00171685">
        <w:t>-</w:t>
      </w:r>
      <w:r w:rsidR="00AC6160">
        <w:t>Path</w:t>
      </w:r>
      <w:r w:rsidR="00A2544A">
        <w:t xml:space="preserve"> Fabric 100 </w:t>
      </w:r>
      <w:r w:rsidR="00906E73">
        <w:t>series cards. We have one Omni-Path card tied to each socket’</w:t>
      </w:r>
      <w:r w:rsidR="007D202C">
        <w:t xml:space="preserve">s </w:t>
      </w:r>
      <w:proofErr w:type="spellStart"/>
      <w:r w:rsidR="007D202C">
        <w:t>PCI</w:t>
      </w:r>
      <w:r w:rsidR="00906E73">
        <w:t>e</w:t>
      </w:r>
      <w:proofErr w:type="spellEnd"/>
      <w:r w:rsidR="0046478D">
        <w:t xml:space="preserve"> 3</w:t>
      </w:r>
      <w:r w:rsidR="00906E73">
        <w:t xml:space="preserve"> bus with 8 lanes</w:t>
      </w:r>
      <w:r w:rsidR="00F14158">
        <w:t xml:space="preserve">, this gives a </w:t>
      </w:r>
      <w:r w:rsidR="007D202C">
        <w:t xml:space="preserve">theoretical bandwidth of </w:t>
      </w:r>
      <w:r w:rsidR="004249D3">
        <w:t xml:space="preserve">7.88 GB/s </w:t>
      </w:r>
      <w:r w:rsidR="00492E74">
        <w:t>per connection</w:t>
      </w:r>
      <w:r w:rsidR="00906E73">
        <w:t>.  T</w:t>
      </w:r>
      <w:r w:rsidR="00A2544A">
        <w:t xml:space="preserve">he cards </w:t>
      </w:r>
      <w:r w:rsidR="005579F2">
        <w:t xml:space="preserve">are </w:t>
      </w:r>
      <w:r w:rsidR="00A2544A">
        <w:t>connected directly</w:t>
      </w:r>
      <w:r w:rsidR="00392777">
        <w:t xml:space="preserve"> in a dual-plane configuration</w:t>
      </w:r>
      <w:r w:rsidR="00A2544A">
        <w:t xml:space="preserve"> between the two nodes</w:t>
      </w:r>
      <w:r w:rsidR="00906E73">
        <w:t>, forming a ring topology</w:t>
      </w:r>
      <w:r w:rsidR="005579F2">
        <w:t xml:space="preserve"> between the </w:t>
      </w:r>
      <w:r w:rsidR="001D1CE3">
        <w:t xml:space="preserve">four </w:t>
      </w:r>
      <w:r w:rsidR="005579F2">
        <w:t>sockets</w:t>
      </w:r>
      <w:r w:rsidR="00A2544A">
        <w:t>.</w:t>
      </w:r>
      <w:r w:rsidR="006B4CC7">
        <w:t xml:space="preserve"> The cluster runs CentOS 7 with Linux kernel version </w:t>
      </w:r>
      <w:r w:rsidR="006B4CC7" w:rsidRPr="006B4CC7">
        <w:t>3.10.0-327.36.3.el7.x86_64</w:t>
      </w:r>
      <w:r w:rsidR="006B4CC7">
        <w:t>.</w:t>
      </w:r>
    </w:p>
    <w:p w14:paraId="51C3C78E" w14:textId="35521130" w:rsidR="00E56527" w:rsidRDefault="00E56527" w:rsidP="00E56527"/>
    <w:p w14:paraId="234DE583" w14:textId="782637B7" w:rsidR="0034419F" w:rsidRDefault="0034419F" w:rsidP="00972DA3">
      <w:pPr>
        <w:jc w:val="center"/>
        <w:outlineLvl w:val="0"/>
        <w:rPr>
          <w:b/>
        </w:rPr>
      </w:pPr>
      <w:r>
        <w:rPr>
          <w:b/>
        </w:rPr>
        <w:t xml:space="preserve">Compiling </w:t>
      </w:r>
      <w:proofErr w:type="spellStart"/>
      <w:r w:rsidR="00972DA3">
        <w:rPr>
          <w:b/>
        </w:rPr>
        <w:t>ParConnect</w:t>
      </w:r>
      <w:proofErr w:type="spellEnd"/>
    </w:p>
    <w:p w14:paraId="5A5D84C4" w14:textId="670799D9" w:rsidR="00E920EE" w:rsidRDefault="006829C3" w:rsidP="004464CD">
      <w:pPr>
        <w:jc w:val="both"/>
      </w:pPr>
      <w:r>
        <w:t xml:space="preserve">   </w:t>
      </w:r>
      <w:r w:rsidR="0034419F">
        <w:t xml:space="preserve">To compile </w:t>
      </w:r>
      <w:proofErr w:type="spellStart"/>
      <w:r w:rsidR="00972DA3">
        <w:t>ParConnect</w:t>
      </w:r>
      <w:proofErr w:type="spellEnd"/>
      <w:r w:rsidR="0034419F">
        <w:t xml:space="preserve"> we cloned the repository as indicated in the instructions. We </w:t>
      </w:r>
      <w:r w:rsidR="00E920EE">
        <w:t xml:space="preserve">use </w:t>
      </w:r>
      <w:proofErr w:type="spellStart"/>
      <w:r w:rsidR="00E920EE">
        <w:t>cmake</w:t>
      </w:r>
      <w:proofErr w:type="spellEnd"/>
      <w:r w:rsidR="00E920EE">
        <w:t xml:space="preserve"> to configure the build with </w:t>
      </w:r>
      <w:r w:rsidR="00E920EE">
        <w:rPr>
          <w:b/>
        </w:rPr>
        <w:t xml:space="preserve">-DBENCHMARK_ENABLE_CONN=ON </w:t>
      </w:r>
      <w:r w:rsidR="00E920EE">
        <w:t xml:space="preserve">to enable the benchmarking program. </w:t>
      </w:r>
      <w:r w:rsidR="005D37B9">
        <w:t xml:space="preserve">We made a modification to the </w:t>
      </w:r>
      <w:proofErr w:type="spellStart"/>
      <w:r w:rsidR="005D37B9">
        <w:t>kmer</w:t>
      </w:r>
      <w:proofErr w:type="spellEnd"/>
      <w:r w:rsidR="005D37B9">
        <w:t xml:space="preserve"> reader to keep track of the number of reads </w:t>
      </w:r>
      <w:r w:rsidR="00250FDF">
        <w:t>per MPI rank</w:t>
      </w:r>
      <w:r w:rsidR="6B523D09">
        <w:t>.  In</w:t>
      </w:r>
      <w:r w:rsidR="00250FDF">
        <w:t xml:space="preserve"> </w:t>
      </w:r>
      <w:proofErr w:type="spellStart"/>
      <w:r w:rsidR="00250FDF">
        <w:t>benchmark_</w:t>
      </w:r>
      <w:r w:rsidR="00C04DDF">
        <w:t>parc</w:t>
      </w:r>
      <w:r w:rsidR="00972DA3">
        <w:t>onnect</w:t>
      </w:r>
      <w:proofErr w:type="spellEnd"/>
      <w:r w:rsidR="00250FDF">
        <w:t xml:space="preserve"> we reduced th</w:t>
      </w:r>
      <w:r w:rsidR="00A055B4">
        <w:t xml:space="preserve">e measured reads to print out the total reads in case we had to do Figure 1. We made no changes to the core algorithm. We pre-compiled </w:t>
      </w:r>
      <w:proofErr w:type="spellStart"/>
      <w:r w:rsidR="00972DA3">
        <w:t>ParConnect</w:t>
      </w:r>
      <w:proofErr w:type="spellEnd"/>
      <w:r w:rsidR="00A055B4">
        <w:t xml:space="preserve"> with each of the three algorithms in preparation for the competition. During our testing phase, we tried </w:t>
      </w:r>
      <w:proofErr w:type="spellStart"/>
      <w:r w:rsidR="00A055B4">
        <w:t>OpenMPI</w:t>
      </w:r>
      <w:proofErr w:type="spellEnd"/>
      <w:r w:rsidR="00A055B4">
        <w:t xml:space="preserve">, MVAPICH and Intel MPI. We ultimately settled on Intel MPI because we found it worked best with our Omni-Path interconnect. We encountered no issues when compiling </w:t>
      </w:r>
      <w:proofErr w:type="spellStart"/>
      <w:r w:rsidR="00972DA3">
        <w:t>ParConnect</w:t>
      </w:r>
      <w:proofErr w:type="spellEnd"/>
      <w:r w:rsidR="00A055B4">
        <w:t xml:space="preserve"> on our machine. We used GCC 4.9.2 for our compiler and Intel MPI </w:t>
      </w:r>
      <w:r w:rsidR="00A055B4" w:rsidRPr="00A055B4">
        <w:t>5.1.3 Build 20160120</w:t>
      </w:r>
      <w:r w:rsidR="00756198">
        <w:t xml:space="preserve"> for </w:t>
      </w:r>
      <w:r w:rsidR="00854CDC">
        <w:t>our MPI runtime</w:t>
      </w:r>
      <w:r w:rsidR="00A055B4">
        <w:t>.</w:t>
      </w:r>
    </w:p>
    <w:p w14:paraId="3E801D14" w14:textId="77777777" w:rsidR="00786700" w:rsidRDefault="00786700" w:rsidP="00E920EE"/>
    <w:p w14:paraId="16F6E13D" w14:textId="610B0F85" w:rsidR="00786700" w:rsidRPr="00E920EE" w:rsidRDefault="00786700" w:rsidP="00EA6310"/>
    <w:p w14:paraId="773591EE" w14:textId="5927E1B7" w:rsidR="0034419F" w:rsidRDefault="00EE3C21" w:rsidP="00972DA3">
      <w:pPr>
        <w:jc w:val="center"/>
        <w:outlineLvl w:val="0"/>
        <w:rPr>
          <w:b/>
        </w:rPr>
      </w:pPr>
      <w:r>
        <w:rPr>
          <w:b/>
        </w:rPr>
        <w:lastRenderedPageBreak/>
        <w:t>Results</w:t>
      </w:r>
    </w:p>
    <w:tbl>
      <w:tblPr>
        <w:tblStyle w:val="TableGrid"/>
        <w:tblW w:w="0" w:type="auto"/>
        <w:jc w:val="center"/>
        <w:tblLook w:val="04A0" w:firstRow="1" w:lastRow="0" w:firstColumn="1" w:lastColumn="0" w:noHBand="0" w:noVBand="1"/>
      </w:tblPr>
      <w:tblGrid>
        <w:gridCol w:w="1310"/>
        <w:gridCol w:w="1827"/>
        <w:gridCol w:w="1483"/>
      </w:tblGrid>
      <w:tr w:rsidR="00272CEE" w14:paraId="364BECD1" w14:textId="77777777" w:rsidTr="00EE7722">
        <w:trPr>
          <w:trHeight w:val="256"/>
          <w:jc w:val="center"/>
        </w:trPr>
        <w:tc>
          <w:tcPr>
            <w:tcW w:w="1310" w:type="dxa"/>
            <w:tcBorders>
              <w:top w:val="nil"/>
              <w:left w:val="nil"/>
              <w:bottom w:val="single" w:sz="4" w:space="0" w:color="auto"/>
              <w:right w:val="single" w:sz="4" w:space="0" w:color="auto"/>
            </w:tcBorders>
          </w:tcPr>
          <w:p w14:paraId="70C164F1" w14:textId="77777777" w:rsidR="008B1EB5" w:rsidRDefault="008B1EB5" w:rsidP="008B1EB5">
            <w:pPr>
              <w:jc w:val="center"/>
            </w:pPr>
          </w:p>
        </w:tc>
        <w:tc>
          <w:tcPr>
            <w:tcW w:w="1827" w:type="dxa"/>
            <w:tcBorders>
              <w:left w:val="single" w:sz="4" w:space="0" w:color="auto"/>
            </w:tcBorders>
            <w:vAlign w:val="center"/>
          </w:tcPr>
          <w:p w14:paraId="464A6397" w14:textId="2E36F4C6" w:rsidR="008B1EB5" w:rsidRPr="008B1EB5" w:rsidRDefault="008B1EB5" w:rsidP="00EE7722">
            <w:pPr>
              <w:jc w:val="center"/>
              <w:rPr>
                <w:b/>
              </w:rPr>
            </w:pPr>
            <w:r w:rsidRPr="008B1EB5">
              <w:rPr>
                <w:b/>
              </w:rPr>
              <w:t>Edge Count</w:t>
            </w:r>
          </w:p>
        </w:tc>
        <w:tc>
          <w:tcPr>
            <w:tcW w:w="1483" w:type="dxa"/>
          </w:tcPr>
          <w:p w14:paraId="2EDB8361" w14:textId="5BD3B8D8" w:rsidR="008B1EB5" w:rsidRPr="008B1EB5" w:rsidRDefault="008B1EB5" w:rsidP="008B1EB5">
            <w:pPr>
              <w:jc w:val="center"/>
              <w:rPr>
                <w:b/>
              </w:rPr>
            </w:pPr>
            <w:r w:rsidRPr="008B1EB5">
              <w:rPr>
                <w:b/>
              </w:rPr>
              <w:t>Connected Components</w:t>
            </w:r>
          </w:p>
        </w:tc>
      </w:tr>
      <w:tr w:rsidR="00272CEE" w14:paraId="1D449CB7" w14:textId="77777777" w:rsidTr="00272CEE">
        <w:trPr>
          <w:trHeight w:val="256"/>
          <w:jc w:val="center"/>
        </w:trPr>
        <w:tc>
          <w:tcPr>
            <w:tcW w:w="1310" w:type="dxa"/>
            <w:tcBorders>
              <w:top w:val="single" w:sz="4" w:space="0" w:color="auto"/>
            </w:tcBorders>
          </w:tcPr>
          <w:p w14:paraId="19C8D9D5" w14:textId="51838C1D" w:rsidR="008B1EB5" w:rsidRPr="008B1EB5" w:rsidRDefault="008B1EB5" w:rsidP="008B1EB5">
            <w:pPr>
              <w:jc w:val="center"/>
              <w:rPr>
                <w:b/>
              </w:rPr>
            </w:pPr>
            <w:proofErr w:type="spellStart"/>
            <w:proofErr w:type="gramStart"/>
            <w:r>
              <w:rPr>
                <w:b/>
              </w:rPr>
              <w:t>small.fastq</w:t>
            </w:r>
            <w:proofErr w:type="spellEnd"/>
            <w:proofErr w:type="gramEnd"/>
          </w:p>
        </w:tc>
        <w:tc>
          <w:tcPr>
            <w:tcW w:w="1827" w:type="dxa"/>
          </w:tcPr>
          <w:p w14:paraId="495973EE" w14:textId="1EFB030C" w:rsidR="008B1EB5" w:rsidRDefault="009D3B16" w:rsidP="009D3B16">
            <w:pPr>
              <w:jc w:val="center"/>
            </w:pPr>
            <w:r w:rsidRPr="009D3B16">
              <w:t>90665399</w:t>
            </w:r>
          </w:p>
        </w:tc>
        <w:tc>
          <w:tcPr>
            <w:tcW w:w="1483" w:type="dxa"/>
          </w:tcPr>
          <w:p w14:paraId="07C14A1B" w14:textId="6D6E6E5A" w:rsidR="008B1EB5" w:rsidRDefault="005248C7" w:rsidP="005248C7">
            <w:pPr>
              <w:jc w:val="center"/>
            </w:pPr>
            <w:r w:rsidRPr="005248C7">
              <w:t>1929553</w:t>
            </w:r>
          </w:p>
        </w:tc>
      </w:tr>
      <w:tr w:rsidR="00272CEE" w14:paraId="338D08DD" w14:textId="77777777" w:rsidTr="00272CEE">
        <w:trPr>
          <w:trHeight w:val="256"/>
          <w:jc w:val="center"/>
        </w:trPr>
        <w:tc>
          <w:tcPr>
            <w:tcW w:w="1310" w:type="dxa"/>
          </w:tcPr>
          <w:p w14:paraId="6C3CE714" w14:textId="778C5111" w:rsidR="008B1EB5" w:rsidRPr="008B1EB5" w:rsidRDefault="008B1EB5" w:rsidP="008B1EB5">
            <w:pPr>
              <w:jc w:val="center"/>
              <w:rPr>
                <w:b/>
              </w:rPr>
            </w:pPr>
            <w:proofErr w:type="spellStart"/>
            <w:proofErr w:type="gramStart"/>
            <w:r>
              <w:rPr>
                <w:b/>
              </w:rPr>
              <w:t>large.fastq</w:t>
            </w:r>
            <w:proofErr w:type="spellEnd"/>
            <w:proofErr w:type="gramEnd"/>
          </w:p>
        </w:tc>
        <w:tc>
          <w:tcPr>
            <w:tcW w:w="1827" w:type="dxa"/>
          </w:tcPr>
          <w:p w14:paraId="7779D8DB" w14:textId="74E5D453" w:rsidR="008B1EB5" w:rsidRDefault="00272CEE" w:rsidP="008B1EB5">
            <w:pPr>
              <w:jc w:val="center"/>
            </w:pPr>
            <w:r w:rsidRPr="00272CEE">
              <w:t>442461650</w:t>
            </w:r>
          </w:p>
        </w:tc>
        <w:tc>
          <w:tcPr>
            <w:tcW w:w="1483" w:type="dxa"/>
          </w:tcPr>
          <w:p w14:paraId="18814DA9" w14:textId="3D34EADC" w:rsidR="008B1EB5" w:rsidRDefault="00272CEE" w:rsidP="00272CEE">
            <w:pPr>
              <w:keepNext/>
              <w:jc w:val="center"/>
            </w:pPr>
            <w:r w:rsidRPr="00272CEE">
              <w:t>9006212</w:t>
            </w:r>
          </w:p>
        </w:tc>
      </w:tr>
    </w:tbl>
    <w:p w14:paraId="0FB73D7A" w14:textId="787DB36A" w:rsidR="00272CEE" w:rsidRPr="00FD7E18" w:rsidRDefault="00272CEE" w:rsidP="00272CEE">
      <w:pPr>
        <w:pStyle w:val="Caption"/>
        <w:jc w:val="center"/>
        <w:rPr>
          <w:i w:val="0"/>
        </w:rPr>
      </w:pPr>
      <w:r w:rsidRPr="00FD7E18">
        <w:t xml:space="preserve">Table </w:t>
      </w:r>
      <w:fldSimple w:instr=" SEQ Table \* ARABIC ">
        <w:r w:rsidRPr="00FD7E18">
          <w:rPr>
            <w:noProof/>
          </w:rPr>
          <w:t>1</w:t>
        </w:r>
      </w:fldSimple>
      <w:r w:rsidRPr="00FD7E18">
        <w:t xml:space="preserve">: </w:t>
      </w:r>
      <w:bookmarkStart w:id="0" w:name="OLE_LINK1"/>
      <w:r w:rsidRPr="00FD7E18">
        <w:rPr>
          <w:i w:val="0"/>
        </w:rPr>
        <w:t>Edge counts and connected component counts for the two data sets</w:t>
      </w:r>
    </w:p>
    <w:bookmarkEnd w:id="0"/>
    <w:p w14:paraId="14115885" w14:textId="28C142A0" w:rsidR="00272CEE" w:rsidRPr="00272CEE" w:rsidRDefault="00272CEE" w:rsidP="00BF7E38">
      <w:pPr>
        <w:pStyle w:val="Caption"/>
        <w:jc w:val="center"/>
      </w:pPr>
    </w:p>
    <w:tbl>
      <w:tblPr>
        <w:tblStyle w:val="TableGrid"/>
        <w:tblW w:w="9350" w:type="dxa"/>
        <w:tblLook w:val="04A0" w:firstRow="1" w:lastRow="0" w:firstColumn="1" w:lastColumn="0" w:noHBand="0" w:noVBand="1"/>
      </w:tblPr>
      <w:tblGrid>
        <w:gridCol w:w="501"/>
        <w:gridCol w:w="2956"/>
        <w:gridCol w:w="2956"/>
        <w:gridCol w:w="2937"/>
      </w:tblGrid>
      <w:tr w:rsidR="007F60EC" w14:paraId="4F1E9110" w14:textId="77777777" w:rsidTr="007F60EC">
        <w:trPr>
          <w:trHeight w:val="79"/>
        </w:trPr>
        <w:tc>
          <w:tcPr>
            <w:tcW w:w="502" w:type="dxa"/>
            <w:vMerge w:val="restart"/>
            <w:textDirection w:val="btLr"/>
          </w:tcPr>
          <w:p w14:paraId="57254164" w14:textId="7555651F" w:rsidR="000518A3" w:rsidRDefault="000518A3" w:rsidP="000518A3">
            <w:pPr>
              <w:ind w:left="113" w:right="113"/>
              <w:jc w:val="center"/>
            </w:pPr>
            <w:r>
              <w:t>Time (sec)</w:t>
            </w:r>
          </w:p>
        </w:tc>
        <w:tc>
          <w:tcPr>
            <w:tcW w:w="8848" w:type="dxa"/>
            <w:gridSpan w:val="3"/>
          </w:tcPr>
          <w:p w14:paraId="1A47CA0A" w14:textId="24ADE424" w:rsidR="000518A3" w:rsidRPr="0054063C" w:rsidRDefault="0054063C" w:rsidP="000518A3">
            <w:pPr>
              <w:jc w:val="center"/>
              <w:rPr>
                <w:b/>
              </w:rPr>
            </w:pPr>
            <w:r w:rsidRPr="0054063C">
              <w:rPr>
                <w:b/>
              </w:rPr>
              <w:t>Computation and communication runtime along the iterations</w:t>
            </w:r>
          </w:p>
        </w:tc>
      </w:tr>
      <w:tr w:rsidR="007F60EC" w14:paraId="41A272FB" w14:textId="77777777" w:rsidTr="007F60EC">
        <w:trPr>
          <w:trHeight w:val="37"/>
        </w:trPr>
        <w:tc>
          <w:tcPr>
            <w:tcW w:w="502" w:type="dxa"/>
            <w:vMerge/>
          </w:tcPr>
          <w:p w14:paraId="62AFEBD3" w14:textId="77777777" w:rsidR="000518A3" w:rsidRDefault="000518A3" w:rsidP="000518A3">
            <w:pPr>
              <w:jc w:val="center"/>
            </w:pPr>
          </w:p>
        </w:tc>
        <w:tc>
          <w:tcPr>
            <w:tcW w:w="2962" w:type="dxa"/>
          </w:tcPr>
          <w:p w14:paraId="11F6F5C4" w14:textId="02C60A1A" w:rsidR="000518A3" w:rsidRDefault="000518A3" w:rsidP="000518A3">
            <w:pPr>
              <w:jc w:val="center"/>
            </w:pPr>
            <w:r>
              <w:rPr>
                <w:noProof/>
              </w:rPr>
              <w:drawing>
                <wp:inline distT="0" distB="0" distL="0" distR="0" wp14:anchorId="027E42DE" wp14:editId="6BA75158">
                  <wp:extent cx="1816735" cy="2479040"/>
                  <wp:effectExtent l="0" t="0" r="120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2924" w:type="dxa"/>
          </w:tcPr>
          <w:p w14:paraId="4A3F1A33" w14:textId="388A1BB6" w:rsidR="000518A3" w:rsidRDefault="000518A3" w:rsidP="000518A3">
            <w:pPr>
              <w:jc w:val="center"/>
            </w:pPr>
            <w:r>
              <w:rPr>
                <w:noProof/>
              </w:rPr>
              <w:drawing>
                <wp:inline distT="0" distB="0" distL="0" distR="0" wp14:anchorId="2555F986" wp14:editId="006E7BD5">
                  <wp:extent cx="1819656" cy="2479040"/>
                  <wp:effectExtent l="0" t="0" r="952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962" w:type="dxa"/>
          </w:tcPr>
          <w:p w14:paraId="71DCE0A1" w14:textId="56FC53A1" w:rsidR="000518A3" w:rsidRDefault="0054063C" w:rsidP="000518A3">
            <w:pPr>
              <w:jc w:val="center"/>
            </w:pPr>
            <w:bookmarkStart w:id="1" w:name="_GoBack"/>
            <w:r>
              <w:rPr>
                <w:noProof/>
              </w:rPr>
              <w:drawing>
                <wp:inline distT="0" distB="0" distL="0" distR="0" wp14:anchorId="292123F4" wp14:editId="5AFC1C75">
                  <wp:extent cx="1816100" cy="24790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
          </w:p>
        </w:tc>
      </w:tr>
      <w:tr w:rsidR="007F60EC" w14:paraId="1F8620DD" w14:textId="77777777" w:rsidTr="007F60EC">
        <w:trPr>
          <w:trHeight w:val="51"/>
        </w:trPr>
        <w:tc>
          <w:tcPr>
            <w:tcW w:w="502" w:type="dxa"/>
            <w:vMerge/>
          </w:tcPr>
          <w:p w14:paraId="1021CFA4" w14:textId="77777777" w:rsidR="000518A3" w:rsidRDefault="000518A3" w:rsidP="000518A3">
            <w:pPr>
              <w:jc w:val="center"/>
            </w:pPr>
          </w:p>
        </w:tc>
        <w:tc>
          <w:tcPr>
            <w:tcW w:w="8848" w:type="dxa"/>
            <w:gridSpan w:val="3"/>
          </w:tcPr>
          <w:p w14:paraId="616CA1C0" w14:textId="1CE9CE2B" w:rsidR="000518A3" w:rsidRPr="008E75F0" w:rsidRDefault="008E75F0" w:rsidP="00F967EF">
            <w:pPr>
              <w:keepNext/>
              <w:jc w:val="center"/>
              <w:rPr>
                <w:b/>
              </w:rPr>
            </w:pPr>
            <w:r w:rsidRPr="008E75F0">
              <w:rPr>
                <w:b/>
              </w:rPr>
              <w:t>Iterations</w:t>
            </w:r>
          </w:p>
        </w:tc>
      </w:tr>
    </w:tbl>
    <w:p w14:paraId="43596FEE" w14:textId="71D4CDCB" w:rsidR="008B1EB5" w:rsidRPr="00FD7E18" w:rsidRDefault="00F967EF" w:rsidP="00F967EF">
      <w:pPr>
        <w:pStyle w:val="Caption"/>
        <w:jc w:val="center"/>
        <w:rPr>
          <w:i w:val="0"/>
        </w:rPr>
      </w:pPr>
      <w:r w:rsidRPr="00FD7E18">
        <w:t xml:space="preserve">Figure </w:t>
      </w:r>
      <w:fldSimple w:instr=" SEQ Figure \* ARABIC ">
        <w:r w:rsidR="00C73C43">
          <w:rPr>
            <w:noProof/>
          </w:rPr>
          <w:t>1</w:t>
        </w:r>
      </w:fldSimple>
      <w:r w:rsidRPr="00FD7E18">
        <w:rPr>
          <w:i w:val="0"/>
        </w:rPr>
        <w:t xml:space="preserve">: Time spent during communication and computation on </w:t>
      </w:r>
      <w:proofErr w:type="spellStart"/>
      <w:proofErr w:type="gramStart"/>
      <w:r w:rsidRPr="00FD7E18">
        <w:rPr>
          <w:b/>
          <w:i w:val="0"/>
        </w:rPr>
        <w:t>large.fastq</w:t>
      </w:r>
      <w:proofErr w:type="spellEnd"/>
      <w:proofErr w:type="gramEnd"/>
      <w:r w:rsidRPr="00FD7E18">
        <w:rPr>
          <w:b/>
          <w:i w:val="0"/>
        </w:rPr>
        <w:t xml:space="preserve"> </w:t>
      </w:r>
      <w:r w:rsidRPr="00FD7E18">
        <w:rPr>
          <w:i w:val="0"/>
        </w:rPr>
        <w:t>for each algorithm</w:t>
      </w:r>
      <w:r w:rsidR="0005794C">
        <w:rPr>
          <w:i w:val="0"/>
        </w:rPr>
        <w:t xml:space="preserve"> on 40 processes</w:t>
      </w:r>
    </w:p>
    <w:tbl>
      <w:tblPr>
        <w:tblStyle w:val="TableGrid"/>
        <w:tblW w:w="0" w:type="auto"/>
        <w:tblLook w:val="04A0" w:firstRow="1" w:lastRow="0" w:firstColumn="1" w:lastColumn="0" w:noHBand="0" w:noVBand="1"/>
      </w:tblPr>
      <w:tblGrid>
        <w:gridCol w:w="798"/>
        <w:gridCol w:w="8552"/>
      </w:tblGrid>
      <w:tr w:rsidR="00BC3680" w14:paraId="6A471667" w14:textId="77777777" w:rsidTr="00AD7295">
        <w:trPr>
          <w:trHeight w:val="548"/>
        </w:trPr>
        <w:tc>
          <w:tcPr>
            <w:tcW w:w="798" w:type="dxa"/>
            <w:vAlign w:val="center"/>
          </w:tcPr>
          <w:p w14:paraId="6983E9B2" w14:textId="53048E99" w:rsidR="00BC3680" w:rsidRDefault="00BC3680" w:rsidP="00AD7295">
            <w:pPr>
              <w:jc w:val="center"/>
            </w:pPr>
            <w:r>
              <w:t>Naïve</w:t>
            </w:r>
          </w:p>
        </w:tc>
        <w:tc>
          <w:tcPr>
            <w:tcW w:w="8552" w:type="dxa"/>
          </w:tcPr>
          <w:p w14:paraId="04A93446" w14:textId="61CF47E4" w:rsidR="00BC3680" w:rsidRDefault="00BC3680" w:rsidP="004E69DD">
            <w:pPr>
              <w:jc w:val="center"/>
            </w:pPr>
            <w:r>
              <w:rPr>
                <w:noProof/>
              </w:rPr>
              <w:drawing>
                <wp:inline distT="0" distB="0" distL="0" distR="0" wp14:anchorId="6805DB47" wp14:editId="1CFFDCFD">
                  <wp:extent cx="5581031" cy="329895"/>
                  <wp:effectExtent l="0" t="0" r="6985" b="635"/>
                  <wp:docPr id="10" name="Picture 10" descr="/Users/marksb/Desktop/Na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ksb/Desktop/Na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527" cy="360957"/>
                          </a:xfrm>
                          <a:prstGeom prst="rect">
                            <a:avLst/>
                          </a:prstGeom>
                          <a:noFill/>
                          <a:ln>
                            <a:noFill/>
                          </a:ln>
                        </pic:spPr>
                      </pic:pic>
                    </a:graphicData>
                  </a:graphic>
                </wp:inline>
              </w:drawing>
            </w:r>
          </w:p>
        </w:tc>
      </w:tr>
      <w:tr w:rsidR="00BC3680" w14:paraId="4F142830" w14:textId="77777777" w:rsidTr="00AD7295">
        <w:tc>
          <w:tcPr>
            <w:tcW w:w="798" w:type="dxa"/>
            <w:vAlign w:val="center"/>
          </w:tcPr>
          <w:p w14:paraId="4433575E" w14:textId="1D3FB252" w:rsidR="00BC3680" w:rsidRDefault="00BC3680" w:rsidP="00AD7295">
            <w:pPr>
              <w:jc w:val="center"/>
            </w:pPr>
            <w:r>
              <w:t>AP</w:t>
            </w:r>
          </w:p>
        </w:tc>
        <w:tc>
          <w:tcPr>
            <w:tcW w:w="8552" w:type="dxa"/>
          </w:tcPr>
          <w:p w14:paraId="00AB84D9" w14:textId="06031BC6" w:rsidR="00BC3680" w:rsidRDefault="00BC3680" w:rsidP="004E69DD">
            <w:pPr>
              <w:jc w:val="center"/>
            </w:pPr>
            <w:r>
              <w:rPr>
                <w:noProof/>
              </w:rPr>
              <w:drawing>
                <wp:inline distT="0" distB="0" distL="0" distR="0" wp14:anchorId="78D8FC52" wp14:editId="30CFB47D">
                  <wp:extent cx="5413049" cy="336296"/>
                  <wp:effectExtent l="0" t="0" r="0" b="0"/>
                  <wp:docPr id="11" name="Picture 11" descr="/Users/marksb/Desktop/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ksb/Desktop/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6060" cy="376244"/>
                          </a:xfrm>
                          <a:prstGeom prst="rect">
                            <a:avLst/>
                          </a:prstGeom>
                          <a:noFill/>
                          <a:ln>
                            <a:noFill/>
                          </a:ln>
                        </pic:spPr>
                      </pic:pic>
                    </a:graphicData>
                  </a:graphic>
                </wp:inline>
              </w:drawing>
            </w:r>
          </w:p>
        </w:tc>
      </w:tr>
      <w:tr w:rsidR="00BC3680" w14:paraId="299F6235" w14:textId="77777777" w:rsidTr="00AD7295">
        <w:tc>
          <w:tcPr>
            <w:tcW w:w="798" w:type="dxa"/>
            <w:vAlign w:val="center"/>
          </w:tcPr>
          <w:p w14:paraId="53568B7C" w14:textId="369A03E6" w:rsidR="00BC3680" w:rsidRDefault="00BC3680" w:rsidP="00AD7295">
            <w:pPr>
              <w:jc w:val="center"/>
            </w:pPr>
            <w:r>
              <w:t>AP_LB</w:t>
            </w:r>
          </w:p>
        </w:tc>
        <w:tc>
          <w:tcPr>
            <w:tcW w:w="8552" w:type="dxa"/>
          </w:tcPr>
          <w:p w14:paraId="3A31F561" w14:textId="2D064F64" w:rsidR="00BC3680" w:rsidRDefault="00BC3680" w:rsidP="00FD7E18">
            <w:pPr>
              <w:keepNext/>
              <w:jc w:val="center"/>
            </w:pPr>
            <w:r>
              <w:rPr>
                <w:noProof/>
              </w:rPr>
              <w:drawing>
                <wp:inline distT="0" distB="0" distL="0" distR="0" wp14:anchorId="66207336" wp14:editId="19994BEB">
                  <wp:extent cx="5431917" cy="342697"/>
                  <wp:effectExtent l="0" t="0" r="3810" b="0"/>
                  <wp:docPr id="12" name="Picture 12" descr="/Users/marksb/Desktop/AP_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ksb/Desktop/AP_L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984" cy="372984"/>
                          </a:xfrm>
                          <a:prstGeom prst="rect">
                            <a:avLst/>
                          </a:prstGeom>
                          <a:noFill/>
                          <a:ln>
                            <a:noFill/>
                          </a:ln>
                        </pic:spPr>
                      </pic:pic>
                    </a:graphicData>
                  </a:graphic>
                </wp:inline>
              </w:drawing>
            </w:r>
          </w:p>
        </w:tc>
      </w:tr>
    </w:tbl>
    <w:p w14:paraId="1BF0845A" w14:textId="73EBBA26" w:rsidR="00FD7E18" w:rsidRDefault="00FD7E18" w:rsidP="00FD7E18">
      <w:pPr>
        <w:pStyle w:val="Caption"/>
        <w:jc w:val="center"/>
      </w:pPr>
      <w:r>
        <w:t xml:space="preserve">Figure </w:t>
      </w:r>
      <w:fldSimple w:instr=" SEQ Figure \* ARABIC ">
        <w:r w:rsidR="00C73C43">
          <w:rPr>
            <w:noProof/>
          </w:rPr>
          <w:t>2</w:t>
        </w:r>
      </w:fldSimple>
      <w:r>
        <w:rPr>
          <w:i w:val="0"/>
        </w:rPr>
        <w:t xml:space="preserve">: </w:t>
      </w:r>
      <w:proofErr w:type="spellStart"/>
      <w:r>
        <w:rPr>
          <w:i w:val="0"/>
        </w:rPr>
        <w:t>Allinea</w:t>
      </w:r>
      <w:proofErr w:type="spellEnd"/>
      <w:r w:rsidR="00AF1B37">
        <w:rPr>
          <w:i w:val="0"/>
        </w:rPr>
        <w:t xml:space="preserve"> MAP</w:t>
      </w:r>
      <w:r>
        <w:rPr>
          <w:i w:val="0"/>
        </w:rPr>
        <w:t xml:space="preserve"> compute </w:t>
      </w:r>
      <w:r w:rsidRPr="6B523D09">
        <w:rPr>
          <w:i w:val="0"/>
          <w:iCs w:val="0"/>
        </w:rPr>
        <w:t xml:space="preserve">(green) </w:t>
      </w:r>
      <w:r>
        <w:rPr>
          <w:i w:val="0"/>
        </w:rPr>
        <w:t xml:space="preserve">and communication </w:t>
      </w:r>
      <w:r w:rsidRPr="6B523D09">
        <w:rPr>
          <w:i w:val="0"/>
          <w:iCs w:val="0"/>
        </w:rPr>
        <w:t xml:space="preserve">(blue) </w:t>
      </w:r>
      <w:r>
        <w:rPr>
          <w:i w:val="0"/>
        </w:rPr>
        <w:t>times</w:t>
      </w:r>
    </w:p>
    <w:p w14:paraId="66667EAB" w14:textId="58622AD3" w:rsidR="004464CD" w:rsidRDefault="006829C3" w:rsidP="004464CD">
      <w:pPr>
        <w:jc w:val="both"/>
      </w:pPr>
      <w:r>
        <w:t xml:space="preserve">   </w:t>
      </w:r>
      <w:r w:rsidR="00FD7E18">
        <w:t>For computation time and communication time</w:t>
      </w:r>
      <w:r w:rsidR="00BB3292">
        <w:t xml:space="preserve"> on </w:t>
      </w:r>
      <w:proofErr w:type="spellStart"/>
      <w:proofErr w:type="gramStart"/>
      <w:r w:rsidR="00BB3292">
        <w:rPr>
          <w:b/>
        </w:rPr>
        <w:t>large.fastq</w:t>
      </w:r>
      <w:proofErr w:type="spellEnd"/>
      <w:proofErr w:type="gramEnd"/>
      <w:r w:rsidR="00FD7E18">
        <w:t xml:space="preserve">, we see results similar to those in the paper. The Naïve algorithm is slowly falling as the number of iterations progresses, and for AP and AP_LB, we can see slight reductions in times in each iteration. The biggest drop off in </w:t>
      </w:r>
      <w:r w:rsidR="00AF1B37">
        <w:t xml:space="preserve">times is most apparent in iterations 6-9, but overall LB uses less time per iteration. Comparing Forge results with the measured times from within </w:t>
      </w:r>
      <w:proofErr w:type="spellStart"/>
      <w:r w:rsidR="00AF1B37">
        <w:rPr>
          <w:b/>
        </w:rPr>
        <w:t>benchmark_</w:t>
      </w:r>
      <w:r w:rsidR="00C04DDF">
        <w:rPr>
          <w:b/>
        </w:rPr>
        <w:t>parc</w:t>
      </w:r>
      <w:r w:rsidR="00972DA3">
        <w:rPr>
          <w:b/>
        </w:rPr>
        <w:t>onnect</w:t>
      </w:r>
      <w:proofErr w:type="spellEnd"/>
      <w:r w:rsidR="00AF1B37">
        <w:t xml:space="preserve">, we see a big discrepancy in the percentage of time spent communicating versus computing. In particular, the </w:t>
      </w:r>
      <w:r w:rsidR="6B523D09">
        <w:t>printouts</w:t>
      </w:r>
      <w:r w:rsidR="00AF1B37">
        <w:t xml:space="preserve"> from the tool indicate that MPI takes up approximately 20% of the time, however the profiler indicates that 44% of the time is in MPI calls. From Forge MAP’s Application, timeline we can see </w:t>
      </w:r>
      <w:proofErr w:type="spellStart"/>
      <w:r w:rsidR="00AF1B37">
        <w:t>pthread</w:t>
      </w:r>
      <w:proofErr w:type="spellEnd"/>
      <w:r w:rsidR="00AF1B37">
        <w:t xml:space="preserve"> activity during some MPI portions of the execution. </w:t>
      </w:r>
      <w:r w:rsidR="008771BB">
        <w:t xml:space="preserve">This indicates that computations are started while the main thread is executing an MPI call. </w:t>
      </w:r>
      <w:r w:rsidR="00EA6310">
        <w:t>It is also possible that some of the non-communication timer items include MPI calls, and we are counting these as</w:t>
      </w:r>
    </w:p>
    <w:p w14:paraId="7FAF3140" w14:textId="051640CA" w:rsidR="00FD7E18" w:rsidRPr="005F50AE" w:rsidRDefault="00EA6310" w:rsidP="004464CD">
      <w:r>
        <w:lastRenderedPageBreak/>
        <w:t xml:space="preserve"> </w:t>
      </w:r>
      <w:r w:rsidR="004464CD">
        <w:t xml:space="preserve">compute </w:t>
      </w:r>
      <w:r>
        <w:t>time.</w:t>
      </w:r>
      <w:r w:rsidR="00FD7E18">
        <w:br/>
      </w:r>
    </w:p>
    <w:tbl>
      <w:tblPr>
        <w:tblStyle w:val="TableGrid"/>
        <w:tblW w:w="0" w:type="auto"/>
        <w:tblLook w:val="04A0" w:firstRow="1" w:lastRow="0" w:firstColumn="1" w:lastColumn="0" w:noHBand="0" w:noVBand="1"/>
      </w:tblPr>
      <w:tblGrid>
        <w:gridCol w:w="498"/>
        <w:gridCol w:w="2976"/>
        <w:gridCol w:w="2938"/>
        <w:gridCol w:w="2938"/>
      </w:tblGrid>
      <w:tr w:rsidR="00A80125" w14:paraId="7D96D2D5" w14:textId="77777777" w:rsidTr="00DF622E">
        <w:tc>
          <w:tcPr>
            <w:tcW w:w="498" w:type="dxa"/>
            <w:vMerge w:val="restart"/>
            <w:textDirection w:val="btLr"/>
          </w:tcPr>
          <w:p w14:paraId="1998C487" w14:textId="306874A6" w:rsidR="00633E06" w:rsidRDefault="00633E06" w:rsidP="00633E06">
            <w:pPr>
              <w:ind w:left="113" w:right="113"/>
              <w:jc w:val="center"/>
            </w:pPr>
            <w:r>
              <w:t>Count of tuples (mill</w:t>
            </w:r>
            <w:r w:rsidR="00C04DDF">
              <w:t>i</w:t>
            </w:r>
            <w:r>
              <w:t>ons)</w:t>
            </w:r>
          </w:p>
        </w:tc>
        <w:tc>
          <w:tcPr>
            <w:tcW w:w="8852" w:type="dxa"/>
            <w:gridSpan w:val="3"/>
          </w:tcPr>
          <w:p w14:paraId="289BD714" w14:textId="3C5A7C82" w:rsidR="00633E06" w:rsidRPr="00633E06" w:rsidRDefault="00633E06" w:rsidP="00633E06">
            <w:pPr>
              <w:jc w:val="center"/>
              <w:rPr>
                <w:b/>
              </w:rPr>
            </w:pPr>
            <w:r w:rsidRPr="00633E06">
              <w:rPr>
                <w:b/>
              </w:rPr>
              <w:t>Balance of work across processors along the iterations</w:t>
            </w:r>
          </w:p>
        </w:tc>
      </w:tr>
      <w:tr w:rsidR="00A80125" w14:paraId="37F65C06" w14:textId="77777777" w:rsidTr="00DF622E">
        <w:tc>
          <w:tcPr>
            <w:tcW w:w="498" w:type="dxa"/>
            <w:vMerge/>
          </w:tcPr>
          <w:p w14:paraId="1E233AE7" w14:textId="77777777" w:rsidR="00633E06" w:rsidRDefault="00633E06" w:rsidP="00633E06">
            <w:pPr>
              <w:jc w:val="center"/>
            </w:pPr>
          </w:p>
        </w:tc>
        <w:tc>
          <w:tcPr>
            <w:tcW w:w="2976" w:type="dxa"/>
          </w:tcPr>
          <w:p w14:paraId="48977DC5" w14:textId="06CA9A82" w:rsidR="00633E06" w:rsidRDefault="00A80125" w:rsidP="00633E06">
            <w:pPr>
              <w:jc w:val="center"/>
            </w:pPr>
            <w:r>
              <w:rPr>
                <w:noProof/>
              </w:rPr>
              <w:drawing>
                <wp:inline distT="0" distB="0" distL="0" distR="0" wp14:anchorId="259614CB" wp14:editId="203CA103">
                  <wp:extent cx="1829435" cy="2885440"/>
                  <wp:effectExtent l="0" t="0" r="247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938" w:type="dxa"/>
          </w:tcPr>
          <w:p w14:paraId="76C0BDD6" w14:textId="131DEE1F" w:rsidR="00633E06" w:rsidRDefault="00A80125" w:rsidP="00633E06">
            <w:pPr>
              <w:jc w:val="center"/>
            </w:pPr>
            <w:r>
              <w:rPr>
                <w:noProof/>
              </w:rPr>
              <w:drawing>
                <wp:inline distT="0" distB="0" distL="0" distR="0" wp14:anchorId="7E44D9D3" wp14:editId="6183B991">
                  <wp:extent cx="1804035" cy="2885440"/>
                  <wp:effectExtent l="0" t="0" r="2476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938" w:type="dxa"/>
          </w:tcPr>
          <w:p w14:paraId="5B3FC1B0" w14:textId="4BA1691C" w:rsidR="00633E06" w:rsidRDefault="00A80125" w:rsidP="00633E06">
            <w:pPr>
              <w:jc w:val="center"/>
            </w:pPr>
            <w:r>
              <w:rPr>
                <w:noProof/>
              </w:rPr>
              <w:drawing>
                <wp:inline distT="0" distB="0" distL="0" distR="0" wp14:anchorId="0A4A24F3" wp14:editId="137D86F0">
                  <wp:extent cx="1804035" cy="2844800"/>
                  <wp:effectExtent l="0" t="0" r="2476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DF622E" w14:paraId="641766C5" w14:textId="77777777" w:rsidTr="00DF622E">
        <w:tc>
          <w:tcPr>
            <w:tcW w:w="498" w:type="dxa"/>
            <w:vMerge/>
          </w:tcPr>
          <w:p w14:paraId="013518EB" w14:textId="77777777" w:rsidR="00633E06" w:rsidRDefault="00633E06" w:rsidP="00633E06">
            <w:pPr>
              <w:jc w:val="center"/>
            </w:pPr>
          </w:p>
        </w:tc>
        <w:tc>
          <w:tcPr>
            <w:tcW w:w="8852" w:type="dxa"/>
            <w:gridSpan w:val="3"/>
          </w:tcPr>
          <w:p w14:paraId="21B62789" w14:textId="239C776B" w:rsidR="00633E06" w:rsidRPr="00633E06" w:rsidRDefault="00633E06" w:rsidP="00DF622E">
            <w:pPr>
              <w:keepNext/>
              <w:jc w:val="center"/>
              <w:rPr>
                <w:b/>
              </w:rPr>
            </w:pPr>
            <w:r w:rsidRPr="00633E06">
              <w:rPr>
                <w:b/>
              </w:rPr>
              <w:t>Iterations</w:t>
            </w:r>
          </w:p>
        </w:tc>
      </w:tr>
    </w:tbl>
    <w:p w14:paraId="2B18D3AF" w14:textId="50795A08" w:rsidR="00DF622E" w:rsidRDefault="00DF622E" w:rsidP="00DF622E">
      <w:pPr>
        <w:pStyle w:val="Caption"/>
        <w:jc w:val="center"/>
        <w:rPr>
          <w:i w:val="0"/>
        </w:rPr>
      </w:pPr>
      <w:r w:rsidRPr="00FD7E18">
        <w:t xml:space="preserve">Figure </w:t>
      </w:r>
      <w:fldSimple w:instr=" SEQ Figure \* ARABIC ">
        <w:r w:rsidR="00C73C43">
          <w:rPr>
            <w:noProof/>
          </w:rPr>
          <w:t>3</w:t>
        </w:r>
      </w:fldSimple>
      <w:r w:rsidRPr="00FD7E18">
        <w:rPr>
          <w:i w:val="0"/>
        </w:rPr>
        <w:t>: Min, mean and max tuple counts per iteration for each algorithm</w:t>
      </w:r>
      <w:r w:rsidR="0005794C">
        <w:rPr>
          <w:i w:val="0"/>
        </w:rPr>
        <w:t xml:space="preserve"> on 40 processes</w:t>
      </w:r>
    </w:p>
    <w:p w14:paraId="0EAC961A" w14:textId="07AD2CC6" w:rsidR="00EA6310" w:rsidRDefault="006829C3" w:rsidP="004464CD">
      <w:pPr>
        <w:jc w:val="both"/>
      </w:pPr>
      <w:r>
        <w:t xml:space="preserve">   </w:t>
      </w:r>
      <w:r w:rsidR="00C126FB">
        <w:t xml:space="preserve">For the active tuple count we see behavior consistent with that of the paper. The naïve algorithm maintains the same </w:t>
      </w:r>
      <w:r w:rsidR="00604C6A">
        <w:t xml:space="preserve">number of tuples through all BFS iterations. </w:t>
      </w:r>
      <w:r w:rsidR="00905B74">
        <w:t xml:space="preserve">Active partition shows the number of tuples dropping at iteration 5. This is consistent with the algorithm finding connected components that have no out-going edges to other active tuples. Notably, we </w:t>
      </w:r>
      <w:r w:rsidR="0005794C">
        <w:t>see an increasing load balance beginning at iteration 5. The mean number of tuples in iteration 6-9 indicate most ranks have almost no tuples while there are a few ranks with about 5 million tuples. Finally, the AP_LB algorithm shows that all processes maintain the same number of active tuples as indicated by the maximum and minimum. Specifically, the difference between the minimum number of tuples and maximum number of tuples is one throughout all iterations. This is consistent with the algorithm balancing the work between all ranks.</w:t>
      </w:r>
    </w:p>
    <w:p w14:paraId="4EA1299A" w14:textId="77777777" w:rsidR="000759DD" w:rsidRPr="00EA6310" w:rsidRDefault="000759DD" w:rsidP="00EA6310"/>
    <w:p w14:paraId="179F9F53" w14:textId="77777777" w:rsidR="00DF622E" w:rsidRDefault="00DF622E" w:rsidP="00DF622E">
      <w:pPr>
        <w:keepNext/>
        <w:jc w:val="center"/>
      </w:pPr>
      <w:r>
        <w:rPr>
          <w:noProof/>
        </w:rPr>
        <w:drawing>
          <wp:inline distT="0" distB="0" distL="0" distR="0" wp14:anchorId="34E777E2" wp14:editId="5993B48F">
            <wp:extent cx="4640580" cy="1831340"/>
            <wp:effectExtent l="0" t="0" r="762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DDB000" w14:textId="61AFEB6C" w:rsidR="00633E06" w:rsidRDefault="00DF622E" w:rsidP="00972DA3">
      <w:pPr>
        <w:jc w:val="center"/>
        <w:outlineLvl w:val="0"/>
        <w:rPr>
          <w:color w:val="44546A" w:themeColor="text2"/>
        </w:rPr>
      </w:pPr>
      <w:r w:rsidRPr="001D1061">
        <w:rPr>
          <w:i/>
          <w:color w:val="44546A" w:themeColor="text2"/>
        </w:rPr>
        <w:t xml:space="preserve">Figure </w:t>
      </w:r>
      <w:r w:rsidRPr="001D1061">
        <w:rPr>
          <w:i/>
          <w:color w:val="44546A" w:themeColor="text2"/>
        </w:rPr>
        <w:fldChar w:fldCharType="begin"/>
      </w:r>
      <w:r w:rsidRPr="001D1061">
        <w:rPr>
          <w:i/>
          <w:color w:val="44546A" w:themeColor="text2"/>
        </w:rPr>
        <w:instrText xml:space="preserve"> SEQ Figure \* ARABIC </w:instrText>
      </w:r>
      <w:r w:rsidRPr="001D1061">
        <w:rPr>
          <w:i/>
          <w:color w:val="44546A" w:themeColor="text2"/>
        </w:rPr>
        <w:fldChar w:fldCharType="separate"/>
      </w:r>
      <w:r w:rsidR="00C73C43">
        <w:rPr>
          <w:i/>
          <w:noProof/>
          <w:color w:val="44546A" w:themeColor="text2"/>
        </w:rPr>
        <w:t>4</w:t>
      </w:r>
      <w:r w:rsidRPr="001D1061">
        <w:rPr>
          <w:i/>
          <w:color w:val="44546A" w:themeColor="text2"/>
        </w:rPr>
        <w:fldChar w:fldCharType="end"/>
      </w:r>
      <w:r w:rsidRPr="001D1061">
        <w:rPr>
          <w:color w:val="44546A" w:themeColor="text2"/>
        </w:rPr>
        <w:t>:</w:t>
      </w:r>
      <w:r w:rsidRPr="001D1061">
        <w:rPr>
          <w:i/>
          <w:color w:val="44546A" w:themeColor="text2"/>
        </w:rPr>
        <w:t xml:space="preserve"> </w:t>
      </w:r>
      <w:r w:rsidRPr="001D1061">
        <w:rPr>
          <w:color w:val="44546A" w:themeColor="text2"/>
        </w:rPr>
        <w:t xml:space="preserve">Runtime for </w:t>
      </w:r>
      <w:proofErr w:type="spellStart"/>
      <w:proofErr w:type="gramStart"/>
      <w:r w:rsidRPr="001D1061">
        <w:rPr>
          <w:b/>
          <w:color w:val="44546A" w:themeColor="text2"/>
        </w:rPr>
        <w:t>small.fastq</w:t>
      </w:r>
      <w:proofErr w:type="spellEnd"/>
      <w:proofErr w:type="gramEnd"/>
      <w:r w:rsidRPr="001D1061">
        <w:rPr>
          <w:b/>
          <w:color w:val="44546A" w:themeColor="text2"/>
        </w:rPr>
        <w:t xml:space="preserve"> </w:t>
      </w:r>
      <w:r w:rsidRPr="001D1061">
        <w:rPr>
          <w:color w:val="44546A" w:themeColor="text2"/>
        </w:rPr>
        <w:t>on 4, 8, 16, 32 and 40 processes</w:t>
      </w:r>
    </w:p>
    <w:p w14:paraId="2AC5C2AB" w14:textId="00B2961E" w:rsidR="000759DD" w:rsidRDefault="00C73C43" w:rsidP="004464CD">
      <w:pPr>
        <w:jc w:val="both"/>
        <w:rPr>
          <w:color w:val="44546A" w:themeColor="text2"/>
        </w:rPr>
      </w:pPr>
      <w:r>
        <w:rPr>
          <w:noProof/>
        </w:rPr>
        <w:lastRenderedPageBreak/>
        <mc:AlternateContent>
          <mc:Choice Requires="wps">
            <w:drawing>
              <wp:anchor distT="0" distB="0" distL="114300" distR="114300" simplePos="0" relativeHeight="251658241" behindDoc="0" locked="0" layoutInCell="1" allowOverlap="1" wp14:anchorId="0D015005" wp14:editId="581ADDC4">
                <wp:simplePos x="0" y="0"/>
                <wp:positionH relativeFrom="column">
                  <wp:posOffset>4053840</wp:posOffset>
                </wp:positionH>
                <wp:positionV relativeFrom="paragraph">
                  <wp:posOffset>6048375</wp:posOffset>
                </wp:positionV>
                <wp:extent cx="2006600" cy="2667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06600" cy="266700"/>
                        </a:xfrm>
                        <a:prstGeom prst="rect">
                          <a:avLst/>
                        </a:prstGeom>
                        <a:solidFill>
                          <a:prstClr val="white"/>
                        </a:solidFill>
                        <a:ln>
                          <a:noFill/>
                        </a:ln>
                        <a:effectLst/>
                      </wps:spPr>
                      <wps:txbx>
                        <w:txbxContent>
                          <w:p w14:paraId="739C948B" w14:textId="14E83472" w:rsidR="00AD7295" w:rsidRPr="00C73C43" w:rsidRDefault="00AD7295" w:rsidP="00C73C43">
                            <w:pPr>
                              <w:pStyle w:val="Caption"/>
                              <w:rPr>
                                <w:i w:val="0"/>
                              </w:rPr>
                            </w:pPr>
                            <w:r>
                              <w:t xml:space="preserve">Figure </w:t>
                            </w:r>
                            <w:fldSimple w:instr=" SEQ Figure \* ARABIC ">
                              <w:r>
                                <w:rPr>
                                  <w:noProof/>
                                </w:rPr>
                                <w:t>5</w:t>
                              </w:r>
                            </w:fldSimple>
                            <w:r>
                              <w:rPr>
                                <w:i w:val="0"/>
                              </w:rPr>
                              <w:t>: AP and AP_LB runtimes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015005" id="_x0000_t202" coordsize="21600,21600" o:spt="202" path="m0,0l0,21600,21600,21600,21600,0xe">
                <v:stroke joinstyle="miter"/>
                <v:path gradientshapeok="t" o:connecttype="rect"/>
              </v:shapetype>
              <v:shape id="Text Box 14" o:spid="_x0000_s1026" type="#_x0000_t202" style="position:absolute;left:0;text-align:left;margin-left:319.2pt;margin-top:476.25pt;width:158pt;height:21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" stroked="f">
                <v:textbox style="mso-fit-shape-to-text:t" inset="0,0,0,0">
                  <w:txbxContent>
                    <w:p w14:paraId="739C948B" w14:textId="14E83472" w:rsidR="00AD7295" w:rsidRPr="00C73C43" w:rsidRDefault="00AD7295" w:rsidP="00C73C43">
                      <w:pPr>
                        <w:pStyle w:val="Caption"/>
                        <w:rPr>
                          <w:i w:val="0"/>
                        </w:rPr>
                      </w:pPr>
                      <w:r>
                        <w:t xml:space="preserve">Figure </w:t>
                      </w:r>
                      <w:r w:rsidR="009E61D6">
                        <w:fldChar w:fldCharType="begin"/>
                      </w:r>
                      <w:r w:rsidR="009E61D6">
                        <w:instrText xml:space="preserve"> SEQ Figure \</w:instrText>
                      </w:r>
                      <w:r w:rsidR="009E61D6">
                        <w:instrText xml:space="preserve">* ARABIC </w:instrText>
                      </w:r>
                      <w:r w:rsidR="009E61D6">
                        <w:fldChar w:fldCharType="separate"/>
                      </w:r>
                      <w:r>
                        <w:rPr>
                          <w:noProof/>
                        </w:rPr>
                        <w:t>5</w:t>
                      </w:r>
                      <w:r w:rsidR="009E61D6">
                        <w:rPr>
                          <w:noProof/>
                        </w:rPr>
                        <w:fldChar w:fldCharType="end"/>
                      </w:r>
                      <w:r>
                        <w:rPr>
                          <w:i w:val="0"/>
                        </w:rPr>
                        <w:t>: AP and AP_LB runtimes</w:t>
                      </w:r>
                    </w:p>
                  </w:txbxContent>
                </v:textbox>
                <w10:wrap type="square"/>
              </v:shape>
            </w:pict>
          </mc:Fallback>
        </mc:AlternateContent>
      </w:r>
      <w:r>
        <w:rPr>
          <w:noProof/>
        </w:rPr>
        <w:drawing>
          <wp:anchor distT="0" distB="0" distL="114300" distR="114300" simplePos="0" relativeHeight="251658240" behindDoc="0" locked="0" layoutInCell="1" allowOverlap="1" wp14:anchorId="48CF8392" wp14:editId="3D42FB91">
            <wp:simplePos x="0" y="0"/>
            <wp:positionH relativeFrom="column">
              <wp:posOffset>4053840</wp:posOffset>
            </wp:positionH>
            <wp:positionV relativeFrom="paragraph">
              <wp:posOffset>1144905</wp:posOffset>
            </wp:positionV>
            <wp:extent cx="2006600" cy="4846320"/>
            <wp:effectExtent l="0" t="0" r="0" b="508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829C3">
        <w:rPr>
          <w:color w:val="44546A" w:themeColor="text2"/>
        </w:rPr>
        <w:t xml:space="preserve">   </w:t>
      </w:r>
      <w:r w:rsidR="000759DD">
        <w:rPr>
          <w:color w:val="44546A" w:themeColor="text2"/>
        </w:rPr>
        <w:t>For the scaling study, we can clearly see that the naïve algorithm takes approximately twice as long as either AP or AP_LB, consistent with the paper</w:t>
      </w:r>
      <w:r w:rsidR="009B5E6C">
        <w:rPr>
          <w:color w:val="44546A" w:themeColor="text2"/>
        </w:rPr>
        <w:t>’s claim that removing connected components speeds up the algorithm</w:t>
      </w:r>
      <w:r w:rsidR="000759DD">
        <w:rPr>
          <w:color w:val="44546A" w:themeColor="text2"/>
        </w:rPr>
        <w:t xml:space="preserve">. </w:t>
      </w:r>
      <w:r w:rsidR="00D56DC4">
        <w:rPr>
          <w:color w:val="44546A" w:themeColor="text2"/>
        </w:rPr>
        <w:t xml:space="preserve">A substantial divergence from the paper is apparent from this experiment; AP and AP_LB perform nearly identically. </w:t>
      </w:r>
      <w:r w:rsidR="007330C0">
        <w:rPr>
          <w:color w:val="44546A" w:themeColor="text2"/>
        </w:rPr>
        <w:t xml:space="preserve">While not visible in the graph, the maximum runtime for AP_LB is always about two seconds faster than the minimum runtime of AP. This is not consistent with the paper’s claim for load balancing improving performance: </w:t>
      </w:r>
      <w:r w:rsidR="009B5E6C">
        <w:rPr>
          <w:color w:val="44546A" w:themeColor="text2"/>
        </w:rPr>
        <w:t>the graph suggests AP_LB should be about 1.7 times faster than AP.</w:t>
      </w:r>
      <w:r>
        <w:rPr>
          <w:color w:val="44546A" w:themeColor="text2"/>
        </w:rPr>
        <w:t xml:space="preserve"> Figure 5 shows an expanded graph for the run times of AP and AP_LB to </w:t>
      </w:r>
      <w:r w:rsidR="00773AB2">
        <w:rPr>
          <w:color w:val="44546A" w:themeColor="text2"/>
        </w:rPr>
        <w:t>show the difference in their run times.</w:t>
      </w:r>
    </w:p>
    <w:p w14:paraId="1E6472C0" w14:textId="77777777" w:rsidR="00773AB2" w:rsidRDefault="00773AB2" w:rsidP="00773AB2">
      <w:pPr>
        <w:jc w:val="center"/>
        <w:rPr>
          <w:color w:val="44546A" w:themeColor="text2"/>
        </w:rPr>
      </w:pPr>
    </w:p>
    <w:p w14:paraId="764B49DA" w14:textId="2DA69B5B" w:rsidR="00773AB2" w:rsidRDefault="00773AB2" w:rsidP="00972DA3">
      <w:pPr>
        <w:jc w:val="center"/>
        <w:outlineLvl w:val="0"/>
        <w:rPr>
          <w:b/>
          <w:color w:val="44546A" w:themeColor="text2"/>
        </w:rPr>
      </w:pPr>
      <w:r>
        <w:rPr>
          <w:b/>
          <w:color w:val="44546A" w:themeColor="text2"/>
        </w:rPr>
        <w:t>Conclusion</w:t>
      </w:r>
    </w:p>
    <w:p w14:paraId="415D26CF" w14:textId="5E35AC7A" w:rsidR="00773AB2" w:rsidRDefault="006829C3" w:rsidP="006829C3">
      <w:pPr>
        <w:jc w:val="both"/>
        <w:rPr>
          <w:color w:val="44546A" w:themeColor="text2"/>
        </w:rPr>
      </w:pPr>
      <w:r>
        <w:rPr>
          <w:color w:val="44546A" w:themeColor="text2"/>
        </w:rPr>
        <w:t xml:space="preserve">   </w:t>
      </w:r>
      <w:r w:rsidR="00773AB2">
        <w:rPr>
          <w:color w:val="44546A" w:themeColor="text2"/>
        </w:rPr>
        <w:t xml:space="preserve">Many of the claims in the paper were reproduced in this study. The active partition algorithm does reduce the number of work items per process as claimed in the paper. Figure 1 shows that this approach improves performance relative to the naïve </w:t>
      </w:r>
      <w:r w:rsidR="00776AF5">
        <w:rPr>
          <w:color w:val="44546A" w:themeColor="text2"/>
        </w:rPr>
        <w:t>algorithm. Figure 3 shows that the algorithm balances the load of tuples between the processes as seen in the AP_LB plot. We also see in the scaling study that the runtimes decrease as we move from the naïve algorithm to the active partition algorithm, and another improvement when moving to the active partition with load balancing algorithm.</w:t>
      </w:r>
    </w:p>
    <w:p w14:paraId="3E81AB2C" w14:textId="08ADC824" w:rsidR="00A65B47" w:rsidRPr="00A65B47" w:rsidRDefault="006829C3" w:rsidP="006829C3">
      <w:pPr>
        <w:jc w:val="both"/>
        <w:rPr>
          <w:color w:val="44546A" w:themeColor="text2"/>
        </w:rPr>
      </w:pPr>
      <w:r>
        <w:rPr>
          <w:color w:val="44546A" w:themeColor="text2"/>
        </w:rPr>
        <w:t xml:space="preserve">   </w:t>
      </w:r>
      <w:r w:rsidR="00776AF5">
        <w:rPr>
          <w:color w:val="44546A" w:themeColor="text2"/>
        </w:rPr>
        <w:t xml:space="preserve">In the scaling study, we did not witness a significant speed up when moving from AP to AP_LB. This could be caused by a number of factors. It is possible the data set is too small to benefit from the load balancing approach, or the data set’s components are constructed in such a way that load balancing does not help. Another possible cause is the specific configuration of our machine. We have two high bandwidth paths between each socket, requiring at most one hop across the Intel </w:t>
      </w:r>
      <w:proofErr w:type="spellStart"/>
      <w:r w:rsidR="00776AF5">
        <w:rPr>
          <w:color w:val="44546A" w:themeColor="text2"/>
        </w:rPr>
        <w:t>QuickPath</w:t>
      </w:r>
      <w:proofErr w:type="spellEnd"/>
      <w:r w:rsidR="00776AF5">
        <w:rPr>
          <w:color w:val="44546A" w:themeColor="text2"/>
        </w:rPr>
        <w:t xml:space="preserve"> Interconnect to get data to a socket on another node. Our machine is not like the machine used in the paper where there were a number of machines used and MPI communication latencies and bandwidth may be constrained. Our cluster could be concealing th</w:t>
      </w:r>
      <w:r w:rsidR="00A65B47">
        <w:rPr>
          <w:color w:val="44546A" w:themeColor="text2"/>
        </w:rPr>
        <w:t xml:space="preserve">e cost of the MPI communication versus computation time. For 8 MPI ranks on iteration six, AP has min, mean, max tuples of </w:t>
      </w:r>
      <w:r w:rsidR="00A65B47" w:rsidRPr="00A65B47">
        <w:rPr>
          <w:color w:val="44546A" w:themeColor="text2"/>
        </w:rPr>
        <w:t>5410,</w:t>
      </w:r>
      <w:r w:rsidR="004D1EC6">
        <w:rPr>
          <w:color w:val="44546A" w:themeColor="text2"/>
        </w:rPr>
        <w:t xml:space="preserve"> </w:t>
      </w:r>
      <w:r w:rsidR="00A65B47" w:rsidRPr="00A65B47">
        <w:rPr>
          <w:color w:val="44546A" w:themeColor="text2"/>
        </w:rPr>
        <w:t>153231,</w:t>
      </w:r>
      <w:r w:rsidR="004D1EC6">
        <w:rPr>
          <w:color w:val="44546A" w:themeColor="text2"/>
        </w:rPr>
        <w:t xml:space="preserve"> </w:t>
      </w:r>
      <w:r w:rsidR="00A65B47" w:rsidRPr="00A65B47">
        <w:rPr>
          <w:color w:val="44546A" w:themeColor="text2"/>
        </w:rPr>
        <w:t>944395</w:t>
      </w:r>
      <w:r w:rsidR="00A65B47">
        <w:rPr>
          <w:color w:val="44546A" w:themeColor="text2"/>
        </w:rPr>
        <w:t xml:space="preserve"> respectively. For comparison, AP_LB has 153231 active tuples on iteration 6 with 8 MPI ranks. </w:t>
      </w:r>
      <w:r w:rsidR="009B6D8C">
        <w:rPr>
          <w:color w:val="44546A" w:themeColor="text2"/>
        </w:rPr>
        <w:t>The time to get from iteration 6 to iteration 7 is .4s and .08s respectively. Consistent with the maximum tuple load in AP being approximately 5 times higher than the maximum load of AP_LB. From iteration 7 the algorithm quickly ends</w:t>
      </w:r>
      <w:r w:rsidR="6B523D09" w:rsidRPr="6B523D09">
        <w:rPr>
          <w:color w:val="44546A" w:themeColor="text2"/>
        </w:rPr>
        <w:t>,</w:t>
      </w:r>
      <w:r w:rsidR="009B6D8C">
        <w:rPr>
          <w:color w:val="44546A" w:themeColor="text2"/>
        </w:rPr>
        <w:t xml:space="preserve"> and this is likely why we are not seeing the promised speed up from load balancing.</w:t>
      </w:r>
    </w:p>
    <w:p w14:paraId="2705D285" w14:textId="0606E01E" w:rsidR="00776AF5" w:rsidRPr="00773AB2" w:rsidRDefault="00776AF5" w:rsidP="00773AB2">
      <w:pPr>
        <w:rPr>
          <w:color w:val="44546A" w:themeColor="text2"/>
        </w:rPr>
      </w:pPr>
    </w:p>
    <w:p w14:paraId="198B2B71" w14:textId="7FA6C10E" w:rsidR="00C73C43" w:rsidRPr="001D1061" w:rsidRDefault="00C73C43" w:rsidP="000759DD">
      <w:pPr>
        <w:rPr>
          <w:color w:val="44546A" w:themeColor="text2"/>
        </w:rPr>
      </w:pPr>
    </w:p>
    <w:sectPr w:rsidR="00C73C43" w:rsidRPr="001D1061" w:rsidSect="00E1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12"/>
    <w:rsid w:val="000518A3"/>
    <w:rsid w:val="0005794C"/>
    <w:rsid w:val="000759DD"/>
    <w:rsid w:val="000820A4"/>
    <w:rsid w:val="000A097F"/>
    <w:rsid w:val="0016300F"/>
    <w:rsid w:val="00171685"/>
    <w:rsid w:val="00175761"/>
    <w:rsid w:val="001D1061"/>
    <w:rsid w:val="001D1CE3"/>
    <w:rsid w:val="00213133"/>
    <w:rsid w:val="00250FDF"/>
    <w:rsid w:val="00272CEE"/>
    <w:rsid w:val="00306960"/>
    <w:rsid w:val="0034419F"/>
    <w:rsid w:val="00392777"/>
    <w:rsid w:val="004249D3"/>
    <w:rsid w:val="00433FD4"/>
    <w:rsid w:val="004464CD"/>
    <w:rsid w:val="004543AD"/>
    <w:rsid w:val="0046478D"/>
    <w:rsid w:val="00492E74"/>
    <w:rsid w:val="004D1EC6"/>
    <w:rsid w:val="004E6760"/>
    <w:rsid w:val="004E69DD"/>
    <w:rsid w:val="005248C7"/>
    <w:rsid w:val="0054063C"/>
    <w:rsid w:val="005573C9"/>
    <w:rsid w:val="005579F2"/>
    <w:rsid w:val="005D37B9"/>
    <w:rsid w:val="005E481B"/>
    <w:rsid w:val="005F50AE"/>
    <w:rsid w:val="00602FA1"/>
    <w:rsid w:val="00604C6A"/>
    <w:rsid w:val="00633E06"/>
    <w:rsid w:val="006829C3"/>
    <w:rsid w:val="006B4CC7"/>
    <w:rsid w:val="006E4D8D"/>
    <w:rsid w:val="007330C0"/>
    <w:rsid w:val="00756198"/>
    <w:rsid w:val="0076625D"/>
    <w:rsid w:val="00773AB2"/>
    <w:rsid w:val="00776AF5"/>
    <w:rsid w:val="00780ABF"/>
    <w:rsid w:val="00786700"/>
    <w:rsid w:val="007D202C"/>
    <w:rsid w:val="007F60EC"/>
    <w:rsid w:val="00854CDC"/>
    <w:rsid w:val="0087025F"/>
    <w:rsid w:val="008771BB"/>
    <w:rsid w:val="008B1EB5"/>
    <w:rsid w:val="008E75F0"/>
    <w:rsid w:val="00904E64"/>
    <w:rsid w:val="00905B74"/>
    <w:rsid w:val="00906E73"/>
    <w:rsid w:val="00910B88"/>
    <w:rsid w:val="00913A77"/>
    <w:rsid w:val="00972DA3"/>
    <w:rsid w:val="009B5E6C"/>
    <w:rsid w:val="009B6D8C"/>
    <w:rsid w:val="009D3B16"/>
    <w:rsid w:val="009E270A"/>
    <w:rsid w:val="009E61D6"/>
    <w:rsid w:val="00A055B4"/>
    <w:rsid w:val="00A12C27"/>
    <w:rsid w:val="00A20DA9"/>
    <w:rsid w:val="00A214EA"/>
    <w:rsid w:val="00A2544A"/>
    <w:rsid w:val="00A65B47"/>
    <w:rsid w:val="00A71C74"/>
    <w:rsid w:val="00A80125"/>
    <w:rsid w:val="00AC1BA3"/>
    <w:rsid w:val="00AC6160"/>
    <w:rsid w:val="00AD7295"/>
    <w:rsid w:val="00AE3E71"/>
    <w:rsid w:val="00AF1B37"/>
    <w:rsid w:val="00B36761"/>
    <w:rsid w:val="00B54C9B"/>
    <w:rsid w:val="00BB3292"/>
    <w:rsid w:val="00BB6CD8"/>
    <w:rsid w:val="00BC3680"/>
    <w:rsid w:val="00BD47D4"/>
    <w:rsid w:val="00BF7E38"/>
    <w:rsid w:val="00C04DDF"/>
    <w:rsid w:val="00C126FB"/>
    <w:rsid w:val="00C15C43"/>
    <w:rsid w:val="00C4288A"/>
    <w:rsid w:val="00C73C43"/>
    <w:rsid w:val="00C77973"/>
    <w:rsid w:val="00D56DC4"/>
    <w:rsid w:val="00D74483"/>
    <w:rsid w:val="00DB3312"/>
    <w:rsid w:val="00DF622E"/>
    <w:rsid w:val="00E1242E"/>
    <w:rsid w:val="00E37799"/>
    <w:rsid w:val="00E4319C"/>
    <w:rsid w:val="00E56527"/>
    <w:rsid w:val="00E662D3"/>
    <w:rsid w:val="00E920EE"/>
    <w:rsid w:val="00EA6310"/>
    <w:rsid w:val="00EE16A7"/>
    <w:rsid w:val="00EE3C21"/>
    <w:rsid w:val="00EE7722"/>
    <w:rsid w:val="00F14158"/>
    <w:rsid w:val="00F46451"/>
    <w:rsid w:val="00F71EAD"/>
    <w:rsid w:val="00F967EF"/>
    <w:rsid w:val="00FD7E18"/>
    <w:rsid w:val="6B523D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BE01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0EE"/>
    <w:rPr>
      <w:rFonts w:ascii="Times New Roman" w:hAnsi="Times New Roman" w:cs="Times New Roman"/>
    </w:rPr>
  </w:style>
  <w:style w:type="table" w:styleId="TableGrid">
    <w:name w:val="Table Grid"/>
    <w:basedOn w:val="TableNormal"/>
    <w:uiPriority w:val="39"/>
    <w:rsid w:val="008B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B1E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B1E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B1E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B1E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8B1EB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B1EB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B1EB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B1EB5"/>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72C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72CEE"/>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272C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6915">
      <w:bodyDiv w:val="1"/>
      <w:marLeft w:val="0"/>
      <w:marRight w:val="0"/>
      <w:marTop w:val="0"/>
      <w:marBottom w:val="0"/>
      <w:divBdr>
        <w:top w:val="none" w:sz="0" w:space="0" w:color="auto"/>
        <w:left w:val="none" w:sz="0" w:space="0" w:color="auto"/>
        <w:bottom w:val="none" w:sz="0" w:space="0" w:color="auto"/>
        <w:right w:val="none" w:sz="0" w:space="0" w:color="auto"/>
      </w:divBdr>
    </w:div>
    <w:div w:id="240070108">
      <w:bodyDiv w:val="1"/>
      <w:marLeft w:val="0"/>
      <w:marRight w:val="0"/>
      <w:marTop w:val="0"/>
      <w:marBottom w:val="0"/>
      <w:divBdr>
        <w:top w:val="none" w:sz="0" w:space="0" w:color="auto"/>
        <w:left w:val="none" w:sz="0" w:space="0" w:color="auto"/>
        <w:bottom w:val="none" w:sz="0" w:space="0" w:color="auto"/>
        <w:right w:val="none" w:sz="0" w:space="0" w:color="auto"/>
      </w:divBdr>
    </w:div>
    <w:div w:id="678310154">
      <w:bodyDiv w:val="1"/>
      <w:marLeft w:val="0"/>
      <w:marRight w:val="0"/>
      <w:marTop w:val="0"/>
      <w:marBottom w:val="0"/>
      <w:divBdr>
        <w:top w:val="none" w:sz="0" w:space="0" w:color="auto"/>
        <w:left w:val="none" w:sz="0" w:space="0" w:color="auto"/>
        <w:bottom w:val="none" w:sz="0" w:space="0" w:color="auto"/>
        <w:right w:val="none" w:sz="0" w:space="0" w:color="auto"/>
      </w:divBdr>
    </w:div>
    <w:div w:id="689911153">
      <w:bodyDiv w:val="1"/>
      <w:marLeft w:val="0"/>
      <w:marRight w:val="0"/>
      <w:marTop w:val="0"/>
      <w:marBottom w:val="0"/>
      <w:divBdr>
        <w:top w:val="none" w:sz="0" w:space="0" w:color="auto"/>
        <w:left w:val="none" w:sz="0" w:space="0" w:color="auto"/>
        <w:bottom w:val="none" w:sz="0" w:space="0" w:color="auto"/>
        <w:right w:val="none" w:sz="0" w:space="0" w:color="auto"/>
      </w:divBdr>
      <w:divsChild>
        <w:div w:id="2005009493">
          <w:marLeft w:val="0"/>
          <w:marRight w:val="0"/>
          <w:marTop w:val="0"/>
          <w:marBottom w:val="0"/>
          <w:divBdr>
            <w:top w:val="none" w:sz="0" w:space="0" w:color="auto"/>
            <w:left w:val="none" w:sz="0" w:space="0" w:color="auto"/>
            <w:bottom w:val="none" w:sz="0" w:space="0" w:color="auto"/>
            <w:right w:val="none" w:sz="0" w:space="0" w:color="auto"/>
          </w:divBdr>
          <w:divsChild>
            <w:div w:id="762654456">
              <w:marLeft w:val="0"/>
              <w:marRight w:val="0"/>
              <w:marTop w:val="0"/>
              <w:marBottom w:val="0"/>
              <w:divBdr>
                <w:top w:val="none" w:sz="0" w:space="0" w:color="auto"/>
                <w:left w:val="none" w:sz="0" w:space="0" w:color="auto"/>
                <w:bottom w:val="none" w:sz="0" w:space="0" w:color="auto"/>
                <w:right w:val="none" w:sz="0" w:space="0" w:color="auto"/>
              </w:divBdr>
              <w:divsChild>
                <w:div w:id="13478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651">
      <w:bodyDiv w:val="1"/>
      <w:marLeft w:val="0"/>
      <w:marRight w:val="0"/>
      <w:marTop w:val="0"/>
      <w:marBottom w:val="0"/>
      <w:divBdr>
        <w:top w:val="none" w:sz="0" w:space="0" w:color="auto"/>
        <w:left w:val="none" w:sz="0" w:space="0" w:color="auto"/>
        <w:bottom w:val="none" w:sz="0" w:space="0" w:color="auto"/>
        <w:right w:val="none" w:sz="0" w:space="0" w:color="auto"/>
      </w:divBdr>
    </w:div>
    <w:div w:id="1252084263">
      <w:bodyDiv w:val="1"/>
      <w:marLeft w:val="0"/>
      <w:marRight w:val="0"/>
      <w:marTop w:val="0"/>
      <w:marBottom w:val="0"/>
      <w:divBdr>
        <w:top w:val="none" w:sz="0" w:space="0" w:color="auto"/>
        <w:left w:val="none" w:sz="0" w:space="0" w:color="auto"/>
        <w:bottom w:val="none" w:sz="0" w:space="0" w:color="auto"/>
        <w:right w:val="none" w:sz="0" w:space="0" w:color="auto"/>
      </w:divBdr>
    </w:div>
    <w:div w:id="1453281014">
      <w:bodyDiv w:val="1"/>
      <w:marLeft w:val="0"/>
      <w:marRight w:val="0"/>
      <w:marTop w:val="0"/>
      <w:marBottom w:val="0"/>
      <w:divBdr>
        <w:top w:val="none" w:sz="0" w:space="0" w:color="auto"/>
        <w:left w:val="none" w:sz="0" w:space="0" w:color="auto"/>
        <w:bottom w:val="none" w:sz="0" w:space="0" w:color="auto"/>
        <w:right w:val="none" w:sz="0" w:space="0" w:color="auto"/>
      </w:divBdr>
    </w:div>
    <w:div w:id="1542018112">
      <w:bodyDiv w:val="1"/>
      <w:marLeft w:val="0"/>
      <w:marRight w:val="0"/>
      <w:marTop w:val="0"/>
      <w:marBottom w:val="0"/>
      <w:divBdr>
        <w:top w:val="none" w:sz="0" w:space="0" w:color="auto"/>
        <w:left w:val="none" w:sz="0" w:space="0" w:color="auto"/>
        <w:bottom w:val="none" w:sz="0" w:space="0" w:color="auto"/>
        <w:right w:val="none" w:sz="0" w:space="0" w:color="auto"/>
      </w:divBdr>
      <w:divsChild>
        <w:div w:id="1833064470">
          <w:marLeft w:val="0"/>
          <w:marRight w:val="0"/>
          <w:marTop w:val="0"/>
          <w:marBottom w:val="0"/>
          <w:divBdr>
            <w:top w:val="none" w:sz="0" w:space="0" w:color="auto"/>
            <w:left w:val="none" w:sz="0" w:space="0" w:color="auto"/>
            <w:bottom w:val="none" w:sz="0" w:space="0" w:color="auto"/>
            <w:right w:val="none" w:sz="0" w:space="0" w:color="auto"/>
          </w:divBdr>
          <w:divsChild>
            <w:div w:id="993485690">
              <w:marLeft w:val="0"/>
              <w:marRight w:val="0"/>
              <w:marTop w:val="0"/>
              <w:marBottom w:val="0"/>
              <w:divBdr>
                <w:top w:val="none" w:sz="0" w:space="0" w:color="auto"/>
                <w:left w:val="none" w:sz="0" w:space="0" w:color="auto"/>
                <w:bottom w:val="none" w:sz="0" w:space="0" w:color="auto"/>
                <w:right w:val="none" w:sz="0" w:space="0" w:color="auto"/>
              </w:divBdr>
              <w:divsChild>
                <w:div w:id="7397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28721">
      <w:bodyDiv w:val="1"/>
      <w:marLeft w:val="0"/>
      <w:marRight w:val="0"/>
      <w:marTop w:val="0"/>
      <w:marBottom w:val="0"/>
      <w:divBdr>
        <w:top w:val="none" w:sz="0" w:space="0" w:color="auto"/>
        <w:left w:val="none" w:sz="0" w:space="0" w:color="auto"/>
        <w:bottom w:val="none" w:sz="0" w:space="0" w:color="auto"/>
        <w:right w:val="none" w:sz="0" w:space="0" w:color="auto"/>
      </w:divBdr>
    </w:div>
    <w:div w:id="1796019882">
      <w:bodyDiv w:val="1"/>
      <w:marLeft w:val="0"/>
      <w:marRight w:val="0"/>
      <w:marTop w:val="0"/>
      <w:marBottom w:val="0"/>
      <w:divBdr>
        <w:top w:val="none" w:sz="0" w:space="0" w:color="auto"/>
        <w:left w:val="none" w:sz="0" w:space="0" w:color="auto"/>
        <w:bottom w:val="none" w:sz="0" w:space="0" w:color="auto"/>
        <w:right w:val="none" w:sz="0" w:space="0" w:color="auto"/>
      </w:divBdr>
    </w:div>
    <w:div w:id="1801918515">
      <w:bodyDiv w:val="1"/>
      <w:marLeft w:val="0"/>
      <w:marRight w:val="0"/>
      <w:marTop w:val="0"/>
      <w:marBottom w:val="0"/>
      <w:divBdr>
        <w:top w:val="none" w:sz="0" w:space="0" w:color="auto"/>
        <w:left w:val="none" w:sz="0" w:space="0" w:color="auto"/>
        <w:bottom w:val="none" w:sz="0" w:space="0" w:color="auto"/>
        <w:right w:val="none" w:sz="0" w:space="0" w:color="auto"/>
      </w:divBdr>
    </w:div>
    <w:div w:id="1863977189">
      <w:bodyDiv w:val="1"/>
      <w:marLeft w:val="0"/>
      <w:marRight w:val="0"/>
      <w:marTop w:val="0"/>
      <w:marBottom w:val="0"/>
      <w:divBdr>
        <w:top w:val="none" w:sz="0" w:space="0" w:color="auto"/>
        <w:left w:val="none" w:sz="0" w:space="0" w:color="auto"/>
        <w:bottom w:val="none" w:sz="0" w:space="0" w:color="auto"/>
        <w:right w:val="none" w:sz="0" w:space="0" w:color="auto"/>
      </w:divBdr>
    </w:div>
    <w:div w:id="2035377044">
      <w:bodyDiv w:val="1"/>
      <w:marLeft w:val="0"/>
      <w:marRight w:val="0"/>
      <w:marTop w:val="0"/>
      <w:marBottom w:val="0"/>
      <w:divBdr>
        <w:top w:val="none" w:sz="0" w:space="0" w:color="auto"/>
        <w:left w:val="none" w:sz="0" w:space="0" w:color="auto"/>
        <w:bottom w:val="none" w:sz="0" w:space="0" w:color="auto"/>
        <w:right w:val="none" w:sz="0" w:space="0" w:color="auto"/>
      </w:divBdr>
    </w:div>
    <w:div w:id="2128040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4b35cb16ad7498fd/ParConnectScalingChar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4b35cb16ad7498fd/ParConnectScalingChar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https://d.docs.live.net/4b35cb16ad7498fd/ParConnectScalingChar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https://d.docs.live.net/4b35cb16ad7498fd/ParConnectScalingChart.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https://d.docs.live.net/4b35cb16ad7498fd/ParConnectScalingChart.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https://d.docs.live.net/4b35cb16ad7498fd/ParConnectScalingChart.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https://d.docs.live.net/4b35cb16ad7498fd/ParConnectScalingChart.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https://d.docs.live.net/4b35cb16ad7498fd/ParConnectScaling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'Times Naive'!$B$1</c:f>
              <c:strCache>
                <c:ptCount val="1"/>
                <c:pt idx="0">
                  <c:v>Computation</c:v>
                </c:pt>
              </c:strCache>
            </c:strRef>
          </c:tx>
          <c:spPr>
            <a:solidFill>
              <a:schemeClr val="bg1">
                <a:lumMod val="50000"/>
              </a:schemeClr>
            </a:solidFill>
            <a:ln>
              <a:noFill/>
            </a:ln>
            <a:effectLst/>
          </c:spPr>
          <c:invertIfNegative val="0"/>
          <c:cat>
            <c:numRef>
              <c:f>'Times Naive'!$A$2:$A$11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'Times Naive'!$B$2:$B$11</c:f>
              <c:numCache>
                <c:formatCode>General</c:formatCode>
                <c:ptCount val="10"/>
                <c:pt idx="0">
                  <c:v>41.2365804</c:v>
                </c:pt>
                <c:pt idx="1">
                  <c:v>33.799514</c:v>
                </c:pt>
                <c:pt idx="2">
                  <c:v>31.4325279</c:v>
                </c:pt>
                <c:pt idx="3">
                  <c:v>29.6675371</c:v>
                </c:pt>
                <c:pt idx="4">
                  <c:v>28.9328193</c:v>
                </c:pt>
                <c:pt idx="5">
                  <c:v>28.9695687</c:v>
                </c:pt>
                <c:pt idx="6">
                  <c:v>28.5455416</c:v>
                </c:pt>
                <c:pt idx="7">
                  <c:v>28.6895147</c:v>
                </c:pt>
                <c:pt idx="8">
                  <c:v>28.8395409</c:v>
                </c:pt>
                <c:pt idx="9">
                  <c:v>28.078526</c:v>
                </c:pt>
              </c:numCache>
            </c:numRef>
          </c:val>
        </c:ser>
        <c:ser>
          <c:idx val="1"/>
          <c:order val="1"/>
          <c:tx>
            <c:strRef>
              <c:f>'Times Naive'!$C$1</c:f>
              <c:strCache>
                <c:ptCount val="1"/>
                <c:pt idx="0">
                  <c:v>Communication</c:v>
                </c:pt>
              </c:strCache>
            </c:strRef>
          </c:tx>
          <c:spPr>
            <a:solidFill>
              <a:schemeClr val="tx1"/>
            </a:solidFill>
            <a:ln>
              <a:noFill/>
            </a:ln>
            <a:effectLst/>
          </c:spPr>
          <c:invertIfNegative val="0"/>
          <c:cat>
            <c:numRef>
              <c:f>'Times Naive'!$A$2:$A$11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'Times Naive'!$C$2:$C$11</c:f>
              <c:numCache>
                <c:formatCode>General</c:formatCode>
                <c:ptCount val="10"/>
                <c:pt idx="0">
                  <c:v>7.9410513</c:v>
                </c:pt>
                <c:pt idx="1">
                  <c:v>6.7476419</c:v>
                </c:pt>
                <c:pt idx="2">
                  <c:v>6.5533147</c:v>
                </c:pt>
                <c:pt idx="3">
                  <c:v>6.4362245</c:v>
                </c:pt>
                <c:pt idx="4">
                  <c:v>6.3986595</c:v>
                </c:pt>
                <c:pt idx="5">
                  <c:v>6.367893499999997</c:v>
                </c:pt>
                <c:pt idx="6">
                  <c:v>6.327575799999995</c:v>
                </c:pt>
                <c:pt idx="7">
                  <c:v>6.3397029</c:v>
                </c:pt>
                <c:pt idx="8">
                  <c:v>6.397757499999997</c:v>
                </c:pt>
                <c:pt idx="9">
                  <c:v>6.3339415</c:v>
                </c:pt>
              </c:numCache>
            </c:numRef>
          </c:val>
        </c:ser>
        <c:dLbls>
          <c:showLegendKey val="0"/>
          <c:showVal val="0"/>
          <c:showCatName val="0"/>
          <c:showSerName val="0"/>
          <c:showPercent val="0"/>
          <c:showBubbleSize val="0"/>
        </c:dLbls>
        <c:gapWidth val="20"/>
        <c:overlap val="100"/>
        <c:axId val="-1310422064"/>
        <c:axId val="-1231676720"/>
      </c:barChart>
      <c:catAx>
        <c:axId val="-131042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676720"/>
        <c:crosses val="autoZero"/>
        <c:auto val="1"/>
        <c:lblAlgn val="ctr"/>
        <c:lblOffset val="100"/>
        <c:noMultiLvlLbl val="0"/>
      </c:catAx>
      <c:valAx>
        <c:axId val="-123167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4220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'Times AP'!$B$1</c:f>
              <c:strCache>
                <c:ptCount val="1"/>
                <c:pt idx="0">
                  <c:v>Computation</c:v>
                </c:pt>
              </c:strCache>
            </c:strRef>
          </c:tx>
          <c:spPr>
            <a:solidFill>
              <a:schemeClr val="bg1">
                <a:lumMod val="50000"/>
              </a:schemeClr>
            </a:solidFill>
            <a:ln>
              <a:noFill/>
            </a:ln>
            <a:effectLst/>
          </c:spPr>
          <c:invertIfNegative val="0"/>
          <c:cat>
            <c:numRef>
              <c:f>'Times AP'!$A$2:$A$11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'Times AP'!$B$2:$B$11</c:f>
              <c:numCache>
                <c:formatCode>General</c:formatCode>
                <c:ptCount val="10"/>
                <c:pt idx="0">
                  <c:v>45.5196184</c:v>
                </c:pt>
                <c:pt idx="1">
                  <c:v>34.5955136</c:v>
                </c:pt>
                <c:pt idx="2">
                  <c:v>32.81320419999999</c:v>
                </c:pt>
                <c:pt idx="3">
                  <c:v>31.0465307</c:v>
                </c:pt>
                <c:pt idx="4">
                  <c:v>10.0758887</c:v>
                </c:pt>
                <c:pt idx="5">
                  <c:v>2.63332779</c:v>
                </c:pt>
                <c:pt idx="6">
                  <c:v>1.784781088</c:v>
                </c:pt>
                <c:pt idx="7">
                  <c:v>1.359734065</c:v>
                </c:pt>
                <c:pt idx="8">
                  <c:v>1.245608704</c:v>
                </c:pt>
                <c:pt idx="9">
                  <c:v>5.602230566999994</c:v>
                </c:pt>
              </c:numCache>
            </c:numRef>
          </c:val>
        </c:ser>
        <c:ser>
          <c:idx val="1"/>
          <c:order val="1"/>
          <c:tx>
            <c:strRef>
              <c:f>'Times AP'!$C$1</c:f>
              <c:strCache>
                <c:ptCount val="1"/>
                <c:pt idx="0">
                  <c:v>Communication</c:v>
                </c:pt>
              </c:strCache>
            </c:strRef>
          </c:tx>
          <c:spPr>
            <a:solidFill>
              <a:schemeClr val="tx1"/>
            </a:solidFill>
            <a:ln>
              <a:noFill/>
            </a:ln>
            <a:effectLst/>
          </c:spPr>
          <c:invertIfNegative val="0"/>
          <c:cat>
            <c:numRef>
              <c:f>'Times AP'!$A$2:$A$11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'Times AP'!$C$2:$C$11</c:f>
              <c:numCache>
                <c:formatCode>General</c:formatCode>
                <c:ptCount val="10"/>
                <c:pt idx="0">
                  <c:v>8.0733126</c:v>
                </c:pt>
                <c:pt idx="1">
                  <c:v>6.8186251</c:v>
                </c:pt>
                <c:pt idx="2">
                  <c:v>6.5838176</c:v>
                </c:pt>
                <c:pt idx="3">
                  <c:v>6.4539816</c:v>
                </c:pt>
                <c:pt idx="4">
                  <c:v>2.5374168</c:v>
                </c:pt>
                <c:pt idx="5">
                  <c:v>0.1810475</c:v>
                </c:pt>
                <c:pt idx="6">
                  <c:v>0.1514653</c:v>
                </c:pt>
                <c:pt idx="7">
                  <c:v>0.15773727</c:v>
                </c:pt>
                <c:pt idx="8">
                  <c:v>0.26254162</c:v>
                </c:pt>
                <c:pt idx="9">
                  <c:v>1.52002206</c:v>
                </c:pt>
              </c:numCache>
            </c:numRef>
          </c:val>
        </c:ser>
        <c:dLbls>
          <c:showLegendKey val="0"/>
          <c:showVal val="0"/>
          <c:showCatName val="0"/>
          <c:showSerName val="0"/>
          <c:showPercent val="0"/>
          <c:showBubbleSize val="0"/>
        </c:dLbls>
        <c:gapWidth val="20"/>
        <c:overlap val="100"/>
        <c:axId val="-1231568128"/>
        <c:axId val="-1231566352"/>
      </c:barChart>
      <c:catAx>
        <c:axId val="-123156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66352"/>
        <c:crosses val="autoZero"/>
        <c:auto val="1"/>
        <c:lblAlgn val="ctr"/>
        <c:lblOffset val="100"/>
        <c:noMultiLvlLbl val="0"/>
      </c:catAx>
      <c:valAx>
        <c:axId val="-123156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681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AP_LB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'Times AP_LB'!$B$1</c:f>
              <c:strCache>
                <c:ptCount val="1"/>
                <c:pt idx="0">
                  <c:v>Computation</c:v>
                </c:pt>
              </c:strCache>
            </c:strRef>
          </c:tx>
          <c:spPr>
            <a:solidFill>
              <a:schemeClr val="bg1">
                <a:lumMod val="50000"/>
              </a:schemeClr>
            </a:solidFill>
            <a:ln>
              <a:noFill/>
            </a:ln>
            <a:effectLst/>
          </c:spPr>
          <c:invertIfNegative val="0"/>
          <c:cat>
            <c:numRef>
              <c:f>'Times AP_LB'!$A$2:$A$11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'Times AP_LB'!$B$2:$B$11</c:f>
              <c:numCache>
                <c:formatCode>General</c:formatCode>
                <c:ptCount val="10"/>
                <c:pt idx="0">
                  <c:v>41.706508</c:v>
                </c:pt>
                <c:pt idx="1">
                  <c:v>33.6944844</c:v>
                </c:pt>
                <c:pt idx="2">
                  <c:v>32.2025333</c:v>
                </c:pt>
                <c:pt idx="3">
                  <c:v>30.9725385</c:v>
                </c:pt>
                <c:pt idx="4">
                  <c:v>10.4796709</c:v>
                </c:pt>
                <c:pt idx="5">
                  <c:v>0.34192939</c:v>
                </c:pt>
                <c:pt idx="6">
                  <c:v>0.11229144</c:v>
                </c:pt>
                <c:pt idx="7">
                  <c:v>0.079821106</c:v>
                </c:pt>
                <c:pt idx="8">
                  <c:v>0.070614149</c:v>
                </c:pt>
                <c:pt idx="9">
                  <c:v>6.267649696</c:v>
                </c:pt>
              </c:numCache>
            </c:numRef>
          </c:val>
        </c:ser>
        <c:ser>
          <c:idx val="1"/>
          <c:order val="1"/>
          <c:tx>
            <c:strRef>
              <c:f>'Times AP_LB'!$C$1</c:f>
              <c:strCache>
                <c:ptCount val="1"/>
                <c:pt idx="0">
                  <c:v>Communication</c:v>
                </c:pt>
              </c:strCache>
            </c:strRef>
          </c:tx>
          <c:spPr>
            <a:solidFill>
              <a:schemeClr val="tx1"/>
            </a:solidFill>
            <a:ln>
              <a:noFill/>
            </a:ln>
            <a:effectLst/>
          </c:spPr>
          <c:invertIfNegative val="0"/>
          <c:cat>
            <c:numRef>
              <c:f>'Times AP_LB'!$A$2:$A$11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'Times AP_LB'!$C$2:$C$11</c:f>
              <c:numCache>
                <c:formatCode>General</c:formatCode>
                <c:ptCount val="10"/>
                <c:pt idx="0">
                  <c:v>7.9761325</c:v>
                </c:pt>
                <c:pt idx="1">
                  <c:v>6.724059499999997</c:v>
                </c:pt>
                <c:pt idx="2">
                  <c:v>6.48779</c:v>
                </c:pt>
                <c:pt idx="3">
                  <c:v>6.4415561</c:v>
                </c:pt>
                <c:pt idx="4">
                  <c:v>2.5011928</c:v>
                </c:pt>
                <c:pt idx="5">
                  <c:v>0.0972224</c:v>
                </c:pt>
                <c:pt idx="6">
                  <c:v>0.0403511</c:v>
                </c:pt>
                <c:pt idx="7">
                  <c:v>0.0309271</c:v>
                </c:pt>
                <c:pt idx="8">
                  <c:v>0.030321</c:v>
                </c:pt>
                <c:pt idx="9">
                  <c:v>1.5947322</c:v>
                </c:pt>
              </c:numCache>
            </c:numRef>
          </c:val>
        </c:ser>
        <c:dLbls>
          <c:showLegendKey val="0"/>
          <c:showVal val="0"/>
          <c:showCatName val="0"/>
          <c:showSerName val="0"/>
          <c:showPercent val="0"/>
          <c:showBubbleSize val="0"/>
        </c:dLbls>
        <c:gapWidth val="20"/>
        <c:overlap val="100"/>
        <c:axId val="-1231548000"/>
        <c:axId val="-1231546224"/>
      </c:barChart>
      <c:catAx>
        <c:axId val="-123154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46224"/>
        <c:crosses val="autoZero"/>
        <c:auto val="1"/>
        <c:lblAlgn val="ctr"/>
        <c:lblOffset val="100"/>
        <c:noMultiLvlLbl val="0"/>
      </c:catAx>
      <c:valAx>
        <c:axId val="-123154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48000"/>
        <c:crosses val="autoZero"/>
        <c:crossBetween val="between"/>
      </c:valAx>
      <c:spPr>
        <a:noFill/>
        <a:ln>
          <a:noFill/>
        </a:ln>
        <a:effectLst/>
      </c:spPr>
    </c:plotArea>
    <c:legend>
      <c:legendPos val="tr"/>
      <c:layout>
        <c:manualLayout>
          <c:xMode val="edge"/>
          <c:yMode val="edge"/>
          <c:x val="0.323051096551236"/>
          <c:y val="0.169518442622951"/>
          <c:w val="0.606663858544429"/>
          <c:h val="0.227973731767136"/>
        </c:manualLayout>
      </c:layout>
      <c:overlay val="1"/>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'Tuples Naive'!$B$1</c:f>
              <c:strCache>
                <c:ptCount val="1"/>
                <c:pt idx="0">
                  <c:v>Min</c:v>
                </c:pt>
              </c:strCache>
            </c:strRef>
          </c:tx>
          <c:spPr>
            <a:ln w="28575" cap="rnd">
              <a:solidFill>
                <a:schemeClr val="accent1"/>
              </a:solidFill>
              <a:round/>
            </a:ln>
            <a:effectLst/>
          </c:spPr>
          <c:marker>
            <c:symbol val="square"/>
            <c:size val="8"/>
            <c:spPr>
              <a:solidFill>
                <a:schemeClr val="accent1"/>
              </a:solidFill>
              <a:ln w="9525">
                <a:solidFill>
                  <a:schemeClr val="accent1"/>
                </a:solidFill>
              </a:ln>
              <a:effectLst/>
            </c:spPr>
          </c:marker>
          <c:cat>
            <c:numRef>
              <c:f>'Tuples Naive'!$A$2:$A$11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Naive'!$B$2:$B$11</c:f>
              <c:numCache>
                <c:formatCode>General</c:formatCode>
                <c:ptCount val="10"/>
                <c:pt idx="0">
                  <c:v>22.123082</c:v>
                </c:pt>
                <c:pt idx="1">
                  <c:v>22.123082</c:v>
                </c:pt>
                <c:pt idx="2">
                  <c:v>22.123082</c:v>
                </c:pt>
                <c:pt idx="3">
                  <c:v>22.123082</c:v>
                </c:pt>
                <c:pt idx="4">
                  <c:v>22.123082</c:v>
                </c:pt>
                <c:pt idx="5">
                  <c:v>22.123082</c:v>
                </c:pt>
                <c:pt idx="6">
                  <c:v>22.123082</c:v>
                </c:pt>
                <c:pt idx="7">
                  <c:v>22.123082</c:v>
                </c:pt>
                <c:pt idx="8">
                  <c:v>22.123082</c:v>
                </c:pt>
                <c:pt idx="9">
                  <c:v>22.123082</c:v>
                </c:pt>
              </c:numCache>
            </c:numRef>
          </c:val>
          <c:smooth val="0"/>
        </c:ser>
        <c:ser>
          <c:idx val="1"/>
          <c:order val="1"/>
          <c:tx>
            <c:strRef>
              <c:f>'Tuples Naive'!$C$1</c:f>
              <c:strCache>
                <c:ptCount val="1"/>
                <c:pt idx="0">
                  <c:v>Mean</c:v>
                </c:pt>
              </c:strCache>
            </c:strRef>
          </c:tx>
          <c:spPr>
            <a:ln w="28575" cap="rnd">
              <a:solidFill>
                <a:schemeClr val="accent2"/>
              </a:solidFill>
              <a:round/>
            </a:ln>
            <a:effectLst/>
          </c:spPr>
          <c:marker>
            <c:symbol val="triangle"/>
            <c:size val="8"/>
            <c:spPr>
              <a:solidFill>
                <a:schemeClr val="accent2"/>
              </a:solidFill>
              <a:ln w="9525">
                <a:solidFill>
                  <a:schemeClr val="accent2"/>
                </a:solidFill>
              </a:ln>
              <a:effectLst/>
            </c:spPr>
          </c:marker>
          <c:cat>
            <c:numRef>
              <c:f>'Tuples Naive'!$A$2:$A$11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Naive'!$C$2:$C$11</c:f>
              <c:numCache>
                <c:formatCode>General</c:formatCode>
                <c:ptCount val="10"/>
                <c:pt idx="0">
                  <c:v>22.123082</c:v>
                </c:pt>
                <c:pt idx="1">
                  <c:v>22.123082</c:v>
                </c:pt>
                <c:pt idx="2">
                  <c:v>22.123082</c:v>
                </c:pt>
                <c:pt idx="3">
                  <c:v>22.123082</c:v>
                </c:pt>
                <c:pt idx="4">
                  <c:v>22.123082</c:v>
                </c:pt>
                <c:pt idx="5">
                  <c:v>22.123082</c:v>
                </c:pt>
                <c:pt idx="6">
                  <c:v>22.123082</c:v>
                </c:pt>
                <c:pt idx="7">
                  <c:v>22.123082</c:v>
                </c:pt>
                <c:pt idx="8">
                  <c:v>22.123082</c:v>
                </c:pt>
                <c:pt idx="9">
                  <c:v>22.123082</c:v>
                </c:pt>
              </c:numCache>
            </c:numRef>
          </c:val>
          <c:smooth val="0"/>
        </c:ser>
        <c:ser>
          <c:idx val="2"/>
          <c:order val="2"/>
          <c:tx>
            <c:strRef>
              <c:f>'Tuples Naive'!$D$1</c:f>
              <c:strCache>
                <c:ptCount val="1"/>
                <c:pt idx="0">
                  <c:v>Max</c:v>
                </c:pt>
              </c:strCache>
            </c:strRef>
          </c:tx>
          <c:spPr>
            <a:ln w="28575" cap="rnd">
              <a:solidFill>
                <a:schemeClr val="accent3"/>
              </a:solidFill>
              <a:round/>
            </a:ln>
            <a:effectLst/>
          </c:spPr>
          <c:marker>
            <c:symbol val="circle"/>
            <c:size val="8"/>
            <c:spPr>
              <a:solidFill>
                <a:schemeClr val="accent3"/>
              </a:solidFill>
              <a:ln w="9525">
                <a:solidFill>
                  <a:schemeClr val="accent3"/>
                </a:solidFill>
              </a:ln>
              <a:effectLst/>
            </c:spPr>
          </c:marker>
          <c:cat>
            <c:numRef>
              <c:f>'Tuples Naive'!$A$2:$A$11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Naive'!$D$2:$D$11</c:f>
              <c:numCache>
                <c:formatCode>General</c:formatCode>
                <c:ptCount val="10"/>
                <c:pt idx="0">
                  <c:v>22.123083</c:v>
                </c:pt>
                <c:pt idx="1">
                  <c:v>22.123083</c:v>
                </c:pt>
                <c:pt idx="2">
                  <c:v>22.123083</c:v>
                </c:pt>
                <c:pt idx="3">
                  <c:v>22.123083</c:v>
                </c:pt>
                <c:pt idx="4">
                  <c:v>22.123083</c:v>
                </c:pt>
                <c:pt idx="5">
                  <c:v>22.123083</c:v>
                </c:pt>
                <c:pt idx="6">
                  <c:v>22.123083</c:v>
                </c:pt>
                <c:pt idx="7">
                  <c:v>22.123083</c:v>
                </c:pt>
                <c:pt idx="8">
                  <c:v>22.123083</c:v>
                </c:pt>
                <c:pt idx="9">
                  <c:v>22.123083</c:v>
                </c:pt>
              </c:numCache>
            </c:numRef>
          </c:val>
          <c:smooth val="0"/>
        </c:ser>
        <c:dLbls>
          <c:showLegendKey val="0"/>
          <c:showVal val="0"/>
          <c:showCatName val="0"/>
          <c:showSerName val="0"/>
          <c:showPercent val="0"/>
          <c:showBubbleSize val="0"/>
        </c:dLbls>
        <c:marker val="1"/>
        <c:smooth val="0"/>
        <c:axId val="-1231533824"/>
        <c:axId val="-1231516928"/>
      </c:lineChart>
      <c:catAx>
        <c:axId val="-123153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16928"/>
        <c:crosses val="autoZero"/>
        <c:auto val="1"/>
        <c:lblAlgn val="ctr"/>
        <c:lblOffset val="100"/>
        <c:noMultiLvlLbl val="0"/>
      </c:catAx>
      <c:valAx>
        <c:axId val="-1231516928"/>
        <c:scaling>
          <c:orientation val="minMax"/>
          <c:max val="25.0"/>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3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'Tuples AP'!$B$1</c:f>
              <c:strCache>
                <c:ptCount val="1"/>
                <c:pt idx="0">
                  <c:v>Min</c:v>
                </c:pt>
              </c:strCache>
            </c:strRef>
          </c:tx>
          <c:spPr>
            <a:ln w="28575" cap="rnd">
              <a:solidFill>
                <a:schemeClr val="accent1"/>
              </a:solidFill>
              <a:round/>
            </a:ln>
            <a:effectLst/>
          </c:spPr>
          <c:marker>
            <c:symbol val="square"/>
            <c:size val="8"/>
            <c:spPr>
              <a:solidFill>
                <a:schemeClr val="accent1"/>
              </a:solidFill>
              <a:ln w="9525">
                <a:solidFill>
                  <a:schemeClr val="accent1"/>
                </a:solidFill>
              </a:ln>
              <a:effectLst/>
            </c:spPr>
          </c:marker>
          <c:cat>
            <c:numRef>
              <c:f>'Tuples AP'!$A$2:$A$11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AP'!$B$2:$B$11</c:f>
              <c:numCache>
                <c:formatCode>General</c:formatCode>
                <c:ptCount val="10"/>
                <c:pt idx="0">
                  <c:v>22.123082</c:v>
                </c:pt>
                <c:pt idx="1">
                  <c:v>22.123082</c:v>
                </c:pt>
                <c:pt idx="2">
                  <c:v>22.122951</c:v>
                </c:pt>
                <c:pt idx="3">
                  <c:v>22.12096</c:v>
                </c:pt>
                <c:pt idx="4">
                  <c:v>6.841071</c:v>
                </c:pt>
                <c:pt idx="5">
                  <c:v>0.005006</c:v>
                </c:pt>
                <c:pt idx="6">
                  <c:v>0.0</c:v>
                </c:pt>
                <c:pt idx="7">
                  <c:v>0.0</c:v>
                </c:pt>
                <c:pt idx="8">
                  <c:v>0.0</c:v>
                </c:pt>
                <c:pt idx="9">
                  <c:v>0.0</c:v>
                </c:pt>
              </c:numCache>
            </c:numRef>
          </c:val>
          <c:smooth val="0"/>
        </c:ser>
        <c:ser>
          <c:idx val="1"/>
          <c:order val="1"/>
          <c:tx>
            <c:strRef>
              <c:f>'Tuples AP'!$C$1</c:f>
              <c:strCache>
                <c:ptCount val="1"/>
                <c:pt idx="0">
                  <c:v>Mean</c:v>
                </c:pt>
              </c:strCache>
            </c:strRef>
          </c:tx>
          <c:spPr>
            <a:ln w="28575" cap="rnd">
              <a:solidFill>
                <a:schemeClr val="accent2"/>
              </a:solidFill>
              <a:round/>
            </a:ln>
            <a:effectLst/>
          </c:spPr>
          <c:marker>
            <c:symbol val="triangle"/>
            <c:size val="8"/>
            <c:spPr>
              <a:solidFill>
                <a:schemeClr val="accent2"/>
              </a:solidFill>
              <a:ln w="9525">
                <a:solidFill>
                  <a:schemeClr val="accent2"/>
                </a:solidFill>
              </a:ln>
              <a:effectLst/>
            </c:spPr>
          </c:marker>
          <c:cat>
            <c:numRef>
              <c:f>'Tuples AP'!$A$2:$A$11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AP'!$C$2:$C$11</c:f>
              <c:numCache>
                <c:formatCode>General</c:formatCode>
                <c:ptCount val="10"/>
                <c:pt idx="0">
                  <c:v>22.123082</c:v>
                </c:pt>
                <c:pt idx="1">
                  <c:v>22.123082</c:v>
                </c:pt>
                <c:pt idx="2">
                  <c:v>22.12307</c:v>
                </c:pt>
                <c:pt idx="3">
                  <c:v>22.121537</c:v>
                </c:pt>
                <c:pt idx="4">
                  <c:v>8.457318000000001</c:v>
                </c:pt>
                <c:pt idx="5">
                  <c:v>0.430993</c:v>
                </c:pt>
                <c:pt idx="6">
                  <c:v>0.160297</c:v>
                </c:pt>
                <c:pt idx="7">
                  <c:v>0.128094</c:v>
                </c:pt>
                <c:pt idx="8">
                  <c:v>0.121852</c:v>
                </c:pt>
                <c:pt idx="9">
                  <c:v>0.00159</c:v>
                </c:pt>
              </c:numCache>
            </c:numRef>
          </c:val>
          <c:smooth val="0"/>
        </c:ser>
        <c:ser>
          <c:idx val="2"/>
          <c:order val="2"/>
          <c:tx>
            <c:strRef>
              <c:f>'Tuples AP'!$D$1</c:f>
              <c:strCache>
                <c:ptCount val="1"/>
                <c:pt idx="0">
                  <c:v>Max</c:v>
                </c:pt>
              </c:strCache>
            </c:strRef>
          </c:tx>
          <c:spPr>
            <a:ln w="28575" cap="rnd">
              <a:solidFill>
                <a:schemeClr val="accent3"/>
              </a:solidFill>
              <a:round/>
            </a:ln>
            <a:effectLst/>
          </c:spPr>
          <c:marker>
            <c:symbol val="circle"/>
            <c:size val="8"/>
            <c:spPr>
              <a:solidFill>
                <a:schemeClr val="accent3"/>
              </a:solidFill>
              <a:ln w="9525">
                <a:solidFill>
                  <a:schemeClr val="accent3"/>
                </a:solidFill>
              </a:ln>
              <a:effectLst/>
            </c:spPr>
          </c:marker>
          <c:cat>
            <c:numRef>
              <c:f>'Tuples AP'!$A$2:$A$11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AP'!$D$2:$D$11</c:f>
              <c:numCache>
                <c:formatCode>General</c:formatCode>
                <c:ptCount val="10"/>
                <c:pt idx="0">
                  <c:v>22.123083</c:v>
                </c:pt>
                <c:pt idx="1">
                  <c:v>22.123083</c:v>
                </c:pt>
                <c:pt idx="2">
                  <c:v>22.123083</c:v>
                </c:pt>
                <c:pt idx="3">
                  <c:v>22.122421</c:v>
                </c:pt>
                <c:pt idx="4">
                  <c:v>11.884202</c:v>
                </c:pt>
                <c:pt idx="5">
                  <c:v>5.982553</c:v>
                </c:pt>
                <c:pt idx="6">
                  <c:v>5.286849</c:v>
                </c:pt>
                <c:pt idx="7">
                  <c:v>4.933421</c:v>
                </c:pt>
                <c:pt idx="8">
                  <c:v>4.822132999999996</c:v>
                </c:pt>
                <c:pt idx="9">
                  <c:v>0.033071</c:v>
                </c:pt>
              </c:numCache>
            </c:numRef>
          </c:val>
          <c:smooth val="0"/>
        </c:ser>
        <c:dLbls>
          <c:showLegendKey val="0"/>
          <c:showVal val="0"/>
          <c:showCatName val="0"/>
          <c:showSerName val="0"/>
          <c:showPercent val="0"/>
          <c:showBubbleSize val="0"/>
        </c:dLbls>
        <c:marker val="1"/>
        <c:smooth val="0"/>
        <c:axId val="-1311090944"/>
        <c:axId val="-1311089584"/>
      </c:lineChart>
      <c:catAx>
        <c:axId val="-131109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089584"/>
        <c:crosses val="autoZero"/>
        <c:auto val="1"/>
        <c:lblAlgn val="ctr"/>
        <c:lblOffset val="100"/>
        <c:noMultiLvlLbl val="0"/>
      </c:catAx>
      <c:valAx>
        <c:axId val="-13110895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09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AP_LB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'Tuples AP_LB'!$B$1</c:f>
              <c:strCache>
                <c:ptCount val="1"/>
                <c:pt idx="0">
                  <c:v>Min</c:v>
                </c:pt>
              </c:strCache>
            </c:strRef>
          </c:tx>
          <c:spPr>
            <a:ln w="28575" cap="rnd">
              <a:solidFill>
                <a:schemeClr val="accent1"/>
              </a:solidFill>
              <a:round/>
            </a:ln>
            <a:effectLst/>
          </c:spPr>
          <c:marker>
            <c:symbol val="square"/>
            <c:size val="8"/>
            <c:spPr>
              <a:solidFill>
                <a:schemeClr val="accent1"/>
              </a:solidFill>
              <a:ln w="9525">
                <a:solidFill>
                  <a:schemeClr val="accent1"/>
                </a:solidFill>
              </a:ln>
              <a:effectLst/>
            </c:spPr>
          </c:marker>
          <c:cat>
            <c:numRef>
              <c:f>'Tuples AP_LB'!$A$2:$A$11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AP_LB'!$B$2:$B$11</c:f>
              <c:numCache>
                <c:formatCode>General</c:formatCode>
                <c:ptCount val="10"/>
                <c:pt idx="0">
                  <c:v>22.123082</c:v>
                </c:pt>
                <c:pt idx="1">
                  <c:v>22.123082</c:v>
                </c:pt>
                <c:pt idx="2">
                  <c:v>22.12307</c:v>
                </c:pt>
                <c:pt idx="3">
                  <c:v>22.121537</c:v>
                </c:pt>
                <c:pt idx="4">
                  <c:v>8.457318000000001</c:v>
                </c:pt>
                <c:pt idx="5">
                  <c:v>0.430993</c:v>
                </c:pt>
                <c:pt idx="6">
                  <c:v>0.160297</c:v>
                </c:pt>
                <c:pt idx="7">
                  <c:v>0.128094</c:v>
                </c:pt>
                <c:pt idx="8">
                  <c:v>0.121852</c:v>
                </c:pt>
                <c:pt idx="9">
                  <c:v>0.00159</c:v>
                </c:pt>
              </c:numCache>
            </c:numRef>
          </c:val>
          <c:smooth val="0"/>
        </c:ser>
        <c:ser>
          <c:idx val="1"/>
          <c:order val="1"/>
          <c:tx>
            <c:strRef>
              <c:f>'Tuples AP_LB'!$C$1</c:f>
              <c:strCache>
                <c:ptCount val="1"/>
                <c:pt idx="0">
                  <c:v>Mean</c:v>
                </c:pt>
              </c:strCache>
            </c:strRef>
          </c:tx>
          <c:spPr>
            <a:ln w="28575" cap="rnd">
              <a:solidFill>
                <a:schemeClr val="accent2"/>
              </a:solidFill>
              <a:round/>
            </a:ln>
            <a:effectLst/>
          </c:spPr>
          <c:marker>
            <c:symbol val="triangle"/>
            <c:size val="8"/>
            <c:spPr>
              <a:solidFill>
                <a:schemeClr val="accent2"/>
              </a:solidFill>
              <a:ln w="9525">
                <a:solidFill>
                  <a:schemeClr val="accent2"/>
                </a:solidFill>
              </a:ln>
              <a:effectLst/>
            </c:spPr>
          </c:marker>
          <c:cat>
            <c:numRef>
              <c:f>'Tuples AP_LB'!$A$2:$A$11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AP_LB'!$C$2:$C$11</c:f>
              <c:numCache>
                <c:formatCode>General</c:formatCode>
                <c:ptCount val="10"/>
                <c:pt idx="0">
                  <c:v>22.123082</c:v>
                </c:pt>
                <c:pt idx="1">
                  <c:v>22.123082</c:v>
                </c:pt>
                <c:pt idx="2">
                  <c:v>22.12307</c:v>
                </c:pt>
                <c:pt idx="3">
                  <c:v>22.121537</c:v>
                </c:pt>
                <c:pt idx="4">
                  <c:v>8.457318000000001</c:v>
                </c:pt>
                <c:pt idx="5">
                  <c:v>0.430993</c:v>
                </c:pt>
                <c:pt idx="6">
                  <c:v>0.160297</c:v>
                </c:pt>
                <c:pt idx="7">
                  <c:v>0.128094</c:v>
                </c:pt>
                <c:pt idx="8">
                  <c:v>0.121852</c:v>
                </c:pt>
                <c:pt idx="9">
                  <c:v>0.00159</c:v>
                </c:pt>
              </c:numCache>
            </c:numRef>
          </c:val>
          <c:smooth val="0"/>
        </c:ser>
        <c:ser>
          <c:idx val="2"/>
          <c:order val="2"/>
          <c:tx>
            <c:strRef>
              <c:f>'Tuples AP_LB'!$D$1</c:f>
              <c:strCache>
                <c:ptCount val="1"/>
                <c:pt idx="0">
                  <c:v>Max</c:v>
                </c:pt>
              </c:strCache>
            </c:strRef>
          </c:tx>
          <c:spPr>
            <a:ln w="28575" cap="rnd">
              <a:solidFill>
                <a:schemeClr val="accent3"/>
              </a:solidFill>
              <a:round/>
            </a:ln>
            <a:effectLst/>
          </c:spPr>
          <c:marker>
            <c:symbol val="circle"/>
            <c:size val="8"/>
            <c:spPr>
              <a:solidFill>
                <a:schemeClr val="accent3"/>
              </a:solidFill>
              <a:ln w="9525">
                <a:solidFill>
                  <a:schemeClr val="accent3"/>
                </a:solidFill>
              </a:ln>
              <a:effectLst/>
            </c:spPr>
          </c:marker>
          <c:cat>
            <c:numRef>
              <c:f>'Tuples AP_LB'!$A$2:$A$11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'Tuples AP_LB'!$D$2:$D$11</c:f>
              <c:numCache>
                <c:formatCode>General</c:formatCode>
                <c:ptCount val="10"/>
                <c:pt idx="0">
                  <c:v>22.123083</c:v>
                </c:pt>
                <c:pt idx="1">
                  <c:v>22.123083</c:v>
                </c:pt>
                <c:pt idx="2">
                  <c:v>22.123071</c:v>
                </c:pt>
                <c:pt idx="3">
                  <c:v>22.121538</c:v>
                </c:pt>
                <c:pt idx="4">
                  <c:v>8.457319</c:v>
                </c:pt>
                <c:pt idx="5">
                  <c:v>0.430994</c:v>
                </c:pt>
                <c:pt idx="6">
                  <c:v>0.160298</c:v>
                </c:pt>
                <c:pt idx="7">
                  <c:v>0.128095</c:v>
                </c:pt>
                <c:pt idx="8">
                  <c:v>0.121853</c:v>
                </c:pt>
                <c:pt idx="9">
                  <c:v>0.001591</c:v>
                </c:pt>
              </c:numCache>
            </c:numRef>
          </c:val>
          <c:smooth val="0"/>
        </c:ser>
        <c:dLbls>
          <c:showLegendKey val="0"/>
          <c:showVal val="0"/>
          <c:showCatName val="0"/>
          <c:showSerName val="0"/>
          <c:showPercent val="0"/>
          <c:showBubbleSize val="0"/>
        </c:dLbls>
        <c:marker val="1"/>
        <c:smooth val="0"/>
        <c:axId val="-1230568416"/>
        <c:axId val="-1230558272"/>
      </c:lineChart>
      <c:catAx>
        <c:axId val="-123056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558272"/>
        <c:crosses val="autoZero"/>
        <c:auto val="1"/>
        <c:lblAlgn val="ctr"/>
        <c:lblOffset val="100"/>
        <c:noMultiLvlLbl val="0"/>
      </c:catAx>
      <c:valAx>
        <c:axId val="-12305582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568416"/>
        <c:crosses val="autoZero"/>
        <c:crossBetween val="between"/>
      </c:valAx>
      <c:spPr>
        <a:noFill/>
        <a:ln>
          <a:noFill/>
        </a:ln>
        <a:effectLst/>
      </c:spPr>
    </c:plotArea>
    <c:legend>
      <c:legendPos val="tr"/>
      <c:layout/>
      <c:overlay val="1"/>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Scaling!$B$1</c:f>
              <c:strCache>
                <c:ptCount val="1"/>
                <c:pt idx="0">
                  <c:v>AP_LB (min)</c:v>
                </c:pt>
              </c:strCache>
            </c:strRef>
          </c:tx>
          <c:spPr>
            <a:ln w="19050" cap="rnd">
              <a:solidFill>
                <a:schemeClr val="accent1">
                  <a:lumMod val="50000"/>
                </a:schemeClr>
              </a:solidFill>
              <a:prstDash val="dash"/>
              <a:round/>
            </a:ln>
            <a:effectLst/>
          </c:spPr>
          <c:marker>
            <c:symbol val="square"/>
            <c:size val="8"/>
            <c:spPr>
              <a:solidFill>
                <a:schemeClr val="accent1">
                  <a:lumMod val="50000"/>
                </a:schemeClr>
              </a:solidFill>
              <a:ln w="9525">
                <a:solidFill>
                  <a:schemeClr val="accent1">
                    <a:lumMod val="50000"/>
                  </a:schemeClr>
                </a:solidFill>
              </a:ln>
              <a:effectLst/>
            </c:spPr>
          </c:marker>
          <c:xVal>
            <c:numRef>
              <c:f>Scaling!$A$2:$A$6</c:f>
              <c:numCache>
                <c:formatCode>General</c:formatCode>
                <c:ptCount val="5"/>
                <c:pt idx="0">
                  <c:v>4.0</c:v>
                </c:pt>
                <c:pt idx="1">
                  <c:v>8.0</c:v>
                </c:pt>
                <c:pt idx="2">
                  <c:v>16.0</c:v>
                </c:pt>
                <c:pt idx="3">
                  <c:v>32.0</c:v>
                </c:pt>
                <c:pt idx="4">
                  <c:v>40.0</c:v>
                </c:pt>
              </c:numCache>
            </c:numRef>
          </c:xVal>
          <c:yVal>
            <c:numRef>
              <c:f>Scaling!$B$2:$B$6</c:f>
              <c:numCache>
                <c:formatCode>General</c:formatCode>
                <c:ptCount val="5"/>
                <c:pt idx="0">
                  <c:v>145.644</c:v>
                </c:pt>
                <c:pt idx="1">
                  <c:v>79.0936</c:v>
                </c:pt>
                <c:pt idx="2">
                  <c:v>45.2868</c:v>
                </c:pt>
                <c:pt idx="3">
                  <c:v>29.0598</c:v>
                </c:pt>
                <c:pt idx="4">
                  <c:v>28.7847</c:v>
                </c:pt>
              </c:numCache>
            </c:numRef>
          </c:yVal>
          <c:smooth val="0"/>
        </c:ser>
        <c:ser>
          <c:idx val="1"/>
          <c:order val="1"/>
          <c:tx>
            <c:strRef>
              <c:f>Scaling!$C$1</c:f>
              <c:strCache>
                <c:ptCount val="1"/>
                <c:pt idx="0">
                  <c:v>AP_LB (max)</c:v>
                </c:pt>
              </c:strCache>
            </c:strRef>
          </c:tx>
          <c:spPr>
            <a:ln w="19050" cap="rnd">
              <a:solidFill>
                <a:schemeClr val="accent1"/>
              </a:solidFill>
              <a:prstDash val="dash"/>
              <a:round/>
            </a:ln>
            <a:effectLst/>
          </c:spPr>
          <c:marker>
            <c:symbol val="square"/>
            <c:size val="8"/>
            <c:spPr>
              <a:solidFill>
                <a:schemeClr val="accent1"/>
              </a:solidFill>
              <a:ln w="9525">
                <a:solidFill>
                  <a:schemeClr val="accent1"/>
                </a:solidFill>
              </a:ln>
              <a:effectLst/>
            </c:spPr>
          </c:marker>
          <c:xVal>
            <c:numRef>
              <c:f>Scaling!$A$2:$A$6</c:f>
              <c:numCache>
                <c:formatCode>General</c:formatCode>
                <c:ptCount val="5"/>
                <c:pt idx="0">
                  <c:v>4.0</c:v>
                </c:pt>
                <c:pt idx="1">
                  <c:v>8.0</c:v>
                </c:pt>
                <c:pt idx="2">
                  <c:v>16.0</c:v>
                </c:pt>
                <c:pt idx="3">
                  <c:v>32.0</c:v>
                </c:pt>
                <c:pt idx="4">
                  <c:v>40.0</c:v>
                </c:pt>
              </c:numCache>
            </c:numRef>
          </c:xVal>
          <c:yVal>
            <c:numRef>
              <c:f>Scaling!$C$2:$C$6</c:f>
              <c:numCache>
                <c:formatCode>General</c:formatCode>
                <c:ptCount val="5"/>
                <c:pt idx="0">
                  <c:v>148.967</c:v>
                </c:pt>
                <c:pt idx="1">
                  <c:v>79.6179</c:v>
                </c:pt>
                <c:pt idx="2">
                  <c:v>47.5418</c:v>
                </c:pt>
                <c:pt idx="3">
                  <c:v>30.1482</c:v>
                </c:pt>
                <c:pt idx="4">
                  <c:v>28.9587</c:v>
                </c:pt>
              </c:numCache>
            </c:numRef>
          </c:yVal>
          <c:smooth val="0"/>
        </c:ser>
        <c:ser>
          <c:idx val="2"/>
          <c:order val="2"/>
          <c:tx>
            <c:strRef>
              <c:f>Scaling!$D$1</c:f>
              <c:strCache>
                <c:ptCount val="1"/>
                <c:pt idx="0">
                  <c:v>AP (min)</c:v>
                </c:pt>
              </c:strCache>
            </c:strRef>
          </c:tx>
          <c:spPr>
            <a:ln w="19050" cap="rnd">
              <a:solidFill>
                <a:schemeClr val="accent6">
                  <a:lumMod val="75000"/>
                </a:schemeClr>
              </a:solidFill>
              <a:prstDash val="sysDash"/>
              <a:round/>
            </a:ln>
            <a:effectLst/>
          </c:spPr>
          <c:marker>
            <c:symbol val="triangle"/>
            <c:size val="8"/>
            <c:spPr>
              <a:solidFill>
                <a:schemeClr val="accent6">
                  <a:lumMod val="75000"/>
                </a:schemeClr>
              </a:solidFill>
              <a:ln w="9525">
                <a:solidFill>
                  <a:schemeClr val="accent6">
                    <a:lumMod val="75000"/>
                  </a:schemeClr>
                </a:solidFill>
              </a:ln>
              <a:effectLst/>
            </c:spPr>
          </c:marker>
          <c:xVal>
            <c:numRef>
              <c:f>Scaling!$A$2:$A$6</c:f>
              <c:numCache>
                <c:formatCode>General</c:formatCode>
                <c:ptCount val="5"/>
                <c:pt idx="0">
                  <c:v>4.0</c:v>
                </c:pt>
                <c:pt idx="1">
                  <c:v>8.0</c:v>
                </c:pt>
                <c:pt idx="2">
                  <c:v>16.0</c:v>
                </c:pt>
                <c:pt idx="3">
                  <c:v>32.0</c:v>
                </c:pt>
                <c:pt idx="4">
                  <c:v>40.0</c:v>
                </c:pt>
              </c:numCache>
            </c:numRef>
          </c:xVal>
          <c:yVal>
            <c:numRef>
              <c:f>Scaling!$D$2:$D$6</c:f>
              <c:numCache>
                <c:formatCode>General</c:formatCode>
                <c:ptCount val="5"/>
                <c:pt idx="0">
                  <c:v>153.464</c:v>
                </c:pt>
                <c:pt idx="1">
                  <c:v>81.3092</c:v>
                </c:pt>
                <c:pt idx="2">
                  <c:v>48.613</c:v>
                </c:pt>
                <c:pt idx="3">
                  <c:v>31.1491</c:v>
                </c:pt>
                <c:pt idx="4">
                  <c:v>29.3838</c:v>
                </c:pt>
              </c:numCache>
            </c:numRef>
          </c:yVal>
          <c:smooth val="0"/>
        </c:ser>
        <c:ser>
          <c:idx val="3"/>
          <c:order val="3"/>
          <c:tx>
            <c:strRef>
              <c:f>Scaling!$E$1</c:f>
              <c:strCache>
                <c:ptCount val="1"/>
                <c:pt idx="0">
                  <c:v>AP (max)</c:v>
                </c:pt>
              </c:strCache>
            </c:strRef>
          </c:tx>
          <c:spPr>
            <a:ln w="19050" cap="rnd">
              <a:solidFill>
                <a:schemeClr val="accent6"/>
              </a:solidFill>
              <a:prstDash val="sysDash"/>
              <a:round/>
            </a:ln>
            <a:effectLst/>
          </c:spPr>
          <c:marker>
            <c:symbol val="triangle"/>
            <c:size val="8"/>
            <c:spPr>
              <a:solidFill>
                <a:schemeClr val="accent6"/>
              </a:solidFill>
              <a:ln w="9525">
                <a:solidFill>
                  <a:schemeClr val="accent6"/>
                </a:solidFill>
              </a:ln>
              <a:effectLst/>
            </c:spPr>
          </c:marker>
          <c:xVal>
            <c:numRef>
              <c:f>Scaling!$A$2:$A$6</c:f>
              <c:numCache>
                <c:formatCode>General</c:formatCode>
                <c:ptCount val="5"/>
                <c:pt idx="0">
                  <c:v>4.0</c:v>
                </c:pt>
                <c:pt idx="1">
                  <c:v>8.0</c:v>
                </c:pt>
                <c:pt idx="2">
                  <c:v>16.0</c:v>
                </c:pt>
                <c:pt idx="3">
                  <c:v>32.0</c:v>
                </c:pt>
                <c:pt idx="4">
                  <c:v>40.0</c:v>
                </c:pt>
              </c:numCache>
            </c:numRef>
          </c:xVal>
          <c:yVal>
            <c:numRef>
              <c:f>Scaling!$E$2:$E$6</c:f>
              <c:numCache>
                <c:formatCode>General</c:formatCode>
                <c:ptCount val="5"/>
                <c:pt idx="0">
                  <c:v>156.005</c:v>
                </c:pt>
                <c:pt idx="1">
                  <c:v>86.93889999999998</c:v>
                </c:pt>
                <c:pt idx="2">
                  <c:v>51.9904</c:v>
                </c:pt>
                <c:pt idx="3">
                  <c:v>32.1966</c:v>
                </c:pt>
                <c:pt idx="4">
                  <c:v>30.2006</c:v>
                </c:pt>
              </c:numCache>
            </c:numRef>
          </c:yVal>
          <c:smooth val="0"/>
        </c:ser>
        <c:ser>
          <c:idx val="4"/>
          <c:order val="4"/>
          <c:tx>
            <c:strRef>
              <c:f>Scaling!$F$1</c:f>
              <c:strCache>
                <c:ptCount val="1"/>
                <c:pt idx="0">
                  <c:v>Naïve (min)</c:v>
                </c:pt>
              </c:strCache>
            </c:strRef>
          </c:tx>
          <c:spPr>
            <a:ln w="19050" cap="rnd">
              <a:solidFill>
                <a:schemeClr val="accent2">
                  <a:lumMod val="50000"/>
                </a:schemeClr>
              </a:solidFill>
              <a:round/>
            </a:ln>
            <a:effectLst/>
          </c:spPr>
          <c:marker>
            <c:symbol val="circle"/>
            <c:size val="8"/>
            <c:spPr>
              <a:solidFill>
                <a:schemeClr val="accent2">
                  <a:lumMod val="50000"/>
                </a:schemeClr>
              </a:solidFill>
              <a:ln w="9525">
                <a:solidFill>
                  <a:schemeClr val="accent2">
                    <a:lumMod val="50000"/>
                  </a:schemeClr>
                </a:solidFill>
              </a:ln>
              <a:effectLst/>
            </c:spPr>
          </c:marker>
          <c:xVal>
            <c:numRef>
              <c:f>Scaling!$A$2:$A$6</c:f>
              <c:numCache>
                <c:formatCode>General</c:formatCode>
                <c:ptCount val="5"/>
                <c:pt idx="0">
                  <c:v>4.0</c:v>
                </c:pt>
                <c:pt idx="1">
                  <c:v>8.0</c:v>
                </c:pt>
                <c:pt idx="2">
                  <c:v>16.0</c:v>
                </c:pt>
                <c:pt idx="3">
                  <c:v>32.0</c:v>
                </c:pt>
                <c:pt idx="4">
                  <c:v>40.0</c:v>
                </c:pt>
              </c:numCache>
            </c:numRef>
          </c:xVal>
          <c:yVal>
            <c:numRef>
              <c:f>Scaling!$F$2:$F$6</c:f>
              <c:numCache>
                <c:formatCode>General</c:formatCode>
                <c:ptCount val="5"/>
                <c:pt idx="0">
                  <c:v>273.839</c:v>
                </c:pt>
                <c:pt idx="1">
                  <c:v>143.585</c:v>
                </c:pt>
                <c:pt idx="2">
                  <c:v>86.2332</c:v>
                </c:pt>
                <c:pt idx="3">
                  <c:v>53.4822</c:v>
                </c:pt>
                <c:pt idx="4">
                  <c:v>51.6649</c:v>
                </c:pt>
              </c:numCache>
            </c:numRef>
          </c:yVal>
          <c:smooth val="0"/>
        </c:ser>
        <c:ser>
          <c:idx val="5"/>
          <c:order val="5"/>
          <c:tx>
            <c:strRef>
              <c:f>Scaling!$G$1</c:f>
              <c:strCache>
                <c:ptCount val="1"/>
                <c:pt idx="0">
                  <c:v>Naïve (max)</c:v>
                </c:pt>
              </c:strCache>
            </c:strRef>
          </c:tx>
          <c:spPr>
            <a:ln w="19050" cap="rnd">
              <a:solidFill>
                <a:schemeClr val="accent2"/>
              </a:solidFill>
              <a:round/>
            </a:ln>
            <a:effectLst/>
          </c:spPr>
          <c:marker>
            <c:symbol val="circle"/>
            <c:size val="8"/>
            <c:spPr>
              <a:solidFill>
                <a:schemeClr val="accent2"/>
              </a:solidFill>
              <a:ln w="9525">
                <a:solidFill>
                  <a:schemeClr val="accent2"/>
                </a:solidFill>
              </a:ln>
              <a:effectLst/>
            </c:spPr>
          </c:marker>
          <c:xVal>
            <c:numRef>
              <c:f>Scaling!$A$2:$A$6</c:f>
              <c:numCache>
                <c:formatCode>General</c:formatCode>
                <c:ptCount val="5"/>
                <c:pt idx="0">
                  <c:v>4.0</c:v>
                </c:pt>
                <c:pt idx="1">
                  <c:v>8.0</c:v>
                </c:pt>
                <c:pt idx="2">
                  <c:v>16.0</c:v>
                </c:pt>
                <c:pt idx="3">
                  <c:v>32.0</c:v>
                </c:pt>
                <c:pt idx="4">
                  <c:v>40.0</c:v>
                </c:pt>
              </c:numCache>
            </c:numRef>
          </c:xVal>
          <c:yVal>
            <c:numRef>
              <c:f>Scaling!$G$2:$G$6</c:f>
              <c:numCache>
                <c:formatCode>General</c:formatCode>
                <c:ptCount val="5"/>
                <c:pt idx="0">
                  <c:v>279.859</c:v>
                </c:pt>
                <c:pt idx="1">
                  <c:v>147.549</c:v>
                </c:pt>
                <c:pt idx="2">
                  <c:v>89.9591</c:v>
                </c:pt>
                <c:pt idx="3">
                  <c:v>56.0803</c:v>
                </c:pt>
                <c:pt idx="4">
                  <c:v>52.163</c:v>
                </c:pt>
              </c:numCache>
            </c:numRef>
          </c:yVal>
          <c:smooth val="0"/>
        </c:ser>
        <c:dLbls>
          <c:showLegendKey val="0"/>
          <c:showVal val="0"/>
          <c:showCatName val="0"/>
          <c:showSerName val="0"/>
          <c:showPercent val="0"/>
          <c:showBubbleSize val="0"/>
        </c:dLbls>
        <c:axId val="-1230507680"/>
        <c:axId val="-1230503920"/>
      </c:scatterChart>
      <c:valAx>
        <c:axId val="-1230507680"/>
        <c:scaling>
          <c:orientation val="minMax"/>
          <c:max val="40.0"/>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Number of cores</a:t>
                </a:r>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503920"/>
        <c:crosses val="autoZero"/>
        <c:crossBetween val="midCat"/>
        <c:majorUnit val="4.0"/>
      </c:valAx>
      <c:valAx>
        <c:axId val="-1230503920"/>
        <c:scaling>
          <c:orientation val="minMax"/>
          <c:max val="290.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(sec)</a:t>
                </a:r>
                <a:endParaRPr lang="en-US" sz="1200"/>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507680"/>
        <c:crosses val="autoZero"/>
        <c:crossBetween val="midCat"/>
        <c:majorUnit val="30.0"/>
      </c:valAx>
      <c:spPr>
        <a:noFill/>
        <a:ln>
          <a:noFill/>
        </a:ln>
        <a:effectLst/>
      </c:spPr>
    </c:plotArea>
    <c:legend>
      <c:legendPos val="r"/>
      <c:layout>
        <c:manualLayout>
          <c:xMode val="edge"/>
          <c:yMode val="edge"/>
          <c:x val="0.550809260875586"/>
          <c:y val="0.0272068286196991"/>
          <c:w val="0.419190754682636"/>
          <c:h val="0.449931689406369"/>
        </c:manualLayout>
      </c:layout>
      <c:overlay val="1"/>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Scaling!$B$1</c:f>
              <c:strCache>
                <c:ptCount val="1"/>
                <c:pt idx="0">
                  <c:v>AP_LB (min)</c:v>
                </c:pt>
              </c:strCache>
            </c:strRef>
          </c:tx>
          <c:spPr>
            <a:ln w="19050" cap="rnd">
              <a:solidFill>
                <a:schemeClr val="accent1">
                  <a:lumMod val="50000"/>
                </a:schemeClr>
              </a:solidFill>
              <a:prstDash val="dash"/>
              <a:round/>
            </a:ln>
            <a:effectLst/>
          </c:spPr>
          <c:marker>
            <c:symbol val="square"/>
            <c:size val="8"/>
            <c:spPr>
              <a:solidFill>
                <a:schemeClr val="accent1">
                  <a:lumMod val="50000"/>
                </a:schemeClr>
              </a:solidFill>
              <a:ln w="9525">
                <a:solidFill>
                  <a:schemeClr val="accent1">
                    <a:lumMod val="50000"/>
                  </a:schemeClr>
                </a:solidFill>
              </a:ln>
              <a:effectLst/>
            </c:spPr>
          </c:marker>
          <c:xVal>
            <c:numRef>
              <c:f>Scaling!$A$2:$A$6</c:f>
              <c:numCache>
                <c:formatCode>General</c:formatCode>
                <c:ptCount val="5"/>
                <c:pt idx="0">
                  <c:v>4.0</c:v>
                </c:pt>
                <c:pt idx="1">
                  <c:v>8.0</c:v>
                </c:pt>
                <c:pt idx="2">
                  <c:v>16.0</c:v>
                </c:pt>
                <c:pt idx="3">
                  <c:v>32.0</c:v>
                </c:pt>
                <c:pt idx="4">
                  <c:v>40.0</c:v>
                </c:pt>
              </c:numCache>
            </c:numRef>
          </c:xVal>
          <c:yVal>
            <c:numRef>
              <c:f>Scaling!$B$2:$B$6</c:f>
              <c:numCache>
                <c:formatCode>General</c:formatCode>
                <c:ptCount val="5"/>
                <c:pt idx="0">
                  <c:v>145.644</c:v>
                </c:pt>
                <c:pt idx="1">
                  <c:v>79.0936</c:v>
                </c:pt>
                <c:pt idx="2">
                  <c:v>45.2868</c:v>
                </c:pt>
                <c:pt idx="3">
                  <c:v>29.0598</c:v>
                </c:pt>
                <c:pt idx="4">
                  <c:v>28.7847</c:v>
                </c:pt>
              </c:numCache>
            </c:numRef>
          </c:yVal>
          <c:smooth val="0"/>
        </c:ser>
        <c:ser>
          <c:idx val="1"/>
          <c:order val="1"/>
          <c:tx>
            <c:strRef>
              <c:f>Scaling!$C$1</c:f>
              <c:strCache>
                <c:ptCount val="1"/>
                <c:pt idx="0">
                  <c:v>AP_LB (max)</c:v>
                </c:pt>
              </c:strCache>
            </c:strRef>
          </c:tx>
          <c:spPr>
            <a:ln w="19050" cap="rnd">
              <a:solidFill>
                <a:schemeClr val="accent1"/>
              </a:solidFill>
              <a:prstDash val="dash"/>
              <a:round/>
            </a:ln>
            <a:effectLst/>
          </c:spPr>
          <c:marker>
            <c:symbol val="square"/>
            <c:size val="8"/>
            <c:spPr>
              <a:solidFill>
                <a:schemeClr val="accent1"/>
              </a:solidFill>
              <a:ln w="9525">
                <a:solidFill>
                  <a:schemeClr val="accent1"/>
                </a:solidFill>
              </a:ln>
              <a:effectLst/>
            </c:spPr>
          </c:marker>
          <c:xVal>
            <c:numRef>
              <c:f>Scaling!$A$2:$A$6</c:f>
              <c:numCache>
                <c:formatCode>General</c:formatCode>
                <c:ptCount val="5"/>
                <c:pt idx="0">
                  <c:v>4.0</c:v>
                </c:pt>
                <c:pt idx="1">
                  <c:v>8.0</c:v>
                </c:pt>
                <c:pt idx="2">
                  <c:v>16.0</c:v>
                </c:pt>
                <c:pt idx="3">
                  <c:v>32.0</c:v>
                </c:pt>
                <c:pt idx="4">
                  <c:v>40.0</c:v>
                </c:pt>
              </c:numCache>
            </c:numRef>
          </c:xVal>
          <c:yVal>
            <c:numRef>
              <c:f>Scaling!$C$2:$C$6</c:f>
              <c:numCache>
                <c:formatCode>General</c:formatCode>
                <c:ptCount val="5"/>
                <c:pt idx="0">
                  <c:v>148.967</c:v>
                </c:pt>
                <c:pt idx="1">
                  <c:v>79.6179</c:v>
                </c:pt>
                <c:pt idx="2">
                  <c:v>47.5418</c:v>
                </c:pt>
                <c:pt idx="3">
                  <c:v>30.1482</c:v>
                </c:pt>
                <c:pt idx="4">
                  <c:v>28.9587</c:v>
                </c:pt>
              </c:numCache>
            </c:numRef>
          </c:yVal>
          <c:smooth val="0"/>
        </c:ser>
        <c:ser>
          <c:idx val="2"/>
          <c:order val="2"/>
          <c:tx>
            <c:strRef>
              <c:f>Scaling!$D$1</c:f>
              <c:strCache>
                <c:ptCount val="1"/>
                <c:pt idx="0">
                  <c:v>AP (min)</c:v>
                </c:pt>
              </c:strCache>
            </c:strRef>
          </c:tx>
          <c:spPr>
            <a:ln w="19050" cap="rnd">
              <a:solidFill>
                <a:schemeClr val="accent6">
                  <a:lumMod val="75000"/>
                </a:schemeClr>
              </a:solidFill>
              <a:prstDash val="sysDash"/>
              <a:round/>
            </a:ln>
            <a:effectLst/>
          </c:spPr>
          <c:marker>
            <c:symbol val="triangle"/>
            <c:size val="8"/>
            <c:spPr>
              <a:solidFill>
                <a:schemeClr val="accent6">
                  <a:lumMod val="75000"/>
                </a:schemeClr>
              </a:solidFill>
              <a:ln w="9525">
                <a:solidFill>
                  <a:schemeClr val="accent6">
                    <a:lumMod val="75000"/>
                  </a:schemeClr>
                </a:solidFill>
              </a:ln>
              <a:effectLst/>
            </c:spPr>
          </c:marker>
          <c:xVal>
            <c:numRef>
              <c:f>Scaling!$A$2:$A$6</c:f>
              <c:numCache>
                <c:formatCode>General</c:formatCode>
                <c:ptCount val="5"/>
                <c:pt idx="0">
                  <c:v>4.0</c:v>
                </c:pt>
                <c:pt idx="1">
                  <c:v>8.0</c:v>
                </c:pt>
                <c:pt idx="2">
                  <c:v>16.0</c:v>
                </c:pt>
                <c:pt idx="3">
                  <c:v>32.0</c:v>
                </c:pt>
                <c:pt idx="4">
                  <c:v>40.0</c:v>
                </c:pt>
              </c:numCache>
            </c:numRef>
          </c:xVal>
          <c:yVal>
            <c:numRef>
              <c:f>Scaling!$D$2:$D$6</c:f>
              <c:numCache>
                <c:formatCode>General</c:formatCode>
                <c:ptCount val="5"/>
                <c:pt idx="0">
                  <c:v>153.464</c:v>
                </c:pt>
                <c:pt idx="1">
                  <c:v>81.3092</c:v>
                </c:pt>
                <c:pt idx="2">
                  <c:v>48.613</c:v>
                </c:pt>
                <c:pt idx="3">
                  <c:v>31.1491</c:v>
                </c:pt>
                <c:pt idx="4">
                  <c:v>29.3838</c:v>
                </c:pt>
              </c:numCache>
            </c:numRef>
          </c:yVal>
          <c:smooth val="0"/>
        </c:ser>
        <c:ser>
          <c:idx val="3"/>
          <c:order val="3"/>
          <c:tx>
            <c:strRef>
              <c:f>Scaling!$E$1</c:f>
              <c:strCache>
                <c:ptCount val="1"/>
                <c:pt idx="0">
                  <c:v>AP (max)</c:v>
                </c:pt>
              </c:strCache>
            </c:strRef>
          </c:tx>
          <c:spPr>
            <a:ln w="19050" cap="rnd">
              <a:solidFill>
                <a:schemeClr val="accent6"/>
              </a:solidFill>
              <a:prstDash val="sysDash"/>
              <a:round/>
            </a:ln>
            <a:effectLst/>
          </c:spPr>
          <c:marker>
            <c:symbol val="triangle"/>
            <c:size val="8"/>
            <c:spPr>
              <a:solidFill>
                <a:schemeClr val="accent6"/>
              </a:solidFill>
              <a:ln w="9525">
                <a:solidFill>
                  <a:schemeClr val="accent6"/>
                </a:solidFill>
              </a:ln>
              <a:effectLst/>
            </c:spPr>
          </c:marker>
          <c:xVal>
            <c:numRef>
              <c:f>Scaling!$A$2:$A$6</c:f>
              <c:numCache>
                <c:formatCode>General</c:formatCode>
                <c:ptCount val="5"/>
                <c:pt idx="0">
                  <c:v>4.0</c:v>
                </c:pt>
                <c:pt idx="1">
                  <c:v>8.0</c:v>
                </c:pt>
                <c:pt idx="2">
                  <c:v>16.0</c:v>
                </c:pt>
                <c:pt idx="3">
                  <c:v>32.0</c:v>
                </c:pt>
                <c:pt idx="4">
                  <c:v>40.0</c:v>
                </c:pt>
              </c:numCache>
            </c:numRef>
          </c:xVal>
          <c:yVal>
            <c:numRef>
              <c:f>Scaling!$E$2:$E$6</c:f>
              <c:numCache>
                <c:formatCode>General</c:formatCode>
                <c:ptCount val="5"/>
                <c:pt idx="0">
                  <c:v>156.005</c:v>
                </c:pt>
                <c:pt idx="1">
                  <c:v>86.93889999999998</c:v>
                </c:pt>
                <c:pt idx="2">
                  <c:v>51.9904</c:v>
                </c:pt>
                <c:pt idx="3">
                  <c:v>32.1966</c:v>
                </c:pt>
                <c:pt idx="4">
                  <c:v>30.2006</c:v>
                </c:pt>
              </c:numCache>
            </c:numRef>
          </c:yVal>
          <c:smooth val="0"/>
        </c:ser>
        <c:dLbls>
          <c:showLegendKey val="0"/>
          <c:showVal val="0"/>
          <c:showCatName val="0"/>
          <c:showSerName val="0"/>
          <c:showPercent val="0"/>
          <c:showBubbleSize val="0"/>
        </c:dLbls>
        <c:axId val="-1230470208"/>
        <c:axId val="-1230465936"/>
      </c:scatterChart>
      <c:valAx>
        <c:axId val="-1230470208"/>
        <c:scaling>
          <c:orientation val="minMax"/>
          <c:max val="40.0"/>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Number of cores</a:t>
                </a:r>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65936"/>
        <c:crosses val="autoZero"/>
        <c:crossBetween val="midCat"/>
        <c:majorUnit val="8.0"/>
        <c:minorUnit val="4.0"/>
      </c:valAx>
      <c:valAx>
        <c:axId val="-1230465936"/>
        <c:scaling>
          <c:orientation val="minMax"/>
          <c:max val="160.0"/>
          <c:min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70208"/>
        <c:crosses val="autoZero"/>
        <c:crossBetween val="midCat"/>
        <c:majorUnit val="15.0"/>
      </c:valAx>
      <c:spPr>
        <a:noFill/>
        <a:ln>
          <a:noFill/>
        </a:ln>
        <a:effectLst/>
      </c:spPr>
    </c:plotArea>
    <c:legend>
      <c:legendPos val="r"/>
      <c:layout>
        <c:manualLayout>
          <c:xMode val="edge"/>
          <c:yMode val="edge"/>
          <c:x val="0.447725505830759"/>
          <c:y val="0.0253200118853068"/>
          <c:w val="0.52381291737267"/>
          <c:h val="0.160850393700787"/>
        </c:manualLayout>
      </c:layout>
      <c:overlay val="1"/>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ABF292-AC41-8D46-8D00-EFC1027A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1288</Words>
  <Characters>7342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Baranowski</dc:creator>
  <cp:keywords/>
  <dc:description/>
  <cp:lastModifiedBy>Mark Baranowski</cp:lastModifiedBy>
  <cp:revision>2</cp:revision>
  <dcterms:created xsi:type="dcterms:W3CDTF">2017-03-07T02:45:00Z</dcterms:created>
  <dcterms:modified xsi:type="dcterms:W3CDTF">2017-03-07T02:45:00Z</dcterms:modified>
</cp:coreProperties>
</file>