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00" w:lineRule="auto"/>
        <w:jc w:val="center"/>
      </w:pPr>
      <w:r>
        <w:rPr>
          <w:rFonts w:ascii="Times New Roman" w:hAnsi="Times New Roman" w:eastAsia="宋体"/>
          <w:b w:val="0"/>
          <w:sz w:val="24"/>
        </w:rPr>
      </w:r>
      <w:r>
        <w:rPr>
          <w:rFonts w:ascii="Times New Roman" w:hAnsi="Times New Roman" w:eastAsia="黑体"/>
          <w:b/>
          <w:sz w:val="32"/>
        </w:rPr>
        <w:t>低轨卫星星座优化部署、通信验证与鲁棒性设计</w:t>
      </w:r>
    </w:p>
    <w:p>
      <w:pPr>
        <w:spacing w:after="0" w:line="300" w:lineRule="auto"/>
        <w:jc w:val="center"/>
      </w:pPr>
      <w:r>
        <w:rPr>
          <w:rFonts w:ascii="Times New Roman" w:hAnsi="Times New Roman" w:eastAsia="宋体"/>
          <w:b w:val="0"/>
          <w:sz w:val="24"/>
        </w:rPr>
      </w:r>
      <w:r>
        <w:rPr>
          <w:rFonts w:ascii="Times New Roman" w:hAnsi="Times New Roman" w:eastAsia="黑体"/>
          <w:b w:val="0"/>
          <w:sz w:val="26"/>
        </w:rPr>
        <w:t>——基于球面覆盖、Walker搜索与时变网络的联合模型</w:t>
      </w:r>
    </w:p>
    <w:p>
      <w:pPr>
        <w:spacing w:after="0" w:line="300" w:lineRule="auto" w:before="480"/>
        <w:jc w:val="center"/>
      </w:pPr>
      <w:r>
        <w:rPr>
          <w:rFonts w:ascii="Times New Roman" w:hAnsi="Times New Roman" w:eastAsia="宋体"/>
          <w:b w:val="0"/>
          <w:sz w:val="24"/>
        </w:rPr>
      </w:r>
      <w:r>
        <w:rPr>
          <w:rFonts w:ascii="Times New Roman" w:hAnsi="Times New Roman" w:eastAsia="黑体"/>
          <w:b w:val="0"/>
          <w:sz w:val="28"/>
        </w:rPr>
        <w:t>摘  要</w:t>
      </w:r>
    </w:p>
    <w:p>
      <w:pPr>
        <w:spacing w:after="0" w:line="300" w:lineRule="auto"/>
        <w:ind w:firstLine="480"/>
      </w:pPr>
      <w:r>
        <w:rPr>
          <w:rFonts w:ascii="Times New Roman" w:hAnsi="Times New Roman" w:eastAsia="宋体"/>
          <w:b w:val="0"/>
          <w:sz w:val="24"/>
        </w:rPr>
        <w:t>低轨卫星星座的设计不能只以覆盖面积为依据：轨道运动造成的时空空隙、星间网络的实际路由时延以及碎片和卫星失效都会改变最终服务能力。针对高度550 km、天线半锥角40.46°的区域型星座设计问题，本文建立由球面覆盖、圆轨道传播、Walker构型搜索、时变图路由和泊松风险过程组成的联合模型。首先由卫星—地心—覆盖边界三角形推导严格地心角，得到地面覆盖半径485.31 km和覆盖面积73.96万 km²；该结果比题面标称506 km小4.09%，后续以严格几何作为主口径。其次，在计入地球自转的解析轨道传播基础上，对轨道面数、每轨卫星数、倾角和相位因子进行分层枚举，并用1°空间网格、120 s时间步对候选构型复核。限定规则Walker搜索域内得到38个轨道面、每面52颗、倾角50°、相位因子19的1976颗候选星座，单重覆盖可用度为100%，最差点二重覆盖时间比例为98.887%，估算部署成本164.8亿元。随后构建每星四邻接的动态星间网络。网络在一个恒星日内始终连通，平均端到端时延22.89 ms，但95%分位和最大时延分别为41.20 ms和52.91 ms，30 ms合格率为76.77%，说明覆盖最优构型并未自动满足严格通信时延约束。最后采用低、中、高风险情景估计碰撞与规避影响；基准情景下单星年碰撞概率为6.31×10⁻⁵，星座年碰撞概率为11.73%，预计每年规避183.97次，平均容量损失0.00319%。逐星移除检验的最差覆盖可用度仍为99.9990%，而极保守的轨道面可靠度模型建议每面配置1颗在轨备用星。本文结果适用于球形地球、圆轨道、规则Walker布局和参数化碎片环境；30 ms约束与风险情景均需在获得真实业务和预警数据后继续优化。</w:t>
      </w:r>
    </w:p>
    <w:p>
      <w:pPr>
        <w:spacing w:after="0" w:line="300" w:lineRule="auto" w:before="200"/>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低轨卫星星座；连续覆盖；Walker构型；时变图；碎片风险</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一、问题重述</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1.1 研究背景</w:t>
      </w:r>
    </w:p>
    <w:p>
      <w:pPr>
        <w:spacing w:after="0" w:line="300" w:lineRule="auto"/>
        <w:ind w:firstLine="480"/>
      </w:pPr>
      <w:r>
        <w:rPr>
          <w:rFonts w:ascii="Times New Roman" w:hAnsi="Times New Roman" w:eastAsia="宋体"/>
          <w:b w:val="0"/>
          <w:sz w:val="24"/>
        </w:rPr>
        <w:t>低轨卫星具有传播距离短、链路时延低和部署灵活等特点，但单星覆盖范围有限且随轨道快速移动。区域通信星座必须同时回答三个层次的问题：卫星是否在任意时刻覆盖目标区域，覆盖卫星之间是否形成可路由的通信网络，以及卫星遭遇规避或故障后服务能否维持。若只计算静态圆形覆盖，往往会低估地球曲率、地球自转和轨道相位造成的影响。</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1.2 任务分解</w:t>
      </w:r>
    </w:p>
    <w:p>
      <w:pPr>
        <w:spacing w:after="0" w:line="300" w:lineRule="auto"/>
        <w:ind w:firstLine="480"/>
      </w:pPr>
      <w:r>
        <w:rPr>
          <w:rFonts w:ascii="Times New Roman" w:hAnsi="Times New Roman" w:eastAsia="宋体"/>
          <w:b w:val="0"/>
          <w:sz w:val="24"/>
        </w:rPr>
        <w:t>问题一要求确定单星覆盖几何、轨道周期和单轨道面卫星数量下界；问题二要求在倾角40°—60°范围内配置多轨道面星座，使目标区域获得连续覆盖并尽量减少卫星数量；问题三要求在5000 km星间链路门限、每星最多4条链路和0.5 ms单跳处理时延条件下评估网络连通、路由时延与容量；问题四进一步考虑直径大于1 cm碎片环境、规避代价和7天补位窗口，比较在轨备用、增加轨道面和地面库存。四问前后相接，覆盖几何是后续所有判断的基础。</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二、问题分析</w:t>
      </w:r>
    </w:p>
    <w:p>
      <w:pPr>
        <w:spacing w:after="0" w:line="300" w:lineRule="auto"/>
        <w:ind w:firstLine="480"/>
      </w:pPr>
      <w:r>
        <w:rPr>
          <w:rFonts w:ascii="Times New Roman" w:hAnsi="Times New Roman" w:eastAsia="宋体"/>
          <w:b w:val="0"/>
          <w:sz w:val="24"/>
        </w:rPr>
        <w:t>单星覆盖边界位于球面而非平面，适合用地心角统一表达。轨道运动采用近圆轨道解析传播，在惯性坐标系中计算卫星位置，再通过地球自转变换至地固坐标系。星座规模的决策变量只有轨道面数、每面卫星数、倾角与相位，故采用有界枚举和局部相位精化比随机启发式算法更易复核。通信网络随卫星运动变化，必须在每个采样时刻重新构图并求最短时延路径。碎片碰撞属于稀疏随机事件，采用泊松过程；题面没有给出卫星截面积、相对速度和预警概率分布，因此风险部分只给情景结论，不把假设值写成观测事实。</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表1  子问题、模型与证据关系</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子问题</w:t>
            </w:r>
          </w:p>
        </w:tc>
        <w:tc>
          <w:tcPr>
            <w:tcW w:type="dxa" w:w="2767"/>
            <w:tcBorders>
              <w:bottom w:val="single" w:sz="4" w:space="0" w:color="000000"/>
            </w:tcBorders>
          </w:tcPr>
          <w:p>
            <w:pPr>
              <w:jc w:val="center"/>
            </w:pPr>
            <w:r/>
            <w:r>
              <w:rPr>
                <w:rFonts w:ascii="Times New Roman" w:hAnsi="Times New Roman" w:eastAsia="宋体"/>
                <w:b/>
                <w:sz w:val="24"/>
              </w:rPr>
              <w:t>主要模型</w:t>
            </w:r>
          </w:p>
        </w:tc>
        <w:tc>
          <w:tcPr>
            <w:tcW w:type="dxa" w:w="2767"/>
            <w:tcBorders>
              <w:bottom w:val="single" w:sz="4" w:space="0" w:color="000000"/>
            </w:tcBorders>
          </w:tcPr>
          <w:p>
            <w:pPr>
              <w:jc w:val="center"/>
            </w:pPr>
            <w:r/>
            <w:r>
              <w:rPr>
                <w:rFonts w:ascii="Times New Roman" w:hAnsi="Times New Roman" w:eastAsia="宋体"/>
                <w:b/>
                <w:sz w:val="24"/>
              </w:rPr>
              <w:t>主要输出</w:t>
            </w:r>
          </w:p>
        </w:tc>
      </w:tr>
      <w:tr>
        <w:tc>
          <w:tcPr>
            <w:tcW w:type="dxa" w:w="2767"/>
          </w:tcPr>
          <w:p>
            <w:pPr>
              <w:jc w:val="center"/>
            </w:pPr>
            <w:r/>
            <w:r>
              <w:rPr>
                <w:rFonts w:ascii="Times New Roman" w:hAnsi="Times New Roman" w:eastAsia="宋体"/>
                <w:b w:val="0"/>
                <w:sz w:val="24"/>
              </w:rPr>
              <w:t>问题一</w:t>
            </w:r>
          </w:p>
        </w:tc>
        <w:tc>
          <w:tcPr>
            <w:tcW w:type="dxa" w:w="2767"/>
          </w:tcPr>
          <w:p>
            <w:pPr>
              <w:jc w:val="center"/>
            </w:pPr>
            <w:r/>
            <w:r>
              <w:rPr>
                <w:rFonts w:ascii="Times New Roman" w:hAnsi="Times New Roman" w:eastAsia="宋体"/>
                <w:b w:val="0"/>
                <w:sz w:val="24"/>
              </w:rPr>
              <w:t>球面几何与圆轨道传播</w:t>
            </w:r>
          </w:p>
        </w:tc>
        <w:tc>
          <w:tcPr>
            <w:tcW w:type="dxa" w:w="2767"/>
          </w:tcPr>
          <w:p>
            <w:pPr>
              <w:jc w:val="center"/>
            </w:pPr>
            <w:r/>
            <w:r>
              <w:rPr>
                <w:rFonts w:ascii="Times New Roman" w:hAnsi="Times New Roman" w:eastAsia="宋体"/>
                <w:b w:val="0"/>
                <w:sz w:val="24"/>
              </w:rPr>
              <w:t>覆盖半径、周期、单面下界</w:t>
            </w:r>
          </w:p>
        </w:tc>
      </w:tr>
      <w:tr>
        <w:tc>
          <w:tcPr>
            <w:tcW w:type="dxa" w:w="2767"/>
          </w:tcPr>
          <w:p>
            <w:pPr>
              <w:jc w:val="center"/>
            </w:pPr>
            <w:r/>
            <w:r>
              <w:rPr>
                <w:rFonts w:ascii="Times New Roman" w:hAnsi="Times New Roman" w:eastAsia="宋体"/>
                <w:b w:val="0"/>
                <w:sz w:val="24"/>
              </w:rPr>
              <w:t>问题二</w:t>
            </w:r>
          </w:p>
        </w:tc>
        <w:tc>
          <w:tcPr>
            <w:tcW w:type="dxa" w:w="2767"/>
          </w:tcPr>
          <w:p>
            <w:pPr>
              <w:jc w:val="center"/>
            </w:pPr>
            <w:r/>
            <w:r>
              <w:rPr>
                <w:rFonts w:ascii="Times New Roman" w:hAnsi="Times New Roman" w:eastAsia="宋体"/>
                <w:b w:val="0"/>
                <w:sz w:val="24"/>
              </w:rPr>
              <w:t>Walker分层枚举与细网格复核</w:t>
            </w:r>
          </w:p>
        </w:tc>
        <w:tc>
          <w:tcPr>
            <w:tcW w:type="dxa" w:w="2767"/>
          </w:tcPr>
          <w:p>
            <w:pPr>
              <w:jc w:val="center"/>
            </w:pPr>
            <w:r/>
            <w:r>
              <w:rPr>
                <w:rFonts w:ascii="Times New Roman" w:hAnsi="Times New Roman" w:eastAsia="宋体"/>
                <w:b w:val="0"/>
                <w:sz w:val="24"/>
              </w:rPr>
              <w:t>星座构型、覆盖率、成本</w:t>
            </w:r>
          </w:p>
        </w:tc>
      </w:tr>
      <w:tr>
        <w:tc>
          <w:tcPr>
            <w:tcW w:type="dxa" w:w="2767"/>
          </w:tcPr>
          <w:p>
            <w:pPr>
              <w:jc w:val="center"/>
            </w:pPr>
            <w:r/>
            <w:r>
              <w:rPr>
                <w:rFonts w:ascii="Times New Roman" w:hAnsi="Times New Roman" w:eastAsia="宋体"/>
                <w:b w:val="0"/>
                <w:sz w:val="24"/>
              </w:rPr>
              <w:t>问题三</w:t>
            </w:r>
          </w:p>
        </w:tc>
        <w:tc>
          <w:tcPr>
            <w:tcW w:type="dxa" w:w="2767"/>
          </w:tcPr>
          <w:p>
            <w:pPr>
              <w:jc w:val="center"/>
            </w:pPr>
            <w:r/>
            <w:r>
              <w:rPr>
                <w:rFonts w:ascii="Times New Roman" w:hAnsi="Times New Roman" w:eastAsia="宋体"/>
                <w:b w:val="0"/>
                <w:sz w:val="24"/>
              </w:rPr>
              <w:t>时变图、匹配与Dijkstra</w:t>
            </w:r>
          </w:p>
        </w:tc>
        <w:tc>
          <w:tcPr>
            <w:tcW w:type="dxa" w:w="2767"/>
          </w:tcPr>
          <w:p>
            <w:pPr>
              <w:jc w:val="center"/>
            </w:pPr>
            <w:r/>
            <w:r>
              <w:rPr>
                <w:rFonts w:ascii="Times New Roman" w:hAnsi="Times New Roman" w:eastAsia="宋体"/>
                <w:b w:val="0"/>
                <w:sz w:val="24"/>
              </w:rPr>
              <w:t>连通性、时延、容量</w:t>
            </w:r>
          </w:p>
        </w:tc>
      </w:tr>
      <w:tr>
        <w:tc>
          <w:tcPr>
            <w:tcW w:type="dxa" w:w="2767"/>
          </w:tcPr>
          <w:p>
            <w:pPr>
              <w:jc w:val="center"/>
            </w:pPr>
            <w:r/>
            <w:r>
              <w:rPr>
                <w:rFonts w:ascii="Times New Roman" w:hAnsi="Times New Roman" w:eastAsia="宋体"/>
                <w:b w:val="0"/>
                <w:sz w:val="24"/>
              </w:rPr>
              <w:t>问题四</w:t>
            </w:r>
          </w:p>
        </w:tc>
        <w:tc>
          <w:tcPr>
            <w:tcW w:type="dxa" w:w="2767"/>
          </w:tcPr>
          <w:p>
            <w:pPr>
              <w:jc w:val="center"/>
            </w:pPr>
            <w:r/>
            <w:r>
              <w:rPr>
                <w:rFonts w:ascii="Times New Roman" w:hAnsi="Times New Roman" w:eastAsia="宋体"/>
                <w:b w:val="0"/>
                <w:sz w:val="24"/>
              </w:rPr>
              <w:t>泊松风险与可靠度模型</w:t>
            </w:r>
          </w:p>
        </w:tc>
        <w:tc>
          <w:tcPr>
            <w:tcW w:type="dxa" w:w="2767"/>
          </w:tcPr>
          <w:p>
            <w:pPr>
              <w:jc w:val="center"/>
            </w:pPr>
            <w:r/>
            <w:r>
              <w:rPr>
                <w:rFonts w:ascii="Times New Roman" w:hAnsi="Times New Roman" w:eastAsia="宋体"/>
                <w:b w:val="0"/>
                <w:sz w:val="24"/>
              </w:rPr>
              <w:t>规避次数、退出影响、冗余成本</w:t>
            </w:r>
          </w:p>
        </w:tc>
      </w:tr>
    </w:tbl>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三、模型假设</w:t>
      </w:r>
    </w:p>
    <w:p>
      <w:pPr>
        <w:spacing w:after="0" w:line="300" w:lineRule="auto"/>
        <w:ind w:firstLine="480"/>
      </w:pPr>
      <w:r>
        <w:rPr>
          <w:rFonts w:ascii="Times New Roman" w:hAnsi="Times New Roman" w:eastAsia="宋体"/>
          <w:b w:val="0"/>
          <w:sz w:val="24"/>
        </w:rPr>
        <w:t>地球视为半径6371 km的球体，暂不计J2摄动、大气阻力和轨道偏心率。</w:t>
      </w:r>
    </w:p>
    <w:p>
      <w:pPr>
        <w:spacing w:after="0" w:line="300" w:lineRule="auto"/>
        <w:ind w:firstLine="480"/>
      </w:pPr>
      <w:r>
        <w:rPr>
          <w:rFonts w:ascii="Times New Roman" w:hAnsi="Times New Roman" w:eastAsia="宋体"/>
          <w:b w:val="0"/>
          <w:sz w:val="24"/>
        </w:rPr>
        <w:t>卫星运行于高度550 km的圆轨道，目标区域为4°N—53°N、73°E—135°E。</w:t>
      </w:r>
    </w:p>
    <w:p>
      <w:pPr>
        <w:spacing w:after="0" w:line="300" w:lineRule="auto"/>
        <w:ind w:firstLine="480"/>
      </w:pPr>
      <w:r>
        <w:rPr>
          <w:rFonts w:ascii="Times New Roman" w:hAnsi="Times New Roman" w:eastAsia="宋体"/>
          <w:b w:val="0"/>
          <w:sz w:val="24"/>
        </w:rPr>
        <w:t>天线半锥角40.46°，覆盖判据以严格球面几何结果为主，506 km仅作题面标称对照。</w:t>
      </w:r>
    </w:p>
    <w:p>
      <w:pPr>
        <w:spacing w:after="0" w:line="300" w:lineRule="auto"/>
        <w:ind w:firstLine="480"/>
      </w:pPr>
      <w:r>
        <w:rPr>
          <w:rFonts w:ascii="Times New Roman" w:hAnsi="Times New Roman" w:eastAsia="宋体"/>
          <w:b w:val="0"/>
          <w:sz w:val="24"/>
        </w:rPr>
        <w:t>同一Walker构型内各轨道面均匀分布，卫星初始相位由相位因子F和公共相位确定。</w:t>
      </w:r>
    </w:p>
    <w:p>
      <w:pPr>
        <w:spacing w:after="0" w:line="300" w:lineRule="auto"/>
        <w:ind w:firstLine="480"/>
      </w:pPr>
      <w:r>
        <w:rPr>
          <w:rFonts w:ascii="Times New Roman" w:hAnsi="Times New Roman" w:eastAsia="宋体"/>
          <w:b w:val="0"/>
          <w:sz w:val="24"/>
        </w:rPr>
        <w:t>星间传播速度取真空光速；每条星间边增加0.5 ms处理时延。</w:t>
      </w:r>
    </w:p>
    <w:p>
      <w:pPr>
        <w:spacing w:after="0" w:line="300" w:lineRule="auto"/>
        <w:ind w:firstLine="480"/>
      </w:pPr>
      <w:r>
        <w:rPr>
          <w:rFonts w:ascii="Times New Roman" w:hAnsi="Times New Roman" w:eastAsia="宋体"/>
          <w:b w:val="0"/>
          <w:sz w:val="24"/>
        </w:rPr>
        <w:t>碎片事件和非碰撞故障在基准模型中相互独立；相关碎片云属于模型外共因风险。</w:t>
      </w:r>
    </w:p>
    <w:p>
      <w:pPr>
        <w:spacing w:after="0" w:line="300" w:lineRule="auto"/>
        <w:ind w:firstLine="480"/>
      </w:pPr>
      <w:r>
        <w:rPr>
          <w:rFonts w:ascii="Times New Roman" w:hAnsi="Times New Roman" w:eastAsia="宋体"/>
          <w:b w:val="0"/>
          <w:sz w:val="24"/>
        </w:rPr>
        <w:t>风险情景中的截面积、相对速度、预警率和非碰撞故障率均为参数化假设。</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四、符号说明</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表2  主要符号</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符号</w:t>
            </w:r>
          </w:p>
        </w:tc>
        <w:tc>
          <w:tcPr>
            <w:tcW w:type="dxa" w:w="2767"/>
            <w:tcBorders>
              <w:bottom w:val="single" w:sz="4" w:space="0" w:color="000000"/>
            </w:tcBorders>
          </w:tcPr>
          <w:p>
            <w:pPr>
              <w:jc w:val="center"/>
            </w:pPr>
            <w:r/>
            <w:r>
              <w:rPr>
                <w:rFonts w:ascii="Times New Roman" w:hAnsi="Times New Roman" w:eastAsia="宋体"/>
                <w:b/>
                <w:sz w:val="24"/>
              </w:rPr>
              <w:t>含义</w:t>
            </w:r>
          </w:p>
        </w:tc>
        <w:tc>
          <w:tcPr>
            <w:tcW w:type="dxa" w:w="2767"/>
            <w:tcBorders>
              <w:bottom w:val="single" w:sz="4" w:space="0" w:color="000000"/>
            </w:tcBorders>
          </w:tcPr>
          <w:p>
            <w:pPr>
              <w:jc w:val="center"/>
            </w:pPr>
            <w:r/>
            <w:r>
              <w:rPr>
                <w:rFonts w:ascii="Times New Roman" w:hAnsi="Times New Roman" w:eastAsia="宋体"/>
                <w:b/>
                <w:sz w:val="24"/>
              </w:rPr>
              <w:t>单位</w:t>
            </w:r>
          </w:p>
        </w:tc>
      </w:tr>
      <w:tr>
        <w:tc>
          <w:tcPr>
            <w:tcW w:type="dxa" w:w="2767"/>
          </w:tcPr>
          <w:p>
            <w:pPr>
              <w:jc w:val="center"/>
            </w:pPr>
            <w:r/>
            <w:r>
              <w:rPr>
                <w:rFonts w:ascii="Times New Roman" w:hAnsi="Times New Roman" w:eastAsia="宋体"/>
                <w:b w:val="0"/>
                <w:sz w:val="24"/>
              </w:rPr>
              <w:t>R,h</w:t>
            </w:r>
          </w:p>
        </w:tc>
        <w:tc>
          <w:tcPr>
            <w:tcW w:type="dxa" w:w="2767"/>
          </w:tcPr>
          <w:p>
            <w:pPr>
              <w:jc w:val="center"/>
            </w:pPr>
            <w:r/>
            <w:r>
              <w:rPr>
                <w:rFonts w:ascii="Times New Roman" w:hAnsi="Times New Roman" w:eastAsia="宋体"/>
                <w:b w:val="0"/>
                <w:sz w:val="24"/>
              </w:rPr>
              <w:t>地球半径、轨道高度</w:t>
            </w:r>
          </w:p>
        </w:tc>
        <w:tc>
          <w:tcPr>
            <w:tcW w:type="dxa" w:w="2767"/>
          </w:tcPr>
          <w:p>
            <w:pPr>
              <w:jc w:val="center"/>
            </w:pPr>
            <w:r/>
            <w:r>
              <w:rPr>
                <w:rFonts w:ascii="Times New Roman" w:hAnsi="Times New Roman" w:eastAsia="宋体"/>
                <w:b w:val="0"/>
                <w:sz w:val="24"/>
              </w:rPr>
              <w:t>km</w:t>
            </w:r>
          </w:p>
        </w:tc>
      </w:tr>
      <w:tr>
        <w:tc>
          <w:tcPr>
            <w:tcW w:type="dxa" w:w="2767"/>
          </w:tcPr>
          <w:p>
            <w:pPr>
              <w:jc w:val="center"/>
            </w:pPr>
            <w:r/>
            <w:r>
              <w:rPr>
                <w:rFonts w:ascii="Times New Roman" w:hAnsi="Times New Roman" w:eastAsia="宋体"/>
                <w:b w:val="0"/>
                <w:sz w:val="24"/>
              </w:rPr>
              <w:t>α,ψ</w:t>
            </w:r>
          </w:p>
        </w:tc>
        <w:tc>
          <w:tcPr>
            <w:tcW w:type="dxa" w:w="2767"/>
          </w:tcPr>
          <w:p>
            <w:pPr>
              <w:jc w:val="center"/>
            </w:pPr>
            <w:r/>
            <w:r>
              <w:rPr>
                <w:rFonts w:ascii="Times New Roman" w:hAnsi="Times New Roman" w:eastAsia="宋体"/>
                <w:b w:val="0"/>
                <w:sz w:val="24"/>
              </w:rPr>
              <w:t>天线半锥角、覆盖地心角</w:t>
            </w:r>
          </w:p>
        </w:tc>
        <w:tc>
          <w:tcPr>
            <w:tcW w:type="dxa" w:w="2767"/>
          </w:tcPr>
          <w:p>
            <w:pPr>
              <w:jc w:val="center"/>
            </w:pPr>
            <w:r/>
            <w:r>
              <w:rPr>
                <w:rFonts w:ascii="Times New Roman" w:hAnsi="Times New Roman" w:eastAsia="宋体"/>
                <w:b w:val="0"/>
                <w:sz w:val="24"/>
              </w:rPr>
              <w:t>rad</w:t>
            </w:r>
          </w:p>
        </w:tc>
      </w:tr>
      <w:tr>
        <w:tc>
          <w:tcPr>
            <w:tcW w:type="dxa" w:w="2767"/>
          </w:tcPr>
          <w:p>
            <w:pPr>
              <w:jc w:val="center"/>
            </w:pPr>
            <w:r/>
            <w:r>
              <w:rPr>
                <w:rFonts w:ascii="Times New Roman" w:hAnsi="Times New Roman" w:eastAsia="宋体"/>
                <w:b w:val="0"/>
                <w:sz w:val="24"/>
              </w:rPr>
              <w:t>M,N,S</w:t>
            </w:r>
          </w:p>
        </w:tc>
        <w:tc>
          <w:tcPr>
            <w:tcW w:type="dxa" w:w="2767"/>
          </w:tcPr>
          <w:p>
            <w:pPr>
              <w:jc w:val="center"/>
            </w:pPr>
            <w:r/>
            <w:r>
              <w:rPr>
                <w:rFonts w:ascii="Times New Roman" w:hAnsi="Times New Roman" w:eastAsia="宋体"/>
                <w:b w:val="0"/>
                <w:sz w:val="24"/>
              </w:rPr>
              <w:t>轨道面数、每面卫星数、总星数</w:t>
            </w:r>
          </w:p>
        </w:tc>
        <w:tc>
          <w:tcPr>
            <w:tcW w:type="dxa" w:w="2767"/>
          </w:tcPr>
          <w:p>
            <w:pPr>
              <w:jc w:val="center"/>
            </w:pPr>
            <w:r/>
            <w:r>
              <w:rPr>
                <w:rFonts w:ascii="Times New Roman" w:hAnsi="Times New Roman" w:eastAsia="宋体"/>
                <w:b w:val="0"/>
                <w:sz w:val="24"/>
              </w:rPr>
              <w:t>个/颗</w:t>
            </w:r>
          </w:p>
        </w:tc>
      </w:tr>
      <w:tr>
        <w:tc>
          <w:tcPr>
            <w:tcW w:type="dxa" w:w="2767"/>
          </w:tcPr>
          <w:p>
            <w:pPr>
              <w:jc w:val="center"/>
            </w:pPr>
            <w:r/>
            <w:r>
              <w:rPr>
                <w:rFonts w:ascii="Times New Roman" w:hAnsi="Times New Roman" w:eastAsia="宋体"/>
                <w:b w:val="0"/>
                <w:sz w:val="24"/>
              </w:rPr>
              <w:t>F</w:t>
            </w:r>
          </w:p>
        </w:tc>
        <w:tc>
          <w:tcPr>
            <w:tcW w:type="dxa" w:w="2767"/>
          </w:tcPr>
          <w:p>
            <w:pPr>
              <w:jc w:val="center"/>
            </w:pPr>
            <w:r/>
            <w:r>
              <w:rPr>
                <w:rFonts w:ascii="Times New Roman" w:hAnsi="Times New Roman" w:eastAsia="宋体"/>
                <w:b w:val="0"/>
                <w:sz w:val="24"/>
              </w:rPr>
              <w:t>Walker相位因子</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C_g(t)</w:t>
            </w:r>
          </w:p>
        </w:tc>
        <w:tc>
          <w:tcPr>
            <w:tcW w:type="dxa" w:w="2767"/>
          </w:tcPr>
          <w:p>
            <w:pPr>
              <w:jc w:val="center"/>
            </w:pPr>
            <w:r/>
            <w:r>
              <w:rPr>
                <w:rFonts w:ascii="Times New Roman" w:hAnsi="Times New Roman" w:eastAsia="宋体"/>
                <w:b w:val="0"/>
                <w:sz w:val="24"/>
              </w:rPr>
              <w:t>网格点g在t时刻的覆盖重数</w:t>
            </w:r>
          </w:p>
        </w:tc>
        <w:tc>
          <w:tcPr>
            <w:tcW w:type="dxa" w:w="2767"/>
          </w:tcPr>
          <w:p>
            <w:pPr>
              <w:jc w:val="center"/>
            </w:pPr>
            <w:r/>
            <w:r>
              <w:rPr>
                <w:rFonts w:ascii="Times New Roman" w:hAnsi="Times New Roman" w:eastAsia="宋体"/>
                <w:b w:val="0"/>
                <w:sz w:val="24"/>
              </w:rPr>
              <w:t>颗</w:t>
            </w:r>
          </w:p>
        </w:tc>
      </w:tr>
      <w:tr>
        <w:tc>
          <w:tcPr>
            <w:tcW w:type="dxa" w:w="2767"/>
          </w:tcPr>
          <w:p>
            <w:pPr>
              <w:jc w:val="center"/>
            </w:pPr>
            <w:r/>
            <w:r>
              <w:rPr>
                <w:rFonts w:ascii="Times New Roman" w:hAnsi="Times New Roman" w:eastAsia="宋体"/>
                <w:b w:val="0"/>
                <w:sz w:val="24"/>
              </w:rPr>
              <w:t>G(t)</w:t>
            </w:r>
          </w:p>
        </w:tc>
        <w:tc>
          <w:tcPr>
            <w:tcW w:type="dxa" w:w="2767"/>
          </w:tcPr>
          <w:p>
            <w:pPr>
              <w:jc w:val="center"/>
            </w:pPr>
            <w:r/>
            <w:r>
              <w:rPr>
                <w:rFonts w:ascii="Times New Roman" w:hAnsi="Times New Roman" w:eastAsia="宋体"/>
                <w:b w:val="0"/>
                <w:sz w:val="24"/>
              </w:rPr>
              <w:t>时刻t的星间网络</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D_AB(t)</w:t>
            </w:r>
          </w:p>
        </w:tc>
        <w:tc>
          <w:tcPr>
            <w:tcW w:type="dxa" w:w="2767"/>
          </w:tcPr>
          <w:p>
            <w:pPr>
              <w:jc w:val="center"/>
            </w:pPr>
            <w:r/>
            <w:r>
              <w:rPr>
                <w:rFonts w:ascii="Times New Roman" w:hAnsi="Times New Roman" w:eastAsia="宋体"/>
                <w:b w:val="0"/>
                <w:sz w:val="24"/>
              </w:rPr>
              <w:t>地面站A到B的端到端时延</w:t>
            </w:r>
          </w:p>
        </w:tc>
        <w:tc>
          <w:tcPr>
            <w:tcW w:type="dxa" w:w="2767"/>
          </w:tcPr>
          <w:p>
            <w:pPr>
              <w:jc w:val="center"/>
            </w:pPr>
            <w:r/>
            <w:r>
              <w:rPr>
                <w:rFonts w:ascii="Times New Roman" w:hAnsi="Times New Roman" w:eastAsia="宋体"/>
                <w:b w:val="0"/>
                <w:sz w:val="24"/>
              </w:rPr>
              <w:t>ms</w:t>
            </w:r>
          </w:p>
        </w:tc>
      </w:tr>
      <w:tr>
        <w:tc>
          <w:tcPr>
            <w:tcW w:type="dxa" w:w="2767"/>
          </w:tcPr>
          <w:p>
            <w:pPr>
              <w:jc w:val="center"/>
            </w:pPr>
            <w:r/>
            <w:r>
              <w:rPr>
                <w:rFonts w:ascii="Times New Roman" w:hAnsi="Times New Roman" w:eastAsia="宋体"/>
                <w:b w:val="0"/>
                <w:sz w:val="24"/>
              </w:rPr>
              <w:t>Λ_col</w:t>
            </w:r>
          </w:p>
        </w:tc>
        <w:tc>
          <w:tcPr>
            <w:tcW w:type="dxa" w:w="2767"/>
          </w:tcPr>
          <w:p>
            <w:pPr>
              <w:jc w:val="center"/>
            </w:pPr>
            <w:r/>
            <w:r>
              <w:rPr>
                <w:rFonts w:ascii="Times New Roman" w:hAnsi="Times New Roman" w:eastAsia="宋体"/>
                <w:b w:val="0"/>
                <w:sz w:val="24"/>
              </w:rPr>
              <w:t>碰撞事件泊松强度</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A_cov</w:t>
            </w:r>
          </w:p>
        </w:tc>
        <w:tc>
          <w:tcPr>
            <w:tcW w:type="dxa" w:w="2767"/>
          </w:tcPr>
          <w:p>
            <w:pPr>
              <w:jc w:val="center"/>
            </w:pPr>
            <w:r/>
            <w:r>
              <w:rPr>
                <w:rFonts w:ascii="Times New Roman" w:hAnsi="Times New Roman" w:eastAsia="宋体"/>
                <w:b w:val="0"/>
                <w:sz w:val="24"/>
              </w:rPr>
              <w:t>覆盖可用度</w:t>
            </w:r>
          </w:p>
        </w:tc>
        <w:tc>
          <w:tcPr>
            <w:tcW w:type="dxa" w:w="2767"/>
          </w:tcPr>
          <w:p>
            <w:pPr>
              <w:jc w:val="center"/>
            </w:pPr>
            <w:r/>
            <w:r>
              <w:rPr>
                <w:rFonts w:ascii="Times New Roman" w:hAnsi="Times New Roman" w:eastAsia="宋体"/>
                <w:b w:val="0"/>
                <w:sz w:val="24"/>
              </w:rPr>
              <w:t>%</w:t>
            </w:r>
          </w:p>
        </w:tc>
      </w:tr>
    </w:tbl>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五、模型建立</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5.1 单星覆盖与轨道模型</w:t>
      </w:r>
    </w:p>
    <w:p>
      <w:pPr>
        <w:spacing w:after="0" w:line="300" w:lineRule="auto"/>
        <w:ind w:firstLine="480"/>
      </w:pPr>
      <w:r>
        <w:rPr>
          <w:rFonts w:ascii="Times New Roman" w:hAnsi="Times New Roman" w:eastAsia="宋体"/>
          <w:b w:val="0"/>
          <w:sz w:val="24"/>
        </w:rPr>
        <w:t>设轨道半径r=R+h，覆盖边界点与星下点的地心夹角为ψ。由卫星、地心和覆盖边界构成的三角形求得ψ后，地表弧长半径和球冠面积分别为Rψ与2πR²(1−cosψ)。任意地面点与星下点的球面角距离d满足下式，当d≤ψ时判定该点被覆盖。</w:t>
      </w:r>
    </w:p>
    <w:p>
      <w:pPr>
        <w:spacing w:before="0" w:after="0" w:line="300" w:lineRule="auto"/>
        <w:jc w:val="center"/>
      </w:pPr>
      <m:oMathPara>
        <m:oMath>
          <m:r>
            <m:t>cos</m:t>
          </m:r>
          <m:r>
            <m:t xml:space="preserve"> d=</m:t>
          </m:r>
          <m:r>
            <m:t>sin</m:t>
          </m:r>
          <m:r>
            <m:t>φ</m:t>
          </m:r>
          <m:r>
            <m:t>sin</m:t>
          </m:r>
          <m:sSub>
            <m:e>
              <m:r>
                <m:t>φ</m:t>
              </m:r>
            </m:e>
            <m:sub>
              <m:r>
                <m:t>s</m:t>
              </m:r>
            </m:sub>
          </m:sSub>
          <m:r>
            <m:t>+</m:t>
          </m:r>
          <m:r>
            <m:t>cos</m:t>
          </m:r>
          <m:r>
            <m:t>φ</m:t>
          </m:r>
          <m:r>
            <m:t>cos</m:t>
          </m:r>
          <m:sSub>
            <m:e>
              <m:r>
                <m:t>φ</m:t>
              </m:r>
            </m:e>
            <m:sub>
              <m:r>
                <m:t>s</m:t>
              </m:r>
            </m:sub>
          </m:sSub>
          <m:r>
            <m:t>cos</m:t>
          </m:r>
          <m:r>
            <m:t>(</m:t>
          </m:r>
          <m:r>
            <m:t>λ</m:t>
          </m:r>
          <m:r>
            <m:t>-</m:t>
          </m:r>
          <m:sSub>
            <m:e>
              <m:r>
                <m:t>λ</m:t>
              </m:r>
            </m:e>
            <m:sub>
              <m:r>
                <m:t>s</m:t>
              </m:r>
            </m:sub>
          </m:sSub>
          <m:r>
            <m:t>)</m:t>
          </m:r>
        </m:oMath>
      </m:oMathPara>
    </w:p>
    <w:p>
      <w:pPr>
        <w:spacing w:before="0" w:after="0" w:line="300" w:lineRule="auto"/>
        <w:jc w:val="center"/>
      </w:pPr>
      <m:oMathPara>
        <m:oMath>
          <m:r>
            <m:t>s=R</m:t>
          </m:r>
          <m:r>
            <m:t>psi</m:t>
          </m:r>
          <m:r>
            <m:t>,</m:t>
          </m:r>
          <m:r>
            <m:t xml:space="preserve">  </m:t>
          </m:r>
          <m:r>
            <m:t xml:space="preserve"> A=2</m:t>
          </m:r>
          <m:r>
            <m:t>π</m:t>
          </m:r>
          <m:sSup>
            <m:e>
              <m:r>
                <m:t xml:space="preserve"> R</m:t>
              </m:r>
            </m:e>
            <m:sup>
              <m:r>
                <m:t>2</m:t>
              </m:r>
            </m:sup>
          </m:sSup>
          <m:r>
            <m:t>(1-</m:t>
          </m:r>
          <m:r>
            <m:t>cos</m:t>
          </m:r>
          <m:r>
            <m:t>psi</m:t>
          </m:r>
          <m:r>
            <m:t>)</m:t>
          </m:r>
        </m:oMath>
      </m:oMathPara>
    </w:p>
    <w:p>
      <w:pPr>
        <w:spacing w:after="0" w:line="300" w:lineRule="auto"/>
        <w:ind w:firstLine="480"/>
      </w:pPr>
      <w:r>
        <w:rPr>
          <w:rFonts w:ascii="Times New Roman" w:hAnsi="Times New Roman" w:eastAsia="宋体"/>
          <w:b w:val="0"/>
          <w:sz w:val="24"/>
        </w:rPr>
        <w:t>圆轨道平均角速度由万有引力关系确定，周期T=2π√(r³/μ)。卫星首先在轨道坐标系中按u(t)=u₀+nt推进，再经倾角和升交点赤经旋转到地心惯性系，最后绕地轴反向旋转地球恒星角得到地固位置。该步骤显式计入地球自转，因此同一颗卫星相邻两圈的地面轨迹不会重合。</w:t>
      </w:r>
    </w:p>
    <w:p>
      <w:pPr>
        <w:spacing w:before="0" w:after="0" w:line="300" w:lineRule="auto"/>
        <w:jc w:val="center"/>
      </w:pPr>
      <m:oMathPara>
        <m:oMath>
          <m:r>
            <m:t>n=</m:t>
          </m:r>
          <m:rad>
            <m:radPr>
              <m:degHide m:val="1"/>
            </m:radPr>
            <m:deg/>
            <m:e>
              <m:f>
                <m:num>
                  <m:r>
                    <m:t>μ</m:t>
                  </m:r>
                </m:num>
                <m:den>
                  <m:sSup>
                    <m:e>
                      <m:r>
                        <m:t>r</m:t>
                      </m:r>
                    </m:e>
                    <m:sup>
                      <m:r>
                        <m:t>3</m:t>
                      </m:r>
                    </m:sup>
                  </m:sSup>
                </m:den>
              </m:f>
            </m:e>
          </m:rad>
          <m:r>
            <m:t>,</m:t>
          </m:r>
          <m:r>
            <m:t xml:space="preserve">  </m:t>
          </m:r>
          <m:r>
            <m:t xml:space="preserve"> T=</m:t>
          </m:r>
          <m:f>
            <m:num>
              <m:r>
                <m:t>2</m:t>
              </m:r>
              <m:r>
                <m:t>π</m:t>
              </m:r>
            </m:num>
            <m:den>
              <m:r>
                <m:t>n</m:t>
              </m:r>
            </m:den>
          </m:f>
        </m:oMath>
      </m:oMathPara>
    </w:p>
    <w:p>
      <w:pPr>
        <w:spacing w:before="0" w:after="0" w:line="300" w:lineRule="auto"/>
        <w:jc w:val="center"/>
      </w:pPr>
      <w:r>
        <w:drawing>
          <wp:inline xmlns:a="http://schemas.openxmlformats.org/drawingml/2006/main" xmlns:pic="http://schemas.openxmlformats.org/drawingml/2006/picture">
            <wp:extent cx="4968000" cy="206097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2060973"/>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图1  单星严格球面覆盖几何与题面标称半径对照</w:t>
      </w:r>
    </w:p>
    <w:p>
      <w:pPr>
        <w:spacing w:after="0" w:line="300" w:lineRule="auto"/>
        <w:ind w:firstLine="480"/>
      </w:pPr>
      <w:r>
        <w:rPr>
          <w:rFonts w:ascii="Times New Roman" w:hAnsi="Times New Roman" w:eastAsia="宋体"/>
          <w:b w:val="0"/>
          <w:sz w:val="24"/>
        </w:rPr>
        <w:t>图1给出了天线离轴角、覆盖地心角和地面弧长之间的对应关系。严格模型得到485.31 km，而题面标称值为506 km，差值20.69 km。虽然相对误差只有4.09%，但在边缘连续覆盖问题中会改变相邻卫星覆盖圆是否相接，因此后续搜索统一采用较小的严格半径。面积计算使用球冠公式，避免把覆盖区直接当作平面圆。</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5.2 多轨道面覆盖优化</w:t>
      </w:r>
    </w:p>
    <w:p>
      <w:pPr>
        <w:spacing w:after="0" w:line="300" w:lineRule="auto"/>
        <w:ind w:firstLine="480"/>
      </w:pPr>
      <w:r>
        <w:rPr>
          <w:rFonts w:ascii="Times New Roman" w:hAnsi="Times New Roman" w:eastAsia="宋体"/>
          <w:b w:val="0"/>
          <w:sz w:val="24"/>
        </w:rPr>
        <w:t>Walker构型用(M,N,i,F,Ω₀,u₀)描述，总卫星数S=MN。对每个时刻和网格点计算覆盖重数C_g(t)，第一目标是最小化S，同时要求全部样本的覆盖重数不小于1；二重覆盖要求每个位置至少在95%的采样时刻被两颗卫星同时覆盖。卫星总数相同时，以二重覆盖可用度和平均覆盖重数作为次级指标。</w:t>
      </w:r>
    </w:p>
    <w:p>
      <w:pPr>
        <w:spacing w:before="0" w:after="0" w:line="300" w:lineRule="auto"/>
        <w:jc w:val="center"/>
      </w:pPr>
      <m:oMathPara>
        <m:oMath>
          <m:r>
            <m:t>min</m:t>
          </m:r>
          <m:r>
            <m:t xml:space="preserve"> S=MN,</m:t>
          </m:r>
          <m:r>
            <m:t xml:space="preserve">  </m:t>
          </m:r>
          <m:r>
            <m:t xml:space="preserve"> </m:t>
          </m:r>
          <m:sSub>
            <m:e>
              <m:r>
                <m:t>min</m:t>
              </m:r>
            </m:e>
            <m:sub>
              <m:r>
                <m:t>t</m:t>
              </m:r>
              <m:r>
                <m:t>∈</m:t>
              </m:r>
              <m:r>
                <m:t>mathcal</m:t>
              </m:r>
              <m:r>
                <m:t xml:space="preserve"> T,g</m:t>
              </m:r>
              <m:r>
                <m:t>∈</m:t>
              </m:r>
              <m:r>
                <m:t>mathcal</m:t>
              </m:r>
              <m:r>
                <m:t xml:space="preserve"> G</m:t>
              </m:r>
            </m:sub>
          </m:sSub>
          <m:sSub>
            <m:e>
              <m:r>
                <m:t>C</m:t>
              </m:r>
            </m:e>
            <m:sub>
              <m:r>
                <m:t>g</m:t>
              </m:r>
            </m:sub>
          </m:sSub>
          <m:r>
            <m:t>(t)</m:t>
          </m:r>
          <m:r>
            <m:t>≥</m:t>
          </m:r>
          <m:r>
            <m:t xml:space="preserve"> 1</m:t>
          </m:r>
        </m:oMath>
      </m:oMathPara>
    </w:p>
    <w:p>
      <w:pPr>
        <w:spacing w:before="0" w:after="0" w:line="300" w:lineRule="auto"/>
        <w:jc w:val="center"/>
      </w:pPr>
      <m:oMathPara>
        <m:oMath>
          <m:sSub>
            <m:e>
              <m:r>
                <m:t>A</m:t>
              </m:r>
            </m:e>
            <m:sub>
              <m:r>
                <m:t>2,g</m:t>
              </m:r>
            </m:sub>
          </m:sSub>
          <m:r>
            <m:t>=</m:t>
          </m:r>
          <m:f>
            <m:num>
              <m:r>
                <m:t>1</m:t>
              </m:r>
            </m:num>
            <m:den>
              <m:r>
                <m:t>|</m:t>
              </m:r>
              <m:r>
                <m:t>mathcal</m:t>
              </m:r>
              <m:r>
                <m:t xml:space="preserve"> T|</m:t>
              </m:r>
            </m:den>
          </m:f>
          <m:sSub>
            <m:e>
              <m:r>
                <m:t>∑</m:t>
              </m:r>
            </m:e>
            <m:sub>
              <m:r>
                <m:t>t</m:t>
              </m:r>
              <m:r>
                <m:t>∈</m:t>
              </m:r>
              <m:r>
                <m:t>mathcal</m:t>
              </m:r>
              <m:r>
                <m:t xml:space="preserve"> T</m:t>
              </m:r>
            </m:sub>
          </m:sSub>
          <m:r>
            <m:t>bf</m:t>
          </m:r>
          <m:r>
            <m:t>1</m:t>
          </m:r>
          <m:sSub>
            <m:e>
              <m:r>
                <m:t>[C</m:t>
              </m:r>
            </m:e>
            <m:sub>
              <m:r>
                <m:t>g</m:t>
              </m:r>
            </m:sub>
          </m:sSub>
          <m:r>
            <m:t>(t)</m:t>
          </m:r>
          <m:r>
            <m:t>≥</m:t>
          </m:r>
          <m:r>
            <m:t>2]</m:t>
          </m:r>
          <m:r>
            <m:t>≥</m:t>
          </m:r>
          <m:r>
            <m:t>0.95</m:t>
          </m:r>
        </m:oMath>
      </m:oMathPara>
    </w:p>
    <w:p>
      <w:pPr>
        <w:spacing w:after="0" w:line="300" w:lineRule="auto"/>
        <w:ind w:firstLine="480"/>
      </w:pPr>
      <w:r>
        <w:rPr>
          <w:rFonts w:ascii="Times New Roman" w:hAnsi="Times New Roman" w:eastAsia="宋体"/>
          <w:b w:val="0"/>
          <w:sz w:val="24"/>
        </w:rPr>
        <w:t>求解分为筛查、粗复核和精复核。先在稀疏站点与30 min步长上排除明显不可行构型，再使用3°网格和600 s步长复核，最后对候选相位在对称区间内精化，并以1°网格、120 s步长覆盖一个恒星日。该方法给出限定搜索域中的可重复候选，不等价于连续时空或任意非规则星座的全局最优证明。</w:t>
      </w:r>
    </w:p>
    <w:p>
      <w:pPr>
        <w:spacing w:before="0" w:after="0" w:line="300" w:lineRule="auto"/>
        <w:jc w:val="center"/>
      </w:pPr>
      <w:r>
        <w:drawing>
          <wp:inline xmlns:a="http://schemas.openxmlformats.org/drawingml/2006/main" xmlns:pic="http://schemas.openxmlformats.org/drawingml/2006/picture">
            <wp:extent cx="4968000" cy="393345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68000" cy="3933454"/>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图2  推荐构型最差时刻的区域覆盖重数</w:t>
      </w:r>
    </w:p>
    <w:p>
      <w:pPr>
        <w:spacing w:after="0" w:line="300" w:lineRule="auto"/>
        <w:ind w:firstLine="480"/>
      </w:pPr>
      <w:r>
        <w:rPr>
          <w:rFonts w:ascii="Times New Roman" w:hAnsi="Times New Roman" w:eastAsia="宋体"/>
          <w:b w:val="0"/>
          <w:sz w:val="24"/>
        </w:rPr>
        <w:t>图2显示推荐构型在被判定为最差的采样时刻仍覆盖全部目标网格，最低覆盖重数为1。边界区域的覆盖重数较低，是相位调整和故障鲁棒性分析最敏感的位置；区域内部通常存在多星重叠。由于该图来自1°网格和120 s离散验证，结论应表述为离散认证结果，而不是连续时间的严格解析证明。</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5.3 时变星间网络与路由</w:t>
      </w:r>
    </w:p>
    <w:p>
      <w:pPr>
        <w:spacing w:after="0" w:line="300" w:lineRule="auto"/>
        <w:ind w:firstLine="480"/>
      </w:pPr>
      <w:r>
        <w:rPr>
          <w:rFonts w:ascii="Times New Roman" w:hAnsi="Times New Roman" w:eastAsia="宋体"/>
          <w:b w:val="0"/>
          <w:sz w:val="24"/>
        </w:rPr>
        <w:t>将卫星作为节点，同轨相邻卫星建立前后向链路；相邻轨道面之间以距离为代价进行一对一匹配，使每颗卫星维持两条同轨和两条跨轨链路。超过5000 km的候选边被删除。边权由光传播时间与0.5 ms处理时间组成，地面站接入时选择当前可见卫星，并在稀疏图上执行Dijkstra算法。</w:t>
      </w:r>
    </w:p>
    <w:p>
      <w:pPr>
        <w:spacing w:before="0" w:after="0" w:line="300" w:lineRule="auto"/>
        <w:jc w:val="center"/>
      </w:pPr>
      <m:oMathPara>
        <m:oMath>
          <m:sSub>
            <m:e>
              <m:r>
                <m:t>w</m:t>
              </m:r>
            </m:e>
            <m:sub>
              <m:r>
                <m:t>uv</m:t>
              </m:r>
            </m:sub>
          </m:sSub>
          <m:r>
            <m:t>(t)=</m:t>
          </m:r>
          <m:f>
            <m:num>
              <m:sSub>
                <m:e>
                  <m:r>
                    <m:t>d</m:t>
                  </m:r>
                </m:e>
                <m:sub>
                  <m:r>
                    <m:t>uv</m:t>
                  </m:r>
                </m:sub>
              </m:sSub>
              <m:r>
                <m:t>(t)</m:t>
              </m:r>
            </m:num>
            <m:den>
              <m:r>
                <m:t>c</m:t>
              </m:r>
            </m:den>
          </m:f>
          <m:r>
            <m:t>×</m:t>
          </m:r>
          <m:sSup>
            <m:e>
              <m:r>
                <m:t>10</m:t>
              </m:r>
            </m:e>
            <m:sup>
              <m:r>
                <m:t>3</m:t>
              </m:r>
            </m:sup>
          </m:sSup>
          <m:r>
            <m:t>+0.5</m:t>
          </m:r>
        </m:oMath>
      </m:oMathPara>
    </w:p>
    <w:p>
      <w:pPr>
        <w:spacing w:before="0" w:after="0" w:line="300" w:lineRule="auto"/>
        <w:jc w:val="center"/>
      </w:pPr>
      <m:oMathPara>
        <m:oMath>
          <m:sSub>
            <m:e>
              <m:r>
                <m:t>D</m:t>
              </m:r>
            </m:e>
            <m:sub>
              <m:r>
                <m:t>AB</m:t>
              </m:r>
            </m:sub>
          </m:sSub>
          <m:sSub>
            <m:e>
              <m:r>
                <m:t>(t)=D</m:t>
              </m:r>
            </m:e>
            <m:sub>
              <m:r>
                <m:t>A,u</m:t>
              </m:r>
            </m:sub>
          </m:sSub>
          <m:r>
            <m:t>(t)+</m:t>
          </m:r>
          <m:sSub>
            <m:e>
              <m:r>
                <m:t>min</m:t>
              </m:r>
            </m:e>
            <m:sub>
              <m:r>
                <m:t>P</m:t>
              </m:r>
            </m:sub>
          </m:sSub>
          <m:sSub>
            <m:e>
              <m:r>
                <m:t>∑</m:t>
              </m:r>
            </m:e>
            <m:sub>
              <m:r>
                <m:t>(i,j)</m:t>
              </m:r>
              <m:r>
                <m:t>∈</m:t>
              </m:r>
              <m:r>
                <m:t xml:space="preserve"> P</m:t>
              </m:r>
            </m:sub>
          </m:sSub>
          <m:sSub>
            <m:e>
              <m:r>
                <m:t>w</m:t>
              </m:r>
            </m:e>
            <m:sub>
              <m:r>
                <m:t>ij</m:t>
              </m:r>
            </m:sub>
          </m:sSub>
          <m:sSub>
            <m:e>
              <m:r>
                <m:t>(t)+D</m:t>
              </m:r>
            </m:e>
            <m:sub>
              <m:r>
                <m:t>v,B</m:t>
              </m:r>
            </m:sub>
          </m:sSub>
          <m:r>
            <m:t>(t)</m:t>
          </m:r>
        </m:oMath>
      </m:oMathPara>
    </w:p>
    <w:p>
      <w:pPr>
        <w:spacing w:after="0" w:line="300" w:lineRule="auto"/>
        <w:ind w:firstLine="480"/>
      </w:pPr>
      <w:r>
        <w:rPr>
          <w:rFonts w:ascii="Times New Roman" w:hAnsi="Times New Roman" w:eastAsia="宋体"/>
          <w:b w:val="0"/>
          <w:sz w:val="24"/>
        </w:rPr>
        <w:t>题面只给出20 Gbps单星接入容量和峰均比1.5，没有给出星间链路容量与总业务量。因此容量部分对ISL容量取10、20、40、80和120 Gbps进行扫描，并把36个区域站点之间的均匀OD流量沿最短路径分配。结果只说明这些假设下的临界承载能力。</w:t>
      </w:r>
    </w:p>
    <w:p>
      <w:pPr>
        <w:spacing w:before="0" w:after="0" w:line="300" w:lineRule="auto"/>
        <w:jc w:val="center"/>
      </w:pPr>
      <w:r>
        <w:drawing>
          <wp:inline xmlns:a="http://schemas.openxmlformats.org/drawingml/2006/main" xmlns:pic="http://schemas.openxmlformats.org/drawingml/2006/picture">
            <wp:extent cx="4968000" cy="206097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68000" cy="2060973"/>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图3  端到端时延分布与全天变化</w:t>
      </w:r>
    </w:p>
    <w:p>
      <w:pPr>
        <w:spacing w:after="0" w:line="300" w:lineRule="auto"/>
        <w:ind w:firstLine="480"/>
      </w:pPr>
      <w:r>
        <w:rPr>
          <w:rFonts w:ascii="Times New Roman" w:hAnsi="Times New Roman" w:eastAsia="宋体"/>
          <w:b w:val="0"/>
          <w:sz w:val="24"/>
        </w:rPr>
        <w:t>图3左侧累计分布表明约76.77%的站点对样本不超过30 ms；右侧显示平均时延稳定在约23 ms，但各时刻最大值均显著高于30 ms，最坏样本达到52.91 ms。这说明网络连通并不等价于时延达标，较远站点对必须经过更多星间跳数。若30 ms被视为硬约束，需要在问题二目标函数中加入通信时延，重新搜索星座或配置更直接的跨轨链路。</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5.4 碎片风险与冗余</w:t>
      </w:r>
    </w:p>
    <w:p>
      <w:pPr>
        <w:spacing w:after="0" w:line="300" w:lineRule="auto"/>
        <w:ind w:firstLine="480"/>
      </w:pPr>
      <w:r>
        <w:rPr>
          <w:rFonts w:ascii="Times New Roman" w:hAnsi="Times New Roman" w:eastAsia="宋体"/>
          <w:b w:val="0"/>
          <w:sz w:val="24"/>
        </w:rPr>
        <w:t>设碎片体密度为n、卫星有效碰撞截面为σ、平均相对速度为v。碰撞到达服从泊松过程，则一年内的期望事件数为Λ=nσvT，至少发生一次碰撞的概率为1−exp(−Λ)。物理碰撞与预警事件必须区分：年度规避次数由候选交会率、探测成功率和阈值触发比例共同决定。</w:t>
      </w:r>
    </w:p>
    <w:p>
      <w:pPr>
        <w:spacing w:before="0" w:after="0" w:line="300" w:lineRule="auto"/>
        <w:jc w:val="center"/>
      </w:pPr>
      <m:oMathPara>
        <m:oMath>
          <m:sSub>
            <m:e>
              <m:r>
                <m:t>Λ</m:t>
              </m:r>
            </m:e>
            <m:sub>
              <m:r>
                <m:t>col</m:t>
              </m:r>
            </m:sub>
          </m:sSub>
          <m:r>
            <m:t>=n</m:t>
          </m:r>
          <m:r>
            <m:t>σ</m:t>
          </m:r>
          <m:sSub>
            <m:e>
              <m:r>
                <m:t xml:space="preserve"> v</m:t>
              </m:r>
            </m:e>
            <m:sub>
              <m:r>
                <m:t>rel</m:t>
              </m:r>
            </m:sub>
          </m:sSub>
          <m:r>
            <m:t>T,</m:t>
          </m:r>
          <m:r>
            <m:t xml:space="preserve">  </m:t>
          </m:r>
          <m:sSub>
            <m:e>
              <m:r>
                <m:t xml:space="preserve"> P</m:t>
              </m:r>
            </m:e>
            <m:sub>
              <m:r>
                <m:t>col</m:t>
              </m:r>
            </m:sub>
          </m:sSub>
          <m:r>
            <m:t>=1-</m:t>
          </m:r>
          <m:r>
            <m:t>exp</m:t>
          </m:r>
          <m:r>
            <m:t>(-</m:t>
          </m:r>
          <m:sSub>
            <m:e>
              <m:r>
                <m:t>Λ</m:t>
              </m:r>
            </m:e>
            <m:sub>
              <m:r>
                <m:t>col</m:t>
              </m:r>
            </m:sub>
          </m:sSub>
          <m:r>
            <m:t>)</m:t>
          </m:r>
        </m:oMath>
      </m:oMathPara>
    </w:p>
    <w:p>
      <w:pPr>
        <w:spacing w:before="0" w:after="0" w:line="300" w:lineRule="auto"/>
        <w:jc w:val="center"/>
      </w:pPr>
      <m:oMathPara>
        <m:oMath>
          <m:sSub>
            <m:e>
              <m:r>
                <m:t>L</m:t>
              </m:r>
            </m:e>
            <m:sub>
              <m:r>
                <m:t>c</m:t>
              </m:r>
            </m:sub>
          </m:sSub>
          <m:r>
            <m:t>=0.5</m:t>
          </m:r>
          <m:r>
            <m:t>(1-</m:t>
          </m:r>
          <m:r>
            <m:t>exp</m:t>
          </m:r>
          <m:r>
            <m:t>(-</m:t>
          </m:r>
          <m:sSub>
            <m:e>
              <m:r>
                <m:t>λ</m:t>
              </m:r>
            </m:e>
            <m:sub>
              <m:r>
                <m:t>m</m:t>
              </m:r>
            </m:sub>
          </m:sSub>
          <m:sSub>
            <m:e>
              <m:r>
                <m:t>τ</m:t>
              </m:r>
            </m:e>
            <m:sub>
              <m:r>
                <m:t>m</m:t>
              </m:r>
            </m:sub>
          </m:sSub>
          <m:r>
            <m:t>)</m:t>
          </m:r>
          <m:r>
            <m:t>)</m:t>
          </m:r>
        </m:oMath>
      </m:oMathPara>
    </w:p>
    <w:p>
      <w:pPr>
        <w:spacing w:after="0" w:line="300" w:lineRule="auto"/>
        <w:ind w:firstLine="480"/>
      </w:pPr>
      <w:r>
        <w:rPr>
          <w:rFonts w:ascii="Times New Roman" w:hAnsi="Times New Roman" w:eastAsia="宋体"/>
          <w:b w:val="0"/>
          <w:sz w:val="24"/>
        </w:rPr>
        <w:t>冗余的解析筛查把每个轨道面视为独立单元。若每面增加r颗可即时接替的卫星，单星在7天窗口内不可用概率为q，则单面允许不超过r颗退出的概率为二项分布累积值，系统近似可靠度为各轨道面可靠度的乘积。该口径刻意偏保守，最终仍需由真实轨道几何验证。</w:t>
      </w:r>
    </w:p>
    <w:p>
      <w:pPr>
        <w:spacing w:before="0" w:after="0" w:line="300" w:lineRule="auto"/>
        <w:jc w:val="center"/>
      </w:pPr>
      <m:oMathPara>
        <m:oMath>
          <m:sSub>
            <m:e>
              <m:r>
                <m:t>R</m:t>
              </m:r>
            </m:e>
            <m:sub>
              <m:r>
                <m:t>sys</m:t>
              </m:r>
            </m:sub>
          </m:sSub>
          <m:r>
            <m:t>(r)=</m:t>
          </m:r>
          <m:r>
            <m:t>[</m:t>
          </m:r>
          <m:sSubSup>
            <m:e>
              <m:r>
                <m:t>∑</m:t>
              </m:r>
            </m:e>
            <m:sub>
              <m:r>
                <m:t>j=0</m:t>
              </m:r>
            </m:sub>
            <m:sup>
              <m:r>
                <m:t>r</m:t>
              </m:r>
            </m:sup>
          </m:sSubSup>
          <m:r>
            <m:t>N+r</m:t>
          </m:r>
          <m:r>
            <m:t>choose</m:t>
          </m:r>
          <m:r>
            <m:t xml:space="preserve"> j</m:t>
          </m:r>
          <m:sSup>
            <m:e>
              <m:r>
                <m:t>q</m:t>
              </m:r>
            </m:e>
            <m:sup>
              <m:r>
                <m:t>j</m:t>
              </m:r>
            </m:sup>
          </m:sSup>
          <m:sSup>
            <m:e>
              <m:r>
                <m:t>(1-q)</m:t>
              </m:r>
            </m:e>
            <m:sup>
              <m:r>
                <m:t>N+r-j</m:t>
              </m:r>
            </m:sup>
          </m:sSup>
          <m:sSup>
            <m:e>
              <m:r>
                <m:t>]</m:t>
              </m:r>
            </m:e>
            <m:sup>
              <m:r>
                <m:t>M</m:t>
              </m:r>
            </m:sup>
          </m:sSup>
        </m:oMath>
      </m:oMathPara>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六、模型求解与结果</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6.1 覆盖几何结果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表3  问题一主要结果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严格覆盖地心角</w:t>
            </w:r>
          </w:p>
        </w:tc>
        <w:tc>
          <w:tcPr>
            <w:tcW w:type="dxa" w:w="4150"/>
          </w:tcPr>
          <w:p>
            <w:pPr>
              <w:jc w:val="center"/>
            </w:pPr>
            <w:r/>
            <w:r>
              <w:rPr>
                <w:rFonts w:ascii="Times New Roman" w:hAnsi="Times New Roman" w:eastAsia="宋体"/>
                <w:b w:val="0"/>
                <w:sz w:val="24"/>
              </w:rPr>
              <w:t>4.3645°</w:t>
            </w:r>
          </w:p>
        </w:tc>
      </w:tr>
      <w:tr>
        <w:tc>
          <w:tcPr>
            <w:tcW w:type="dxa" w:w="4150"/>
          </w:tcPr>
          <w:p>
            <w:pPr>
              <w:jc w:val="center"/>
            </w:pPr>
            <w:r/>
            <w:r>
              <w:rPr>
                <w:rFonts w:ascii="Times New Roman" w:hAnsi="Times New Roman" w:eastAsia="宋体"/>
                <w:b w:val="0"/>
                <w:sz w:val="24"/>
              </w:rPr>
              <w:t>严格地面覆盖半径</w:t>
            </w:r>
          </w:p>
        </w:tc>
        <w:tc>
          <w:tcPr>
            <w:tcW w:type="dxa" w:w="4150"/>
          </w:tcPr>
          <w:p>
            <w:pPr>
              <w:jc w:val="center"/>
            </w:pPr>
            <w:r/>
            <w:r>
              <w:rPr>
                <w:rFonts w:ascii="Times New Roman" w:hAnsi="Times New Roman" w:eastAsia="宋体"/>
                <w:b w:val="0"/>
                <w:sz w:val="24"/>
              </w:rPr>
              <w:t>485.31 km</w:t>
            </w:r>
          </w:p>
        </w:tc>
      </w:tr>
      <w:tr>
        <w:tc>
          <w:tcPr>
            <w:tcW w:type="dxa" w:w="4150"/>
          </w:tcPr>
          <w:p>
            <w:pPr>
              <w:jc w:val="center"/>
            </w:pPr>
            <w:r/>
            <w:r>
              <w:rPr>
                <w:rFonts w:ascii="Times New Roman" w:hAnsi="Times New Roman" w:eastAsia="宋体"/>
                <w:b w:val="0"/>
                <w:sz w:val="24"/>
              </w:rPr>
              <w:t>覆盖面积</w:t>
            </w:r>
          </w:p>
        </w:tc>
        <w:tc>
          <w:tcPr>
            <w:tcW w:type="dxa" w:w="4150"/>
          </w:tcPr>
          <w:p>
            <w:pPr>
              <w:jc w:val="center"/>
            </w:pPr>
            <w:r/>
            <w:r>
              <w:rPr>
                <w:rFonts w:ascii="Times New Roman" w:hAnsi="Times New Roman" w:eastAsia="宋体"/>
                <w:b w:val="0"/>
                <w:sz w:val="24"/>
              </w:rPr>
              <w:t>739558.58 km²</w:t>
            </w:r>
          </w:p>
        </w:tc>
      </w:tr>
      <w:tr>
        <w:tc>
          <w:tcPr>
            <w:tcW w:type="dxa" w:w="4150"/>
          </w:tcPr>
          <w:p>
            <w:pPr>
              <w:jc w:val="center"/>
            </w:pPr>
            <w:r/>
            <w:r>
              <w:rPr>
                <w:rFonts w:ascii="Times New Roman" w:hAnsi="Times New Roman" w:eastAsia="宋体"/>
                <w:b w:val="0"/>
                <w:sz w:val="24"/>
              </w:rPr>
              <w:t>轨道周期</w:t>
            </w:r>
          </w:p>
        </w:tc>
        <w:tc>
          <w:tcPr>
            <w:tcW w:type="dxa" w:w="4150"/>
          </w:tcPr>
          <w:p>
            <w:pPr>
              <w:jc w:val="center"/>
            </w:pPr>
            <w:r/>
            <w:r>
              <w:rPr>
                <w:rFonts w:ascii="Times New Roman" w:hAnsi="Times New Roman" w:eastAsia="宋体"/>
                <w:b w:val="0"/>
                <w:sz w:val="24"/>
              </w:rPr>
              <w:t>95.502 min</w:t>
            </w:r>
          </w:p>
        </w:tc>
      </w:tr>
      <w:tr>
        <w:tc>
          <w:tcPr>
            <w:tcW w:type="dxa" w:w="4150"/>
          </w:tcPr>
          <w:p>
            <w:pPr>
              <w:jc w:val="center"/>
            </w:pPr>
            <w:r/>
            <w:r>
              <w:rPr>
                <w:rFonts w:ascii="Times New Roman" w:hAnsi="Times New Roman" w:eastAsia="宋体"/>
                <w:b w:val="0"/>
                <w:sz w:val="24"/>
              </w:rPr>
              <w:t>每圈星下点经度西移</w:t>
            </w:r>
          </w:p>
        </w:tc>
        <w:tc>
          <w:tcPr>
            <w:tcW w:type="dxa" w:w="4150"/>
          </w:tcPr>
          <w:p>
            <w:pPr>
              <w:jc w:val="center"/>
            </w:pPr>
            <w:r/>
            <w:r>
              <w:rPr>
                <w:rFonts w:ascii="Times New Roman" w:hAnsi="Times New Roman" w:eastAsia="宋体"/>
                <w:b w:val="0"/>
                <w:sz w:val="24"/>
              </w:rPr>
              <w:t>23.941°</w:t>
            </w:r>
          </w:p>
        </w:tc>
      </w:tr>
      <w:tr>
        <w:tc>
          <w:tcPr>
            <w:tcW w:type="dxa" w:w="4150"/>
          </w:tcPr>
          <w:p>
            <w:pPr>
              <w:jc w:val="center"/>
            </w:pPr>
            <w:r/>
            <w:r>
              <w:rPr>
                <w:rFonts w:ascii="Times New Roman" w:hAnsi="Times New Roman" w:eastAsia="宋体"/>
                <w:b w:val="0"/>
                <w:sz w:val="24"/>
              </w:rPr>
              <w:t>沿轨连续覆盖下界</w:t>
            </w:r>
          </w:p>
        </w:tc>
        <w:tc>
          <w:tcPr>
            <w:tcW w:type="dxa" w:w="4150"/>
          </w:tcPr>
          <w:p>
            <w:pPr>
              <w:jc w:val="center"/>
            </w:pPr>
            <w:r/>
            <w:r>
              <w:rPr>
                <w:rFonts w:ascii="Times New Roman" w:hAnsi="Times New Roman" w:eastAsia="宋体"/>
                <w:b w:val="0"/>
                <w:sz w:val="24"/>
              </w:rPr>
              <w:t>42颗/轨</w:t>
            </w:r>
          </w:p>
        </w:tc>
      </w:tr>
    </w:tbl>
    <w:p>
      <w:pPr>
        <w:spacing w:after="0" w:line="300" w:lineRule="auto"/>
        <w:ind w:firstLine="480"/>
      </w:pPr>
      <w:r>
        <w:rPr>
          <w:rFonts w:ascii="Times New Roman" w:hAnsi="Times New Roman" w:eastAsia="宋体"/>
          <w:b w:val="0"/>
          <w:sz w:val="24"/>
        </w:rPr>
        <w:t>单轨道面“纬度带内至少存在一颗可见卫星”的字面条件只需4颗，但它不能保证带内每个位置连续覆盖。若按相邻覆盖区沿轨不留空隙的工程口径，严格半径对应42颗/轨，标称506 km对应40颗/轨。两种答案反映的是题意强度不同，不能混为同一覆盖要求。</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6.2 星座候选与成本</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表4  问题二推荐构型</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轨道面数M</w:t>
            </w:r>
          </w:p>
        </w:tc>
        <w:tc>
          <w:tcPr>
            <w:tcW w:type="dxa" w:w="4150"/>
          </w:tcPr>
          <w:p>
            <w:pPr>
              <w:jc w:val="center"/>
            </w:pPr>
            <w:r/>
            <w:r>
              <w:rPr>
                <w:rFonts w:ascii="Times New Roman" w:hAnsi="Times New Roman" w:eastAsia="宋体"/>
                <w:b w:val="0"/>
                <w:sz w:val="24"/>
              </w:rPr>
              <w:t>38</w:t>
            </w:r>
          </w:p>
        </w:tc>
      </w:tr>
      <w:tr>
        <w:tc>
          <w:tcPr>
            <w:tcW w:type="dxa" w:w="4150"/>
          </w:tcPr>
          <w:p>
            <w:pPr>
              <w:jc w:val="center"/>
            </w:pPr>
            <w:r/>
            <w:r>
              <w:rPr>
                <w:rFonts w:ascii="Times New Roman" w:hAnsi="Times New Roman" w:eastAsia="宋体"/>
                <w:b w:val="0"/>
                <w:sz w:val="24"/>
              </w:rPr>
              <w:t>每面卫星数N</w:t>
            </w:r>
          </w:p>
        </w:tc>
        <w:tc>
          <w:tcPr>
            <w:tcW w:type="dxa" w:w="4150"/>
          </w:tcPr>
          <w:p>
            <w:pPr>
              <w:jc w:val="center"/>
            </w:pPr>
            <w:r/>
            <w:r>
              <w:rPr>
                <w:rFonts w:ascii="Times New Roman" w:hAnsi="Times New Roman" w:eastAsia="宋体"/>
                <w:b w:val="0"/>
                <w:sz w:val="24"/>
              </w:rPr>
              <w:t>52</w:t>
            </w:r>
          </w:p>
        </w:tc>
      </w:tr>
      <w:tr>
        <w:tc>
          <w:tcPr>
            <w:tcW w:type="dxa" w:w="4150"/>
          </w:tcPr>
          <w:p>
            <w:pPr>
              <w:jc w:val="center"/>
            </w:pPr>
            <w:r/>
            <w:r>
              <w:rPr>
                <w:rFonts w:ascii="Times New Roman" w:hAnsi="Times New Roman" w:eastAsia="宋体"/>
                <w:b w:val="0"/>
                <w:sz w:val="24"/>
              </w:rPr>
              <w:t>总卫星数S</w:t>
            </w:r>
          </w:p>
        </w:tc>
        <w:tc>
          <w:tcPr>
            <w:tcW w:type="dxa" w:w="4150"/>
          </w:tcPr>
          <w:p>
            <w:pPr>
              <w:jc w:val="center"/>
            </w:pPr>
            <w:r/>
            <w:r>
              <w:rPr>
                <w:rFonts w:ascii="Times New Roman" w:hAnsi="Times New Roman" w:eastAsia="宋体"/>
                <w:b w:val="0"/>
                <w:sz w:val="24"/>
              </w:rPr>
              <w:t>1976</w:t>
            </w:r>
          </w:p>
        </w:tc>
      </w:tr>
      <w:tr>
        <w:tc>
          <w:tcPr>
            <w:tcW w:type="dxa" w:w="4150"/>
          </w:tcPr>
          <w:p>
            <w:pPr>
              <w:jc w:val="center"/>
            </w:pPr>
            <w:r/>
            <w:r>
              <w:rPr>
                <w:rFonts w:ascii="Times New Roman" w:hAnsi="Times New Roman" w:eastAsia="宋体"/>
                <w:b w:val="0"/>
                <w:sz w:val="24"/>
              </w:rPr>
              <w:t>倾角i</w:t>
            </w:r>
          </w:p>
        </w:tc>
        <w:tc>
          <w:tcPr>
            <w:tcW w:type="dxa" w:w="4150"/>
          </w:tcPr>
          <w:p>
            <w:pPr>
              <w:jc w:val="center"/>
            </w:pPr>
            <w:r/>
            <w:r>
              <w:rPr>
                <w:rFonts w:ascii="Times New Roman" w:hAnsi="Times New Roman" w:eastAsia="宋体"/>
                <w:b w:val="0"/>
                <w:sz w:val="24"/>
              </w:rPr>
              <w:t>50°</w:t>
            </w:r>
          </w:p>
        </w:tc>
      </w:tr>
      <w:tr>
        <w:tc>
          <w:tcPr>
            <w:tcW w:type="dxa" w:w="4150"/>
          </w:tcPr>
          <w:p>
            <w:pPr>
              <w:jc w:val="center"/>
            </w:pPr>
            <w:r/>
            <w:r>
              <w:rPr>
                <w:rFonts w:ascii="Times New Roman" w:hAnsi="Times New Roman" w:eastAsia="宋体"/>
                <w:b w:val="0"/>
                <w:sz w:val="24"/>
              </w:rPr>
              <w:t>相位因子F</w:t>
            </w:r>
          </w:p>
        </w:tc>
        <w:tc>
          <w:tcPr>
            <w:tcW w:type="dxa" w:w="4150"/>
          </w:tcPr>
          <w:p>
            <w:pPr>
              <w:jc w:val="center"/>
            </w:pPr>
            <w:r/>
            <w:r>
              <w:rPr>
                <w:rFonts w:ascii="Times New Roman" w:hAnsi="Times New Roman" w:eastAsia="宋体"/>
                <w:b w:val="0"/>
                <w:sz w:val="24"/>
              </w:rPr>
              <w:t>19</w:t>
            </w:r>
          </w:p>
        </w:tc>
      </w:tr>
      <w:tr>
        <w:tc>
          <w:tcPr>
            <w:tcW w:type="dxa" w:w="4150"/>
          </w:tcPr>
          <w:p>
            <w:pPr>
              <w:jc w:val="center"/>
            </w:pPr>
            <w:r/>
            <w:r>
              <w:rPr>
                <w:rFonts w:ascii="Times New Roman" w:hAnsi="Times New Roman" w:eastAsia="宋体"/>
                <w:b w:val="0"/>
                <w:sz w:val="24"/>
              </w:rPr>
              <w:t>最差点单重覆盖可用度</w:t>
            </w:r>
          </w:p>
        </w:tc>
        <w:tc>
          <w:tcPr>
            <w:tcW w:type="dxa" w:w="4150"/>
          </w:tcPr>
          <w:p>
            <w:pPr>
              <w:jc w:val="center"/>
            </w:pPr>
            <w:r/>
            <w:r>
              <w:rPr>
                <w:rFonts w:ascii="Times New Roman" w:hAnsi="Times New Roman" w:eastAsia="宋体"/>
                <w:b w:val="0"/>
                <w:sz w:val="24"/>
              </w:rPr>
              <w:t>100%</w:t>
            </w:r>
          </w:p>
        </w:tc>
      </w:tr>
      <w:tr>
        <w:tc>
          <w:tcPr>
            <w:tcW w:type="dxa" w:w="4150"/>
          </w:tcPr>
          <w:p>
            <w:pPr>
              <w:jc w:val="center"/>
            </w:pPr>
            <w:r/>
            <w:r>
              <w:rPr>
                <w:rFonts w:ascii="Times New Roman" w:hAnsi="Times New Roman" w:eastAsia="宋体"/>
                <w:b w:val="0"/>
                <w:sz w:val="24"/>
              </w:rPr>
              <w:t>最差点二重覆盖可用度</w:t>
            </w:r>
          </w:p>
        </w:tc>
        <w:tc>
          <w:tcPr>
            <w:tcW w:type="dxa" w:w="4150"/>
          </w:tcPr>
          <w:p>
            <w:pPr>
              <w:jc w:val="center"/>
            </w:pPr>
            <w:r/>
            <w:r>
              <w:rPr>
                <w:rFonts w:ascii="Times New Roman" w:hAnsi="Times New Roman" w:eastAsia="宋体"/>
                <w:b w:val="0"/>
                <w:sz w:val="24"/>
              </w:rPr>
              <w:t>98.887%</w:t>
            </w:r>
          </w:p>
        </w:tc>
      </w:tr>
      <w:tr>
        <w:tc>
          <w:tcPr>
            <w:tcW w:type="dxa" w:w="4150"/>
          </w:tcPr>
          <w:p>
            <w:pPr>
              <w:jc w:val="center"/>
            </w:pPr>
            <w:r/>
            <w:r>
              <w:rPr>
                <w:rFonts w:ascii="Times New Roman" w:hAnsi="Times New Roman" w:eastAsia="宋体"/>
                <w:b w:val="0"/>
                <w:sz w:val="24"/>
              </w:rPr>
              <w:t>发射次数</w:t>
            </w:r>
          </w:p>
        </w:tc>
        <w:tc>
          <w:tcPr>
            <w:tcW w:type="dxa" w:w="4150"/>
          </w:tcPr>
          <w:p>
            <w:pPr>
              <w:jc w:val="center"/>
            </w:pPr>
            <w:r/>
            <w:r>
              <w:rPr>
                <w:rFonts w:ascii="Times New Roman" w:hAnsi="Times New Roman" w:eastAsia="宋体"/>
                <w:b w:val="0"/>
                <w:sz w:val="24"/>
              </w:rPr>
              <w:t>33次</w:t>
            </w:r>
          </w:p>
        </w:tc>
      </w:tr>
      <w:tr>
        <w:tc>
          <w:tcPr>
            <w:tcW w:type="dxa" w:w="4150"/>
          </w:tcPr>
          <w:p>
            <w:pPr>
              <w:jc w:val="center"/>
            </w:pPr>
            <w:r/>
            <w:r>
              <w:rPr>
                <w:rFonts w:ascii="Times New Roman" w:hAnsi="Times New Roman" w:eastAsia="宋体"/>
                <w:b w:val="0"/>
                <w:sz w:val="24"/>
              </w:rPr>
              <w:t>部署成本</w:t>
            </w:r>
          </w:p>
        </w:tc>
        <w:tc>
          <w:tcPr>
            <w:tcW w:type="dxa" w:w="4150"/>
          </w:tcPr>
          <w:p>
            <w:pPr>
              <w:jc w:val="center"/>
            </w:pPr>
            <w:r/>
            <w:r>
              <w:rPr>
                <w:rFonts w:ascii="Times New Roman" w:hAnsi="Times New Roman" w:eastAsia="宋体"/>
                <w:b w:val="0"/>
                <w:sz w:val="24"/>
              </w:rPr>
              <w:t>164.8亿元</w:t>
            </w:r>
          </w:p>
        </w:tc>
      </w:tr>
    </w:tbl>
    <w:p>
      <w:pPr>
        <w:spacing w:before="0" w:after="0" w:line="300" w:lineRule="auto"/>
        <w:jc w:val="center"/>
      </w:pPr>
      <w:r>
        <w:drawing>
          <wp:inline xmlns:a="http://schemas.openxmlformats.org/drawingml/2006/main" xmlns:pic="http://schemas.openxmlformats.org/drawingml/2006/picture">
            <wp:extent cx="4968000" cy="2062111"/>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68000" cy="2062111"/>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图4  推荐构型全天单重和二重覆盖能力</w:t>
      </w:r>
    </w:p>
    <w:p>
      <w:pPr>
        <w:spacing w:after="0" w:line="300" w:lineRule="auto"/>
        <w:ind w:firstLine="480"/>
      </w:pPr>
      <w:r>
        <w:rPr>
          <w:rFonts w:ascii="Times New Roman" w:hAnsi="Times New Roman" w:eastAsia="宋体"/>
          <w:b w:val="0"/>
          <w:sz w:val="24"/>
        </w:rPr>
        <w:t>图4从时间维度复核了构型稳定性。推荐构型的区域最小覆盖重数始终不低于1，没有出现离散采样下的覆盖间隙；二重覆盖的区域面积比例在全天保持较高水平，但局部边界点仍可能短时降为单重覆盖。因此该构型同时通过100%单重覆盖和最差点95%二重覆盖要求，却不能被表述为任意时刻全区域二重覆盖。</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6.3 通信结果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表5  问题三网络指标</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连通分量范围</w:t>
            </w:r>
          </w:p>
        </w:tc>
        <w:tc>
          <w:tcPr>
            <w:tcW w:type="dxa" w:w="4150"/>
          </w:tcPr>
          <w:p>
            <w:pPr>
              <w:jc w:val="center"/>
            </w:pPr>
            <w:r/>
            <w:r>
              <w:rPr>
                <w:rFonts w:ascii="Times New Roman" w:hAnsi="Times New Roman" w:eastAsia="宋体"/>
                <w:b w:val="0"/>
                <w:sz w:val="24"/>
              </w:rPr>
              <w:t>1—1</w:t>
            </w:r>
          </w:p>
        </w:tc>
      </w:tr>
      <w:tr>
        <w:tc>
          <w:tcPr>
            <w:tcW w:type="dxa" w:w="4150"/>
          </w:tcPr>
          <w:p>
            <w:pPr>
              <w:jc w:val="center"/>
            </w:pPr>
            <w:r/>
            <w:r>
              <w:rPr>
                <w:rFonts w:ascii="Times New Roman" w:hAnsi="Times New Roman" w:eastAsia="宋体"/>
                <w:b w:val="0"/>
                <w:sz w:val="24"/>
              </w:rPr>
              <w:t>节点度数范围</w:t>
            </w:r>
          </w:p>
        </w:tc>
        <w:tc>
          <w:tcPr>
            <w:tcW w:type="dxa" w:w="4150"/>
          </w:tcPr>
          <w:p>
            <w:pPr>
              <w:jc w:val="center"/>
            </w:pPr>
            <w:r/>
            <w:r>
              <w:rPr>
                <w:rFonts w:ascii="Times New Roman" w:hAnsi="Times New Roman" w:eastAsia="宋体"/>
                <w:b w:val="0"/>
                <w:sz w:val="24"/>
              </w:rPr>
              <w:t>4—4</w:t>
            </w:r>
          </w:p>
        </w:tc>
      </w:tr>
      <w:tr>
        <w:tc>
          <w:tcPr>
            <w:tcW w:type="dxa" w:w="4150"/>
          </w:tcPr>
          <w:p>
            <w:pPr>
              <w:jc w:val="center"/>
            </w:pPr>
            <w:r/>
            <w:r>
              <w:rPr>
                <w:rFonts w:ascii="Times New Roman" w:hAnsi="Times New Roman" w:eastAsia="宋体"/>
                <w:b w:val="0"/>
                <w:sz w:val="24"/>
              </w:rPr>
              <w:t>最大跨轨链路</w:t>
            </w:r>
          </w:p>
        </w:tc>
        <w:tc>
          <w:tcPr>
            <w:tcW w:type="dxa" w:w="4150"/>
          </w:tcPr>
          <w:p>
            <w:pPr>
              <w:jc w:val="center"/>
            </w:pPr>
            <w:r/>
            <w:r>
              <w:rPr>
                <w:rFonts w:ascii="Times New Roman" w:hAnsi="Times New Roman" w:eastAsia="宋体"/>
                <w:b w:val="0"/>
                <w:sz w:val="24"/>
              </w:rPr>
              <w:t>931.51 km</w:t>
            </w:r>
          </w:p>
        </w:tc>
      </w:tr>
      <w:tr>
        <w:tc>
          <w:tcPr>
            <w:tcW w:type="dxa" w:w="4150"/>
          </w:tcPr>
          <w:p>
            <w:pPr>
              <w:jc w:val="center"/>
            </w:pPr>
            <w:r/>
            <w:r>
              <w:rPr>
                <w:rFonts w:ascii="Times New Roman" w:hAnsi="Times New Roman" w:eastAsia="宋体"/>
                <w:b w:val="0"/>
                <w:sz w:val="24"/>
              </w:rPr>
              <w:t>平均端到端时延</w:t>
            </w:r>
          </w:p>
        </w:tc>
        <w:tc>
          <w:tcPr>
            <w:tcW w:type="dxa" w:w="4150"/>
          </w:tcPr>
          <w:p>
            <w:pPr>
              <w:jc w:val="center"/>
            </w:pPr>
            <w:r/>
            <w:r>
              <w:rPr>
                <w:rFonts w:ascii="Times New Roman" w:hAnsi="Times New Roman" w:eastAsia="宋体"/>
                <w:b w:val="0"/>
                <w:sz w:val="24"/>
              </w:rPr>
              <w:t>22.893 ms</w:t>
            </w:r>
          </w:p>
        </w:tc>
      </w:tr>
      <w:tr>
        <w:tc>
          <w:tcPr>
            <w:tcW w:type="dxa" w:w="4150"/>
          </w:tcPr>
          <w:p>
            <w:pPr>
              <w:jc w:val="center"/>
            </w:pPr>
            <w:r/>
            <w:r>
              <w:rPr>
                <w:rFonts w:ascii="Times New Roman" w:hAnsi="Times New Roman" w:eastAsia="宋体"/>
                <w:b w:val="0"/>
                <w:sz w:val="24"/>
              </w:rPr>
              <w:t>95%分位时延</w:t>
            </w:r>
          </w:p>
        </w:tc>
        <w:tc>
          <w:tcPr>
            <w:tcW w:type="dxa" w:w="4150"/>
          </w:tcPr>
          <w:p>
            <w:pPr>
              <w:jc w:val="center"/>
            </w:pPr>
            <w:r/>
            <w:r>
              <w:rPr>
                <w:rFonts w:ascii="Times New Roman" w:hAnsi="Times New Roman" w:eastAsia="宋体"/>
                <w:b w:val="0"/>
                <w:sz w:val="24"/>
              </w:rPr>
              <w:t>41.203 ms</w:t>
            </w:r>
          </w:p>
        </w:tc>
      </w:tr>
      <w:tr>
        <w:tc>
          <w:tcPr>
            <w:tcW w:type="dxa" w:w="4150"/>
          </w:tcPr>
          <w:p>
            <w:pPr>
              <w:jc w:val="center"/>
            </w:pPr>
            <w:r/>
            <w:r>
              <w:rPr>
                <w:rFonts w:ascii="Times New Roman" w:hAnsi="Times New Roman" w:eastAsia="宋体"/>
                <w:b w:val="0"/>
                <w:sz w:val="24"/>
              </w:rPr>
              <w:t>最大端到端时延</w:t>
            </w:r>
          </w:p>
        </w:tc>
        <w:tc>
          <w:tcPr>
            <w:tcW w:type="dxa" w:w="4150"/>
          </w:tcPr>
          <w:p>
            <w:pPr>
              <w:jc w:val="center"/>
            </w:pPr>
            <w:r/>
            <w:r>
              <w:rPr>
                <w:rFonts w:ascii="Times New Roman" w:hAnsi="Times New Roman" w:eastAsia="宋体"/>
                <w:b w:val="0"/>
                <w:sz w:val="24"/>
              </w:rPr>
              <w:t>52.908 ms</w:t>
            </w:r>
          </w:p>
        </w:tc>
      </w:tr>
      <w:tr>
        <w:tc>
          <w:tcPr>
            <w:tcW w:type="dxa" w:w="4150"/>
          </w:tcPr>
          <w:p>
            <w:pPr>
              <w:jc w:val="center"/>
            </w:pPr>
            <w:r/>
            <w:r>
              <w:rPr>
                <w:rFonts w:ascii="Times New Roman" w:hAnsi="Times New Roman" w:eastAsia="宋体"/>
                <w:b w:val="0"/>
                <w:sz w:val="24"/>
              </w:rPr>
              <w:t>30 ms合格率</w:t>
            </w:r>
          </w:p>
        </w:tc>
        <w:tc>
          <w:tcPr>
            <w:tcW w:type="dxa" w:w="4150"/>
          </w:tcPr>
          <w:p>
            <w:pPr>
              <w:jc w:val="center"/>
            </w:pPr>
            <w:r/>
            <w:r>
              <w:rPr>
                <w:rFonts w:ascii="Times New Roman" w:hAnsi="Times New Roman" w:eastAsia="宋体"/>
                <w:b w:val="0"/>
                <w:sz w:val="24"/>
              </w:rPr>
              <w:t>76.766%</w:t>
            </w:r>
          </w:p>
        </w:tc>
      </w:tr>
      <w:tr>
        <w:tc>
          <w:tcPr>
            <w:tcW w:type="dxa" w:w="4150"/>
          </w:tcPr>
          <w:p>
            <w:pPr>
              <w:jc w:val="center"/>
            </w:pPr>
            <w:r/>
            <w:r>
              <w:rPr>
                <w:rFonts w:ascii="Times New Roman" w:hAnsi="Times New Roman" w:eastAsia="宋体"/>
                <w:b w:val="0"/>
                <w:sz w:val="24"/>
              </w:rPr>
              <w:t>不可达样本</w:t>
            </w:r>
          </w:p>
        </w:tc>
        <w:tc>
          <w:tcPr>
            <w:tcW w:type="dxa" w:w="4150"/>
          </w:tcPr>
          <w:p>
            <w:pPr>
              <w:jc w:val="center"/>
            </w:pPr>
            <w:r/>
            <w:r>
              <w:rPr>
                <w:rFonts w:ascii="Times New Roman" w:hAnsi="Times New Roman" w:eastAsia="宋体"/>
                <w:b w:val="0"/>
                <w:sz w:val="24"/>
              </w:rPr>
              <w:t>0</w:t>
            </w:r>
          </w:p>
        </w:tc>
      </w:tr>
    </w:tbl>
    <w:p>
      <w:pPr>
        <w:spacing w:before="0" w:after="0" w:line="300" w:lineRule="auto"/>
        <w:jc w:val="center"/>
      </w:pPr>
      <w:r>
        <w:drawing>
          <wp:inline xmlns:a="http://schemas.openxmlformats.org/drawingml/2006/main" xmlns:pic="http://schemas.openxmlformats.org/drawingml/2006/picture">
            <wp:extent cx="4968000" cy="3091886"/>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8000" cy="3091886"/>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图5  不同ISL容量情景下的业务承载能力</w:t>
      </w:r>
    </w:p>
    <w:p>
      <w:pPr>
        <w:spacing w:after="0" w:line="300" w:lineRule="auto"/>
        <w:ind w:firstLine="480"/>
      </w:pPr>
      <w:r>
        <w:rPr>
          <w:rFonts w:ascii="Times New Roman" w:hAnsi="Times New Roman" w:eastAsia="宋体"/>
          <w:b w:val="0"/>
          <w:sz w:val="24"/>
        </w:rPr>
        <w:t>图5表明ISL容量从10 Gbps提高到40 Gbps时，系统安全平均承载量由97.67 Gbps增至240 Gbps；继续提高ISL容量后曲线不再增长，瓶颈转移到20 Gbps的卫星接入链路。该结果基于36站点均匀OD和峰均比1.5，不代表真实业务预测，但能确定设备选型的切换点：在当前路由下，40 Gbps级ISL已足以使接入侧成为主要限制。</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6.4 风险与冗余结果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表6  基准风险情景</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假设有效截面积</w:t>
            </w:r>
          </w:p>
        </w:tc>
        <w:tc>
          <w:tcPr>
            <w:tcW w:type="dxa" w:w="4150"/>
          </w:tcPr>
          <w:p>
            <w:pPr>
              <w:jc w:val="center"/>
            </w:pPr>
            <w:r/>
            <w:r>
              <w:rPr>
                <w:rFonts w:ascii="Times New Roman" w:hAnsi="Times New Roman" w:eastAsia="宋体"/>
                <w:b w:val="0"/>
                <w:sz w:val="24"/>
              </w:rPr>
              <w:t>20 m²</w:t>
            </w:r>
          </w:p>
        </w:tc>
      </w:tr>
      <w:tr>
        <w:tc>
          <w:tcPr>
            <w:tcW w:type="dxa" w:w="4150"/>
          </w:tcPr>
          <w:p>
            <w:pPr>
              <w:jc w:val="center"/>
            </w:pPr>
            <w:r/>
            <w:r>
              <w:rPr>
                <w:rFonts w:ascii="Times New Roman" w:hAnsi="Times New Roman" w:eastAsia="宋体"/>
                <w:b w:val="0"/>
                <w:sz w:val="24"/>
              </w:rPr>
              <w:t>假设相对速度</w:t>
            </w:r>
          </w:p>
        </w:tc>
        <w:tc>
          <w:tcPr>
            <w:tcW w:type="dxa" w:w="4150"/>
          </w:tcPr>
          <w:p>
            <w:pPr>
              <w:jc w:val="center"/>
            </w:pPr>
            <w:r/>
            <w:r>
              <w:rPr>
                <w:rFonts w:ascii="Times New Roman" w:hAnsi="Times New Roman" w:eastAsia="宋体"/>
                <w:b w:val="0"/>
                <w:sz w:val="24"/>
              </w:rPr>
              <w:t>10 km/s</w:t>
            </w:r>
          </w:p>
        </w:tc>
      </w:tr>
      <w:tr>
        <w:tc>
          <w:tcPr>
            <w:tcW w:type="dxa" w:w="4150"/>
          </w:tcPr>
          <w:p>
            <w:pPr>
              <w:jc w:val="center"/>
            </w:pPr>
            <w:r/>
            <w:r>
              <w:rPr>
                <w:rFonts w:ascii="Times New Roman" w:hAnsi="Times New Roman" w:eastAsia="宋体"/>
                <w:b w:val="0"/>
                <w:sz w:val="24"/>
              </w:rPr>
              <w:t>单星年碰撞概率</w:t>
            </w:r>
          </w:p>
        </w:tc>
        <w:tc>
          <w:tcPr>
            <w:tcW w:type="dxa" w:w="4150"/>
          </w:tcPr>
          <w:p>
            <w:pPr>
              <w:jc w:val="center"/>
            </w:pPr>
            <w:r/>
            <w:r>
              <w:rPr>
                <w:rFonts w:ascii="Times New Roman" w:hAnsi="Times New Roman" w:eastAsia="宋体"/>
                <w:b w:val="0"/>
                <w:sz w:val="24"/>
              </w:rPr>
              <w:t>6.31×10⁻⁵</w:t>
            </w:r>
          </w:p>
        </w:tc>
      </w:tr>
      <w:tr>
        <w:tc>
          <w:tcPr>
            <w:tcW w:type="dxa" w:w="4150"/>
          </w:tcPr>
          <w:p>
            <w:pPr>
              <w:jc w:val="center"/>
            </w:pPr>
            <w:r/>
            <w:r>
              <w:rPr>
                <w:rFonts w:ascii="Times New Roman" w:hAnsi="Times New Roman" w:eastAsia="宋体"/>
                <w:b w:val="0"/>
                <w:sz w:val="24"/>
              </w:rPr>
              <w:t>星座年碰撞概率</w:t>
            </w:r>
          </w:p>
        </w:tc>
        <w:tc>
          <w:tcPr>
            <w:tcW w:type="dxa" w:w="4150"/>
          </w:tcPr>
          <w:p>
            <w:pPr>
              <w:jc w:val="center"/>
            </w:pPr>
            <w:r/>
            <w:r>
              <w:rPr>
                <w:rFonts w:ascii="Times New Roman" w:hAnsi="Times New Roman" w:eastAsia="宋体"/>
                <w:b w:val="0"/>
                <w:sz w:val="24"/>
              </w:rPr>
              <w:t>11.73%</w:t>
            </w:r>
          </w:p>
        </w:tc>
      </w:tr>
      <w:tr>
        <w:tc>
          <w:tcPr>
            <w:tcW w:type="dxa" w:w="4150"/>
          </w:tcPr>
          <w:p>
            <w:pPr>
              <w:jc w:val="center"/>
            </w:pPr>
            <w:r/>
            <w:r>
              <w:rPr>
                <w:rFonts w:ascii="Times New Roman" w:hAnsi="Times New Roman" w:eastAsia="宋体"/>
                <w:b w:val="0"/>
                <w:sz w:val="24"/>
              </w:rPr>
              <w:t>年度预期规避次数</w:t>
            </w:r>
          </w:p>
        </w:tc>
        <w:tc>
          <w:tcPr>
            <w:tcW w:type="dxa" w:w="4150"/>
          </w:tcPr>
          <w:p>
            <w:pPr>
              <w:jc w:val="center"/>
            </w:pPr>
            <w:r/>
            <w:r>
              <w:rPr>
                <w:rFonts w:ascii="Times New Roman" w:hAnsi="Times New Roman" w:eastAsia="宋体"/>
                <w:b w:val="0"/>
                <w:sz w:val="24"/>
              </w:rPr>
              <w:t>183.97次</w:t>
            </w:r>
          </w:p>
        </w:tc>
      </w:tr>
      <w:tr>
        <w:tc>
          <w:tcPr>
            <w:tcW w:type="dxa" w:w="4150"/>
          </w:tcPr>
          <w:p>
            <w:pPr>
              <w:jc w:val="center"/>
            </w:pPr>
            <w:r/>
            <w:r>
              <w:rPr>
                <w:rFonts w:ascii="Times New Roman" w:hAnsi="Times New Roman" w:eastAsia="宋体"/>
                <w:b w:val="0"/>
                <w:sz w:val="24"/>
              </w:rPr>
              <w:t>平均容量损失</w:t>
            </w:r>
          </w:p>
        </w:tc>
        <w:tc>
          <w:tcPr>
            <w:tcW w:type="dxa" w:w="4150"/>
          </w:tcPr>
          <w:p>
            <w:pPr>
              <w:jc w:val="center"/>
            </w:pPr>
            <w:r/>
            <w:r>
              <w:rPr>
                <w:rFonts w:ascii="Times New Roman" w:hAnsi="Times New Roman" w:eastAsia="宋体"/>
                <w:b w:val="0"/>
                <w:sz w:val="24"/>
              </w:rPr>
              <w:t>0.00319%</w:t>
            </w:r>
          </w:p>
        </w:tc>
      </w:tr>
      <w:tr>
        <w:tc>
          <w:tcPr>
            <w:tcW w:type="dxa" w:w="4150"/>
          </w:tcPr>
          <w:p>
            <w:pPr>
              <w:jc w:val="center"/>
            </w:pPr>
            <w:r/>
            <w:r>
              <w:rPr>
                <w:rFonts w:ascii="Times New Roman" w:hAnsi="Times New Roman" w:eastAsia="宋体"/>
                <w:b w:val="0"/>
                <w:sz w:val="24"/>
              </w:rPr>
              <w:t>单星退出最差覆盖可用度</w:t>
            </w:r>
          </w:p>
        </w:tc>
        <w:tc>
          <w:tcPr>
            <w:tcW w:type="dxa" w:w="4150"/>
          </w:tcPr>
          <w:p>
            <w:pPr>
              <w:jc w:val="center"/>
            </w:pPr>
            <w:r/>
            <w:r>
              <w:rPr>
                <w:rFonts w:ascii="Times New Roman" w:hAnsi="Times New Roman" w:eastAsia="宋体"/>
                <w:b w:val="0"/>
                <w:sz w:val="24"/>
              </w:rPr>
              <w:t>99.9990%</w:t>
            </w:r>
          </w:p>
        </w:tc>
      </w:tr>
    </w:tbl>
    <w:p>
      <w:pPr>
        <w:spacing w:before="0" w:after="0" w:line="300" w:lineRule="auto"/>
        <w:jc w:val="center"/>
      </w:pPr>
      <w:r>
        <w:drawing>
          <wp:inline xmlns:a="http://schemas.openxmlformats.org/drawingml/2006/main" xmlns:pic="http://schemas.openxmlformats.org/drawingml/2006/picture">
            <wp:extent cx="4968000" cy="204072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68000" cy="2040727"/>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图6  低、中、高三种碎片风险情景</w:t>
      </w:r>
    </w:p>
    <w:p>
      <w:pPr>
        <w:spacing w:after="0" w:line="300" w:lineRule="auto"/>
        <w:ind w:firstLine="480"/>
      </w:pPr>
      <w:r>
        <w:rPr>
          <w:rFonts w:ascii="Times New Roman" w:hAnsi="Times New Roman" w:eastAsia="宋体"/>
          <w:b w:val="0"/>
          <w:sz w:val="24"/>
        </w:rPr>
        <w:t>图6说明星座规模会放大单星小概率事件：基准单星年碰撞概率只有约0.0063%，但1976颗卫星组成的星座一年至少发生一次碰撞的概率达到11.73%。高风险情景下该概率接近29.48%。这些数值对截面积和相对速度近似线性敏感，图中的三组参数是缺失数据条件下的情景边界，作用是检验方案排序，而不是预测真实年度事故数。</w:t>
      </w:r>
    </w:p>
    <w:p>
      <w:pPr>
        <w:spacing w:before="0" w:after="0" w:line="300" w:lineRule="auto"/>
        <w:jc w:val="center"/>
      </w:pPr>
      <w:r>
        <w:drawing>
          <wp:inline xmlns:a="http://schemas.openxmlformats.org/drawingml/2006/main" xmlns:pic="http://schemas.openxmlformats.org/drawingml/2006/picture">
            <wp:extent cx="4968000" cy="2040727"/>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68000" cy="2040727"/>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图7  三类冗余方案的五年增量成本与短期可靠度代理值</w:t>
      </w:r>
    </w:p>
    <w:p>
      <w:pPr>
        <w:spacing w:after="0" w:line="300" w:lineRule="auto"/>
        <w:ind w:firstLine="480"/>
      </w:pPr>
      <w:r>
        <w:rPr>
          <w:rFonts w:ascii="Times New Roman" w:hAnsi="Times New Roman" w:eastAsia="宋体"/>
          <w:b w:val="0"/>
          <w:sz w:val="24"/>
        </w:rPr>
        <w:t>图7采用极保守的“每个轨道面均不得超过备用能力”口径。每面增加1颗在轨备用星共需38颗，解析可靠度为99.809%，五年增量成本约4.084亿元；增加一个52颗轨道面的代理可靠度取99.9%，成本约4.784亿元，但尚未经过相位和通信几何复核。地面库存按五年故障需求上置信界估计为116颗，若考虑两次补网发射，增量成本约9.984亿元，且不能改善7天故障窗口。逐星几何检验已经显示基础构型能够承受任意单星退出，因此工程上更合理的后续方向是少量定向在轨备用与地面库存混合，而非机械地给每面加星。</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七、敏感性、验证与讨论</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7.1 数值验证</w:t>
      </w:r>
    </w:p>
    <w:p>
      <w:pPr>
        <w:spacing w:after="0" w:line="300" w:lineRule="auto"/>
        <w:ind w:firstLine="480"/>
      </w:pPr>
      <w:r>
        <w:rPr>
          <w:rFonts w:ascii="Times New Roman" w:hAnsi="Times New Roman" w:eastAsia="宋体"/>
          <w:b w:val="0"/>
          <w:sz w:val="24"/>
        </w:rPr>
        <w:t>覆盖模型分别通过极限条件、题面标称半径对照和时空网格加密检验。星座候选由粗网格搜索后独立使用1°、120 s尺度复核，避免直接用筛选数据报告最终结果。通信模型检查了全天连通分量、节点度数和5000 km链路门限；风险模型同时报告单星和星座概率，并把物理碰撞率与预警规避率分开。上述检查保证各指标含义一致，但不能消除离散采样漏掉极短覆盖空隙的可能。</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7.2 主要敏感参数</w:t>
      </w:r>
    </w:p>
    <w:p>
      <w:pPr>
        <w:spacing w:after="0" w:line="300" w:lineRule="auto"/>
        <w:ind w:firstLine="480"/>
      </w:pPr>
      <w:r>
        <w:rPr>
          <w:rFonts w:ascii="Times New Roman" w:hAnsi="Times New Roman" w:eastAsia="宋体"/>
          <w:b w:val="0"/>
          <w:sz w:val="24"/>
        </w:rPr>
        <w:t>覆盖半径减少4.09%会使同轨连续覆盖下界从40颗增加到42颗，说明几何口径会直接传递到星座规模。通信结果对跨轨邻接和单跳处理时延敏感：当前每条边均加0.5 ms，长路径的处理项会显著推高最大时延。风险强度对截面积和相对速度近似线性，而地面库存数量主要受非碰撞故障率控制。若取得真实卫星可靠度、交会预警分布和ISL容量，应优先替换这三类情景参数。</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7.3 覆盖与通信目标的冲突</w:t>
      </w:r>
    </w:p>
    <w:p>
      <w:pPr>
        <w:spacing w:after="0" w:line="300" w:lineRule="auto"/>
        <w:ind w:firstLine="480"/>
      </w:pPr>
      <w:r>
        <w:rPr>
          <w:rFonts w:ascii="Times New Roman" w:hAnsi="Times New Roman" w:eastAsia="宋体"/>
          <w:b w:val="0"/>
          <w:sz w:val="24"/>
        </w:rPr>
        <w:t>本题最值得保留的负结果是：1976颗候选星座覆盖性能优良，却没有通过全站点对30 ms硬约束。若只在覆盖可行域中最小化卫星数，搜索过程不会主动缩短通信路径。下一轮联合优化应把95%分位或最大端到端时延加入约束，允许调整跨轨链路规则、倾角分布和轨道面数。预计卫星数可能上升，但得到的方案才是覆盖和通信共同可行的系统设计。</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八、模型评价与改进</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8.1 模型优点</w:t>
      </w:r>
    </w:p>
    <w:p>
      <w:pPr>
        <w:spacing w:after="0" w:line="300" w:lineRule="auto"/>
        <w:ind w:firstLine="480"/>
      </w:pPr>
      <w:r>
        <w:rPr>
          <w:rFonts w:ascii="Times New Roman" w:hAnsi="Times New Roman" w:eastAsia="宋体"/>
          <w:b w:val="0"/>
          <w:sz w:val="24"/>
        </w:rPr>
        <w:t>模型用同一套轨道位置和覆盖判据贯穿四问，避免不同章节采用不一致的几何口径。规则Walker枚举的搜索边界、网格尺度和相位精化过程均可复现；通信部分没有把网络连通误写为低时延；风险部分明确区分题面参数和情景假设。逐星退出测试直接使用真实覆盖几何，比仅根据总卫星数推断鲁棒性更有解释力。</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8.2 局限性</w:t>
      </w:r>
    </w:p>
    <w:p>
      <w:pPr>
        <w:spacing w:after="0" w:line="300" w:lineRule="auto"/>
        <w:ind w:firstLine="480"/>
      </w:pPr>
      <w:r>
        <w:rPr>
          <w:rFonts w:ascii="Times New Roman" w:hAnsi="Times New Roman" w:eastAsia="宋体"/>
          <w:b w:val="0"/>
          <w:sz w:val="24"/>
        </w:rPr>
        <w:t>圆轨道解析传播忽略J2摄动和长期轨道维持，适合日尺度初步设计，不适合直接替代定轨软件。搜索域限制在均匀Walker构型，非均匀区域星座可能以更少卫星达到同等覆盖。通信流量采用36站点均匀OD，没有包含人口、业务时段和排队时延。碰撞风险只使用总碎片密度，未使用尺寸分布、轨道高度分布与预测误差协方差。B冗余方案的99.9%只是代理值，必须重新完成覆盖和通信复核后才能作为工程结论。</w:t>
      </w:r>
    </w:p>
    <w:p>
      <w:pPr>
        <w:spacing w:after="0" w:line="300" w:lineRule="auto" w:before="160"/>
      </w:pPr>
      <w:r>
        <w:rPr>
          <w:rFonts w:ascii="Times New Roman" w:hAnsi="Times New Roman" w:eastAsia="宋体"/>
          <w:b w:val="0"/>
          <w:sz w:val="24"/>
        </w:rPr>
      </w:r>
      <w:r>
        <w:rPr>
          <w:rFonts w:ascii="Times New Roman" w:hAnsi="Times New Roman" w:eastAsia="宋体"/>
          <w:b w:val="0"/>
          <w:sz w:val="28"/>
        </w:rPr>
        <w:t>8.3 改进方向</w:t>
      </w:r>
    </w:p>
    <w:p>
      <w:pPr>
        <w:spacing w:after="0" w:line="300" w:lineRule="auto"/>
        <w:ind w:firstLine="480"/>
      </w:pPr>
      <w:r>
        <w:rPr>
          <w:rFonts w:ascii="Times New Roman" w:hAnsi="Times New Roman" w:eastAsia="宋体"/>
          <w:b w:val="0"/>
          <w:sz w:val="24"/>
        </w:rPr>
        <w:t>后续可把轨道面升交点和面内相位放宽为连续变量，在解析下界约束下采用混合整数—连续优化；用事件驱动方法检查覆盖边界交叉时刻，替代固定步长认证；把真实站点需求引入多商品流，并以链路利用率相关的排队时延替代固定处理项；风险部分接入实际交会数据后，以碰撞概率阈值和推进剂预算联合优化规避策略。</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九、结论</w:t>
      </w:r>
    </w:p>
    <w:p>
      <w:pPr>
        <w:spacing w:after="0" w:line="300" w:lineRule="auto"/>
        <w:ind w:firstLine="480"/>
      </w:pPr>
      <w:r>
        <w:rPr>
          <w:rFonts w:ascii="Times New Roman" w:hAnsi="Times New Roman" w:eastAsia="宋体"/>
          <w:b w:val="0"/>
          <w:sz w:val="24"/>
        </w:rPr>
        <w:t>严格球面模型给出的单星覆盖半径为485.31 km，轨道周期为95.502 min。限定规则Walker搜索域内，38×52、倾角50°、相位因子19的1976颗构型在1°和120 s复核尺度下实现100%单重覆盖，最差点二重覆盖时间比例为98.887%。其动态四邻接网络全天连通，但最大端到端时延52.91 ms，30 ms合格率76.77%，因此当前方案属于覆盖可行而通信硬约束未完全可行的候选。基准风险情景下星座年碰撞概率为11.73%，逐星退出后的最差覆盖可用度仍为99.9990%。若采用极保守的轨道面可靠度条件，每面1颗在轨备用可达到99.809%的解析可靠度；结合几何检验，最终建议在联合通信优化后再确定少量定向在轨备用和地面库存的混合配置。</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参考文献</w:t>
      </w:r>
    </w:p>
    <w:p>
      <w:pPr>
        <w:spacing w:after="0" w:line="300" w:lineRule="auto"/>
      </w:pPr>
      <w:r>
        <w:rPr>
          <w:rFonts w:ascii="Times New Roman" w:hAnsi="Times New Roman" w:eastAsia="宋体"/>
          <w:b w:val="0"/>
          <w:sz w:val="24"/>
        </w:rPr>
        <w:t>[1] Wertz J R. Mission Geometry: Orbit and Constellation Design and Management[M]. El Segundo: Microcosm Press, 2001.</w:t>
      </w:r>
    </w:p>
    <w:p>
      <w:pPr>
        <w:spacing w:after="0" w:line="300" w:lineRule="auto"/>
      </w:pPr>
      <w:r>
        <w:rPr>
          <w:rFonts w:ascii="Times New Roman" w:hAnsi="Times New Roman" w:eastAsia="宋体"/>
          <w:b w:val="0"/>
          <w:sz w:val="24"/>
        </w:rPr>
        <w:t>[2] Vallado D A. Fundamentals of Astrodynamics and Applications[M]. 4th ed. Hawthorne: Microcosm Press, 2013.</w:t>
      </w:r>
    </w:p>
    <w:p>
      <w:pPr>
        <w:spacing w:after="0" w:line="300" w:lineRule="auto"/>
      </w:pPr>
      <w:r>
        <w:rPr>
          <w:rFonts w:ascii="Times New Roman" w:hAnsi="Times New Roman" w:eastAsia="宋体"/>
          <w:b w:val="0"/>
          <w:sz w:val="24"/>
        </w:rPr>
        <w:t>[3] Walker J G. Satellite constellations[J]. Journal of the British Interplanetary Society, 1984, 37: 559-572.</w:t>
      </w:r>
    </w:p>
    <w:p>
      <w:pPr>
        <w:spacing w:after="0" w:line="300" w:lineRule="auto"/>
      </w:pPr>
      <w:r>
        <w:rPr>
          <w:rFonts w:ascii="Times New Roman" w:hAnsi="Times New Roman" w:eastAsia="宋体"/>
          <w:b w:val="0"/>
          <w:sz w:val="24"/>
        </w:rPr>
        <w:t>[4] Dijkstra E W. A note on two problems in connexion with graphs[J]. Numerische Mathematik, 1959, 1: 269-271.</w:t>
      </w:r>
    </w:p>
    <w:p>
      <w:pPr>
        <w:spacing w:after="0" w:line="300" w:lineRule="auto"/>
      </w:pPr>
      <w:r>
        <w:rPr>
          <w:rFonts w:ascii="Times New Roman" w:hAnsi="Times New Roman" w:eastAsia="宋体"/>
          <w:b w:val="0"/>
          <w:sz w:val="24"/>
        </w:rPr>
        <w:t>[5] Klinkrad H. Space Debris: Models and Risk Analysis[M]. Berlin: Springer, 2006.</w:t>
      </w:r>
    </w:p>
    <w:p>
      <w:pPr>
        <w:spacing w:after="0" w:line="300" w:lineRule="auto"/>
      </w:pPr>
      <w:r>
        <w:rPr>
          <w:rFonts w:ascii="Times New Roman" w:hAnsi="Times New Roman" w:eastAsia="宋体"/>
          <w:b w:val="0"/>
          <w:sz w:val="24"/>
        </w:rPr>
        <w:t>[6] Ross S M. Introduction to Probability Models[M]. 11th ed. Amsterdam: Academic Press, 2014.</w:t>
      </w:r>
    </w:p>
    <w:p>
      <w:pPr>
        <w:pageBreakBefore/>
        <w:spacing w:after="0" w:line="300" w:lineRule="auto"/>
        <w:jc w:val="center"/>
      </w:pPr>
      <w:r>
        <w:rPr>
          <w:rFonts w:ascii="Times New Roman" w:hAnsi="Times New Roman" w:eastAsia="宋体"/>
          <w:b w:val="0"/>
          <w:sz w:val="24"/>
        </w:rPr>
      </w:r>
      <w:r>
        <w:rPr>
          <w:rFonts w:ascii="Times New Roman" w:hAnsi="Times New Roman" w:eastAsia="宋体"/>
          <w:b/>
          <w:sz w:val="32"/>
        </w:rPr>
        <w:t>附录A  计算实现说明</w:t>
      </w:r>
    </w:p>
    <w:p>
      <w:pPr>
        <w:spacing w:after="0" w:line="300" w:lineRule="auto"/>
        <w:ind w:firstLine="480"/>
      </w:pPr>
      <w:r>
        <w:rPr>
          <w:rFonts w:ascii="Times New Roman" w:hAnsi="Times New Roman" w:eastAsia="宋体"/>
          <w:b w:val="0"/>
          <w:sz w:val="24"/>
        </w:rPr>
        <w:t>全部数值计算使用Python完成。问题一程序输出覆盖几何和轨迹；问题二程序执行分层构型搜索和独立细网格复核；问题三程序使用二分匹配构造跨轨边并在稀疏图上求最短路径；问题四程序生成风险情景、逐星移除结果与冗余成本表。CSV结果和SVG/PNG图表均保存在项目的代码实现目录，便于复算和替换情景参数。</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