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F321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1. Bulk Data Quality Scan and Enrichment</w:t>
      </w:r>
    </w:p>
    <w:p w14:paraId="6C023E8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D269405"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Applications, warehouses, marts and data platforms may provide bulk datasets to </w:t>
      </w:r>
      <w:r w:rsidRPr="00E41FB0">
        <w:rPr>
          <w:rFonts w:ascii="Times New Roman" w:hAnsi="Times New Roman" w:cs="Times New Roman"/>
          <w:b/>
          <w:bCs/>
          <w:color w:val="000000"/>
          <w:kern w:val="0"/>
          <w:sz w:val="32"/>
          <w:szCs w:val="32"/>
        </w:rPr>
        <w:t>Experian Aperture Data</w:t>
      </w:r>
      <w:r>
        <w:rPr>
          <w:rFonts w:ascii="Times New Roman" w:hAnsi="Times New Roman" w:cs="Times New Roman"/>
          <w:color w:val="000000"/>
          <w:kern w:val="0"/>
          <w:sz w:val="32"/>
          <w:szCs w:val="32"/>
        </w:rPr>
        <w:t xml:space="preserve"> Studio for profiling, validation, enrichment, issue detection and data quality trend monitoring.</w:t>
      </w:r>
    </w:p>
    <w:p w14:paraId="3C0953C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CDF58C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Data may be supplied through approved file or drop-zone patterns, including Amazon S3 where applicable, or read directly from supported source systems. Results may be </w:t>
      </w:r>
      <w:commentRangeStart w:id="0"/>
      <w:r w:rsidRPr="009E6DFA">
        <w:rPr>
          <w:rFonts w:ascii="Times New Roman" w:hAnsi="Times New Roman" w:cs="Times New Roman"/>
          <w:color w:val="000000"/>
          <w:kern w:val="0"/>
          <w:sz w:val="32"/>
          <w:szCs w:val="32"/>
          <w:highlight w:val="yellow"/>
        </w:rPr>
        <w:t>retained</w:t>
      </w:r>
      <w:commentRangeEnd w:id="0"/>
      <w:r w:rsidR="00EC5CA0" w:rsidRPr="009E6DFA">
        <w:rPr>
          <w:rStyle w:val="CommentReference"/>
          <w:rFonts w:ascii="Times New Roman" w:hAnsi="Times New Roman" w:cs="Times New Roman"/>
          <w:color w:val="000000"/>
          <w:kern w:val="0"/>
          <w:sz w:val="32"/>
          <w:szCs w:val="32"/>
          <w:highlight w:val="yellow"/>
        </w:rPr>
        <w:commentReference w:id="0"/>
      </w:r>
      <w:r w:rsidRPr="009E6DFA">
        <w:rPr>
          <w:rFonts w:ascii="Times New Roman" w:hAnsi="Times New Roman" w:cs="Times New Roman"/>
          <w:color w:val="000000"/>
          <w:kern w:val="0"/>
          <w:sz w:val="32"/>
          <w:szCs w:val="32"/>
          <w:highlight w:val="yellow"/>
        </w:rPr>
        <w:t xml:space="preserve"> in Aperture Data Studio</w:t>
      </w:r>
      <w:r>
        <w:rPr>
          <w:rFonts w:ascii="Times New Roman" w:hAnsi="Times New Roman" w:cs="Times New Roman"/>
          <w:color w:val="000000"/>
          <w:kern w:val="0"/>
          <w:sz w:val="32"/>
          <w:szCs w:val="32"/>
        </w:rPr>
        <w:t>, exposed through dashboards, exported to downstream platforms, or written back for remediation where appropriate.</w:t>
      </w:r>
    </w:p>
    <w:p w14:paraId="2F5D843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1A5F51E"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6B9502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2. Direct Source Data Scan</w:t>
      </w:r>
    </w:p>
    <w:p w14:paraId="4E4489E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66A994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Aperture Data Studio may connect directly to approved data sources using </w:t>
      </w:r>
      <w:r w:rsidRPr="00E41FB0">
        <w:rPr>
          <w:rFonts w:ascii="Times New Roman" w:hAnsi="Times New Roman" w:cs="Times New Roman"/>
          <w:b/>
          <w:bCs/>
          <w:color w:val="000000"/>
          <w:kern w:val="0"/>
          <w:sz w:val="32"/>
          <w:szCs w:val="32"/>
        </w:rPr>
        <w:t>JDBC or database connectivity</w:t>
      </w:r>
      <w:r>
        <w:rPr>
          <w:rFonts w:ascii="Times New Roman" w:hAnsi="Times New Roman" w:cs="Times New Roman"/>
          <w:color w:val="000000"/>
          <w:kern w:val="0"/>
          <w:sz w:val="32"/>
          <w:szCs w:val="32"/>
        </w:rPr>
        <w:t xml:space="preserve"> to profile, validate and monitor data without requiring every source system to export files first.</w:t>
      </w:r>
    </w:p>
    <w:p w14:paraId="32868A5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E75EDC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pattern supports routine data quality checks against source systems, databases, warehouses or other supported platforms where direct connectivity is appropriate and approved.</w:t>
      </w:r>
    </w:p>
    <w:p w14:paraId="3D2F60F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DA747EE"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757F66C0" w14:textId="769A947F"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3. In-Source / Pushdown Data Quality Processing</w:t>
      </w:r>
      <w:r w:rsidR="00AB22D4">
        <w:rPr>
          <w:rFonts w:ascii="Times New Roman" w:hAnsi="Times New Roman" w:cs="Times New Roman"/>
          <w:color w:val="000000"/>
          <w:kern w:val="0"/>
          <w:sz w:val="32"/>
          <w:szCs w:val="32"/>
        </w:rPr>
        <w:t xml:space="preserve"> (?)</w:t>
      </w:r>
    </w:p>
    <w:p w14:paraId="3395C62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3E0213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For high-volume datasets, supported Aperture workflow logic may be executed closer to the source database or data platform to reduce unnecessary data movement and improve processing efficiency.</w:t>
      </w:r>
    </w:p>
    <w:p w14:paraId="1865DF7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739C3F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pattern should be used where supported by the source platform and where it is preferable to execute data quality processing near the data rather than moving large volumes of data into Aperture Data Studio.</w:t>
      </w:r>
    </w:p>
    <w:p w14:paraId="1E1F093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7B11E7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0EB218F" w14:textId="73BA5A0F"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lastRenderedPageBreak/>
        <w:t>4. Real-Time Point-of-Capture Validation and Enrichment</w:t>
      </w:r>
      <w:r w:rsidR="00AB22D4">
        <w:rPr>
          <w:rFonts w:ascii="Times New Roman" w:hAnsi="Times New Roman" w:cs="Times New Roman"/>
          <w:color w:val="000000"/>
          <w:kern w:val="0"/>
          <w:sz w:val="32"/>
          <w:szCs w:val="32"/>
        </w:rPr>
        <w:t xml:space="preserve"> </w:t>
      </w:r>
    </w:p>
    <w:p w14:paraId="677352B9"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E39730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Applications may call a published real-time Aperture Data Studio workflow through an approved API layer to validate, transform, enrich and/or reject a single submitted record before it is persisted to the source application.</w:t>
      </w:r>
    </w:p>
    <w:p w14:paraId="0CFDA12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791BA94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pattern is intended for on-demand data quality checks at the point of data capture or record update, such as validating customer, contact, policy, supplier or operational data before the source system is updated.</w:t>
      </w:r>
    </w:p>
    <w:p w14:paraId="3539383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F2F98A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0015C9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5. Data Pipeline Quality Gate</w:t>
      </w:r>
    </w:p>
    <w:p w14:paraId="1F49359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698BE1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Data ingestion, warehousing and publication processes may </w:t>
      </w:r>
      <w:r w:rsidRPr="00502A54">
        <w:rPr>
          <w:rFonts w:ascii="Times New Roman" w:hAnsi="Times New Roman" w:cs="Times New Roman"/>
          <w:b/>
          <w:bCs/>
          <w:color w:val="000000"/>
          <w:kern w:val="0"/>
          <w:sz w:val="32"/>
          <w:szCs w:val="32"/>
        </w:rPr>
        <w:t xml:space="preserve">invoke reusable Aperture </w:t>
      </w:r>
      <w:r w:rsidRPr="00502A54">
        <w:rPr>
          <w:rFonts w:ascii="Times New Roman" w:hAnsi="Times New Roman" w:cs="Times New Roman"/>
          <w:color w:val="000000"/>
          <w:kern w:val="0"/>
          <w:sz w:val="32"/>
          <w:szCs w:val="32"/>
        </w:rPr>
        <w:t>rulesets and workflows</w:t>
      </w:r>
      <w:r>
        <w:rPr>
          <w:rFonts w:ascii="Times New Roman" w:hAnsi="Times New Roman" w:cs="Times New Roman"/>
          <w:color w:val="000000"/>
          <w:kern w:val="0"/>
          <w:sz w:val="32"/>
          <w:szCs w:val="32"/>
        </w:rPr>
        <w:t xml:space="preserve"> as data quality gates before data is made available for downstream reporting, analytics, regulatory, operational or business consumption.</w:t>
      </w:r>
    </w:p>
    <w:p w14:paraId="3CC0431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6DB2DB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allows data to be cleansed, standardised, enriched, validated and assessed against agreed rules before it is published or consumed by downstream processes.</w:t>
      </w:r>
    </w:p>
    <w:p w14:paraId="117677B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08DB68F9" w14:textId="0335C066"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456C27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6. Reusable Enterprise Data Quality Rulesets</w:t>
      </w:r>
    </w:p>
    <w:p w14:paraId="6F7031CA"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E33004E"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Common validation rules, business rules and reusable functions may be created once in Aperture Data Studio and reused across batch workflows, real-time workflows, ingestion checks, dashboards and issue management processes.</w:t>
      </w:r>
    </w:p>
    <w:p w14:paraId="459F75C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176D53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supports consistency, reuse and standardisation of data quality rules across business units and reduces duplication of rule logic across separate systems or local scripts.</w:t>
      </w:r>
    </w:p>
    <w:p w14:paraId="16DDC0F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43FDF5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lastRenderedPageBreak/>
        <w:t> </w:t>
      </w:r>
    </w:p>
    <w:p w14:paraId="3167641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7. Data Quality Monitoring, Dashboards and Trend Reporting</w:t>
      </w:r>
    </w:p>
    <w:p w14:paraId="6676D61C"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7800ECA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Aperture Data Studio dashboards may provide operational and stakeholder views of data quality outcomes, including trends, exceptions, open issues, drill-through to underlying records where permitted, and progress against data quality improvement activity.</w:t>
      </w:r>
    </w:p>
    <w:p w14:paraId="5682AB0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DE779B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supports ongoing monitoring of data quality KPIs and helps business units, data owners and data stewards understand whether data quality is improving over time.</w:t>
      </w:r>
    </w:p>
    <w:p w14:paraId="6435435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A651C9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407EC8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8. Data Quality Issue Management</w:t>
      </w:r>
    </w:p>
    <w:p w14:paraId="7F0AF9E5"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321BF2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Aperture Data Studio may be used to capture data quality issues identified by failed rules or workflow outputs. Issue lists can support ownership, status tracking, investigation, collaboration and remediation activity.</w:t>
      </w:r>
    </w:p>
    <w:p w14:paraId="20AE0EE9"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07EC3C8"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enables data quality issues to be managed within Aperture Data Studio, while retaining the context of the failed rule, affected record or dataset, and remediation status.</w:t>
      </w:r>
    </w:p>
    <w:p w14:paraId="2A299FE8"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19E84F5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00397297"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9. ServiceNow / Jira Ticketing Integration</w:t>
      </w:r>
    </w:p>
    <w:p w14:paraId="36EDA92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67E192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Aperture-originated data quality issues may be integrated with ServiceNow or with Jira using approved API Gateway or integration patterns.</w:t>
      </w:r>
    </w:p>
    <w:p w14:paraId="3E97BDF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E5E990C"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Aperture Data Studio should retain the relevant data quality issue context and external ticket reference to support traceability between the data quality rule failure, the remediation process and the external ticketing tool.</w:t>
      </w:r>
    </w:p>
    <w:p w14:paraId="6E223AAC"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lastRenderedPageBreak/>
        <w:t> </w:t>
      </w:r>
    </w:p>
    <w:p w14:paraId="3231C61B"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A89C9C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10. Alation Integration for Data Quality Health and Trust Indicators</w:t>
      </w:r>
    </w:p>
    <w:p w14:paraId="530DEA0C"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7D8AEA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Alation remains the enterprise data catalog, metadata management and governance platform. Aperture Data Studio may integrate with Alation to publish data quality health indicators and supporting context for catalogued assets.</w:t>
      </w:r>
    </w:p>
    <w:p w14:paraId="2EB0B314"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4BD2D68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allows catalog users to understand data fitness-for-use from within Alation, while Aperture Data Studio remains the data quality execution, monitoring and remediation platform.</w:t>
      </w:r>
    </w:p>
    <w:p w14:paraId="727C4E08"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5CA7F1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64799A3F"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11. Data Quality Health, Profile Summary and Trust Indicator Publication</w:t>
      </w:r>
    </w:p>
    <w:p w14:paraId="281F5262"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54A837DE"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xml:space="preserve">Aperture workflows may </w:t>
      </w:r>
      <w:r w:rsidRPr="00094897">
        <w:rPr>
          <w:rFonts w:ascii="Times New Roman" w:hAnsi="Times New Roman" w:cs="Times New Roman"/>
          <w:color w:val="000000"/>
          <w:kern w:val="0"/>
          <w:sz w:val="32"/>
          <w:szCs w:val="32"/>
          <w:highlight w:val="yellow"/>
        </w:rPr>
        <w:t>publish data quality health</w:t>
      </w:r>
      <w:r>
        <w:rPr>
          <w:rFonts w:ascii="Times New Roman" w:hAnsi="Times New Roman" w:cs="Times New Roman"/>
          <w:color w:val="000000"/>
          <w:kern w:val="0"/>
          <w:sz w:val="32"/>
          <w:szCs w:val="32"/>
        </w:rPr>
        <w:t xml:space="preserve"> status, trust indicators, profile summaries and links to supporting Aperture outputs into Alation or </w:t>
      </w:r>
      <w:commentRangeStart w:id="1"/>
      <w:r w:rsidRPr="00502A54">
        <w:rPr>
          <w:rFonts w:ascii="Times New Roman" w:hAnsi="Times New Roman" w:cs="Times New Roman"/>
          <w:color w:val="000000"/>
          <w:kern w:val="0"/>
          <w:sz w:val="32"/>
          <w:szCs w:val="32"/>
          <w:highlight w:val="yellow"/>
        </w:rPr>
        <w:t>other approved reporting channels</w:t>
      </w:r>
      <w:commentRangeEnd w:id="1"/>
      <w:r w:rsidR="00502A54" w:rsidRPr="00502A54">
        <w:rPr>
          <w:rStyle w:val="CommentReference"/>
          <w:rFonts w:ascii="Times New Roman" w:hAnsi="Times New Roman" w:cs="Times New Roman"/>
          <w:color w:val="000000"/>
          <w:kern w:val="0"/>
          <w:sz w:val="32"/>
          <w:szCs w:val="32"/>
          <w:highlight w:val="yellow"/>
        </w:rPr>
        <w:commentReference w:id="1"/>
      </w:r>
      <w:r w:rsidRPr="00502A54">
        <w:rPr>
          <w:rFonts w:ascii="Times New Roman" w:hAnsi="Times New Roman" w:cs="Times New Roman"/>
          <w:color w:val="000000"/>
          <w:kern w:val="0"/>
          <w:sz w:val="32"/>
          <w:szCs w:val="32"/>
          <w:highlight w:val="yellow"/>
        </w:rPr>
        <w:t>.</w:t>
      </w:r>
    </w:p>
    <w:p w14:paraId="5474175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04AF45D6"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supports greater transparency of data quality outcomes and helps users assess whether data is suitable for reporting, analytics, regulatory, operational or business use.</w:t>
      </w:r>
    </w:p>
    <w:p w14:paraId="5316DA30"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EBD4D2A"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F46030D"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12. Duplicate Detection and Golden Record Preparation</w:t>
      </w:r>
    </w:p>
    <w:p w14:paraId="2BEFC571"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287650FA"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Aperture Data Studio may be used to identify, standardise, match and cluster duplicate customer, contact or other entity records to support single-customer-view or golden-record preparation activities.</w:t>
      </w:r>
    </w:p>
    <w:p w14:paraId="5E0D40E3" w14:textId="77777777" w:rsid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 </w:t>
      </w:r>
    </w:p>
    <w:p w14:paraId="3C308C59" w14:textId="1D1C37A7" w:rsidR="004F5D92" w:rsidRPr="007C4E37" w:rsidRDefault="007C4E37" w:rsidP="007C4E37">
      <w:pPr>
        <w:autoSpaceDE w:val="0"/>
        <w:autoSpaceDN w:val="0"/>
        <w:adjustRightInd w:val="0"/>
        <w:spacing w:after="0" w:line="240" w:lineRule="auto"/>
        <w:rPr>
          <w:rFonts w:ascii="Helvetica" w:hAnsi="Helvetica" w:cs="Helvetica"/>
          <w:color w:val="000000"/>
          <w:kern w:val="0"/>
          <w:sz w:val="32"/>
          <w:szCs w:val="32"/>
        </w:rPr>
      </w:pPr>
      <w:r>
        <w:rPr>
          <w:rFonts w:ascii="Times New Roman" w:hAnsi="Times New Roman" w:cs="Times New Roman"/>
          <w:color w:val="000000"/>
          <w:kern w:val="0"/>
          <w:sz w:val="32"/>
          <w:szCs w:val="32"/>
        </w:rPr>
        <w:t>This use case should be positioned as supporting duplicate detection, matching and preparation activity, rather than positioning Aperture Data Studio as the enterprise master data management platform.</w:t>
      </w:r>
    </w:p>
    <w:sectPr w:rsidR="004F5D92" w:rsidRPr="007C4E37" w:rsidSect="007C4E37">
      <w:pgSz w:w="12240" w:h="15840"/>
      <w:pgMar w:top="1440" w:right="1440" w:bottom="1440" w:left="1440" w:header="720" w:footer="720" w:gutter="0"/>
      <w:cols w:space="720"/>
      <w:noEndnot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rbachi, Mohamed - GTS Global ENG &amp; ARCH" w:date="2026-08-05T19:35:00Z" w:initials="MK">
    <w:p w14:paraId="20471B08" w14:textId="77777777" w:rsidR="00EC5CA0" w:rsidRDefault="00EC5CA0" w:rsidP="00EC5CA0">
      <w:pPr>
        <w:pStyle w:val="CommentText"/>
      </w:pPr>
      <w:r>
        <w:rPr>
          <w:rStyle w:val="CommentReference"/>
        </w:rPr>
        <w:annotationRef/>
      </w:r>
      <w:r>
        <w:t>Does ADS retain data? We said it does not</w:t>
      </w:r>
    </w:p>
  </w:comment>
  <w:comment w:id="1" w:author="Mohamed Kerbachi" w:date="2026-08-05T21:31:00Z" w:initials="MK">
    <w:p w14:paraId="1952D773" w14:textId="45491E4E" w:rsidR="00502A54" w:rsidRDefault="00502A54">
      <w:pPr>
        <w:pStyle w:val="CommentText"/>
      </w:pPr>
      <w:r>
        <w:rPr>
          <w:rStyle w:val="CommentReference"/>
        </w:rPr>
        <w:annotationRef/>
      </w:r>
      <w:r>
        <w:t>We need to name the approved reporting Channels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471B08" w15:done="0"/>
  <w15:commentEx w15:paraId="1952D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7DB32D" w16cex:dateUtc="2026-08-05T23:35:00Z"/>
  <w16cex:commentExtensible w16cex:durableId="3FB77D0C" w16cex:dateUtc="2026-08-06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471B08" w16cid:durableId="5A7DB32D"/>
  <w16cid:commentId w16cid:paraId="1952D773" w16cid:durableId="3FB77D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rbachi, Mohamed - GTS Global ENG &amp; ARCH">
    <w15:presenceInfo w15:providerId="AD" w15:userId="S::Mohamed.Kerbachi@transamerica.com::7bfead4c-51c4-46e1-b396-f93a69a42d0c"/>
  </w15:person>
  <w15:person w15:author="Mohamed Kerbachi">
    <w15:presenceInfo w15:providerId="Windows Live" w15:userId="fbaafd574cc259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E37"/>
    <w:rsid w:val="00094897"/>
    <w:rsid w:val="004F5D92"/>
    <w:rsid w:val="00502A54"/>
    <w:rsid w:val="007C4E37"/>
    <w:rsid w:val="008E5FAF"/>
    <w:rsid w:val="00970EF5"/>
    <w:rsid w:val="009E6DFA"/>
    <w:rsid w:val="00A34578"/>
    <w:rsid w:val="00A77E00"/>
    <w:rsid w:val="00AB22D4"/>
    <w:rsid w:val="00BE7BF9"/>
    <w:rsid w:val="00C42765"/>
    <w:rsid w:val="00E41FB0"/>
    <w:rsid w:val="00EC5CA0"/>
    <w:rsid w:val="00EF7F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D2701"/>
  <w15:chartTrackingRefBased/>
  <w15:docId w15:val="{4C09E891-F1C3-EC4C-AC25-A6DCAA2B4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E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4E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4E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4E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4E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4E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E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E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E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E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4E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4E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4E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4E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4E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E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E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E37"/>
    <w:rPr>
      <w:rFonts w:eastAsiaTheme="majorEastAsia" w:cstheme="majorBidi"/>
      <w:color w:val="272727" w:themeColor="text1" w:themeTint="D8"/>
    </w:rPr>
  </w:style>
  <w:style w:type="paragraph" w:styleId="Title">
    <w:name w:val="Title"/>
    <w:basedOn w:val="Normal"/>
    <w:next w:val="Normal"/>
    <w:link w:val="TitleChar"/>
    <w:uiPriority w:val="10"/>
    <w:qFormat/>
    <w:rsid w:val="007C4E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E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E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E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E37"/>
    <w:pPr>
      <w:spacing w:before="160"/>
      <w:jc w:val="center"/>
    </w:pPr>
    <w:rPr>
      <w:i/>
      <w:iCs/>
      <w:color w:val="404040" w:themeColor="text1" w:themeTint="BF"/>
    </w:rPr>
  </w:style>
  <w:style w:type="character" w:customStyle="1" w:styleId="QuoteChar">
    <w:name w:val="Quote Char"/>
    <w:basedOn w:val="DefaultParagraphFont"/>
    <w:link w:val="Quote"/>
    <w:uiPriority w:val="29"/>
    <w:rsid w:val="007C4E37"/>
    <w:rPr>
      <w:i/>
      <w:iCs/>
      <w:color w:val="404040" w:themeColor="text1" w:themeTint="BF"/>
    </w:rPr>
  </w:style>
  <w:style w:type="paragraph" w:styleId="ListParagraph">
    <w:name w:val="List Paragraph"/>
    <w:basedOn w:val="Normal"/>
    <w:uiPriority w:val="34"/>
    <w:qFormat/>
    <w:rsid w:val="007C4E37"/>
    <w:pPr>
      <w:ind w:left="720"/>
      <w:contextualSpacing/>
    </w:pPr>
  </w:style>
  <w:style w:type="character" w:styleId="IntenseEmphasis">
    <w:name w:val="Intense Emphasis"/>
    <w:basedOn w:val="DefaultParagraphFont"/>
    <w:uiPriority w:val="21"/>
    <w:qFormat/>
    <w:rsid w:val="007C4E37"/>
    <w:rPr>
      <w:i/>
      <w:iCs/>
      <w:color w:val="0F4761" w:themeColor="accent1" w:themeShade="BF"/>
    </w:rPr>
  </w:style>
  <w:style w:type="paragraph" w:styleId="IntenseQuote">
    <w:name w:val="Intense Quote"/>
    <w:basedOn w:val="Normal"/>
    <w:next w:val="Normal"/>
    <w:link w:val="IntenseQuoteChar"/>
    <w:uiPriority w:val="30"/>
    <w:qFormat/>
    <w:rsid w:val="007C4E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4E37"/>
    <w:rPr>
      <w:i/>
      <w:iCs/>
      <w:color w:val="0F4761" w:themeColor="accent1" w:themeShade="BF"/>
    </w:rPr>
  </w:style>
  <w:style w:type="character" w:styleId="IntenseReference">
    <w:name w:val="Intense Reference"/>
    <w:basedOn w:val="DefaultParagraphFont"/>
    <w:uiPriority w:val="32"/>
    <w:qFormat/>
    <w:rsid w:val="007C4E37"/>
    <w:rPr>
      <w:b/>
      <w:bCs/>
      <w:smallCaps/>
      <w:color w:val="0F4761" w:themeColor="accent1" w:themeShade="BF"/>
      <w:spacing w:val="5"/>
    </w:rPr>
  </w:style>
  <w:style w:type="character" w:styleId="CommentReference">
    <w:name w:val="annotation reference"/>
    <w:basedOn w:val="DefaultParagraphFont"/>
    <w:uiPriority w:val="99"/>
    <w:semiHidden/>
    <w:unhideWhenUsed/>
    <w:rsid w:val="00EC5CA0"/>
    <w:rPr>
      <w:sz w:val="16"/>
      <w:szCs w:val="16"/>
    </w:rPr>
  </w:style>
  <w:style w:type="paragraph" w:styleId="CommentText">
    <w:name w:val="annotation text"/>
    <w:basedOn w:val="Normal"/>
    <w:link w:val="CommentTextChar"/>
    <w:uiPriority w:val="99"/>
    <w:unhideWhenUsed/>
    <w:rsid w:val="00EC5CA0"/>
    <w:pPr>
      <w:spacing w:line="240" w:lineRule="auto"/>
    </w:pPr>
    <w:rPr>
      <w:sz w:val="20"/>
      <w:szCs w:val="20"/>
    </w:rPr>
  </w:style>
  <w:style w:type="character" w:customStyle="1" w:styleId="CommentTextChar">
    <w:name w:val="Comment Text Char"/>
    <w:basedOn w:val="DefaultParagraphFont"/>
    <w:link w:val="CommentText"/>
    <w:uiPriority w:val="99"/>
    <w:rsid w:val="00EC5CA0"/>
    <w:rPr>
      <w:sz w:val="20"/>
      <w:szCs w:val="20"/>
    </w:rPr>
  </w:style>
  <w:style w:type="paragraph" w:styleId="CommentSubject">
    <w:name w:val="annotation subject"/>
    <w:basedOn w:val="CommentText"/>
    <w:next w:val="CommentText"/>
    <w:link w:val="CommentSubjectChar"/>
    <w:uiPriority w:val="99"/>
    <w:semiHidden/>
    <w:unhideWhenUsed/>
    <w:rsid w:val="00EC5CA0"/>
    <w:rPr>
      <w:b/>
      <w:bCs/>
    </w:rPr>
  </w:style>
  <w:style w:type="character" w:customStyle="1" w:styleId="CommentSubjectChar">
    <w:name w:val="Comment Subject Char"/>
    <w:basedOn w:val="CommentTextChar"/>
    <w:link w:val="CommentSubject"/>
    <w:uiPriority w:val="99"/>
    <w:semiHidden/>
    <w:rsid w:val="00EC5CA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1</Pages>
  <Words>778</Words>
  <Characters>4803</Characters>
  <Application>Microsoft Office Word</Application>
  <DocSecurity>0</DocSecurity>
  <Lines>145</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Boyle, Kenny</dc:creator>
  <cp:keywords/>
  <dc:description/>
  <cp:lastModifiedBy>Kerbachi, Mohamed - GTS Global ENG &amp; ARCH</cp:lastModifiedBy>
  <cp:revision>7</cp:revision>
  <dcterms:created xsi:type="dcterms:W3CDTF">2026-08-04T11:20:00Z</dcterms:created>
  <dcterms:modified xsi:type="dcterms:W3CDTF">2026-08-06T14:07:00Z</dcterms:modified>
</cp:coreProperties>
</file>