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FD8417"/>
          <w:sz w:val="18"/>
        </w:rPr>
        <w:t>KIT D’EXÉCUTION 90 JOURS</w:t>
      </w:r>
    </w:p>
    <w:p>
      <w:pPr>
        <w:pStyle w:val="Title"/>
      </w:pPr>
      <w:r>
        <w:t>Charte d’utilisation responsable de l’IA</w:t>
      </w:r>
    </w:p>
    <w:p>
      <w:pPr>
        <w:spacing w:after="240"/>
      </w:pPr>
      <w:r>
        <w:rPr>
          <w:rFonts w:ascii="Calibri" w:hAnsi="Calibri"/>
          <w:color w:val="5F6B7A"/>
          <w:sz w:val="25"/>
        </w:rPr>
        <w:t>Des règles simples, applicables dès maintenant, pour utiliser l’IA avec discernement.</w:t>
      </w:r>
    </w:p>
    <w:tbl>
      <w:tblPr>
        <w:tblStyle w:val="TableGrid"/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5F6B7A"/>
                <w:sz w:val="15"/>
              </w:rPr>
              <w:t>PRÉPARÉ POUR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6263B"/>
                <w:sz w:val="20"/>
              </w:rPr>
              <w:t>{{COMPANY_NAME}}</w:t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5F6B7A"/>
                <w:sz w:val="15"/>
              </w:rPr>
              <w:t>RESPONSABLE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6263B"/>
                <w:sz w:val="20"/>
              </w:rPr>
              <w:t>{{CONTACT_NAME}}</w:t>
            </w:r>
          </w:p>
        </w:tc>
      </w:tr>
      <w:tr>
        <w:tc>
          <w:tcPr>
            <w:tcW w:type="dxa" w:w="50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5F6B7A"/>
                <w:sz w:val="15"/>
              </w:rPr>
              <w:t>DATE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6263B"/>
                <w:sz w:val="20"/>
              </w:rPr>
              <w:t>{{GENERATED_DATE}}</w:t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color w:val="5F6B7A"/>
                <w:sz w:val="15"/>
              </w:rPr>
              <w:t>PUBLIC VISÉ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6263B"/>
                <w:sz w:val="20"/>
              </w:rPr>
              <w:t>Personnel, gestionnaires et fournisseurs autorisés</w:t>
            </w:r>
          </w:p>
        </w:tc>
      </w:tr>
    </w:tbl>
    <w:tbl>
      <w:tblPr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6263B"/>
                <w:sz w:val="20"/>
              </w:rPr>
              <w:t>Priorité issue de votre diagnostic</w:t>
            </w:r>
          </w:p>
          <w:p>
            <w:pPr>
              <w:spacing w:after="0"/>
            </w:pPr>
            <w:r>
              <w:rPr>
                <w:rFonts w:ascii="Calibri" w:hAnsi="Calibri"/>
                <w:color w:val="5F6B7A"/>
                <w:sz w:val="19"/>
              </w:rPr>
              <w:t>{{TOP_ACTION_1}}</w:t>
            </w:r>
          </w:p>
        </w:tc>
      </w:tr>
    </w:tbl>
    <w:tbl>
      <w:tblPr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E4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6263B"/>
                <w:sz w:val="20"/>
              </w:rPr>
              <w:t>Mode d’emploi</w:t>
            </w:r>
          </w:p>
          <w:p>
            <w:pPr>
              <w:spacing w:after="0"/>
            </w:pPr>
            <w:r>
              <w:rPr>
                <w:rFonts w:ascii="Calibri" w:hAnsi="Calibri"/>
                <w:color w:val="5F6B7A"/>
                <w:sz w:val="19"/>
              </w:rPr>
              <w:t>Remplacez les mentions « À compléter », confirmez les outils autorisés et faites approuver la charte avant diffusion.</w:t>
            </w:r>
          </w:p>
        </w:tc>
      </w:tr>
    </w:tbl>
    <w:p>
      <w:pPr>
        <w:pStyle w:val="Heading1"/>
      </w:pPr>
      <w:r>
        <w:t>1. Objet et principes</w:t>
      </w:r>
    </w:p>
    <w:p>
      <w:r>
        <w:t>{{COMPANY_NAME}} utilise l’intelligence artificielle comme outil d’assistance. Une personne demeure responsable de chaque décision, publication et livraison.</w:t>
      </w:r>
    </w:p>
    <w:p>
      <w:pPr>
        <w:pStyle w:val="ListBullet"/>
      </w:pPr>
      <w:r>
        <w:t>Utilité : partir d’un besoin concret et mesurable.</w:t>
      </w:r>
    </w:p>
    <w:p>
      <w:pPr>
        <w:pStyle w:val="ListBullet"/>
      </w:pPr>
      <w:r>
        <w:t>Minimisation : transmettre le moins de données possible.</w:t>
      </w:r>
    </w:p>
    <w:p>
      <w:pPr>
        <w:pStyle w:val="ListBullet"/>
      </w:pPr>
      <w:r>
        <w:t>Validation humaine : vérifier faits, sources, calculs et ton.</w:t>
      </w:r>
    </w:p>
    <w:p>
      <w:pPr>
        <w:pStyle w:val="ListBullet"/>
      </w:pPr>
      <w:r>
        <w:t>Transparence : signaler l’usage de l’IA lorsque le contexte l’exige.</w:t>
      </w:r>
    </w:p>
    <w:p>
      <w:pPr>
        <w:pStyle w:val="ListBullet"/>
      </w:pPr>
      <w:r>
        <w:t>Traçabilité : consigner les usages significatifs dans le registre prévu.</w:t>
      </w:r>
    </w:p>
    <w:p>
      <w:pPr>
        <w:pStyle w:val="Heading1"/>
      </w:pPr>
      <w:r>
        <w:t>2. Usages permis</w:t>
      </w:r>
    </w:p>
    <w:p>
      <w:pPr>
        <w:pStyle w:val="ListBullet"/>
      </w:pPr>
      <w:r>
        <w:t>Idéation, plans, résumés et premières versions de contenus non sensibles.</w:t>
      </w:r>
    </w:p>
    <w:p>
      <w:pPr>
        <w:pStyle w:val="ListBullet"/>
      </w:pPr>
      <w:r>
        <w:t>Aide à la structuration, à la traduction et à l’analyse de documents approuvés.</w:t>
      </w:r>
    </w:p>
    <w:p>
      <w:pPr>
        <w:pStyle w:val="ListBullet"/>
      </w:pPr>
      <w:r>
        <w:t>Automatisation encadrée d’une tâche réversible, testée avant mise en service.</w:t>
      </w:r>
    </w:p>
    <w:p>
      <w:pPr>
        <w:pStyle w:val="Heading1"/>
      </w:pPr>
      <w:r>
        <w:t>3. Données interdites sans autorisation</w:t>
      </w:r>
    </w:p>
    <w:p>
      <w:pPr>
        <w:pStyle w:val="ListBullet"/>
      </w:pPr>
      <w:r>
        <w:t>Renseignements personnels ou données permettant d’identifier une personne.</w:t>
      </w:r>
    </w:p>
    <w:p>
      <w:pPr>
        <w:pStyle w:val="ListBullet"/>
      </w:pPr>
      <w:r>
        <w:t>Secrets commerciaux, renseignements financiers, juridiques ou RH.</w:t>
      </w:r>
    </w:p>
    <w:p>
      <w:pPr>
        <w:pStyle w:val="ListBullet"/>
      </w:pPr>
      <w:r>
        <w:t>Mots de passe, clés d’accès, configurations de sécurité ou données clients.</w:t>
      </w:r>
    </w:p>
    <w:p>
      <w:pPr>
        <w:pStyle w:val="ListBullet"/>
      </w:pPr>
      <w:r>
        <w:t>Œuvres ou documents dont les droits d’utilisation ne sont pas confirmés.</w:t>
      </w:r>
    </w:p>
    <w:p>
      <w:pPr>
        <w:pStyle w:val="Heading1"/>
      </w:pPr>
      <w:r>
        <w:t>4. Contrôle avant utilisation</w:t>
      </w:r>
    </w:p>
    <w:p>
      <w:pPr>
        <w:pStyle w:val="ListNumber"/>
      </w:pPr>
      <w:r>
        <w:t>Confirmer que l’outil figure dans la liste des outils approuvés.</w:t>
      </w:r>
    </w:p>
    <w:p>
      <w:pPr>
        <w:pStyle w:val="ListNumber"/>
      </w:pPr>
      <w:r>
        <w:t>Retirer ou anonymiser les données non nécessaires.</w:t>
      </w:r>
    </w:p>
    <w:p>
      <w:pPr>
        <w:pStyle w:val="ListNumber"/>
      </w:pPr>
      <w:r>
        <w:t>Vérifier la sortie avec une source fiable ou une personne compétente.</w:t>
      </w:r>
    </w:p>
    <w:p>
      <w:pPr>
        <w:pStyle w:val="ListNumber"/>
      </w:pPr>
      <w:r>
        <w:t>Consigner l’usage s’il influence un client, une décision ou un processus.</w:t>
      </w:r>
    </w:p>
    <w:p>
      <w:pPr>
        <w:pStyle w:val="ListNumber"/>
      </w:pPr>
      <w:r>
        <w:t>Escalader tout doute au responsable désigné.</w:t>
      </w:r>
    </w:p>
    <w:p>
      <w:pPr>
        <w:pStyle w:val="Heading1"/>
      </w:pPr>
      <w:r>
        <w:t>5. Outils et responsabilités</w:t>
      </w:r>
    </w:p>
    <w:tbl>
      <w:tblPr>
        <w:tblStyle w:val="TableGrid"/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71D4"/>
          </w:tcPr>
          <w:p>
            <w:r>
              <w:rPr>
                <w:rFonts w:ascii="Calibri" w:hAnsi="Calibri"/>
                <w:b/>
                <w:color w:val="FFFFFF"/>
              </w:rPr>
              <w:t>Élément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71D4"/>
          </w:tcPr>
          <w:p>
            <w:r>
              <w:rPr>
                <w:rFonts w:ascii="Calibri" w:hAnsi="Calibri"/>
                <w:b/>
                <w:color w:val="FFFFFF"/>
              </w:rPr>
              <w:t>Décision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571D4"/>
          </w:tcPr>
          <w:p>
            <w:r>
              <w:rPr>
                <w:rFonts w:ascii="Calibri" w:hAnsi="Calibri"/>
                <w:b/>
                <w:color w:val="FFFFFF"/>
              </w:rPr>
              <w:t>Responsable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Outils approuvés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À compléter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{{CONTACT_NAME}}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Revue des usages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Mensuelle pendant 90 jours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{{CONTACT_NAME}}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Incident ou erreur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Suspendre, documenter, corriger</w:t>
            </w:r>
          </w:p>
        </w:tc>
        <w:tc>
          <w:tcPr>
            <w:tcW w:type="dxa" w:w="3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Gestionnaire</w:t>
            </w:r>
          </w:p>
        </w:tc>
      </w:tr>
    </w:tbl>
    <w:p>
      <w:pPr>
        <w:pStyle w:val="Heading1"/>
      </w:pPr>
      <w:r>
        <w:t>Adoption et révision</w:t>
      </w:r>
    </w:p>
    <w:tbl>
      <w:tblPr>
        <w:tblStyle w:val="TableGrid"/>
        <w:tblW w:type="dxa" w:w="10037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rPr>
                <w:rFonts w:ascii="Calibri" w:hAnsi="Calibri"/>
                <w:b/>
                <w:color w:val="16263B"/>
              </w:rPr>
              <w:t>Propriétaire</w:t>
            </w:r>
          </w:p>
        </w:tc>
        <w:tc>
          <w:tcPr>
            <w:tcW w:type="dxa" w:w="7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{{CONTACT_NAME}}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rPr>
                <w:rFonts w:ascii="Calibri" w:hAnsi="Calibri"/>
                <w:b/>
                <w:color w:val="16263B"/>
              </w:rPr>
              <w:t>Approuvé par</w:t>
            </w:r>
          </w:p>
        </w:tc>
        <w:tc>
          <w:tcPr>
            <w:tcW w:type="dxa" w:w="7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À compléter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rPr>
                <w:rFonts w:ascii="Calibri" w:hAnsi="Calibri"/>
                <w:b/>
                <w:color w:val="16263B"/>
              </w:rPr>
              <w:t>Date d’adoption</w:t>
            </w:r>
          </w:p>
        </w:tc>
        <w:tc>
          <w:tcPr>
            <w:tcW w:type="dxa" w:w="7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{{GENERATED_DATE}}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C"/>
          </w:tcPr>
          <w:p>
            <w:r>
              <w:rPr>
                <w:rFonts w:ascii="Calibri" w:hAnsi="Calibri"/>
                <w:b/>
                <w:color w:val="16263B"/>
              </w:rPr>
              <w:t>Prochaine révision</w:t>
            </w:r>
          </w:p>
        </w:tc>
        <w:tc>
          <w:tcPr>
            <w:tcW w:type="dxa" w:w="73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Dans 90 jours, puis annuellement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49" w:right="936" w:bottom="749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B7A"/>
        <w:sz w:val="16"/>
      </w:rPr>
      <w:t>ForméducWeb  ·  Gabarit opérationnel  ·  À adapter et faire valider selon votre contexte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0037"/>
      <w:jc w:val="left"/>
      <w:tblLayout w:type="fixed"/>
      <w:tblLook w:firstColumn="1" w:firstRow="1" w:lastColumn="0" w:lastRow="0" w:noHBand="0" w:noVBand="1" w:val="04A0"/>
    </w:tblPr>
    <w:tblGrid>
      <w:gridCol w:w="5018"/>
      <w:gridCol w:w="5018"/>
    </w:tblGrid>
    <w:tr>
      <w:tc>
        <w:tcPr>
          <w:tcW w:type="dxa" w:w="1512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438912" cy="43891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912" cy="43891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525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  <w:pBdr>
              <w:bottom w:val="single" w:sz="8" w:space="4" w:color="D9E2EC"/>
            </w:pBdr>
          </w:pPr>
          <w:r>
            <w:rPr>
              <w:rFonts w:ascii="Calibri" w:hAnsi="Calibri"/>
              <w:b/>
              <w:color w:val="5F6B7A"/>
              <w:sz w:val="16"/>
            </w:rPr>
            <w:t>FORMÉDUCWEB  ·  KIT D’EXÉCUTION 90 JOURS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626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571D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71D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26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6263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