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FD8417"/>
          <w:sz w:val="18"/>
        </w:rPr>
        <w:t>KIT D’EXÉCUTION 90 JOURS</w:t>
      </w:r>
    </w:p>
    <w:p>
      <w:pPr>
        <w:pStyle w:val="Title"/>
      </w:pPr>
      <w:r>
        <w:t>Mémo antifraude · ralentir, vérifier, confirmer</w:t>
      </w:r>
    </w:p>
    <w:p>
      <w:pPr>
        <w:spacing w:after="240"/>
      </w:pPr>
      <w:r>
        <w:rPr>
          <w:rFonts w:ascii="Calibri" w:hAnsi="Calibri"/>
          <w:color w:val="5F6B7A"/>
          <w:sz w:val="25"/>
        </w:rPr>
        <w:t>Une page de réflexes concrets contre l’hameçonnage et la fraude au paiement.</w:t>
      </w:r>
    </w:p>
    <w:tbl>
      <w:tblPr>
        <w:tblStyle w:val="TableGrid"/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PRÉPARÉ POUR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{{COMPANY_NAME}}</w:t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RESPONSABLE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{{CONTACT_NAME}}</w:t>
            </w:r>
          </w:p>
        </w:tc>
      </w:tr>
      <w:tr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DATE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{{GENERATED_DATE}}</w:t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PUBLIC VISÉ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Toute personne qui reçoit des demandes, factures ou changements bancaires</w:t>
            </w:r>
          </w:p>
        </w:tc>
      </w:tr>
    </w:tbl>
    <w:tbl>
      <w:tblPr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263B"/>
                <w:sz w:val="20"/>
              </w:rPr>
              <w:t>Priorité issue de votre diagnostic</w:t>
            </w:r>
          </w:p>
          <w:p>
            <w:pPr>
              <w:spacing w:after="0"/>
            </w:pPr>
            <w:r>
              <w:rPr>
                <w:rFonts w:ascii="Calibri" w:hAnsi="Calibri"/>
                <w:color w:val="5F6B7A"/>
                <w:sz w:val="19"/>
              </w:rPr>
              <w:t>{{TOP_ACTION_1}}</w:t>
            </w:r>
          </w:p>
        </w:tc>
      </w:tr>
    </w:tbl>
    <w:p>
      <w:pPr>
        <w:pStyle w:val="Heading1"/>
      </w:pPr>
      <w:r>
        <w:t>Les signaux d’alerte</w:t>
      </w:r>
    </w:p>
    <w:p>
      <w:pPr>
        <w:pStyle w:val="ListBullet"/>
      </w:pPr>
      <w:r>
        <w:t>Urgence inhabituelle, secret demandé ou pression pour contourner une règle.</w:t>
      </w:r>
    </w:p>
    <w:p>
      <w:pPr>
        <w:pStyle w:val="ListBullet"/>
      </w:pPr>
      <w:r>
        <w:t>Changement de compte bancaire, de bénéficiaire ou de coordonnées.</w:t>
      </w:r>
    </w:p>
    <w:p>
      <w:pPr>
        <w:pStyle w:val="ListBullet"/>
      </w:pPr>
      <w:r>
        <w:t>Adresse proche de l’originale, pièce jointe inattendue ou ton inhabituel.</w:t>
      </w:r>
    </w:p>
    <w:p>
      <w:pPr>
        <w:pStyle w:val="ListBullet"/>
      </w:pPr>
      <w:r>
        <w:t>Demande de code MFA, mot de passe, carte-cadeau ou cryptomonnaie.</w:t>
      </w:r>
    </w:p>
    <w:p>
      <w:pPr>
        <w:pStyle w:val="Heading1"/>
      </w:pPr>
      <w:r>
        <w:t>La règle des deux canaux</w:t>
      </w:r>
    </w:p>
    <w:p>
      <w:pPr>
        <w:pStyle w:val="ListNumber"/>
      </w:pPr>
      <w:r>
        <w:t>Arrêter l’action et ne pas répondre dans le fil suspect.</w:t>
      </w:r>
    </w:p>
    <w:p>
      <w:pPr>
        <w:pStyle w:val="ListNumber"/>
      </w:pPr>
      <w:r>
        <w:t>Retrouver soi-même un numéro ou canal déjà connu.</w:t>
      </w:r>
    </w:p>
    <w:p>
      <w:pPr>
        <w:pStyle w:val="ListNumber"/>
      </w:pPr>
      <w:r>
        <w:t>Confirmer la demande avec une personne autorisée.</w:t>
      </w:r>
    </w:p>
    <w:p>
      <w:pPr>
        <w:pStyle w:val="ListNumber"/>
      </w:pPr>
      <w:r>
        <w:t>Documenter la validation avant tout paiement ou changement.</w:t>
      </w:r>
    </w:p>
    <w:tbl>
      <w:tblPr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263B"/>
                <w:sz w:val="20"/>
              </w:rPr>
              <w:t>Aucun blâme pour un signalement prudent</w:t>
            </w:r>
          </w:p>
          <w:p>
            <w:pPr>
              <w:spacing w:after="0"/>
            </w:pPr>
            <w:r>
              <w:rPr>
                <w:rFonts w:ascii="Calibri" w:hAnsi="Calibri"/>
                <w:color w:val="5F6B7A"/>
                <w:sz w:val="19"/>
              </w:rPr>
              <w:t>{{COMPANY_NAME}} préfère un délai de validation à une fraude. Signalez même si vous avez déjà cliqué ou répondu.</w:t>
            </w:r>
          </w:p>
        </w:tc>
      </w:tr>
    </w:tbl>
    <w:p>
      <w:pPr>
        <w:pStyle w:val="Heading1"/>
      </w:pPr>
      <w:r>
        <w:t>Si vous avez cliqué ou transmis une information</w:t>
      </w:r>
    </w:p>
    <w:p>
      <w:pPr>
        <w:pStyle w:val="ListBullet"/>
      </w:pPr>
      <w:r>
        <w:t>Déconnectez l’appareil du réseau seulement si la procédure l’exige.</w:t>
      </w:r>
    </w:p>
    <w:p>
      <w:pPr>
        <w:pStyle w:val="ListBullet"/>
      </w:pPr>
      <w:r>
        <w:t>Contactez immédiatement {{CONTACT_NAME}} par le canal prévu.</w:t>
      </w:r>
    </w:p>
    <w:p>
      <w:pPr>
        <w:pStyle w:val="ListBullet"/>
      </w:pPr>
      <w:r>
        <w:t>Ne supprimez pas le message; notez l’heure et les actions effectuées.</w:t>
      </w:r>
    </w:p>
    <w:p>
      <w:pPr>
        <w:pStyle w:val="ListBullet"/>
      </w:pPr>
      <w:r>
        <w:t>N’effectuez pas vous-même de réinitialisation non coordonnée.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49" w:right="936" w:bottom="749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A"/>
        <w:sz w:val="16"/>
      </w:rPr>
      <w:t>ForméducWeb  ·  Gabarit opérationnel  ·  À adapter et faire valider selon votre contexte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037"/>
      <w:jc w:val="left"/>
      <w:tblLayout w:type="fixed"/>
      <w:tblLook w:firstColumn="1" w:firstRow="1" w:lastColumn="0" w:lastRow="0" w:noHBand="0" w:noVBand="1" w:val="04A0"/>
    </w:tblPr>
    <w:tblGrid>
      <w:gridCol w:w="5018"/>
      <w:gridCol w:w="5018"/>
    </w:tblGrid>
    <w:tr>
      <w:tc>
        <w:tcPr>
          <w:tcW w:type="dxa" w:w="1512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438912" cy="43891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4389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25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  <w:pBdr>
              <w:bottom w:val="single" w:sz="8" w:space="4" w:color="D9E2EC"/>
            </w:pBdr>
          </w:pPr>
          <w:r>
            <w:rPr>
              <w:rFonts w:ascii="Calibri" w:hAnsi="Calibri"/>
              <w:b/>
              <w:color w:val="5F6B7A"/>
              <w:sz w:val="16"/>
            </w:rPr>
            <w:t>FORMÉDUCWEB  ·  KIT D’EXÉCUTION 90 JOURS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626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571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71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26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263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