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FD8417"/>
          <w:sz w:val="18"/>
        </w:rPr>
        <w:t>KIT D’EXÉCUTION 90 JOURS</w:t>
      </w:r>
    </w:p>
    <w:p>
      <w:pPr>
        <w:pStyle w:val="Title"/>
      </w:pPr>
      <w:r>
        <w:t>Procédure de demandes de renseignements personnels</w:t>
      </w:r>
    </w:p>
    <w:p>
      <w:pPr>
        <w:spacing w:after="240"/>
      </w:pPr>
      <w:r>
        <w:rPr>
          <w:rFonts w:ascii="Calibri" w:hAnsi="Calibri"/>
          <w:color w:val="5F6B7A"/>
          <w:sz w:val="25"/>
        </w:rPr>
        <w:t>Recevoir, authentifier, traiter et documenter une demande d’accès, de rectification ou de retrait.</w:t>
      </w:r>
    </w:p>
    <w:tbl>
      <w:tblPr>
        <w:tblStyle w:val="TableGrid"/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PRÉPARÉ POUR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{{COMPANY_NAME}}</w:t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RESPONSABLE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{{CONTACT_NAME}}</w:t>
            </w:r>
          </w:p>
        </w:tc>
      </w:tr>
      <w:tr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DATE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{{GENERATED_DATE}}</w:t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PUBLIC VISÉ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Responsable de la protection des renseignements personnels et personnes désignées</w:t>
            </w:r>
          </w:p>
        </w:tc>
      </w:tr>
    </w:tbl>
    <w:tbl>
      <w:tblPr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6263B"/>
                <w:sz w:val="20"/>
              </w:rPr>
              <w:t>Priorité issue de votre diagnostic</w:t>
            </w:r>
          </w:p>
          <w:p>
            <w:pPr>
              <w:spacing w:after="0"/>
            </w:pPr>
            <w:r>
              <w:rPr>
                <w:rFonts w:ascii="Calibri" w:hAnsi="Calibri"/>
                <w:color w:val="5F6B7A"/>
                <w:sz w:val="19"/>
              </w:rPr>
              <w:t>{{TOP_ACTION_1}}</w:t>
            </w:r>
          </w:p>
        </w:tc>
      </w:tr>
    </w:tbl>
    <w:tbl>
      <w:tblPr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E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6263B"/>
                <w:sz w:val="20"/>
              </w:rPr>
              <w:t>Limite importante</w:t>
            </w:r>
          </w:p>
          <w:p>
            <w:pPr>
              <w:spacing w:after="0"/>
            </w:pPr>
            <w:r>
              <w:rPr>
                <w:rFonts w:ascii="Calibri" w:hAnsi="Calibri"/>
                <w:color w:val="5F6B7A"/>
                <w:sz w:val="19"/>
              </w:rPr>
              <w:t>Ce gabarit facilite l’organisation interne. Il ne remplace pas un avis juridique ni l’analyse des délais et exceptions applicables.</w:t>
            </w:r>
          </w:p>
        </w:tc>
      </w:tr>
    </w:tbl>
    <w:p>
      <w:pPr>
        <w:pStyle w:val="Heading1"/>
      </w:pPr>
      <w:r>
        <w:t>1. Réception et journalisation</w:t>
      </w:r>
    </w:p>
    <w:p>
      <w:pPr>
        <w:pStyle w:val="ListNumber"/>
      </w:pPr>
      <w:r>
        <w:t>Centraliser la demande au canal officiel de {{COMPANY_NAME}}.</w:t>
      </w:r>
    </w:p>
    <w:p>
      <w:pPr>
        <w:pStyle w:val="ListNumber"/>
      </w:pPr>
      <w:r>
        <w:t>Consigner la date, le type de demande et une référence interne.</w:t>
      </w:r>
    </w:p>
    <w:p>
      <w:pPr>
        <w:pStyle w:val="ListNumber"/>
      </w:pPr>
      <w:r>
        <w:t>Accuser réception sans confirmer de renseignement sensible.</w:t>
      </w:r>
    </w:p>
    <w:p>
      <w:pPr>
        <w:pStyle w:val="ListNumber"/>
      </w:pPr>
      <w:r>
        <w:t>Identifier le responsable du traitement et l’échéance applicable.</w:t>
      </w:r>
    </w:p>
    <w:p>
      <w:pPr>
        <w:pStyle w:val="Heading1"/>
      </w:pPr>
      <w:r>
        <w:t>2. Vérification de l’identité</w:t>
      </w:r>
    </w:p>
    <w:p>
      <w:r>
        <w:t>Demander uniquement l’information raisonnablement nécessaire pour vérifier l’identité. Éviter de recueillir une copie complète d’un document si une méthode moins intrusive suffit.</w:t>
      </w:r>
    </w:p>
    <w:p>
      <w:pPr>
        <w:pStyle w:val="Heading1"/>
      </w:pPr>
      <w:r>
        <w:t>3. Recherche et décision</w:t>
      </w:r>
    </w:p>
    <w:p>
      <w:pPr>
        <w:pStyle w:val="ListNumber"/>
      </w:pPr>
      <w:r>
        <w:t>Repérer les systèmes, fournisseurs et équipes susceptibles de détenir l’information.</w:t>
      </w:r>
    </w:p>
    <w:p>
      <w:pPr>
        <w:pStyle w:val="ListNumber"/>
      </w:pPr>
      <w:r>
        <w:t>Préserver les données pertinentes pendant le traitement.</w:t>
      </w:r>
    </w:p>
    <w:p>
      <w:pPr>
        <w:pStyle w:val="ListNumber"/>
      </w:pPr>
      <w:r>
        <w:t>Évaluer les limites, tiers concernés et validations requises.</w:t>
      </w:r>
    </w:p>
    <w:p>
      <w:pPr>
        <w:pStyle w:val="ListNumber"/>
      </w:pPr>
      <w:r>
        <w:t>Préparer une réponse claire et consigner les décisions.</w:t>
      </w:r>
    </w:p>
    <w:p>
      <w:pPr>
        <w:pStyle w:val="Heading1"/>
      </w:pPr>
      <w:r>
        <w:t>4. Réponse et clôture</w:t>
      </w:r>
    </w:p>
    <w:p>
      <w:pPr>
        <w:pStyle w:val="ListBullet"/>
      </w:pPr>
      <w:r>
        <w:t>Transmettre la réponse par un canal approprié et sécuritaire.</w:t>
      </w:r>
    </w:p>
    <w:p>
      <w:pPr>
        <w:pStyle w:val="ListBullet"/>
      </w:pPr>
      <w:r>
        <w:t>Noter la date de réponse, le contenu remis et toute action de rectification.</w:t>
      </w:r>
    </w:p>
    <w:p>
      <w:pPr>
        <w:pStyle w:val="ListBullet"/>
      </w:pPr>
      <w:r>
        <w:t>Mettre à jour l’inventaire des données si un écart est découvert.</w:t>
      </w:r>
    </w:p>
    <w:p>
      <w:pPr>
        <w:pStyle w:val="ListBullet"/>
      </w:pPr>
      <w:r>
        <w:t>Conserver une preuve minimale du traitement selon la politique interne.</w:t>
      </w:r>
    </w:p>
    <w:p>
      <w:pPr>
        <w:pStyle w:val="Heading1"/>
      </w:pPr>
      <w:r>
        <w:t>Textes de formulaire à adapter</w:t>
      </w:r>
    </w:p>
    <w:tbl>
      <w:tblPr>
        <w:tblStyle w:val="TableGrid"/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t>Introduction</w:t>
            </w:r>
          </w:p>
        </w:tc>
        <w:tc>
          <w:tcPr>
            <w:tcW w:type="dxa" w:w="7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Utilisez ce formulaire pour transmettre à {{COMPANY_NAME}} une demande concernant vos renseignements personnels.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t>Usage</w:t>
            </w:r>
          </w:p>
        </w:tc>
        <w:tc>
          <w:tcPr>
            <w:tcW w:type="dxa" w:w="7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 renseignements fournis servent uniquement à vérifier votre identité, traiter votre demande et assurer le suivi.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t>Champs</w:t>
            </w:r>
          </w:p>
        </w:tc>
        <w:tc>
          <w:tcPr>
            <w:tcW w:type="dxa" w:w="7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Nom, courriel, type de demande, description, moyen de contact privilégié. Ne joignez aucun document sensible non demandé.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t>Confirmation</w:t>
            </w:r>
          </w:p>
        </w:tc>
        <w:tc>
          <w:tcPr>
            <w:tcW w:type="dxa" w:w="7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Nous confirmerons la réception et pourrons demander une vérification raisonnable de votre identité avant de répondre.</w:t>
            </w:r>
          </w:p>
        </w:tc>
      </w:tr>
    </w:tbl>
    <w:p>
      <w:pPr>
        <w:pStyle w:val="Heading1"/>
      </w:pPr>
      <w:r>
        <w:t>Registre de traitement minimal</w:t>
      </w:r>
    </w:p>
    <w:tbl>
      <w:tblPr>
        <w:tblStyle w:val="TableGrid"/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71D4"/>
          </w:tcPr>
          <w:p>
            <w:r>
              <w:rPr>
                <w:rFonts w:ascii="Calibri" w:hAnsi="Calibri"/>
                <w:b/>
                <w:color w:val="FFFFFF"/>
              </w:rPr>
              <w:t>Référence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71D4"/>
          </w:tcPr>
          <w:p>
            <w:r>
              <w:rPr>
                <w:rFonts w:ascii="Calibri" w:hAnsi="Calibri"/>
                <w:b/>
                <w:color w:val="FFFFFF"/>
              </w:rPr>
              <w:t>Reçue le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71D4"/>
          </w:tcPr>
          <w:p>
            <w:r>
              <w:rPr>
                <w:rFonts w:ascii="Calibri" w:hAnsi="Calibri"/>
                <w:b/>
                <w:color w:val="FFFFFF"/>
              </w:rPr>
              <w:t>Type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71D4"/>
          </w:tcPr>
          <w:p>
            <w:r>
              <w:rPr>
                <w:rFonts w:ascii="Calibri" w:hAnsi="Calibri"/>
                <w:b/>
                <w:color w:val="FFFFFF"/>
              </w:rPr>
              <w:t>Responsable</w:t>
            </w:r>
          </w:p>
        </w:tc>
        <w:tc>
          <w:tcPr>
            <w:tcW w:type="dxa" w:w="21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71D4"/>
          </w:tcPr>
          <w:p>
            <w:r>
              <w:rPr>
                <w:rFonts w:ascii="Calibri" w:hAnsi="Calibri"/>
                <w:b/>
                <w:color w:val="FFFFFF"/>
              </w:rPr>
              <w:t>État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À compléter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À compléter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À compléter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À compléter</w:t>
            </w:r>
          </w:p>
        </w:tc>
        <w:tc>
          <w:tcPr>
            <w:tcW w:type="dxa" w:w="21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À compléter</w:t>
            </w:r>
          </w:p>
        </w:tc>
      </w:tr>
    </w:tbl>
    <w:p>
      <w:pPr>
        <w:pStyle w:val="Heading1"/>
      </w:pPr>
      <w:r>
        <w:t>Adoption et révision</w:t>
      </w:r>
    </w:p>
    <w:tbl>
      <w:tblPr>
        <w:tblStyle w:val="TableGrid"/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rPr>
                <w:rFonts w:ascii="Calibri" w:hAnsi="Calibri"/>
                <w:b/>
                <w:color w:val="16263B"/>
              </w:rPr>
              <w:t>Propriétaire</w:t>
            </w:r>
          </w:p>
        </w:tc>
        <w:tc>
          <w:tcPr>
            <w:tcW w:type="dxa" w:w="7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{{CONTACT_NAME}}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rPr>
                <w:rFonts w:ascii="Calibri" w:hAnsi="Calibri"/>
                <w:b/>
                <w:color w:val="16263B"/>
              </w:rPr>
              <w:t>Approuvé par</w:t>
            </w:r>
          </w:p>
        </w:tc>
        <w:tc>
          <w:tcPr>
            <w:tcW w:type="dxa" w:w="7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À compléter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rPr>
                <w:rFonts w:ascii="Calibri" w:hAnsi="Calibri"/>
                <w:b/>
                <w:color w:val="16263B"/>
              </w:rPr>
              <w:t>Date d’adoption</w:t>
            </w:r>
          </w:p>
        </w:tc>
        <w:tc>
          <w:tcPr>
            <w:tcW w:type="dxa" w:w="7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{{GENERATED_DATE}}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rPr>
                <w:rFonts w:ascii="Calibri" w:hAnsi="Calibri"/>
                <w:b/>
                <w:color w:val="16263B"/>
              </w:rPr>
              <w:t>Prochaine révision</w:t>
            </w:r>
          </w:p>
        </w:tc>
        <w:tc>
          <w:tcPr>
            <w:tcW w:type="dxa" w:w="7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Dans 90 jours, puis annuellement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49" w:right="936" w:bottom="749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7A"/>
        <w:sz w:val="16"/>
      </w:rPr>
      <w:t>ForméducWeb  ·  Gabarit opérationnel  ·  À adapter et faire valider selon votre contexte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0037"/>
      <w:jc w:val="left"/>
      <w:tblLayout w:type="fixed"/>
      <w:tblLook w:firstColumn="1" w:firstRow="1" w:lastColumn="0" w:lastRow="0" w:noHBand="0" w:noVBand="1" w:val="04A0"/>
    </w:tblPr>
    <w:tblGrid>
      <w:gridCol w:w="5018"/>
      <w:gridCol w:w="5018"/>
    </w:tblGrid>
    <w:tr>
      <w:tc>
        <w:tcPr>
          <w:tcW w:type="dxa" w:w="1512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438912" cy="43891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12" cy="4389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525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  <w:pBdr>
              <w:bottom w:val="single" w:sz="8" w:space="4" w:color="D9E2EC"/>
            </w:pBdr>
          </w:pPr>
          <w:r>
            <w:rPr>
              <w:rFonts w:ascii="Calibri" w:hAnsi="Calibri"/>
              <w:b/>
              <w:color w:val="5F6B7A"/>
              <w:sz w:val="16"/>
            </w:rPr>
            <w:t>FORMÉDUCWEB  ·  KIT D’EXÉCUTION 90 JOURS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626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571D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71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26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263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