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FD8417"/>
          <w:sz w:val="18"/>
        </w:rPr>
        <w:t>KIT D’EXÉCUTION 90 JOURS</w:t>
      </w:r>
    </w:p>
    <w:p>
      <w:pPr>
        <w:pStyle w:val="Title"/>
      </w:pPr>
      <w:r>
        <w:t>Procédure de gestion d’un incident cyber</w:t>
      </w:r>
    </w:p>
    <w:p>
      <w:pPr>
        <w:spacing w:after="240"/>
      </w:pPr>
      <w:r>
        <w:rPr>
          <w:rFonts w:ascii="Calibri" w:hAnsi="Calibri"/>
          <w:color w:val="5F6B7A"/>
          <w:sz w:val="25"/>
        </w:rPr>
        <w:t>Un parcours court pour signaler, contenir, documenter et reprendre les opérations.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PRÉPARÉ POUR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{{COMPANY_NAME}}</w:t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RESPONSABLE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{{CONTACT_NAME}}</w:t>
            </w:r>
          </w:p>
        </w:tc>
      </w:tr>
      <w:tr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DATE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{{GENERATED_DATE}}</w:t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PUBLIC VISÉ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Personnel, gestionnaires et fournisseur TI autorisé</w:t>
            </w:r>
          </w:p>
        </w:tc>
      </w:tr>
    </w:tbl>
    <w:tbl>
      <w:tblPr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263B"/>
                <w:sz w:val="20"/>
              </w:rPr>
              <w:t>Priorité issue de votre diagnostic</w:t>
            </w:r>
          </w:p>
          <w:p>
            <w:pPr>
              <w:spacing w:after="0"/>
            </w:pPr>
            <w:r>
              <w:rPr>
                <w:rFonts w:ascii="Calibri" w:hAnsi="Calibri"/>
                <w:color w:val="5F6B7A"/>
                <w:sz w:val="19"/>
              </w:rPr>
              <w:t>{{TOP_ACTION_1}}</w:t>
            </w:r>
          </w:p>
        </w:tc>
      </w:tr>
    </w:tbl>
    <w:tbl>
      <w:tblPr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263B"/>
                <w:sz w:val="20"/>
              </w:rPr>
              <w:t>Déclencheur</w:t>
            </w:r>
          </w:p>
          <w:p>
            <w:pPr>
              <w:spacing w:after="0"/>
            </w:pPr>
            <w:r>
              <w:rPr>
                <w:rFonts w:ascii="Calibri" w:hAnsi="Calibri"/>
                <w:color w:val="5F6B7A"/>
                <w:sz w:val="19"/>
              </w:rPr>
              <w:t>Appliquez cette procédure dès qu’un compte, appareil, paiement, fichier ou service semble compromis. Ne cherchez pas à tout résoudre seul.</w:t>
            </w:r>
          </w:p>
        </w:tc>
      </w:tr>
    </w:tbl>
    <w:p>
      <w:pPr>
        <w:pStyle w:val="Heading1"/>
      </w:pPr>
      <w:r>
        <w:t>Canal de signalement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Responsable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{{CONTACT_NAME}}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Canal principal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 · ne pas utiliser un canal compromis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Fournisseur TI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</w:tr>
    </w:tbl>
    <w:p>
      <w:pPr>
        <w:pStyle w:val="Heading1"/>
      </w:pPr>
      <w:r>
        <w:t>Étapes</w:t>
      </w:r>
    </w:p>
    <w:p>
      <w:pPr>
        <w:pStyle w:val="ListNumber"/>
      </w:pPr>
      <w:r>
        <w:t>SIGNALER — noter l’heure, le système, l’utilisateur et ce qui a été observé.</w:t>
      </w:r>
    </w:p>
    <w:p>
      <w:pPr>
        <w:pStyle w:val="ListNumber"/>
      </w:pPr>
      <w:r>
        <w:t>CONTENIR — isoler l’appareil ou suspendre l’accès selon les instructions; préserver les preuves.</w:t>
      </w:r>
    </w:p>
    <w:p>
      <w:pPr>
        <w:pStyle w:val="ListNumber"/>
      </w:pPr>
      <w:r>
        <w:t>QUALIFIER — déterminer les services, données et personnes potentiellement touchés.</w:t>
      </w:r>
    </w:p>
    <w:p>
      <w:pPr>
        <w:pStyle w:val="ListNumber"/>
      </w:pPr>
      <w:r>
        <w:t>ESCALADER — mobiliser la direction, le fournisseur TI et les responsables concernés.</w:t>
      </w:r>
    </w:p>
    <w:p>
      <w:pPr>
        <w:pStyle w:val="ListNumber"/>
      </w:pPr>
      <w:r>
        <w:t>CORRIGER — supprimer la cause, réinitialiser les accès et appliquer les correctifs validés.</w:t>
      </w:r>
    </w:p>
    <w:p>
      <w:pPr>
        <w:pStyle w:val="ListNumber"/>
      </w:pPr>
      <w:r>
        <w:t>REPRENDRE — restaurer progressivement, tester et surveiller les services essentiels.</w:t>
      </w:r>
    </w:p>
    <w:p>
      <w:pPr>
        <w:pStyle w:val="ListNumber"/>
      </w:pPr>
      <w:r>
        <w:t>APPRENDRE — consigner la chronologie, les décisions et les mesures préventives.</w:t>
      </w:r>
    </w:p>
    <w:p>
      <w:r>
        <w:br w:type="page"/>
      </w:r>
    </w:p>
    <w:p>
      <w:pPr>
        <w:pStyle w:val="Heading1"/>
      </w:pPr>
      <w:r>
        <w:t>Fiche de première heure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Date et heure</w:t>
            </w:r>
          </w:p>
        </w:tc>
        <w:tc>
          <w:tcPr>
            <w:tcW w:type="dxa" w:w="7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Personne ayant signalé</w:t>
            </w:r>
          </w:p>
        </w:tc>
        <w:tc>
          <w:tcPr>
            <w:tcW w:type="dxa" w:w="7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Système ou compte touché</w:t>
            </w:r>
          </w:p>
        </w:tc>
        <w:tc>
          <w:tcPr>
            <w:tcW w:type="dxa" w:w="7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Symptômes observés</w:t>
            </w:r>
          </w:p>
        </w:tc>
        <w:tc>
          <w:tcPr>
            <w:tcW w:type="dxa" w:w="7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Actions déjà prises</w:t>
            </w:r>
          </w:p>
        </w:tc>
        <w:tc>
          <w:tcPr>
            <w:tcW w:type="dxa" w:w="7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t>Décideur de reprise</w:t>
            </w:r>
          </w:p>
        </w:tc>
        <w:tc>
          <w:tcPr>
            <w:tcW w:type="dxa" w:w="70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</w:tr>
    </w:tbl>
    <w:tbl>
      <w:tblPr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263B"/>
                <w:sz w:val="20"/>
              </w:rPr>
              <w:t>À éviter</w:t>
            </w:r>
          </w:p>
          <w:p>
            <w:pPr>
              <w:spacing w:after="0"/>
            </w:pPr>
            <w:r>
              <w:rPr>
                <w:rFonts w:ascii="Calibri" w:hAnsi="Calibri"/>
                <w:color w:val="5F6B7A"/>
                <w:sz w:val="19"/>
              </w:rPr>
              <w:t>Ne pas effacer les journaux, répondre à l’attaquant, payer, restaurer ou communiquer publiquement sans décision autorisée.</w:t>
            </w:r>
          </w:p>
        </w:tc>
      </w:tr>
    </w:tbl>
    <w:p>
      <w:pPr>
        <w:pStyle w:val="Heading1"/>
      </w:pPr>
      <w:r>
        <w:t>Retour d’expérience</w:t>
      </w:r>
    </w:p>
    <w:p>
      <w:pPr>
        <w:pStyle w:val="ListBullet"/>
      </w:pPr>
      <w:r>
        <w:t>Cause probable et contrôles qui ont fonctionné.</w:t>
      </w:r>
    </w:p>
    <w:p>
      <w:pPr>
        <w:pStyle w:val="ListBullet"/>
      </w:pPr>
      <w:r>
        <w:t>Temps de détection, de confinement et de reprise.</w:t>
      </w:r>
    </w:p>
    <w:p>
      <w:pPr>
        <w:pStyle w:val="ListBullet"/>
      </w:pPr>
      <w:r>
        <w:t>Actions correctives, responsable et échéance.</w:t>
      </w:r>
    </w:p>
    <w:p>
      <w:pPr>
        <w:pStyle w:val="ListBullet"/>
      </w:pPr>
      <w:r>
        <w:t>Mise à jour de la checklist accès/sauvegardes.</w:t>
      </w:r>
    </w:p>
    <w:p>
      <w:pPr>
        <w:pStyle w:val="Heading1"/>
      </w:pPr>
      <w:r>
        <w:t>Adoption et révision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rPr>
                <w:rFonts w:ascii="Calibri" w:hAnsi="Calibri"/>
                <w:b/>
                <w:color w:val="16263B"/>
              </w:rPr>
              <w:t>Propriétaire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{{CONTACT_NAME}}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rPr>
                <w:rFonts w:ascii="Calibri" w:hAnsi="Calibri"/>
                <w:b/>
                <w:color w:val="16263B"/>
              </w:rPr>
              <w:t>Approuvé par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rPr>
                <w:rFonts w:ascii="Calibri" w:hAnsi="Calibri"/>
                <w:b/>
                <w:color w:val="16263B"/>
              </w:rPr>
              <w:t>Date d’adoption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{{GENERATED_DATE}}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rPr>
                <w:rFonts w:ascii="Calibri" w:hAnsi="Calibri"/>
                <w:b/>
                <w:color w:val="16263B"/>
              </w:rPr>
              <w:t>Prochaine révision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Dans 90 jours, puis annuellement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49" w:right="936" w:bottom="749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A"/>
        <w:sz w:val="16"/>
      </w:rPr>
      <w:t>ForméducWeb  ·  Gabarit opérationnel  ·  À adapter et faire valider selon votre contexte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037"/>
      <w:jc w:val="left"/>
      <w:tblLayout w:type="fixed"/>
      <w:tblLook w:firstColumn="1" w:firstRow="1" w:lastColumn="0" w:lastRow="0" w:noHBand="0" w:noVBand="1" w:val="04A0"/>
    </w:tblPr>
    <w:tblGrid>
      <w:gridCol w:w="5018"/>
      <w:gridCol w:w="5018"/>
    </w:tblGrid>
    <w:tr>
      <w:tc>
        <w:tcPr>
          <w:tcW w:type="dxa" w:w="1512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438912" cy="43891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4389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25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  <w:pBdr>
              <w:bottom w:val="single" w:sz="8" w:space="4" w:color="D9E2EC"/>
            </w:pBdr>
          </w:pPr>
          <w:r>
            <w:rPr>
              <w:rFonts w:ascii="Calibri" w:hAnsi="Calibri"/>
              <w:b/>
              <w:color w:val="5F6B7A"/>
              <w:sz w:val="16"/>
            </w:rPr>
            <w:t>FORMÉDUCWEB  ·  KIT D’EXÉCUTION 90 JOURS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626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571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71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26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263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