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33BE" w14:textId="5CB971AF" w:rsidR="002C39FB" w:rsidRPr="00581E57" w:rsidRDefault="002C39FB" w:rsidP="002C39FB">
      <w:pPr>
        <w:tabs>
          <w:tab w:val="center" w:pos="5580"/>
          <w:tab w:val="right" w:pos="9360"/>
        </w:tabs>
        <w:rPr>
          <w:b/>
          <w:sz w:val="32"/>
          <w:szCs w:val="32"/>
        </w:rPr>
      </w:pPr>
      <w:r>
        <w:rPr>
          <w:b/>
          <w:sz w:val="32"/>
          <w:szCs w:val="32"/>
        </w:rPr>
        <w:t>Electric Power Markets</w:t>
      </w:r>
      <w:r>
        <w:rPr>
          <w:b/>
          <w:sz w:val="32"/>
          <w:szCs w:val="32"/>
        </w:rPr>
        <w:tab/>
      </w:r>
      <w:r w:rsidR="006B2D18">
        <w:rPr>
          <w:b/>
          <w:sz w:val="32"/>
          <w:szCs w:val="32"/>
        </w:rPr>
        <w:t>Spring 20</w:t>
      </w:r>
      <w:r w:rsidR="0000720A">
        <w:rPr>
          <w:b/>
          <w:sz w:val="32"/>
          <w:szCs w:val="32"/>
        </w:rPr>
        <w:t>2</w:t>
      </w:r>
      <w:r w:rsidR="00713116">
        <w:rPr>
          <w:b/>
          <w:sz w:val="32"/>
          <w:szCs w:val="32"/>
        </w:rPr>
        <w:t>2</w:t>
      </w:r>
      <w:r>
        <w:rPr>
          <w:b/>
          <w:sz w:val="32"/>
          <w:szCs w:val="32"/>
        </w:rPr>
        <w:tab/>
        <w:t xml:space="preserve">ENV </w:t>
      </w:r>
      <w:r w:rsidR="00F4348E">
        <w:rPr>
          <w:b/>
          <w:sz w:val="32"/>
          <w:szCs w:val="32"/>
        </w:rPr>
        <w:t>717</w:t>
      </w:r>
    </w:p>
    <w:p w14:paraId="53F0DDD5" w14:textId="77777777" w:rsidR="002C39FB" w:rsidRDefault="002C39FB" w:rsidP="002C39FB">
      <w:pPr>
        <w:rPr>
          <w:b/>
        </w:rPr>
      </w:pPr>
    </w:p>
    <w:p w14:paraId="5A7B1E1A" w14:textId="77777777" w:rsidR="002C39FB" w:rsidRPr="002D7EC2" w:rsidRDefault="002C39FB" w:rsidP="002C39FB">
      <w:pPr>
        <w:tabs>
          <w:tab w:val="right" w:pos="9360"/>
        </w:tabs>
      </w:pPr>
      <w:r w:rsidRPr="002D7EC2">
        <w:t>Nicholas School</w:t>
      </w:r>
      <w:r>
        <w:t xml:space="preserve"> of the Environment</w:t>
      </w:r>
      <w:r w:rsidRPr="002D7EC2">
        <w:tab/>
        <w:t>Duke University</w:t>
      </w:r>
    </w:p>
    <w:p w14:paraId="403EB099" w14:textId="77777777" w:rsidR="002C39FB" w:rsidRPr="00CF0953" w:rsidRDefault="002C39FB" w:rsidP="002C39FB">
      <w:pPr>
        <w:pBdr>
          <w:bottom w:val="single" w:sz="6" w:space="1" w:color="auto"/>
        </w:pBdr>
        <w:tabs>
          <w:tab w:val="right" w:pos="9360"/>
        </w:tabs>
      </w:pPr>
    </w:p>
    <w:p w14:paraId="4009BFAA" w14:textId="4EA52073" w:rsidR="002C39FB" w:rsidRDefault="006B6CA8" w:rsidP="002C39FB">
      <w:pPr>
        <w:keepNext/>
        <w:keepLines/>
        <w:tabs>
          <w:tab w:val="right" w:pos="9360"/>
        </w:tabs>
        <w:rPr>
          <w:b/>
          <w:i/>
        </w:rPr>
      </w:pPr>
      <w:r>
        <w:rPr>
          <w:b/>
          <w:i/>
        </w:rPr>
        <w:t xml:space="preserve">Assignment # </w:t>
      </w:r>
      <w:r w:rsidR="0000720A">
        <w:rPr>
          <w:b/>
          <w:i/>
        </w:rPr>
        <w:t>1</w:t>
      </w:r>
      <w:r w:rsidR="00713116">
        <w:rPr>
          <w:b/>
          <w:i/>
        </w:rPr>
        <w:t>1</w:t>
      </w:r>
    </w:p>
    <w:p w14:paraId="510AADAE" w14:textId="77777777" w:rsidR="002C39FB" w:rsidRDefault="002C39FB" w:rsidP="002C39FB">
      <w:pPr>
        <w:keepNext/>
        <w:keepLines/>
        <w:tabs>
          <w:tab w:val="right" w:pos="9360"/>
        </w:tabs>
        <w:rPr>
          <w:b/>
          <w:i/>
        </w:rPr>
      </w:pPr>
    </w:p>
    <w:p w14:paraId="208B6C80" w14:textId="11118481" w:rsidR="0021006A" w:rsidRPr="0021006A" w:rsidRDefault="0021006A" w:rsidP="00797202">
      <w:pPr>
        <w:keepNext/>
        <w:keepLines/>
        <w:tabs>
          <w:tab w:val="right" w:pos="9360"/>
        </w:tabs>
        <w:rPr>
          <w:b/>
          <w:bCs/>
        </w:rPr>
      </w:pPr>
      <w:proofErr w:type="spellStart"/>
      <w:r w:rsidRPr="0021006A">
        <w:rPr>
          <w:b/>
          <w:bCs/>
        </w:rPr>
        <w:t>NicIso</w:t>
      </w:r>
      <w:proofErr w:type="spellEnd"/>
    </w:p>
    <w:p w14:paraId="5DCC522D" w14:textId="1B416CC7" w:rsidR="00797202" w:rsidRDefault="00797202" w:rsidP="00797202">
      <w:pPr>
        <w:keepNext/>
        <w:keepLines/>
        <w:tabs>
          <w:tab w:val="right" w:pos="9360"/>
        </w:tabs>
      </w:pPr>
      <w:r>
        <w:t xml:space="preserve">The electric power system of </w:t>
      </w:r>
      <w:proofErr w:type="spellStart"/>
      <w:r>
        <w:t>NicIso</w:t>
      </w:r>
      <w:proofErr w:type="spellEnd"/>
      <w:r>
        <w:t xml:space="preserve"> can be represented as a </w:t>
      </w:r>
      <w:r w:rsidR="006A6B23">
        <w:t>3-bus</w:t>
      </w:r>
      <w:r>
        <w:t xml:space="preserve"> system.  The characteristics of the fossil-fired </w:t>
      </w:r>
      <w:r w:rsidR="0011133E" w:rsidRPr="0011133E">
        <w:rPr>
          <w:highlight w:val="yellow"/>
        </w:rPr>
        <w:t>and nuclear</w:t>
      </w:r>
      <w:r w:rsidR="0011133E">
        <w:t xml:space="preserve"> </w:t>
      </w:r>
      <w:r>
        <w:t>generation resources are shown in Table 1:</w:t>
      </w:r>
    </w:p>
    <w:p w14:paraId="027977C5" w14:textId="7BCFFC38" w:rsidR="00797202" w:rsidRDefault="00797202" w:rsidP="00797202">
      <w:pPr>
        <w:widowControl w:val="0"/>
        <w:tabs>
          <w:tab w:val="right" w:pos="9360"/>
        </w:tabs>
      </w:pPr>
      <w:r>
        <w:t xml:space="preserve">Generators in </w:t>
      </w:r>
      <w:proofErr w:type="spellStart"/>
      <w:r>
        <w:t>NicIso</w:t>
      </w:r>
      <w:proofErr w:type="spellEnd"/>
      <w:r>
        <w:t xml:space="preserve"> bid their marginal cost.  Marginal costs are a function of current fuel prices and emissions allowances prices</w:t>
      </w:r>
      <w:r w:rsidR="00411C1E">
        <w:t xml:space="preserve">. To simplify your work, marginal costs for next year have been calculated and are provided in Table 1. These costs assume the fuel prices to </w:t>
      </w:r>
      <w:proofErr w:type="spellStart"/>
      <w:r w:rsidR="00411C1E">
        <w:t>NicIso</w:t>
      </w:r>
      <w:proofErr w:type="spellEnd"/>
      <w:r w:rsidR="00411C1E">
        <w:t xml:space="preserve"> generators as reported in a recent survey.</w:t>
      </w:r>
    </w:p>
    <w:p w14:paraId="08F477DE" w14:textId="77777777" w:rsidR="00797202" w:rsidRDefault="00797202" w:rsidP="00797202">
      <w:pPr>
        <w:widowControl w:val="0"/>
        <w:tabs>
          <w:tab w:val="right" w:pos="9360"/>
        </w:tabs>
        <w:rPr>
          <w:rFonts w:ascii="Arial" w:hAnsi="Arial" w:cs="Arial"/>
          <w:b/>
          <w:bCs/>
          <w:sz w:val="20"/>
          <w:szCs w:val="20"/>
        </w:rPr>
      </w:pPr>
    </w:p>
    <w:p w14:paraId="25A73514" w14:textId="77777777" w:rsidR="00797202" w:rsidRDefault="00797202" w:rsidP="00797202">
      <w:pPr>
        <w:widowControl w:val="0"/>
        <w:tabs>
          <w:tab w:val="right" w:pos="9360"/>
        </w:tabs>
        <w:rPr>
          <w:rFonts w:ascii="Arial" w:hAnsi="Arial" w:cs="Arial"/>
          <w:b/>
          <w:bCs/>
          <w:sz w:val="20"/>
          <w:szCs w:val="20"/>
        </w:rPr>
      </w:pPr>
      <w:r>
        <w:rPr>
          <w:rFonts w:ascii="Arial" w:hAnsi="Arial" w:cs="Arial"/>
          <w:b/>
          <w:bCs/>
          <w:sz w:val="20"/>
          <w:szCs w:val="20"/>
        </w:rPr>
        <w:t>Table 1: Generation resources</w:t>
      </w:r>
    </w:p>
    <w:p w14:paraId="255B55A7" w14:textId="74A6F296" w:rsidR="00461F65" w:rsidRDefault="00461F65" w:rsidP="006D5F38">
      <w:pPr>
        <w:widowControl w:val="0"/>
        <w:tabs>
          <w:tab w:val="right" w:pos="9360"/>
        </w:tabs>
        <w:rPr>
          <w:rFonts w:asciiTheme="minorHAnsi" w:eastAsiaTheme="minorHAnsi" w:hAnsiTheme="minorHAnsi" w:cstheme="minorBidi"/>
          <w:sz w:val="22"/>
          <w:szCs w:val="22"/>
        </w:rPr>
      </w:pPr>
      <w:r>
        <w:fldChar w:fldCharType="begin"/>
      </w:r>
      <w:r>
        <w:instrText xml:space="preserve"> LINK Excel.SheetMacroEnabled.12 "C:\\Users\\dp52\\In USE\\Classes\\Power Markets II\\UC ED model and data to share with students\\Data and pre -processing\\macro procesamiento EDITED for NICISO2021.xlsm" "Plants For NicISO I!R1C1:R27C7" \a \f 4 \h </w:instrText>
      </w:r>
      <w:r w:rsidR="007868C2">
        <w:instrText xml:space="preserve"> \* MERGEFORMAT </w:instrText>
      </w:r>
      <w:r>
        <w:fldChar w:fldCharType="separate"/>
      </w:r>
    </w:p>
    <w:tbl>
      <w:tblPr>
        <w:tblW w:w="7105" w:type="dxa"/>
        <w:tblLayout w:type="fixed"/>
        <w:tblLook w:val="04A0" w:firstRow="1" w:lastRow="0" w:firstColumn="1" w:lastColumn="0" w:noHBand="0" w:noVBand="1"/>
      </w:tblPr>
      <w:tblGrid>
        <w:gridCol w:w="960"/>
        <w:gridCol w:w="960"/>
        <w:gridCol w:w="1315"/>
        <w:gridCol w:w="1170"/>
        <w:gridCol w:w="990"/>
        <w:gridCol w:w="1080"/>
        <w:gridCol w:w="630"/>
      </w:tblGrid>
      <w:tr w:rsidR="00461F65" w:rsidRPr="00461F65" w14:paraId="38B74EDF" w14:textId="77777777" w:rsidTr="00224542">
        <w:trPr>
          <w:trHeight w:val="1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AFA885" w14:textId="1DBAE120" w:rsidR="00461F65" w:rsidRPr="00461F65" w:rsidRDefault="00461F65" w:rsidP="00461F65">
            <w:pPr>
              <w:rPr>
                <w:color w:val="000000"/>
                <w:sz w:val="20"/>
                <w:szCs w:val="20"/>
              </w:rPr>
            </w:pPr>
            <w:r w:rsidRPr="00461F65">
              <w:rPr>
                <w:color w:val="000000"/>
                <w:sz w:val="20"/>
                <w:szCs w:val="20"/>
              </w:rPr>
              <w:t>Plant 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2E0C9B5" w14:textId="77777777" w:rsidR="00461F65" w:rsidRPr="00461F65" w:rsidRDefault="00461F65" w:rsidP="00461F65">
            <w:pPr>
              <w:rPr>
                <w:color w:val="000000"/>
                <w:sz w:val="20"/>
                <w:szCs w:val="20"/>
              </w:rPr>
            </w:pPr>
            <w:r w:rsidRPr="00461F65">
              <w:rPr>
                <w:color w:val="000000"/>
                <w:sz w:val="20"/>
                <w:szCs w:val="20"/>
              </w:rPr>
              <w:t>Plant Name</w:t>
            </w:r>
          </w:p>
        </w:tc>
        <w:tc>
          <w:tcPr>
            <w:tcW w:w="1315" w:type="dxa"/>
            <w:tcBorders>
              <w:top w:val="single" w:sz="4" w:space="0" w:color="auto"/>
              <w:left w:val="nil"/>
              <w:bottom w:val="single" w:sz="4" w:space="0" w:color="auto"/>
              <w:right w:val="single" w:sz="4" w:space="0" w:color="auto"/>
            </w:tcBorders>
            <w:shd w:val="clear" w:color="auto" w:fill="auto"/>
            <w:vAlign w:val="bottom"/>
            <w:hideMark/>
          </w:tcPr>
          <w:p w14:paraId="34A72B53" w14:textId="77777777" w:rsidR="00461F65" w:rsidRPr="00461F65" w:rsidRDefault="00461F65" w:rsidP="00461F65">
            <w:pPr>
              <w:rPr>
                <w:color w:val="000000"/>
                <w:sz w:val="20"/>
                <w:szCs w:val="20"/>
              </w:rPr>
            </w:pPr>
            <w:r w:rsidRPr="00461F65">
              <w:rPr>
                <w:color w:val="000000"/>
                <w:sz w:val="20"/>
                <w:szCs w:val="20"/>
              </w:rPr>
              <w:t>Fuel Type</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0C35F1B0" w14:textId="77777777" w:rsidR="00461F65" w:rsidRPr="00461F65" w:rsidRDefault="00461F65" w:rsidP="00461F65">
            <w:pPr>
              <w:rPr>
                <w:color w:val="000000"/>
                <w:sz w:val="20"/>
                <w:szCs w:val="20"/>
              </w:rPr>
            </w:pPr>
            <w:r w:rsidRPr="00461F65">
              <w:rPr>
                <w:color w:val="000000"/>
                <w:sz w:val="20"/>
                <w:szCs w:val="20"/>
              </w:rPr>
              <w:t xml:space="preserve">Nameplate Capacity </w:t>
            </w:r>
            <w:r w:rsidRPr="00461F65">
              <w:rPr>
                <w:color w:val="000000"/>
                <w:sz w:val="20"/>
                <w:szCs w:val="20"/>
              </w:rPr>
              <w:br/>
              <w:t>(MW)</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0C859AF2" w14:textId="0BD28BBC" w:rsidR="00461F65" w:rsidRPr="00461F65" w:rsidRDefault="00461F65" w:rsidP="00224542">
            <w:pPr>
              <w:rPr>
                <w:color w:val="000000"/>
                <w:sz w:val="20"/>
                <w:szCs w:val="20"/>
              </w:rPr>
            </w:pPr>
            <w:r w:rsidRPr="00461F65">
              <w:rPr>
                <w:color w:val="000000"/>
                <w:sz w:val="20"/>
                <w:szCs w:val="20"/>
              </w:rPr>
              <w:t>Ma</w:t>
            </w:r>
            <w:r w:rsidR="00224542">
              <w:rPr>
                <w:color w:val="000000"/>
                <w:sz w:val="20"/>
                <w:szCs w:val="20"/>
              </w:rPr>
              <w:t>r</w:t>
            </w:r>
            <w:r w:rsidRPr="00461F65">
              <w:rPr>
                <w:color w:val="000000"/>
                <w:sz w:val="20"/>
                <w:szCs w:val="20"/>
              </w:rPr>
              <w:t>ginal Cost</w:t>
            </w:r>
            <w:r w:rsidRPr="00461F65">
              <w:rPr>
                <w:color w:val="000000"/>
                <w:sz w:val="20"/>
                <w:szCs w:val="20"/>
              </w:rPr>
              <w:br/>
              <w:t>($/MWh)</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7C95FD9E" w14:textId="5087B31D" w:rsidR="00461F65" w:rsidRPr="00461F65" w:rsidRDefault="00461F65" w:rsidP="00AE1D83">
            <w:pPr>
              <w:rPr>
                <w:color w:val="000000"/>
                <w:sz w:val="20"/>
                <w:szCs w:val="20"/>
              </w:rPr>
            </w:pPr>
            <w:r w:rsidRPr="00461F65">
              <w:rPr>
                <w:color w:val="000000"/>
                <w:sz w:val="20"/>
                <w:szCs w:val="20"/>
              </w:rPr>
              <w:t xml:space="preserve">CO2-eq </w:t>
            </w:r>
            <w:r w:rsidRPr="00461F65">
              <w:rPr>
                <w:color w:val="000000"/>
                <w:sz w:val="20"/>
                <w:szCs w:val="20"/>
              </w:rPr>
              <w:br/>
              <w:t xml:space="preserve">Average Emission </w:t>
            </w:r>
            <w:r w:rsidR="00AE1D83">
              <w:rPr>
                <w:color w:val="000000"/>
                <w:sz w:val="20"/>
                <w:szCs w:val="20"/>
              </w:rPr>
              <w:t>Rate</w:t>
            </w:r>
            <w:r w:rsidRPr="00461F65">
              <w:rPr>
                <w:color w:val="000000"/>
                <w:sz w:val="20"/>
                <w:szCs w:val="20"/>
              </w:rPr>
              <w:br/>
              <w:t>(</w:t>
            </w:r>
            <w:proofErr w:type="spellStart"/>
            <w:r w:rsidRPr="00461F65">
              <w:rPr>
                <w:color w:val="000000"/>
                <w:sz w:val="20"/>
                <w:szCs w:val="20"/>
              </w:rPr>
              <w:t>lb</w:t>
            </w:r>
            <w:proofErr w:type="spellEnd"/>
            <w:r w:rsidRPr="00461F65">
              <w:rPr>
                <w:color w:val="000000"/>
                <w:sz w:val="20"/>
                <w:szCs w:val="20"/>
              </w:rPr>
              <w:t>/MWh)</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12F9016" w14:textId="77777777" w:rsidR="00461F65" w:rsidRPr="00461F65" w:rsidRDefault="00461F65" w:rsidP="00461F65">
            <w:pPr>
              <w:rPr>
                <w:color w:val="000000"/>
                <w:sz w:val="20"/>
                <w:szCs w:val="20"/>
              </w:rPr>
            </w:pPr>
            <w:r w:rsidRPr="00461F65">
              <w:rPr>
                <w:color w:val="000000"/>
                <w:sz w:val="20"/>
                <w:szCs w:val="20"/>
              </w:rPr>
              <w:t>Bus</w:t>
            </w:r>
          </w:p>
        </w:tc>
      </w:tr>
      <w:tr w:rsidR="00461F65" w:rsidRPr="00461F65" w14:paraId="7298136A"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9814C" w14:textId="77777777" w:rsidR="00461F65" w:rsidRPr="00461F65" w:rsidRDefault="00461F65" w:rsidP="00461F65">
            <w:pPr>
              <w:jc w:val="center"/>
              <w:rPr>
                <w:color w:val="000000"/>
                <w:sz w:val="20"/>
                <w:szCs w:val="20"/>
              </w:rPr>
            </w:pPr>
            <w:r w:rsidRPr="00461F65">
              <w:rPr>
                <w:color w:val="000000"/>
                <w:sz w:val="20"/>
                <w:szCs w:val="20"/>
              </w:rPr>
              <w:t>A</w:t>
            </w:r>
          </w:p>
        </w:tc>
        <w:tc>
          <w:tcPr>
            <w:tcW w:w="960" w:type="dxa"/>
            <w:tcBorders>
              <w:top w:val="nil"/>
              <w:left w:val="nil"/>
              <w:bottom w:val="single" w:sz="4" w:space="0" w:color="auto"/>
              <w:right w:val="single" w:sz="4" w:space="0" w:color="auto"/>
            </w:tcBorders>
            <w:shd w:val="clear" w:color="auto" w:fill="auto"/>
            <w:noWrap/>
            <w:vAlign w:val="bottom"/>
            <w:hideMark/>
          </w:tcPr>
          <w:p w14:paraId="63C23AF7" w14:textId="77777777" w:rsidR="00461F65" w:rsidRPr="00461F65" w:rsidRDefault="00461F65" w:rsidP="00461F65">
            <w:pPr>
              <w:rPr>
                <w:color w:val="000000"/>
                <w:sz w:val="20"/>
                <w:szCs w:val="20"/>
              </w:rPr>
            </w:pPr>
            <w:r w:rsidRPr="00461F65">
              <w:rPr>
                <w:color w:val="000000"/>
                <w:sz w:val="20"/>
                <w:szCs w:val="20"/>
              </w:rPr>
              <w:t>ALL</w:t>
            </w:r>
          </w:p>
        </w:tc>
        <w:tc>
          <w:tcPr>
            <w:tcW w:w="1315" w:type="dxa"/>
            <w:tcBorders>
              <w:top w:val="nil"/>
              <w:left w:val="nil"/>
              <w:bottom w:val="single" w:sz="4" w:space="0" w:color="auto"/>
              <w:right w:val="single" w:sz="4" w:space="0" w:color="auto"/>
            </w:tcBorders>
            <w:shd w:val="clear" w:color="auto" w:fill="auto"/>
            <w:noWrap/>
            <w:vAlign w:val="bottom"/>
            <w:hideMark/>
          </w:tcPr>
          <w:p w14:paraId="2D5D0766"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64F19C95" w14:textId="77777777" w:rsidR="00461F65" w:rsidRPr="00461F65" w:rsidRDefault="00461F65" w:rsidP="00461F65">
            <w:pPr>
              <w:jc w:val="right"/>
              <w:rPr>
                <w:color w:val="000000"/>
                <w:sz w:val="20"/>
                <w:szCs w:val="20"/>
              </w:rPr>
            </w:pPr>
            <w:r w:rsidRPr="00461F65">
              <w:rPr>
                <w:color w:val="000000"/>
                <w:sz w:val="20"/>
                <w:szCs w:val="20"/>
              </w:rPr>
              <w:t>1148.4</w:t>
            </w:r>
          </w:p>
        </w:tc>
        <w:tc>
          <w:tcPr>
            <w:tcW w:w="990" w:type="dxa"/>
            <w:tcBorders>
              <w:top w:val="nil"/>
              <w:left w:val="nil"/>
              <w:bottom w:val="single" w:sz="4" w:space="0" w:color="auto"/>
              <w:right w:val="single" w:sz="4" w:space="0" w:color="auto"/>
            </w:tcBorders>
            <w:shd w:val="clear" w:color="auto" w:fill="auto"/>
            <w:noWrap/>
            <w:vAlign w:val="bottom"/>
            <w:hideMark/>
          </w:tcPr>
          <w:p w14:paraId="2410F9BD" w14:textId="77777777" w:rsidR="00461F65" w:rsidRPr="00461F65" w:rsidRDefault="00461F65" w:rsidP="00461F65">
            <w:pPr>
              <w:jc w:val="right"/>
              <w:rPr>
                <w:color w:val="000000"/>
                <w:sz w:val="20"/>
                <w:szCs w:val="20"/>
              </w:rPr>
            </w:pPr>
            <w:r w:rsidRPr="00461F65">
              <w:rPr>
                <w:color w:val="000000"/>
                <w:sz w:val="20"/>
                <w:szCs w:val="20"/>
              </w:rPr>
              <w:t>44</w:t>
            </w:r>
          </w:p>
        </w:tc>
        <w:tc>
          <w:tcPr>
            <w:tcW w:w="1080" w:type="dxa"/>
            <w:tcBorders>
              <w:top w:val="nil"/>
              <w:left w:val="nil"/>
              <w:bottom w:val="single" w:sz="4" w:space="0" w:color="auto"/>
              <w:right w:val="single" w:sz="4" w:space="0" w:color="auto"/>
            </w:tcBorders>
            <w:shd w:val="clear" w:color="auto" w:fill="auto"/>
            <w:noWrap/>
            <w:vAlign w:val="bottom"/>
            <w:hideMark/>
          </w:tcPr>
          <w:p w14:paraId="3A4999EF" w14:textId="77777777" w:rsidR="00461F65" w:rsidRPr="00461F65" w:rsidRDefault="00461F65" w:rsidP="00461F65">
            <w:pPr>
              <w:jc w:val="right"/>
              <w:rPr>
                <w:color w:val="000000"/>
                <w:sz w:val="20"/>
                <w:szCs w:val="20"/>
              </w:rPr>
            </w:pPr>
            <w:r w:rsidRPr="00461F65">
              <w:rPr>
                <w:color w:val="000000"/>
                <w:sz w:val="20"/>
                <w:szCs w:val="20"/>
              </w:rPr>
              <w:t>2375.399</w:t>
            </w:r>
          </w:p>
        </w:tc>
        <w:tc>
          <w:tcPr>
            <w:tcW w:w="630" w:type="dxa"/>
            <w:tcBorders>
              <w:top w:val="nil"/>
              <w:left w:val="nil"/>
              <w:bottom w:val="single" w:sz="4" w:space="0" w:color="auto"/>
              <w:right w:val="single" w:sz="4" w:space="0" w:color="auto"/>
            </w:tcBorders>
            <w:shd w:val="clear" w:color="auto" w:fill="auto"/>
            <w:noWrap/>
            <w:vAlign w:val="bottom"/>
            <w:hideMark/>
          </w:tcPr>
          <w:p w14:paraId="34A32A3C"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10F5B657"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2DBE9F" w14:textId="77777777" w:rsidR="00461F65" w:rsidRPr="00461F65" w:rsidRDefault="00461F65" w:rsidP="00461F65">
            <w:pPr>
              <w:jc w:val="center"/>
              <w:rPr>
                <w:color w:val="000000"/>
                <w:sz w:val="20"/>
                <w:szCs w:val="20"/>
              </w:rPr>
            </w:pPr>
            <w:r w:rsidRPr="00461F65">
              <w:rPr>
                <w:color w:val="000000"/>
                <w:sz w:val="20"/>
                <w:szCs w:val="20"/>
              </w:rPr>
              <w:t>B</w:t>
            </w:r>
          </w:p>
        </w:tc>
        <w:tc>
          <w:tcPr>
            <w:tcW w:w="960" w:type="dxa"/>
            <w:tcBorders>
              <w:top w:val="nil"/>
              <w:left w:val="nil"/>
              <w:bottom w:val="single" w:sz="4" w:space="0" w:color="auto"/>
              <w:right w:val="single" w:sz="4" w:space="0" w:color="auto"/>
            </w:tcBorders>
            <w:shd w:val="clear" w:color="auto" w:fill="auto"/>
            <w:noWrap/>
            <w:vAlign w:val="bottom"/>
            <w:hideMark/>
          </w:tcPr>
          <w:p w14:paraId="28F6B002" w14:textId="77777777" w:rsidR="00461F65" w:rsidRPr="00461F65" w:rsidRDefault="00461F65" w:rsidP="00461F65">
            <w:pPr>
              <w:rPr>
                <w:color w:val="000000"/>
                <w:sz w:val="20"/>
                <w:szCs w:val="20"/>
              </w:rPr>
            </w:pPr>
            <w:r w:rsidRPr="00461F65">
              <w:rPr>
                <w:color w:val="000000"/>
                <w:sz w:val="20"/>
                <w:szCs w:val="20"/>
              </w:rPr>
              <w:t>ASH</w:t>
            </w:r>
          </w:p>
        </w:tc>
        <w:tc>
          <w:tcPr>
            <w:tcW w:w="1315" w:type="dxa"/>
            <w:tcBorders>
              <w:top w:val="nil"/>
              <w:left w:val="nil"/>
              <w:bottom w:val="single" w:sz="4" w:space="0" w:color="auto"/>
              <w:right w:val="single" w:sz="4" w:space="0" w:color="auto"/>
            </w:tcBorders>
            <w:shd w:val="clear" w:color="auto" w:fill="auto"/>
            <w:noWrap/>
            <w:vAlign w:val="bottom"/>
            <w:hideMark/>
          </w:tcPr>
          <w:p w14:paraId="1ACAF2D4"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76D26808" w14:textId="77777777" w:rsidR="00461F65" w:rsidRPr="00461F65" w:rsidRDefault="00461F65" w:rsidP="00461F65">
            <w:pPr>
              <w:jc w:val="right"/>
              <w:rPr>
                <w:color w:val="000000"/>
                <w:sz w:val="20"/>
                <w:szCs w:val="20"/>
              </w:rPr>
            </w:pPr>
            <w:r w:rsidRPr="00461F65">
              <w:rPr>
                <w:color w:val="000000"/>
                <w:sz w:val="20"/>
                <w:szCs w:val="20"/>
              </w:rPr>
              <w:t>413.6</w:t>
            </w:r>
          </w:p>
        </w:tc>
        <w:tc>
          <w:tcPr>
            <w:tcW w:w="990" w:type="dxa"/>
            <w:tcBorders>
              <w:top w:val="nil"/>
              <w:left w:val="nil"/>
              <w:bottom w:val="single" w:sz="4" w:space="0" w:color="auto"/>
              <w:right w:val="single" w:sz="4" w:space="0" w:color="auto"/>
            </w:tcBorders>
            <w:shd w:val="clear" w:color="auto" w:fill="auto"/>
            <w:noWrap/>
            <w:vAlign w:val="bottom"/>
            <w:hideMark/>
          </w:tcPr>
          <w:p w14:paraId="00EE03E1" w14:textId="77777777" w:rsidR="00461F65" w:rsidRPr="00461F65" w:rsidRDefault="00461F65" w:rsidP="00461F65">
            <w:pPr>
              <w:jc w:val="right"/>
              <w:rPr>
                <w:color w:val="000000"/>
                <w:sz w:val="20"/>
                <w:szCs w:val="20"/>
              </w:rPr>
            </w:pPr>
            <w:r w:rsidRPr="00461F65">
              <w:rPr>
                <w:color w:val="000000"/>
                <w:sz w:val="20"/>
                <w:szCs w:val="20"/>
              </w:rPr>
              <w:t>47</w:t>
            </w:r>
          </w:p>
        </w:tc>
        <w:tc>
          <w:tcPr>
            <w:tcW w:w="1080" w:type="dxa"/>
            <w:tcBorders>
              <w:top w:val="nil"/>
              <w:left w:val="nil"/>
              <w:bottom w:val="single" w:sz="4" w:space="0" w:color="auto"/>
              <w:right w:val="single" w:sz="4" w:space="0" w:color="auto"/>
            </w:tcBorders>
            <w:shd w:val="clear" w:color="auto" w:fill="auto"/>
            <w:noWrap/>
            <w:vAlign w:val="bottom"/>
            <w:hideMark/>
          </w:tcPr>
          <w:p w14:paraId="461783B6" w14:textId="77777777" w:rsidR="00461F65" w:rsidRPr="00461F65" w:rsidRDefault="00461F65" w:rsidP="00461F65">
            <w:pPr>
              <w:jc w:val="right"/>
              <w:rPr>
                <w:color w:val="000000"/>
                <w:sz w:val="20"/>
                <w:szCs w:val="20"/>
              </w:rPr>
            </w:pPr>
            <w:r w:rsidRPr="00461F65">
              <w:rPr>
                <w:color w:val="000000"/>
                <w:sz w:val="20"/>
                <w:szCs w:val="20"/>
              </w:rPr>
              <w:t>2144.04</w:t>
            </w:r>
          </w:p>
        </w:tc>
        <w:tc>
          <w:tcPr>
            <w:tcW w:w="630" w:type="dxa"/>
            <w:tcBorders>
              <w:top w:val="nil"/>
              <w:left w:val="nil"/>
              <w:bottom w:val="single" w:sz="4" w:space="0" w:color="auto"/>
              <w:right w:val="single" w:sz="4" w:space="0" w:color="auto"/>
            </w:tcBorders>
            <w:shd w:val="clear" w:color="auto" w:fill="auto"/>
            <w:noWrap/>
            <w:vAlign w:val="bottom"/>
            <w:hideMark/>
          </w:tcPr>
          <w:p w14:paraId="0F24C712"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2E123396"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60CEF1" w14:textId="77777777" w:rsidR="00461F65" w:rsidRPr="00461F65" w:rsidRDefault="00461F65" w:rsidP="00461F65">
            <w:pPr>
              <w:jc w:val="center"/>
              <w:rPr>
                <w:color w:val="000000"/>
                <w:sz w:val="20"/>
                <w:szCs w:val="20"/>
              </w:rPr>
            </w:pPr>
            <w:r w:rsidRPr="00461F65">
              <w:rPr>
                <w:color w:val="000000"/>
                <w:sz w:val="20"/>
                <w:szCs w:val="20"/>
              </w:rPr>
              <w:t>C</w:t>
            </w:r>
          </w:p>
        </w:tc>
        <w:tc>
          <w:tcPr>
            <w:tcW w:w="960" w:type="dxa"/>
            <w:tcBorders>
              <w:top w:val="nil"/>
              <w:left w:val="nil"/>
              <w:bottom w:val="single" w:sz="4" w:space="0" w:color="auto"/>
              <w:right w:val="single" w:sz="4" w:space="0" w:color="auto"/>
            </w:tcBorders>
            <w:shd w:val="clear" w:color="auto" w:fill="auto"/>
            <w:noWrap/>
            <w:vAlign w:val="bottom"/>
            <w:hideMark/>
          </w:tcPr>
          <w:p w14:paraId="45EFDB40" w14:textId="77777777" w:rsidR="00461F65" w:rsidRPr="00461F65" w:rsidRDefault="00461F65" w:rsidP="00461F65">
            <w:pPr>
              <w:rPr>
                <w:color w:val="000000"/>
                <w:sz w:val="20"/>
                <w:szCs w:val="20"/>
              </w:rPr>
            </w:pPr>
            <w:r w:rsidRPr="00461F65">
              <w:rPr>
                <w:color w:val="000000"/>
                <w:sz w:val="20"/>
                <w:szCs w:val="20"/>
              </w:rPr>
              <w:t>BEL</w:t>
            </w:r>
          </w:p>
        </w:tc>
        <w:tc>
          <w:tcPr>
            <w:tcW w:w="1315" w:type="dxa"/>
            <w:tcBorders>
              <w:top w:val="nil"/>
              <w:left w:val="nil"/>
              <w:bottom w:val="single" w:sz="4" w:space="0" w:color="auto"/>
              <w:right w:val="single" w:sz="4" w:space="0" w:color="auto"/>
            </w:tcBorders>
            <w:shd w:val="clear" w:color="auto" w:fill="auto"/>
            <w:noWrap/>
            <w:vAlign w:val="bottom"/>
            <w:hideMark/>
          </w:tcPr>
          <w:p w14:paraId="1DBB0F14"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2C3E2A2A" w14:textId="77777777" w:rsidR="00461F65" w:rsidRPr="00461F65" w:rsidRDefault="00461F65" w:rsidP="00461F65">
            <w:pPr>
              <w:jc w:val="right"/>
              <w:rPr>
                <w:color w:val="000000"/>
                <w:sz w:val="20"/>
                <w:szCs w:val="20"/>
              </w:rPr>
            </w:pPr>
            <w:r w:rsidRPr="00461F65">
              <w:rPr>
                <w:color w:val="000000"/>
                <w:sz w:val="20"/>
                <w:szCs w:val="20"/>
              </w:rPr>
              <w:t>2491.2</w:t>
            </w:r>
          </w:p>
        </w:tc>
        <w:tc>
          <w:tcPr>
            <w:tcW w:w="990" w:type="dxa"/>
            <w:tcBorders>
              <w:top w:val="nil"/>
              <w:left w:val="nil"/>
              <w:bottom w:val="single" w:sz="4" w:space="0" w:color="auto"/>
              <w:right w:val="single" w:sz="4" w:space="0" w:color="auto"/>
            </w:tcBorders>
            <w:shd w:val="clear" w:color="auto" w:fill="auto"/>
            <w:noWrap/>
            <w:vAlign w:val="bottom"/>
            <w:hideMark/>
          </w:tcPr>
          <w:p w14:paraId="67E45410" w14:textId="77777777" w:rsidR="00461F65" w:rsidRPr="00461F65" w:rsidRDefault="00461F65" w:rsidP="00461F65">
            <w:pPr>
              <w:jc w:val="right"/>
              <w:rPr>
                <w:color w:val="000000"/>
                <w:sz w:val="20"/>
                <w:szCs w:val="20"/>
              </w:rPr>
            </w:pPr>
            <w:r w:rsidRPr="00461F65">
              <w:rPr>
                <w:color w:val="000000"/>
                <w:sz w:val="20"/>
                <w:szCs w:val="20"/>
              </w:rPr>
              <w:t>37</w:t>
            </w:r>
          </w:p>
        </w:tc>
        <w:tc>
          <w:tcPr>
            <w:tcW w:w="1080" w:type="dxa"/>
            <w:tcBorders>
              <w:top w:val="nil"/>
              <w:left w:val="nil"/>
              <w:bottom w:val="single" w:sz="4" w:space="0" w:color="auto"/>
              <w:right w:val="single" w:sz="4" w:space="0" w:color="auto"/>
            </w:tcBorders>
            <w:shd w:val="clear" w:color="auto" w:fill="auto"/>
            <w:noWrap/>
            <w:vAlign w:val="bottom"/>
            <w:hideMark/>
          </w:tcPr>
          <w:p w14:paraId="3D79DC9A" w14:textId="77777777" w:rsidR="00461F65" w:rsidRPr="00461F65" w:rsidRDefault="00461F65" w:rsidP="00461F65">
            <w:pPr>
              <w:jc w:val="right"/>
              <w:rPr>
                <w:color w:val="000000"/>
                <w:sz w:val="20"/>
                <w:szCs w:val="20"/>
              </w:rPr>
            </w:pPr>
            <w:r w:rsidRPr="00461F65">
              <w:rPr>
                <w:color w:val="000000"/>
                <w:sz w:val="20"/>
                <w:szCs w:val="20"/>
              </w:rPr>
              <w:t>1961.67</w:t>
            </w:r>
          </w:p>
        </w:tc>
        <w:tc>
          <w:tcPr>
            <w:tcW w:w="630" w:type="dxa"/>
            <w:tcBorders>
              <w:top w:val="nil"/>
              <w:left w:val="nil"/>
              <w:bottom w:val="single" w:sz="4" w:space="0" w:color="auto"/>
              <w:right w:val="single" w:sz="4" w:space="0" w:color="auto"/>
            </w:tcBorders>
            <w:shd w:val="clear" w:color="auto" w:fill="auto"/>
            <w:noWrap/>
            <w:vAlign w:val="bottom"/>
            <w:hideMark/>
          </w:tcPr>
          <w:p w14:paraId="0710E447"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20854045"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1D963" w14:textId="77777777" w:rsidR="00461F65" w:rsidRPr="00461F65" w:rsidRDefault="00461F65" w:rsidP="00461F65">
            <w:pPr>
              <w:jc w:val="center"/>
              <w:rPr>
                <w:color w:val="000000"/>
                <w:sz w:val="20"/>
                <w:szCs w:val="20"/>
              </w:rPr>
            </w:pPr>
            <w:r w:rsidRPr="00461F65">
              <w:rPr>
                <w:color w:val="000000"/>
                <w:sz w:val="20"/>
                <w:szCs w:val="20"/>
              </w:rPr>
              <w:t>D</w:t>
            </w:r>
          </w:p>
        </w:tc>
        <w:tc>
          <w:tcPr>
            <w:tcW w:w="960" w:type="dxa"/>
            <w:tcBorders>
              <w:top w:val="nil"/>
              <w:left w:val="nil"/>
              <w:bottom w:val="single" w:sz="4" w:space="0" w:color="auto"/>
              <w:right w:val="single" w:sz="4" w:space="0" w:color="auto"/>
            </w:tcBorders>
            <w:shd w:val="clear" w:color="auto" w:fill="auto"/>
            <w:noWrap/>
            <w:vAlign w:val="bottom"/>
            <w:hideMark/>
          </w:tcPr>
          <w:p w14:paraId="5E0D60E9" w14:textId="77777777" w:rsidR="00461F65" w:rsidRPr="00461F65" w:rsidRDefault="00461F65" w:rsidP="00461F65">
            <w:pPr>
              <w:rPr>
                <w:color w:val="000000"/>
                <w:sz w:val="20"/>
                <w:szCs w:val="20"/>
              </w:rPr>
            </w:pPr>
            <w:r w:rsidRPr="00461F65">
              <w:rPr>
                <w:color w:val="000000"/>
                <w:sz w:val="20"/>
                <w:szCs w:val="20"/>
              </w:rPr>
              <w:t>CLI</w:t>
            </w:r>
          </w:p>
        </w:tc>
        <w:tc>
          <w:tcPr>
            <w:tcW w:w="1315" w:type="dxa"/>
            <w:tcBorders>
              <w:top w:val="nil"/>
              <w:left w:val="nil"/>
              <w:bottom w:val="single" w:sz="4" w:space="0" w:color="auto"/>
              <w:right w:val="single" w:sz="4" w:space="0" w:color="auto"/>
            </w:tcBorders>
            <w:shd w:val="clear" w:color="auto" w:fill="auto"/>
            <w:noWrap/>
            <w:vAlign w:val="bottom"/>
            <w:hideMark/>
          </w:tcPr>
          <w:p w14:paraId="424BC274"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6F6FC6FC" w14:textId="77777777" w:rsidR="00461F65" w:rsidRPr="00461F65" w:rsidRDefault="00461F65" w:rsidP="00461F65">
            <w:pPr>
              <w:jc w:val="right"/>
              <w:rPr>
                <w:color w:val="000000"/>
                <w:sz w:val="20"/>
                <w:szCs w:val="20"/>
              </w:rPr>
            </w:pPr>
            <w:r w:rsidRPr="00461F65">
              <w:rPr>
                <w:color w:val="000000"/>
                <w:sz w:val="20"/>
                <w:szCs w:val="20"/>
              </w:rPr>
              <w:t>1530.5</w:t>
            </w:r>
          </w:p>
        </w:tc>
        <w:tc>
          <w:tcPr>
            <w:tcW w:w="990" w:type="dxa"/>
            <w:tcBorders>
              <w:top w:val="nil"/>
              <w:left w:val="nil"/>
              <w:bottom w:val="single" w:sz="4" w:space="0" w:color="auto"/>
              <w:right w:val="single" w:sz="4" w:space="0" w:color="auto"/>
            </w:tcBorders>
            <w:shd w:val="clear" w:color="auto" w:fill="auto"/>
            <w:noWrap/>
            <w:vAlign w:val="bottom"/>
            <w:hideMark/>
          </w:tcPr>
          <w:p w14:paraId="2E31B280" w14:textId="77777777" w:rsidR="00461F65" w:rsidRPr="00461F65" w:rsidRDefault="00461F65" w:rsidP="00461F65">
            <w:pPr>
              <w:jc w:val="right"/>
              <w:rPr>
                <w:color w:val="000000"/>
                <w:sz w:val="20"/>
                <w:szCs w:val="20"/>
              </w:rPr>
            </w:pPr>
            <w:r w:rsidRPr="00461F65">
              <w:rPr>
                <w:color w:val="000000"/>
                <w:sz w:val="20"/>
                <w:szCs w:val="20"/>
              </w:rPr>
              <w:t>35</w:t>
            </w:r>
          </w:p>
        </w:tc>
        <w:tc>
          <w:tcPr>
            <w:tcW w:w="1080" w:type="dxa"/>
            <w:tcBorders>
              <w:top w:val="nil"/>
              <w:left w:val="nil"/>
              <w:bottom w:val="single" w:sz="4" w:space="0" w:color="auto"/>
              <w:right w:val="single" w:sz="4" w:space="0" w:color="auto"/>
            </w:tcBorders>
            <w:shd w:val="clear" w:color="auto" w:fill="auto"/>
            <w:noWrap/>
            <w:vAlign w:val="bottom"/>
            <w:hideMark/>
          </w:tcPr>
          <w:p w14:paraId="4399A334" w14:textId="77777777" w:rsidR="00461F65" w:rsidRPr="00461F65" w:rsidRDefault="00461F65" w:rsidP="00461F65">
            <w:pPr>
              <w:jc w:val="right"/>
              <w:rPr>
                <w:color w:val="000000"/>
                <w:sz w:val="20"/>
                <w:szCs w:val="20"/>
              </w:rPr>
            </w:pPr>
            <w:r w:rsidRPr="00461F65">
              <w:rPr>
                <w:color w:val="000000"/>
                <w:sz w:val="20"/>
                <w:szCs w:val="20"/>
              </w:rPr>
              <w:t>1967.268</w:t>
            </w:r>
          </w:p>
        </w:tc>
        <w:tc>
          <w:tcPr>
            <w:tcW w:w="630" w:type="dxa"/>
            <w:tcBorders>
              <w:top w:val="nil"/>
              <w:left w:val="nil"/>
              <w:bottom w:val="single" w:sz="4" w:space="0" w:color="auto"/>
              <w:right w:val="single" w:sz="4" w:space="0" w:color="auto"/>
            </w:tcBorders>
            <w:shd w:val="clear" w:color="auto" w:fill="auto"/>
            <w:noWrap/>
            <w:vAlign w:val="bottom"/>
            <w:hideMark/>
          </w:tcPr>
          <w:p w14:paraId="7816DF66"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6C297733"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FF666B" w14:textId="77777777" w:rsidR="00461F65" w:rsidRPr="00461F65" w:rsidRDefault="00461F65" w:rsidP="00461F65">
            <w:pPr>
              <w:jc w:val="center"/>
              <w:rPr>
                <w:color w:val="000000"/>
                <w:sz w:val="20"/>
                <w:szCs w:val="20"/>
              </w:rPr>
            </w:pPr>
            <w:r w:rsidRPr="00461F65">
              <w:rPr>
                <w:color w:val="000000"/>
                <w:sz w:val="20"/>
                <w:szCs w:val="20"/>
              </w:rPr>
              <w:t>E</w:t>
            </w:r>
          </w:p>
        </w:tc>
        <w:tc>
          <w:tcPr>
            <w:tcW w:w="960" w:type="dxa"/>
            <w:tcBorders>
              <w:top w:val="nil"/>
              <w:left w:val="nil"/>
              <w:bottom w:val="single" w:sz="4" w:space="0" w:color="auto"/>
              <w:right w:val="single" w:sz="4" w:space="0" w:color="auto"/>
            </w:tcBorders>
            <w:shd w:val="clear" w:color="auto" w:fill="auto"/>
            <w:noWrap/>
            <w:vAlign w:val="bottom"/>
            <w:hideMark/>
          </w:tcPr>
          <w:p w14:paraId="0B08D810" w14:textId="77777777" w:rsidR="00461F65" w:rsidRPr="00461F65" w:rsidRDefault="00461F65" w:rsidP="00461F65">
            <w:pPr>
              <w:rPr>
                <w:color w:val="000000"/>
                <w:sz w:val="20"/>
                <w:szCs w:val="20"/>
              </w:rPr>
            </w:pPr>
            <w:r w:rsidRPr="00461F65">
              <w:rPr>
                <w:color w:val="000000"/>
                <w:sz w:val="20"/>
                <w:szCs w:val="20"/>
              </w:rPr>
              <w:t>MAR</w:t>
            </w:r>
          </w:p>
        </w:tc>
        <w:tc>
          <w:tcPr>
            <w:tcW w:w="1315" w:type="dxa"/>
            <w:tcBorders>
              <w:top w:val="nil"/>
              <w:left w:val="nil"/>
              <w:bottom w:val="single" w:sz="4" w:space="0" w:color="auto"/>
              <w:right w:val="single" w:sz="4" w:space="0" w:color="auto"/>
            </w:tcBorders>
            <w:shd w:val="clear" w:color="auto" w:fill="auto"/>
            <w:noWrap/>
            <w:vAlign w:val="bottom"/>
            <w:hideMark/>
          </w:tcPr>
          <w:p w14:paraId="6D559256"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06DBD3BF" w14:textId="77777777" w:rsidR="00461F65" w:rsidRPr="00461F65" w:rsidRDefault="00461F65" w:rsidP="00461F65">
            <w:pPr>
              <w:jc w:val="right"/>
              <w:rPr>
                <w:color w:val="000000"/>
                <w:sz w:val="20"/>
                <w:szCs w:val="20"/>
              </w:rPr>
            </w:pPr>
            <w:r w:rsidRPr="00461F65">
              <w:rPr>
                <w:color w:val="000000"/>
                <w:sz w:val="20"/>
                <w:szCs w:val="20"/>
              </w:rPr>
              <w:t>2119</w:t>
            </w:r>
          </w:p>
        </w:tc>
        <w:tc>
          <w:tcPr>
            <w:tcW w:w="990" w:type="dxa"/>
            <w:tcBorders>
              <w:top w:val="nil"/>
              <w:left w:val="nil"/>
              <w:bottom w:val="single" w:sz="4" w:space="0" w:color="auto"/>
              <w:right w:val="single" w:sz="4" w:space="0" w:color="auto"/>
            </w:tcBorders>
            <w:shd w:val="clear" w:color="auto" w:fill="auto"/>
            <w:noWrap/>
            <w:vAlign w:val="bottom"/>
            <w:hideMark/>
          </w:tcPr>
          <w:p w14:paraId="3A570C72" w14:textId="77777777" w:rsidR="00461F65" w:rsidRPr="00461F65" w:rsidRDefault="00461F65" w:rsidP="00461F65">
            <w:pPr>
              <w:jc w:val="right"/>
              <w:rPr>
                <w:color w:val="000000"/>
                <w:sz w:val="20"/>
                <w:szCs w:val="20"/>
              </w:rPr>
            </w:pPr>
            <w:r w:rsidRPr="00461F65">
              <w:rPr>
                <w:color w:val="000000"/>
                <w:sz w:val="20"/>
                <w:szCs w:val="20"/>
              </w:rPr>
              <w:t>39</w:t>
            </w:r>
          </w:p>
        </w:tc>
        <w:tc>
          <w:tcPr>
            <w:tcW w:w="1080" w:type="dxa"/>
            <w:tcBorders>
              <w:top w:val="nil"/>
              <w:left w:val="nil"/>
              <w:bottom w:val="single" w:sz="4" w:space="0" w:color="auto"/>
              <w:right w:val="single" w:sz="4" w:space="0" w:color="auto"/>
            </w:tcBorders>
            <w:shd w:val="clear" w:color="auto" w:fill="auto"/>
            <w:noWrap/>
            <w:vAlign w:val="bottom"/>
            <w:hideMark/>
          </w:tcPr>
          <w:p w14:paraId="388544E3" w14:textId="77777777" w:rsidR="00461F65" w:rsidRPr="00461F65" w:rsidRDefault="00461F65" w:rsidP="00461F65">
            <w:pPr>
              <w:jc w:val="right"/>
              <w:rPr>
                <w:color w:val="000000"/>
                <w:sz w:val="20"/>
                <w:szCs w:val="20"/>
              </w:rPr>
            </w:pPr>
            <w:r w:rsidRPr="00461F65">
              <w:rPr>
                <w:color w:val="000000"/>
                <w:sz w:val="20"/>
                <w:szCs w:val="20"/>
              </w:rPr>
              <w:t>2035.088</w:t>
            </w:r>
          </w:p>
        </w:tc>
        <w:tc>
          <w:tcPr>
            <w:tcW w:w="630" w:type="dxa"/>
            <w:tcBorders>
              <w:top w:val="nil"/>
              <w:left w:val="nil"/>
              <w:bottom w:val="single" w:sz="4" w:space="0" w:color="auto"/>
              <w:right w:val="single" w:sz="4" w:space="0" w:color="auto"/>
            </w:tcBorders>
            <w:shd w:val="clear" w:color="auto" w:fill="auto"/>
            <w:noWrap/>
            <w:vAlign w:val="bottom"/>
            <w:hideMark/>
          </w:tcPr>
          <w:p w14:paraId="6BB07947"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2E5E0E21"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CEDAA3" w14:textId="77777777" w:rsidR="00461F65" w:rsidRPr="00461F65" w:rsidRDefault="00461F65" w:rsidP="00461F65">
            <w:pPr>
              <w:jc w:val="center"/>
              <w:rPr>
                <w:color w:val="000000"/>
                <w:sz w:val="20"/>
                <w:szCs w:val="20"/>
              </w:rPr>
            </w:pPr>
            <w:r w:rsidRPr="00461F65">
              <w:rPr>
                <w:color w:val="000000"/>
                <w:sz w:val="20"/>
                <w:szCs w:val="20"/>
              </w:rPr>
              <w:t>F</w:t>
            </w:r>
          </w:p>
        </w:tc>
        <w:tc>
          <w:tcPr>
            <w:tcW w:w="960" w:type="dxa"/>
            <w:tcBorders>
              <w:top w:val="nil"/>
              <w:left w:val="nil"/>
              <w:bottom w:val="single" w:sz="4" w:space="0" w:color="auto"/>
              <w:right w:val="single" w:sz="4" w:space="0" w:color="auto"/>
            </w:tcBorders>
            <w:shd w:val="clear" w:color="auto" w:fill="auto"/>
            <w:noWrap/>
            <w:vAlign w:val="bottom"/>
            <w:hideMark/>
          </w:tcPr>
          <w:p w14:paraId="53A66379" w14:textId="77777777" w:rsidR="00461F65" w:rsidRPr="00461F65" w:rsidRDefault="00461F65" w:rsidP="00461F65">
            <w:pPr>
              <w:rPr>
                <w:color w:val="000000"/>
                <w:sz w:val="20"/>
                <w:szCs w:val="20"/>
              </w:rPr>
            </w:pPr>
            <w:r w:rsidRPr="00461F65">
              <w:rPr>
                <w:color w:val="000000"/>
                <w:sz w:val="20"/>
                <w:szCs w:val="20"/>
              </w:rPr>
              <w:t>MAY</w:t>
            </w:r>
          </w:p>
        </w:tc>
        <w:tc>
          <w:tcPr>
            <w:tcW w:w="1315" w:type="dxa"/>
            <w:tcBorders>
              <w:top w:val="nil"/>
              <w:left w:val="nil"/>
              <w:bottom w:val="single" w:sz="4" w:space="0" w:color="auto"/>
              <w:right w:val="single" w:sz="4" w:space="0" w:color="auto"/>
            </w:tcBorders>
            <w:shd w:val="clear" w:color="auto" w:fill="auto"/>
            <w:noWrap/>
            <w:vAlign w:val="bottom"/>
            <w:hideMark/>
          </w:tcPr>
          <w:p w14:paraId="31430501"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7323CE5A" w14:textId="77777777" w:rsidR="00461F65" w:rsidRPr="00461F65" w:rsidRDefault="00461F65" w:rsidP="00461F65">
            <w:pPr>
              <w:jc w:val="right"/>
              <w:rPr>
                <w:color w:val="000000"/>
                <w:sz w:val="20"/>
                <w:szCs w:val="20"/>
              </w:rPr>
            </w:pPr>
            <w:r w:rsidRPr="00461F65">
              <w:rPr>
                <w:color w:val="000000"/>
                <w:sz w:val="20"/>
                <w:szCs w:val="20"/>
              </w:rPr>
              <w:t>763.2</w:t>
            </w:r>
          </w:p>
        </w:tc>
        <w:tc>
          <w:tcPr>
            <w:tcW w:w="990" w:type="dxa"/>
            <w:tcBorders>
              <w:top w:val="nil"/>
              <w:left w:val="nil"/>
              <w:bottom w:val="single" w:sz="4" w:space="0" w:color="auto"/>
              <w:right w:val="single" w:sz="4" w:space="0" w:color="auto"/>
            </w:tcBorders>
            <w:shd w:val="clear" w:color="auto" w:fill="auto"/>
            <w:noWrap/>
            <w:vAlign w:val="bottom"/>
            <w:hideMark/>
          </w:tcPr>
          <w:p w14:paraId="3FB04E7A" w14:textId="77777777" w:rsidR="00461F65" w:rsidRPr="00461F65" w:rsidRDefault="00461F65" w:rsidP="00461F65">
            <w:pPr>
              <w:jc w:val="right"/>
              <w:rPr>
                <w:color w:val="000000"/>
                <w:sz w:val="20"/>
                <w:szCs w:val="20"/>
              </w:rPr>
            </w:pPr>
            <w:r w:rsidRPr="00461F65">
              <w:rPr>
                <w:color w:val="000000"/>
                <w:sz w:val="20"/>
                <w:szCs w:val="20"/>
              </w:rPr>
              <w:t>45</w:t>
            </w:r>
          </w:p>
        </w:tc>
        <w:tc>
          <w:tcPr>
            <w:tcW w:w="1080" w:type="dxa"/>
            <w:tcBorders>
              <w:top w:val="nil"/>
              <w:left w:val="nil"/>
              <w:bottom w:val="single" w:sz="4" w:space="0" w:color="auto"/>
              <w:right w:val="single" w:sz="4" w:space="0" w:color="auto"/>
            </w:tcBorders>
            <w:shd w:val="clear" w:color="auto" w:fill="auto"/>
            <w:noWrap/>
            <w:vAlign w:val="bottom"/>
            <w:hideMark/>
          </w:tcPr>
          <w:p w14:paraId="69BF7ADB" w14:textId="77777777" w:rsidR="00461F65" w:rsidRPr="00461F65" w:rsidRDefault="00461F65" w:rsidP="00461F65">
            <w:pPr>
              <w:jc w:val="right"/>
              <w:rPr>
                <w:color w:val="000000"/>
                <w:sz w:val="20"/>
                <w:szCs w:val="20"/>
              </w:rPr>
            </w:pPr>
            <w:r w:rsidRPr="00461F65">
              <w:rPr>
                <w:color w:val="000000"/>
                <w:sz w:val="20"/>
                <w:szCs w:val="20"/>
              </w:rPr>
              <w:t>2348.824</w:t>
            </w:r>
          </w:p>
        </w:tc>
        <w:tc>
          <w:tcPr>
            <w:tcW w:w="630" w:type="dxa"/>
            <w:tcBorders>
              <w:top w:val="nil"/>
              <w:left w:val="nil"/>
              <w:bottom w:val="single" w:sz="4" w:space="0" w:color="auto"/>
              <w:right w:val="single" w:sz="4" w:space="0" w:color="auto"/>
            </w:tcBorders>
            <w:shd w:val="clear" w:color="auto" w:fill="auto"/>
            <w:noWrap/>
            <w:vAlign w:val="bottom"/>
            <w:hideMark/>
          </w:tcPr>
          <w:p w14:paraId="71D909E8"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5F2119B0"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0E3C6" w14:textId="77777777" w:rsidR="00461F65" w:rsidRPr="00461F65" w:rsidRDefault="00461F65" w:rsidP="00461F65">
            <w:pPr>
              <w:jc w:val="center"/>
              <w:rPr>
                <w:color w:val="000000"/>
                <w:sz w:val="20"/>
                <w:szCs w:val="20"/>
              </w:rPr>
            </w:pPr>
            <w:r w:rsidRPr="00461F65">
              <w:rPr>
                <w:color w:val="000000"/>
                <w:sz w:val="20"/>
                <w:szCs w:val="20"/>
              </w:rPr>
              <w:t>G</w:t>
            </w:r>
          </w:p>
        </w:tc>
        <w:tc>
          <w:tcPr>
            <w:tcW w:w="960" w:type="dxa"/>
            <w:tcBorders>
              <w:top w:val="nil"/>
              <w:left w:val="nil"/>
              <w:bottom w:val="single" w:sz="4" w:space="0" w:color="auto"/>
              <w:right w:val="single" w:sz="4" w:space="0" w:color="auto"/>
            </w:tcBorders>
            <w:shd w:val="clear" w:color="auto" w:fill="auto"/>
            <w:noWrap/>
            <w:vAlign w:val="bottom"/>
            <w:hideMark/>
          </w:tcPr>
          <w:p w14:paraId="5F3F1053" w14:textId="77777777" w:rsidR="00461F65" w:rsidRPr="00461F65" w:rsidRDefault="00461F65" w:rsidP="00461F65">
            <w:pPr>
              <w:rPr>
                <w:color w:val="000000"/>
                <w:sz w:val="20"/>
                <w:szCs w:val="20"/>
              </w:rPr>
            </w:pPr>
            <w:r w:rsidRPr="00461F65">
              <w:rPr>
                <w:color w:val="000000"/>
                <w:sz w:val="20"/>
                <w:szCs w:val="20"/>
              </w:rPr>
              <w:t>ROX</w:t>
            </w:r>
          </w:p>
        </w:tc>
        <w:tc>
          <w:tcPr>
            <w:tcW w:w="1315" w:type="dxa"/>
            <w:tcBorders>
              <w:top w:val="nil"/>
              <w:left w:val="nil"/>
              <w:bottom w:val="single" w:sz="4" w:space="0" w:color="auto"/>
              <w:right w:val="single" w:sz="4" w:space="0" w:color="auto"/>
            </w:tcBorders>
            <w:shd w:val="clear" w:color="auto" w:fill="auto"/>
            <w:noWrap/>
            <w:vAlign w:val="bottom"/>
            <w:hideMark/>
          </w:tcPr>
          <w:p w14:paraId="1162217D" w14:textId="77777777" w:rsidR="00461F65" w:rsidRPr="00461F65" w:rsidRDefault="00461F65" w:rsidP="00461F65">
            <w:pPr>
              <w:rPr>
                <w:color w:val="000000"/>
                <w:sz w:val="20"/>
                <w:szCs w:val="20"/>
              </w:rPr>
            </w:pPr>
            <w:r w:rsidRPr="00461F65">
              <w:rPr>
                <w:color w:val="000000"/>
                <w:sz w:val="20"/>
                <w:szCs w:val="20"/>
              </w:rPr>
              <w:t>Coal</w:t>
            </w:r>
          </w:p>
        </w:tc>
        <w:tc>
          <w:tcPr>
            <w:tcW w:w="1170" w:type="dxa"/>
            <w:tcBorders>
              <w:top w:val="nil"/>
              <w:left w:val="nil"/>
              <w:bottom w:val="single" w:sz="4" w:space="0" w:color="auto"/>
              <w:right w:val="single" w:sz="4" w:space="0" w:color="auto"/>
            </w:tcBorders>
            <w:shd w:val="clear" w:color="auto" w:fill="auto"/>
            <w:noWrap/>
            <w:vAlign w:val="bottom"/>
            <w:hideMark/>
          </w:tcPr>
          <w:p w14:paraId="7CAB6A02" w14:textId="77777777" w:rsidR="00461F65" w:rsidRPr="00461F65" w:rsidRDefault="00461F65" w:rsidP="00461F65">
            <w:pPr>
              <w:jc w:val="right"/>
              <w:rPr>
                <w:color w:val="000000"/>
                <w:sz w:val="20"/>
                <w:szCs w:val="20"/>
              </w:rPr>
            </w:pPr>
            <w:r w:rsidRPr="00461F65">
              <w:rPr>
                <w:color w:val="000000"/>
                <w:sz w:val="20"/>
                <w:szCs w:val="20"/>
              </w:rPr>
              <w:t>2558.2</w:t>
            </w:r>
          </w:p>
        </w:tc>
        <w:tc>
          <w:tcPr>
            <w:tcW w:w="990" w:type="dxa"/>
            <w:tcBorders>
              <w:top w:val="nil"/>
              <w:left w:val="nil"/>
              <w:bottom w:val="single" w:sz="4" w:space="0" w:color="auto"/>
              <w:right w:val="single" w:sz="4" w:space="0" w:color="auto"/>
            </w:tcBorders>
            <w:shd w:val="clear" w:color="auto" w:fill="auto"/>
            <w:noWrap/>
            <w:vAlign w:val="bottom"/>
            <w:hideMark/>
          </w:tcPr>
          <w:p w14:paraId="570ED85E" w14:textId="77777777" w:rsidR="00461F65" w:rsidRPr="00461F65" w:rsidRDefault="00461F65" w:rsidP="00461F65">
            <w:pPr>
              <w:jc w:val="right"/>
              <w:rPr>
                <w:color w:val="000000"/>
                <w:sz w:val="20"/>
                <w:szCs w:val="20"/>
              </w:rPr>
            </w:pPr>
            <w:r w:rsidRPr="00461F65">
              <w:rPr>
                <w:color w:val="000000"/>
                <w:sz w:val="20"/>
                <w:szCs w:val="20"/>
              </w:rPr>
              <w:t>38</w:t>
            </w:r>
          </w:p>
        </w:tc>
        <w:tc>
          <w:tcPr>
            <w:tcW w:w="1080" w:type="dxa"/>
            <w:tcBorders>
              <w:top w:val="nil"/>
              <w:left w:val="nil"/>
              <w:bottom w:val="single" w:sz="4" w:space="0" w:color="auto"/>
              <w:right w:val="single" w:sz="4" w:space="0" w:color="auto"/>
            </w:tcBorders>
            <w:shd w:val="clear" w:color="auto" w:fill="auto"/>
            <w:noWrap/>
            <w:vAlign w:val="bottom"/>
            <w:hideMark/>
          </w:tcPr>
          <w:p w14:paraId="6F8F81E9" w14:textId="77777777" w:rsidR="00461F65" w:rsidRPr="00461F65" w:rsidRDefault="00461F65" w:rsidP="00461F65">
            <w:pPr>
              <w:jc w:val="right"/>
              <w:rPr>
                <w:color w:val="000000"/>
                <w:sz w:val="20"/>
                <w:szCs w:val="20"/>
              </w:rPr>
            </w:pPr>
            <w:r w:rsidRPr="00461F65">
              <w:rPr>
                <w:color w:val="000000"/>
                <w:sz w:val="20"/>
                <w:szCs w:val="20"/>
              </w:rPr>
              <w:t>2034.134</w:t>
            </w:r>
          </w:p>
        </w:tc>
        <w:tc>
          <w:tcPr>
            <w:tcW w:w="630" w:type="dxa"/>
            <w:tcBorders>
              <w:top w:val="nil"/>
              <w:left w:val="nil"/>
              <w:bottom w:val="single" w:sz="4" w:space="0" w:color="auto"/>
              <w:right w:val="single" w:sz="4" w:space="0" w:color="auto"/>
            </w:tcBorders>
            <w:shd w:val="clear" w:color="auto" w:fill="auto"/>
            <w:noWrap/>
            <w:vAlign w:val="bottom"/>
            <w:hideMark/>
          </w:tcPr>
          <w:p w14:paraId="6F77B9D5"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1DD811A8"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E351C7" w14:textId="77777777" w:rsidR="00461F65" w:rsidRPr="00461F65" w:rsidRDefault="00461F65" w:rsidP="00461F65">
            <w:pPr>
              <w:jc w:val="center"/>
              <w:rPr>
                <w:color w:val="000000"/>
                <w:sz w:val="20"/>
                <w:szCs w:val="20"/>
              </w:rPr>
            </w:pPr>
            <w:r w:rsidRPr="00461F65">
              <w:rPr>
                <w:color w:val="000000"/>
                <w:sz w:val="20"/>
                <w:szCs w:val="20"/>
              </w:rPr>
              <w:t>H</w:t>
            </w:r>
          </w:p>
        </w:tc>
        <w:tc>
          <w:tcPr>
            <w:tcW w:w="960" w:type="dxa"/>
            <w:tcBorders>
              <w:top w:val="nil"/>
              <w:left w:val="nil"/>
              <w:bottom w:val="single" w:sz="4" w:space="0" w:color="auto"/>
              <w:right w:val="single" w:sz="4" w:space="0" w:color="auto"/>
            </w:tcBorders>
            <w:shd w:val="clear" w:color="auto" w:fill="auto"/>
            <w:noWrap/>
            <w:vAlign w:val="bottom"/>
            <w:hideMark/>
          </w:tcPr>
          <w:p w14:paraId="12C4F4CB" w14:textId="77777777" w:rsidR="00461F65" w:rsidRPr="00461F65" w:rsidRDefault="00461F65" w:rsidP="00461F65">
            <w:pPr>
              <w:rPr>
                <w:color w:val="000000"/>
                <w:sz w:val="20"/>
                <w:szCs w:val="20"/>
              </w:rPr>
            </w:pPr>
            <w:r w:rsidRPr="00461F65">
              <w:rPr>
                <w:color w:val="000000"/>
                <w:sz w:val="20"/>
                <w:szCs w:val="20"/>
              </w:rPr>
              <w:t>ASH2</w:t>
            </w:r>
          </w:p>
        </w:tc>
        <w:tc>
          <w:tcPr>
            <w:tcW w:w="1315" w:type="dxa"/>
            <w:tcBorders>
              <w:top w:val="nil"/>
              <w:left w:val="nil"/>
              <w:bottom w:val="single" w:sz="4" w:space="0" w:color="auto"/>
              <w:right w:val="single" w:sz="4" w:space="0" w:color="auto"/>
            </w:tcBorders>
            <w:shd w:val="clear" w:color="auto" w:fill="auto"/>
            <w:noWrap/>
            <w:vAlign w:val="bottom"/>
            <w:hideMark/>
          </w:tcPr>
          <w:p w14:paraId="28EFDDC0"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151AC59A" w14:textId="77777777" w:rsidR="00461F65" w:rsidRPr="00461F65" w:rsidRDefault="00461F65" w:rsidP="00461F65">
            <w:pPr>
              <w:jc w:val="right"/>
              <w:rPr>
                <w:color w:val="000000"/>
                <w:sz w:val="20"/>
                <w:szCs w:val="20"/>
              </w:rPr>
            </w:pPr>
            <w:r w:rsidRPr="00461F65">
              <w:rPr>
                <w:color w:val="000000"/>
                <w:sz w:val="20"/>
                <w:szCs w:val="20"/>
              </w:rPr>
              <w:t>423.5</w:t>
            </w:r>
          </w:p>
        </w:tc>
        <w:tc>
          <w:tcPr>
            <w:tcW w:w="990" w:type="dxa"/>
            <w:tcBorders>
              <w:top w:val="nil"/>
              <w:left w:val="nil"/>
              <w:bottom w:val="single" w:sz="4" w:space="0" w:color="auto"/>
              <w:right w:val="single" w:sz="4" w:space="0" w:color="auto"/>
            </w:tcBorders>
            <w:shd w:val="clear" w:color="auto" w:fill="auto"/>
            <w:noWrap/>
            <w:vAlign w:val="bottom"/>
            <w:hideMark/>
          </w:tcPr>
          <w:p w14:paraId="3F1B56EC" w14:textId="77777777" w:rsidR="00461F65" w:rsidRPr="00461F65" w:rsidRDefault="00461F65" w:rsidP="00461F65">
            <w:pPr>
              <w:jc w:val="right"/>
              <w:rPr>
                <w:color w:val="000000"/>
                <w:sz w:val="20"/>
                <w:szCs w:val="20"/>
              </w:rPr>
            </w:pPr>
            <w:r w:rsidRPr="00461F65">
              <w:rPr>
                <w:color w:val="000000"/>
                <w:sz w:val="20"/>
                <w:szCs w:val="20"/>
              </w:rPr>
              <w:t>32</w:t>
            </w:r>
          </w:p>
        </w:tc>
        <w:tc>
          <w:tcPr>
            <w:tcW w:w="1080" w:type="dxa"/>
            <w:tcBorders>
              <w:top w:val="nil"/>
              <w:left w:val="nil"/>
              <w:bottom w:val="single" w:sz="4" w:space="0" w:color="auto"/>
              <w:right w:val="single" w:sz="4" w:space="0" w:color="auto"/>
            </w:tcBorders>
            <w:shd w:val="clear" w:color="auto" w:fill="auto"/>
            <w:noWrap/>
            <w:vAlign w:val="bottom"/>
            <w:hideMark/>
          </w:tcPr>
          <w:p w14:paraId="16E27B7F" w14:textId="77777777" w:rsidR="00461F65" w:rsidRPr="00461F65" w:rsidRDefault="00461F65" w:rsidP="00461F65">
            <w:pPr>
              <w:jc w:val="right"/>
              <w:rPr>
                <w:color w:val="000000"/>
                <w:sz w:val="20"/>
                <w:szCs w:val="20"/>
              </w:rPr>
            </w:pPr>
            <w:r w:rsidRPr="00461F65">
              <w:rPr>
                <w:color w:val="000000"/>
                <w:sz w:val="20"/>
                <w:szCs w:val="20"/>
              </w:rPr>
              <w:t>2144.04</w:t>
            </w:r>
          </w:p>
        </w:tc>
        <w:tc>
          <w:tcPr>
            <w:tcW w:w="630" w:type="dxa"/>
            <w:tcBorders>
              <w:top w:val="nil"/>
              <w:left w:val="nil"/>
              <w:bottom w:val="single" w:sz="4" w:space="0" w:color="auto"/>
              <w:right w:val="single" w:sz="4" w:space="0" w:color="auto"/>
            </w:tcBorders>
            <w:shd w:val="clear" w:color="auto" w:fill="auto"/>
            <w:noWrap/>
            <w:vAlign w:val="bottom"/>
            <w:hideMark/>
          </w:tcPr>
          <w:p w14:paraId="09A86FDC"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3240849E"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A1F7E" w14:textId="77777777" w:rsidR="00461F65" w:rsidRPr="00461F65" w:rsidRDefault="00461F65" w:rsidP="00461F65">
            <w:pPr>
              <w:jc w:val="center"/>
              <w:rPr>
                <w:color w:val="000000"/>
                <w:sz w:val="20"/>
                <w:szCs w:val="20"/>
              </w:rPr>
            </w:pPr>
            <w:r w:rsidRPr="00461F65">
              <w:rPr>
                <w:color w:val="000000"/>
                <w:sz w:val="20"/>
                <w:szCs w:val="20"/>
              </w:rPr>
              <w:t>I</w:t>
            </w:r>
          </w:p>
        </w:tc>
        <w:tc>
          <w:tcPr>
            <w:tcW w:w="960" w:type="dxa"/>
            <w:tcBorders>
              <w:top w:val="nil"/>
              <w:left w:val="nil"/>
              <w:bottom w:val="single" w:sz="4" w:space="0" w:color="auto"/>
              <w:right w:val="single" w:sz="4" w:space="0" w:color="auto"/>
            </w:tcBorders>
            <w:shd w:val="clear" w:color="auto" w:fill="auto"/>
            <w:noWrap/>
            <w:vAlign w:val="bottom"/>
            <w:hideMark/>
          </w:tcPr>
          <w:p w14:paraId="3C06E6DC" w14:textId="77777777" w:rsidR="00461F65" w:rsidRPr="00461F65" w:rsidRDefault="00461F65" w:rsidP="00461F65">
            <w:pPr>
              <w:rPr>
                <w:color w:val="000000"/>
                <w:sz w:val="20"/>
                <w:szCs w:val="20"/>
              </w:rPr>
            </w:pPr>
            <w:r w:rsidRPr="00461F65">
              <w:rPr>
                <w:color w:val="000000"/>
                <w:sz w:val="20"/>
                <w:szCs w:val="20"/>
              </w:rPr>
              <w:t>BUC</w:t>
            </w:r>
          </w:p>
        </w:tc>
        <w:tc>
          <w:tcPr>
            <w:tcW w:w="1315" w:type="dxa"/>
            <w:tcBorders>
              <w:top w:val="nil"/>
              <w:left w:val="nil"/>
              <w:bottom w:val="single" w:sz="4" w:space="0" w:color="auto"/>
              <w:right w:val="single" w:sz="4" w:space="0" w:color="auto"/>
            </w:tcBorders>
            <w:shd w:val="clear" w:color="auto" w:fill="auto"/>
            <w:noWrap/>
            <w:vAlign w:val="bottom"/>
            <w:hideMark/>
          </w:tcPr>
          <w:p w14:paraId="6FD367B3"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1C3E3FCE" w14:textId="77777777" w:rsidR="00461F65" w:rsidRPr="00461F65" w:rsidRDefault="00461F65" w:rsidP="00461F65">
            <w:pPr>
              <w:jc w:val="right"/>
              <w:rPr>
                <w:color w:val="000000"/>
                <w:sz w:val="20"/>
                <w:szCs w:val="20"/>
              </w:rPr>
            </w:pPr>
            <w:r w:rsidRPr="00461F65">
              <w:rPr>
                <w:color w:val="000000"/>
                <w:sz w:val="20"/>
                <w:szCs w:val="20"/>
              </w:rPr>
              <w:t>697.9</w:t>
            </w:r>
          </w:p>
        </w:tc>
        <w:tc>
          <w:tcPr>
            <w:tcW w:w="990" w:type="dxa"/>
            <w:tcBorders>
              <w:top w:val="nil"/>
              <w:left w:val="nil"/>
              <w:bottom w:val="single" w:sz="4" w:space="0" w:color="auto"/>
              <w:right w:val="single" w:sz="4" w:space="0" w:color="auto"/>
            </w:tcBorders>
            <w:shd w:val="clear" w:color="auto" w:fill="auto"/>
            <w:noWrap/>
            <w:vAlign w:val="bottom"/>
            <w:hideMark/>
          </w:tcPr>
          <w:p w14:paraId="1B228C64" w14:textId="77777777" w:rsidR="00461F65" w:rsidRPr="00461F65" w:rsidRDefault="00461F65" w:rsidP="00461F65">
            <w:pPr>
              <w:jc w:val="right"/>
              <w:rPr>
                <w:color w:val="000000"/>
                <w:sz w:val="20"/>
                <w:szCs w:val="20"/>
              </w:rPr>
            </w:pPr>
            <w:r w:rsidRPr="00461F65">
              <w:rPr>
                <w:color w:val="000000"/>
                <w:sz w:val="20"/>
                <w:szCs w:val="20"/>
              </w:rPr>
              <w:t>19</w:t>
            </w:r>
          </w:p>
        </w:tc>
        <w:tc>
          <w:tcPr>
            <w:tcW w:w="1080" w:type="dxa"/>
            <w:tcBorders>
              <w:top w:val="nil"/>
              <w:left w:val="nil"/>
              <w:bottom w:val="single" w:sz="4" w:space="0" w:color="auto"/>
              <w:right w:val="single" w:sz="4" w:space="0" w:color="auto"/>
            </w:tcBorders>
            <w:shd w:val="clear" w:color="auto" w:fill="auto"/>
            <w:noWrap/>
            <w:vAlign w:val="bottom"/>
            <w:hideMark/>
          </w:tcPr>
          <w:p w14:paraId="1770A7E8" w14:textId="77777777" w:rsidR="00461F65" w:rsidRPr="00461F65" w:rsidRDefault="00461F65" w:rsidP="00461F65">
            <w:pPr>
              <w:jc w:val="right"/>
              <w:rPr>
                <w:color w:val="000000"/>
                <w:sz w:val="20"/>
                <w:szCs w:val="20"/>
              </w:rPr>
            </w:pPr>
            <w:r w:rsidRPr="00461F65">
              <w:rPr>
                <w:color w:val="000000"/>
                <w:sz w:val="20"/>
                <w:szCs w:val="20"/>
              </w:rPr>
              <w:t>818.39</w:t>
            </w:r>
          </w:p>
        </w:tc>
        <w:tc>
          <w:tcPr>
            <w:tcW w:w="630" w:type="dxa"/>
            <w:tcBorders>
              <w:top w:val="nil"/>
              <w:left w:val="nil"/>
              <w:bottom w:val="single" w:sz="4" w:space="0" w:color="auto"/>
              <w:right w:val="single" w:sz="4" w:space="0" w:color="auto"/>
            </w:tcBorders>
            <w:shd w:val="clear" w:color="auto" w:fill="auto"/>
            <w:noWrap/>
            <w:vAlign w:val="bottom"/>
            <w:hideMark/>
          </w:tcPr>
          <w:p w14:paraId="57E61F02"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7302BE98"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C62A9" w14:textId="77777777" w:rsidR="00461F65" w:rsidRPr="00461F65" w:rsidRDefault="00461F65" w:rsidP="00461F65">
            <w:pPr>
              <w:jc w:val="center"/>
              <w:rPr>
                <w:color w:val="000000"/>
                <w:sz w:val="20"/>
                <w:szCs w:val="20"/>
              </w:rPr>
            </w:pPr>
            <w:r w:rsidRPr="00461F65">
              <w:rPr>
                <w:color w:val="000000"/>
                <w:sz w:val="20"/>
                <w:szCs w:val="20"/>
              </w:rPr>
              <w:t>J</w:t>
            </w:r>
          </w:p>
        </w:tc>
        <w:tc>
          <w:tcPr>
            <w:tcW w:w="960" w:type="dxa"/>
            <w:tcBorders>
              <w:top w:val="nil"/>
              <w:left w:val="nil"/>
              <w:bottom w:val="single" w:sz="4" w:space="0" w:color="auto"/>
              <w:right w:val="single" w:sz="4" w:space="0" w:color="auto"/>
            </w:tcBorders>
            <w:shd w:val="clear" w:color="auto" w:fill="auto"/>
            <w:noWrap/>
            <w:vAlign w:val="bottom"/>
            <w:hideMark/>
          </w:tcPr>
          <w:p w14:paraId="71D1CF40" w14:textId="77777777" w:rsidR="00461F65" w:rsidRPr="00461F65" w:rsidRDefault="00461F65" w:rsidP="00461F65">
            <w:pPr>
              <w:rPr>
                <w:color w:val="000000"/>
                <w:sz w:val="20"/>
                <w:szCs w:val="20"/>
              </w:rPr>
            </w:pPr>
            <w:r w:rsidRPr="00461F65">
              <w:rPr>
                <w:color w:val="000000"/>
                <w:sz w:val="20"/>
                <w:szCs w:val="20"/>
              </w:rPr>
              <w:t>DAN</w:t>
            </w:r>
          </w:p>
        </w:tc>
        <w:tc>
          <w:tcPr>
            <w:tcW w:w="1315" w:type="dxa"/>
            <w:tcBorders>
              <w:top w:val="nil"/>
              <w:left w:val="nil"/>
              <w:bottom w:val="single" w:sz="4" w:space="0" w:color="auto"/>
              <w:right w:val="single" w:sz="4" w:space="0" w:color="auto"/>
            </w:tcBorders>
            <w:shd w:val="clear" w:color="auto" w:fill="auto"/>
            <w:noWrap/>
            <w:vAlign w:val="bottom"/>
            <w:hideMark/>
          </w:tcPr>
          <w:p w14:paraId="1908ACC9"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7CD94919" w14:textId="77777777" w:rsidR="00461F65" w:rsidRPr="00461F65" w:rsidRDefault="00461F65" w:rsidP="00224542">
            <w:pPr>
              <w:jc w:val="center"/>
              <w:rPr>
                <w:color w:val="000000"/>
                <w:sz w:val="20"/>
                <w:szCs w:val="20"/>
              </w:rPr>
            </w:pPr>
            <w:r w:rsidRPr="00461F65">
              <w:rPr>
                <w:color w:val="000000"/>
                <w:sz w:val="20"/>
                <w:szCs w:val="20"/>
              </w:rPr>
              <w:t>697.9</w:t>
            </w:r>
          </w:p>
        </w:tc>
        <w:tc>
          <w:tcPr>
            <w:tcW w:w="990" w:type="dxa"/>
            <w:tcBorders>
              <w:top w:val="nil"/>
              <w:left w:val="nil"/>
              <w:bottom w:val="single" w:sz="4" w:space="0" w:color="auto"/>
              <w:right w:val="single" w:sz="4" w:space="0" w:color="auto"/>
            </w:tcBorders>
            <w:shd w:val="clear" w:color="auto" w:fill="auto"/>
            <w:noWrap/>
            <w:vAlign w:val="bottom"/>
            <w:hideMark/>
          </w:tcPr>
          <w:p w14:paraId="36D6391F" w14:textId="77777777" w:rsidR="00461F65" w:rsidRPr="00461F65" w:rsidRDefault="00461F65" w:rsidP="00461F65">
            <w:pPr>
              <w:jc w:val="right"/>
              <w:rPr>
                <w:color w:val="000000"/>
                <w:sz w:val="20"/>
                <w:szCs w:val="20"/>
              </w:rPr>
            </w:pPr>
            <w:r w:rsidRPr="00461F65">
              <w:rPr>
                <w:color w:val="000000"/>
                <w:sz w:val="20"/>
                <w:szCs w:val="20"/>
              </w:rPr>
              <w:t>22</w:t>
            </w:r>
          </w:p>
        </w:tc>
        <w:tc>
          <w:tcPr>
            <w:tcW w:w="1080" w:type="dxa"/>
            <w:tcBorders>
              <w:top w:val="nil"/>
              <w:left w:val="nil"/>
              <w:bottom w:val="single" w:sz="4" w:space="0" w:color="auto"/>
              <w:right w:val="single" w:sz="4" w:space="0" w:color="auto"/>
            </w:tcBorders>
            <w:shd w:val="clear" w:color="auto" w:fill="auto"/>
            <w:noWrap/>
            <w:vAlign w:val="bottom"/>
            <w:hideMark/>
          </w:tcPr>
          <w:p w14:paraId="535A299C" w14:textId="77777777" w:rsidR="00461F65" w:rsidRPr="00461F65" w:rsidRDefault="00461F65" w:rsidP="00461F65">
            <w:pPr>
              <w:jc w:val="right"/>
              <w:rPr>
                <w:color w:val="000000"/>
                <w:sz w:val="20"/>
                <w:szCs w:val="20"/>
              </w:rPr>
            </w:pPr>
            <w:r w:rsidRPr="00461F65">
              <w:rPr>
                <w:color w:val="000000"/>
                <w:sz w:val="20"/>
                <w:szCs w:val="20"/>
              </w:rPr>
              <w:t>840.076</w:t>
            </w:r>
          </w:p>
        </w:tc>
        <w:tc>
          <w:tcPr>
            <w:tcW w:w="630" w:type="dxa"/>
            <w:tcBorders>
              <w:top w:val="nil"/>
              <w:left w:val="nil"/>
              <w:bottom w:val="single" w:sz="4" w:space="0" w:color="auto"/>
              <w:right w:val="single" w:sz="4" w:space="0" w:color="auto"/>
            </w:tcBorders>
            <w:shd w:val="clear" w:color="auto" w:fill="auto"/>
            <w:noWrap/>
            <w:vAlign w:val="bottom"/>
            <w:hideMark/>
          </w:tcPr>
          <w:p w14:paraId="44FB2D39"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4172AAA4"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6B3B8" w14:textId="77777777" w:rsidR="00461F65" w:rsidRPr="00461F65" w:rsidRDefault="00461F65" w:rsidP="00461F65">
            <w:pPr>
              <w:jc w:val="center"/>
              <w:rPr>
                <w:color w:val="000000"/>
                <w:sz w:val="20"/>
                <w:szCs w:val="20"/>
              </w:rPr>
            </w:pPr>
            <w:r w:rsidRPr="00461F65">
              <w:rPr>
                <w:color w:val="000000"/>
                <w:sz w:val="20"/>
                <w:szCs w:val="20"/>
              </w:rPr>
              <w:t>K</w:t>
            </w:r>
          </w:p>
        </w:tc>
        <w:tc>
          <w:tcPr>
            <w:tcW w:w="960" w:type="dxa"/>
            <w:tcBorders>
              <w:top w:val="nil"/>
              <w:left w:val="nil"/>
              <w:bottom w:val="single" w:sz="4" w:space="0" w:color="auto"/>
              <w:right w:val="single" w:sz="4" w:space="0" w:color="auto"/>
            </w:tcBorders>
            <w:shd w:val="clear" w:color="auto" w:fill="auto"/>
            <w:noWrap/>
            <w:vAlign w:val="bottom"/>
            <w:hideMark/>
          </w:tcPr>
          <w:p w14:paraId="58398644" w14:textId="77777777" w:rsidR="00461F65" w:rsidRPr="00461F65" w:rsidRDefault="00461F65" w:rsidP="00461F65">
            <w:pPr>
              <w:rPr>
                <w:color w:val="000000"/>
                <w:sz w:val="20"/>
                <w:szCs w:val="20"/>
              </w:rPr>
            </w:pPr>
            <w:r w:rsidRPr="00461F65">
              <w:rPr>
                <w:color w:val="000000"/>
                <w:sz w:val="20"/>
                <w:szCs w:val="20"/>
              </w:rPr>
              <w:t>DAR</w:t>
            </w:r>
          </w:p>
        </w:tc>
        <w:tc>
          <w:tcPr>
            <w:tcW w:w="1315" w:type="dxa"/>
            <w:tcBorders>
              <w:top w:val="nil"/>
              <w:left w:val="nil"/>
              <w:bottom w:val="single" w:sz="4" w:space="0" w:color="auto"/>
              <w:right w:val="single" w:sz="4" w:space="0" w:color="auto"/>
            </w:tcBorders>
            <w:shd w:val="clear" w:color="auto" w:fill="auto"/>
            <w:noWrap/>
            <w:vAlign w:val="bottom"/>
            <w:hideMark/>
          </w:tcPr>
          <w:p w14:paraId="31E0B22D"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1420292A" w14:textId="77777777" w:rsidR="00461F65" w:rsidRPr="00461F65" w:rsidRDefault="00461F65" w:rsidP="00224542">
            <w:pPr>
              <w:jc w:val="center"/>
              <w:rPr>
                <w:color w:val="000000"/>
                <w:sz w:val="20"/>
                <w:szCs w:val="20"/>
              </w:rPr>
            </w:pPr>
            <w:r w:rsidRPr="00461F65">
              <w:rPr>
                <w:color w:val="000000"/>
                <w:sz w:val="20"/>
                <w:szCs w:val="20"/>
              </w:rPr>
              <w:t>583.2</w:t>
            </w:r>
          </w:p>
        </w:tc>
        <w:tc>
          <w:tcPr>
            <w:tcW w:w="990" w:type="dxa"/>
            <w:tcBorders>
              <w:top w:val="nil"/>
              <w:left w:val="nil"/>
              <w:bottom w:val="single" w:sz="4" w:space="0" w:color="auto"/>
              <w:right w:val="single" w:sz="4" w:space="0" w:color="auto"/>
            </w:tcBorders>
            <w:shd w:val="clear" w:color="auto" w:fill="auto"/>
            <w:noWrap/>
            <w:vAlign w:val="bottom"/>
            <w:hideMark/>
          </w:tcPr>
          <w:p w14:paraId="30D7E84E" w14:textId="77777777" w:rsidR="00461F65" w:rsidRPr="00461F65" w:rsidRDefault="00461F65" w:rsidP="00461F65">
            <w:pPr>
              <w:jc w:val="right"/>
              <w:rPr>
                <w:color w:val="000000"/>
                <w:sz w:val="20"/>
                <w:szCs w:val="20"/>
              </w:rPr>
            </w:pPr>
            <w:r w:rsidRPr="00461F65">
              <w:rPr>
                <w:color w:val="000000"/>
                <w:sz w:val="20"/>
                <w:szCs w:val="20"/>
              </w:rPr>
              <w:t>40</w:t>
            </w:r>
          </w:p>
        </w:tc>
        <w:tc>
          <w:tcPr>
            <w:tcW w:w="1080" w:type="dxa"/>
            <w:tcBorders>
              <w:top w:val="nil"/>
              <w:left w:val="nil"/>
              <w:bottom w:val="single" w:sz="4" w:space="0" w:color="auto"/>
              <w:right w:val="single" w:sz="4" w:space="0" w:color="auto"/>
            </w:tcBorders>
            <w:shd w:val="clear" w:color="auto" w:fill="auto"/>
            <w:noWrap/>
            <w:vAlign w:val="bottom"/>
            <w:hideMark/>
          </w:tcPr>
          <w:p w14:paraId="65F7CD14" w14:textId="77777777" w:rsidR="00461F65" w:rsidRPr="00461F65" w:rsidRDefault="00461F65" w:rsidP="00461F65">
            <w:pPr>
              <w:jc w:val="right"/>
              <w:rPr>
                <w:color w:val="000000"/>
                <w:sz w:val="20"/>
                <w:szCs w:val="20"/>
              </w:rPr>
            </w:pPr>
            <w:r w:rsidRPr="00461F65">
              <w:rPr>
                <w:color w:val="000000"/>
                <w:sz w:val="20"/>
                <w:szCs w:val="20"/>
              </w:rPr>
              <w:t>1724.951</w:t>
            </w:r>
          </w:p>
        </w:tc>
        <w:tc>
          <w:tcPr>
            <w:tcW w:w="630" w:type="dxa"/>
            <w:tcBorders>
              <w:top w:val="nil"/>
              <w:left w:val="nil"/>
              <w:bottom w:val="single" w:sz="4" w:space="0" w:color="auto"/>
              <w:right w:val="single" w:sz="4" w:space="0" w:color="auto"/>
            </w:tcBorders>
            <w:shd w:val="clear" w:color="auto" w:fill="auto"/>
            <w:noWrap/>
            <w:vAlign w:val="bottom"/>
            <w:hideMark/>
          </w:tcPr>
          <w:p w14:paraId="6E8362D0"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42ED3EE0"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930C4" w14:textId="77777777" w:rsidR="00461F65" w:rsidRPr="00461F65" w:rsidRDefault="00461F65" w:rsidP="00461F65">
            <w:pPr>
              <w:jc w:val="center"/>
              <w:rPr>
                <w:color w:val="000000"/>
                <w:sz w:val="20"/>
                <w:szCs w:val="20"/>
              </w:rPr>
            </w:pPr>
            <w:r w:rsidRPr="00461F65">
              <w:rPr>
                <w:color w:val="000000"/>
                <w:sz w:val="20"/>
                <w:szCs w:val="20"/>
              </w:rPr>
              <w:t>L</w:t>
            </w:r>
          </w:p>
        </w:tc>
        <w:tc>
          <w:tcPr>
            <w:tcW w:w="960" w:type="dxa"/>
            <w:tcBorders>
              <w:top w:val="nil"/>
              <w:left w:val="nil"/>
              <w:bottom w:val="single" w:sz="4" w:space="0" w:color="auto"/>
              <w:right w:val="single" w:sz="4" w:space="0" w:color="auto"/>
            </w:tcBorders>
            <w:shd w:val="clear" w:color="auto" w:fill="auto"/>
            <w:noWrap/>
            <w:vAlign w:val="bottom"/>
            <w:hideMark/>
          </w:tcPr>
          <w:p w14:paraId="66A0AB37" w14:textId="77777777" w:rsidR="00461F65" w:rsidRPr="00461F65" w:rsidRDefault="00461F65" w:rsidP="00461F65">
            <w:pPr>
              <w:rPr>
                <w:color w:val="000000"/>
                <w:sz w:val="20"/>
                <w:szCs w:val="20"/>
              </w:rPr>
            </w:pPr>
            <w:r w:rsidRPr="00461F65">
              <w:rPr>
                <w:color w:val="000000"/>
                <w:sz w:val="20"/>
                <w:szCs w:val="20"/>
              </w:rPr>
              <w:t>LEE</w:t>
            </w:r>
          </w:p>
        </w:tc>
        <w:tc>
          <w:tcPr>
            <w:tcW w:w="1315" w:type="dxa"/>
            <w:tcBorders>
              <w:top w:val="nil"/>
              <w:left w:val="nil"/>
              <w:bottom w:val="single" w:sz="4" w:space="0" w:color="auto"/>
              <w:right w:val="single" w:sz="4" w:space="0" w:color="auto"/>
            </w:tcBorders>
            <w:shd w:val="clear" w:color="auto" w:fill="auto"/>
            <w:noWrap/>
            <w:vAlign w:val="bottom"/>
            <w:hideMark/>
          </w:tcPr>
          <w:p w14:paraId="3CD538EB"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5AF56457" w14:textId="77777777" w:rsidR="00461F65" w:rsidRPr="00461F65" w:rsidRDefault="00461F65" w:rsidP="00224542">
            <w:pPr>
              <w:jc w:val="center"/>
              <w:rPr>
                <w:color w:val="000000"/>
                <w:sz w:val="20"/>
                <w:szCs w:val="20"/>
              </w:rPr>
            </w:pPr>
            <w:r w:rsidRPr="00461F65">
              <w:rPr>
                <w:color w:val="000000"/>
                <w:sz w:val="20"/>
                <w:szCs w:val="20"/>
              </w:rPr>
              <w:t>920</w:t>
            </w:r>
          </w:p>
        </w:tc>
        <w:tc>
          <w:tcPr>
            <w:tcW w:w="990" w:type="dxa"/>
            <w:tcBorders>
              <w:top w:val="nil"/>
              <w:left w:val="nil"/>
              <w:bottom w:val="single" w:sz="4" w:space="0" w:color="auto"/>
              <w:right w:val="single" w:sz="4" w:space="0" w:color="auto"/>
            </w:tcBorders>
            <w:shd w:val="clear" w:color="auto" w:fill="auto"/>
            <w:noWrap/>
            <w:vAlign w:val="bottom"/>
            <w:hideMark/>
          </w:tcPr>
          <w:p w14:paraId="131736B3" w14:textId="77777777" w:rsidR="00461F65" w:rsidRPr="00461F65" w:rsidRDefault="00461F65" w:rsidP="00461F65">
            <w:pPr>
              <w:jc w:val="right"/>
              <w:rPr>
                <w:color w:val="000000"/>
                <w:sz w:val="20"/>
                <w:szCs w:val="20"/>
              </w:rPr>
            </w:pPr>
            <w:r w:rsidRPr="00461F65">
              <w:rPr>
                <w:color w:val="000000"/>
                <w:sz w:val="20"/>
                <w:szCs w:val="20"/>
              </w:rPr>
              <w:t>23</w:t>
            </w:r>
          </w:p>
        </w:tc>
        <w:tc>
          <w:tcPr>
            <w:tcW w:w="1080" w:type="dxa"/>
            <w:tcBorders>
              <w:top w:val="nil"/>
              <w:left w:val="nil"/>
              <w:bottom w:val="single" w:sz="4" w:space="0" w:color="auto"/>
              <w:right w:val="single" w:sz="4" w:space="0" w:color="auto"/>
            </w:tcBorders>
            <w:shd w:val="clear" w:color="auto" w:fill="auto"/>
            <w:noWrap/>
            <w:vAlign w:val="bottom"/>
            <w:hideMark/>
          </w:tcPr>
          <w:p w14:paraId="7C9A2360" w14:textId="77777777" w:rsidR="00461F65" w:rsidRPr="00461F65" w:rsidRDefault="00461F65" w:rsidP="00461F65">
            <w:pPr>
              <w:jc w:val="right"/>
              <w:rPr>
                <w:color w:val="000000"/>
                <w:sz w:val="20"/>
                <w:szCs w:val="20"/>
              </w:rPr>
            </w:pPr>
            <w:r w:rsidRPr="00461F65">
              <w:rPr>
                <w:color w:val="000000"/>
                <w:sz w:val="20"/>
                <w:szCs w:val="20"/>
              </w:rPr>
              <w:t>964.873</w:t>
            </w:r>
          </w:p>
        </w:tc>
        <w:tc>
          <w:tcPr>
            <w:tcW w:w="630" w:type="dxa"/>
            <w:tcBorders>
              <w:top w:val="nil"/>
              <w:left w:val="nil"/>
              <w:bottom w:val="single" w:sz="4" w:space="0" w:color="auto"/>
              <w:right w:val="single" w:sz="4" w:space="0" w:color="auto"/>
            </w:tcBorders>
            <w:shd w:val="clear" w:color="auto" w:fill="auto"/>
            <w:noWrap/>
            <w:vAlign w:val="bottom"/>
            <w:hideMark/>
          </w:tcPr>
          <w:p w14:paraId="404C1C7A"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78784552"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1E6F3" w14:textId="77777777" w:rsidR="00461F65" w:rsidRPr="00461F65" w:rsidRDefault="00461F65" w:rsidP="00461F65">
            <w:pPr>
              <w:jc w:val="center"/>
              <w:rPr>
                <w:color w:val="000000"/>
                <w:sz w:val="20"/>
                <w:szCs w:val="20"/>
              </w:rPr>
            </w:pPr>
            <w:r w:rsidRPr="00461F65">
              <w:rPr>
                <w:color w:val="000000"/>
                <w:sz w:val="20"/>
                <w:szCs w:val="20"/>
              </w:rPr>
              <w:t>M</w:t>
            </w:r>
          </w:p>
        </w:tc>
        <w:tc>
          <w:tcPr>
            <w:tcW w:w="960" w:type="dxa"/>
            <w:tcBorders>
              <w:top w:val="nil"/>
              <w:left w:val="nil"/>
              <w:bottom w:val="single" w:sz="4" w:space="0" w:color="auto"/>
              <w:right w:val="single" w:sz="4" w:space="0" w:color="auto"/>
            </w:tcBorders>
            <w:shd w:val="clear" w:color="auto" w:fill="auto"/>
            <w:noWrap/>
            <w:vAlign w:val="bottom"/>
            <w:hideMark/>
          </w:tcPr>
          <w:p w14:paraId="5255CE5F" w14:textId="77777777" w:rsidR="00461F65" w:rsidRPr="00461F65" w:rsidRDefault="00461F65" w:rsidP="00461F65">
            <w:pPr>
              <w:rPr>
                <w:color w:val="000000"/>
                <w:sz w:val="20"/>
                <w:szCs w:val="20"/>
              </w:rPr>
            </w:pPr>
            <w:r w:rsidRPr="00461F65">
              <w:rPr>
                <w:color w:val="000000"/>
                <w:sz w:val="20"/>
                <w:szCs w:val="20"/>
              </w:rPr>
              <w:t>LIN</w:t>
            </w:r>
          </w:p>
        </w:tc>
        <w:tc>
          <w:tcPr>
            <w:tcW w:w="1315" w:type="dxa"/>
            <w:tcBorders>
              <w:top w:val="nil"/>
              <w:left w:val="nil"/>
              <w:bottom w:val="single" w:sz="4" w:space="0" w:color="auto"/>
              <w:right w:val="single" w:sz="4" w:space="0" w:color="auto"/>
            </w:tcBorders>
            <w:shd w:val="clear" w:color="auto" w:fill="auto"/>
            <w:noWrap/>
            <w:vAlign w:val="bottom"/>
            <w:hideMark/>
          </w:tcPr>
          <w:p w14:paraId="40DAE109"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27F7FDE6" w14:textId="77777777" w:rsidR="00461F65" w:rsidRPr="00461F65" w:rsidRDefault="00461F65" w:rsidP="00224542">
            <w:pPr>
              <w:jc w:val="center"/>
              <w:rPr>
                <w:color w:val="000000"/>
                <w:sz w:val="20"/>
                <w:szCs w:val="20"/>
              </w:rPr>
            </w:pPr>
            <w:r w:rsidRPr="00461F65">
              <w:rPr>
                <w:color w:val="000000"/>
                <w:sz w:val="20"/>
                <w:szCs w:val="20"/>
              </w:rPr>
              <w:t>1753.6</w:t>
            </w:r>
          </w:p>
        </w:tc>
        <w:tc>
          <w:tcPr>
            <w:tcW w:w="990" w:type="dxa"/>
            <w:tcBorders>
              <w:top w:val="nil"/>
              <w:left w:val="nil"/>
              <w:bottom w:val="single" w:sz="4" w:space="0" w:color="auto"/>
              <w:right w:val="single" w:sz="4" w:space="0" w:color="auto"/>
            </w:tcBorders>
            <w:shd w:val="clear" w:color="auto" w:fill="auto"/>
            <w:noWrap/>
            <w:vAlign w:val="bottom"/>
            <w:hideMark/>
          </w:tcPr>
          <w:p w14:paraId="6FD41C0C" w14:textId="77777777" w:rsidR="00461F65" w:rsidRPr="00461F65" w:rsidRDefault="00461F65" w:rsidP="00461F65">
            <w:pPr>
              <w:jc w:val="right"/>
              <w:rPr>
                <w:color w:val="000000"/>
                <w:sz w:val="20"/>
                <w:szCs w:val="20"/>
              </w:rPr>
            </w:pPr>
            <w:r w:rsidRPr="00461F65">
              <w:rPr>
                <w:color w:val="000000"/>
                <w:sz w:val="20"/>
                <w:szCs w:val="20"/>
              </w:rPr>
              <w:t>46</w:t>
            </w:r>
          </w:p>
        </w:tc>
        <w:tc>
          <w:tcPr>
            <w:tcW w:w="1080" w:type="dxa"/>
            <w:tcBorders>
              <w:top w:val="nil"/>
              <w:left w:val="nil"/>
              <w:bottom w:val="single" w:sz="4" w:space="0" w:color="auto"/>
              <w:right w:val="single" w:sz="4" w:space="0" w:color="auto"/>
            </w:tcBorders>
            <w:shd w:val="clear" w:color="auto" w:fill="auto"/>
            <w:noWrap/>
            <w:vAlign w:val="bottom"/>
            <w:hideMark/>
          </w:tcPr>
          <w:p w14:paraId="3744DABE" w14:textId="77777777" w:rsidR="00461F65" w:rsidRPr="00461F65" w:rsidRDefault="00461F65" w:rsidP="00461F65">
            <w:pPr>
              <w:jc w:val="right"/>
              <w:rPr>
                <w:color w:val="000000"/>
                <w:sz w:val="20"/>
                <w:szCs w:val="20"/>
              </w:rPr>
            </w:pPr>
            <w:r w:rsidRPr="00461F65">
              <w:rPr>
                <w:color w:val="000000"/>
                <w:sz w:val="20"/>
                <w:szCs w:val="20"/>
              </w:rPr>
              <w:t>1971.32</w:t>
            </w:r>
          </w:p>
        </w:tc>
        <w:tc>
          <w:tcPr>
            <w:tcW w:w="630" w:type="dxa"/>
            <w:tcBorders>
              <w:top w:val="nil"/>
              <w:left w:val="nil"/>
              <w:bottom w:val="single" w:sz="4" w:space="0" w:color="auto"/>
              <w:right w:val="single" w:sz="4" w:space="0" w:color="auto"/>
            </w:tcBorders>
            <w:shd w:val="clear" w:color="auto" w:fill="auto"/>
            <w:noWrap/>
            <w:vAlign w:val="bottom"/>
            <w:hideMark/>
          </w:tcPr>
          <w:p w14:paraId="67887187"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327A1A16"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084F9A" w14:textId="77777777" w:rsidR="00461F65" w:rsidRPr="00461F65" w:rsidRDefault="00461F65" w:rsidP="00461F65">
            <w:pPr>
              <w:jc w:val="center"/>
              <w:rPr>
                <w:color w:val="000000"/>
                <w:sz w:val="20"/>
                <w:szCs w:val="20"/>
              </w:rPr>
            </w:pPr>
            <w:r w:rsidRPr="00461F65">
              <w:rPr>
                <w:color w:val="000000"/>
                <w:sz w:val="20"/>
                <w:szCs w:val="20"/>
              </w:rPr>
              <w:t>N</w:t>
            </w:r>
          </w:p>
        </w:tc>
        <w:tc>
          <w:tcPr>
            <w:tcW w:w="960" w:type="dxa"/>
            <w:tcBorders>
              <w:top w:val="nil"/>
              <w:left w:val="nil"/>
              <w:bottom w:val="single" w:sz="4" w:space="0" w:color="auto"/>
              <w:right w:val="single" w:sz="4" w:space="0" w:color="auto"/>
            </w:tcBorders>
            <w:shd w:val="clear" w:color="auto" w:fill="auto"/>
            <w:noWrap/>
            <w:vAlign w:val="bottom"/>
            <w:hideMark/>
          </w:tcPr>
          <w:p w14:paraId="0EE2A7AE" w14:textId="77777777" w:rsidR="00461F65" w:rsidRPr="00461F65" w:rsidRDefault="00461F65" w:rsidP="00461F65">
            <w:pPr>
              <w:rPr>
                <w:color w:val="000000"/>
                <w:sz w:val="20"/>
                <w:szCs w:val="20"/>
              </w:rPr>
            </w:pPr>
            <w:r w:rsidRPr="00461F65">
              <w:rPr>
                <w:color w:val="000000"/>
                <w:sz w:val="20"/>
                <w:szCs w:val="20"/>
              </w:rPr>
              <w:t>MIL</w:t>
            </w:r>
          </w:p>
        </w:tc>
        <w:tc>
          <w:tcPr>
            <w:tcW w:w="1315" w:type="dxa"/>
            <w:tcBorders>
              <w:top w:val="nil"/>
              <w:left w:val="nil"/>
              <w:bottom w:val="single" w:sz="4" w:space="0" w:color="auto"/>
              <w:right w:val="single" w:sz="4" w:space="0" w:color="auto"/>
            </w:tcBorders>
            <w:shd w:val="clear" w:color="auto" w:fill="auto"/>
            <w:noWrap/>
            <w:vAlign w:val="bottom"/>
            <w:hideMark/>
          </w:tcPr>
          <w:p w14:paraId="284784CC"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5ABE3DA1" w14:textId="77777777" w:rsidR="00461F65" w:rsidRPr="00461F65" w:rsidRDefault="00461F65" w:rsidP="00224542">
            <w:pPr>
              <w:jc w:val="center"/>
              <w:rPr>
                <w:color w:val="000000"/>
                <w:sz w:val="20"/>
                <w:szCs w:val="20"/>
              </w:rPr>
            </w:pPr>
            <w:r w:rsidRPr="00461F65">
              <w:rPr>
                <w:color w:val="000000"/>
                <w:sz w:val="20"/>
                <w:szCs w:val="20"/>
              </w:rPr>
              <w:t>799.2</w:t>
            </w:r>
          </w:p>
        </w:tc>
        <w:tc>
          <w:tcPr>
            <w:tcW w:w="990" w:type="dxa"/>
            <w:tcBorders>
              <w:top w:val="nil"/>
              <w:left w:val="nil"/>
              <w:bottom w:val="single" w:sz="4" w:space="0" w:color="auto"/>
              <w:right w:val="single" w:sz="4" w:space="0" w:color="auto"/>
            </w:tcBorders>
            <w:shd w:val="clear" w:color="auto" w:fill="auto"/>
            <w:noWrap/>
            <w:vAlign w:val="bottom"/>
            <w:hideMark/>
          </w:tcPr>
          <w:p w14:paraId="4F4F3A2E" w14:textId="77777777" w:rsidR="00461F65" w:rsidRPr="00461F65" w:rsidRDefault="00461F65" w:rsidP="00461F65">
            <w:pPr>
              <w:jc w:val="right"/>
              <w:rPr>
                <w:color w:val="000000"/>
                <w:sz w:val="20"/>
                <w:szCs w:val="20"/>
              </w:rPr>
            </w:pPr>
            <w:r w:rsidRPr="00461F65">
              <w:rPr>
                <w:color w:val="000000"/>
                <w:sz w:val="20"/>
                <w:szCs w:val="20"/>
              </w:rPr>
              <w:t>36</w:t>
            </w:r>
          </w:p>
        </w:tc>
        <w:tc>
          <w:tcPr>
            <w:tcW w:w="1080" w:type="dxa"/>
            <w:tcBorders>
              <w:top w:val="nil"/>
              <w:left w:val="nil"/>
              <w:bottom w:val="single" w:sz="4" w:space="0" w:color="auto"/>
              <w:right w:val="single" w:sz="4" w:space="0" w:color="auto"/>
            </w:tcBorders>
            <w:shd w:val="clear" w:color="auto" w:fill="auto"/>
            <w:noWrap/>
            <w:vAlign w:val="bottom"/>
            <w:hideMark/>
          </w:tcPr>
          <w:p w14:paraId="2D77D7BF" w14:textId="77777777" w:rsidR="00461F65" w:rsidRPr="00461F65" w:rsidRDefault="00461F65" w:rsidP="00461F65">
            <w:pPr>
              <w:jc w:val="right"/>
              <w:rPr>
                <w:color w:val="000000"/>
                <w:sz w:val="20"/>
                <w:szCs w:val="20"/>
              </w:rPr>
            </w:pPr>
            <w:r w:rsidRPr="00461F65">
              <w:rPr>
                <w:color w:val="000000"/>
                <w:sz w:val="20"/>
                <w:szCs w:val="20"/>
              </w:rPr>
              <w:t>1493.624</w:t>
            </w:r>
          </w:p>
        </w:tc>
        <w:tc>
          <w:tcPr>
            <w:tcW w:w="630" w:type="dxa"/>
            <w:tcBorders>
              <w:top w:val="nil"/>
              <w:left w:val="nil"/>
              <w:bottom w:val="single" w:sz="4" w:space="0" w:color="auto"/>
              <w:right w:val="single" w:sz="4" w:space="0" w:color="auto"/>
            </w:tcBorders>
            <w:shd w:val="clear" w:color="auto" w:fill="auto"/>
            <w:noWrap/>
            <w:vAlign w:val="bottom"/>
            <w:hideMark/>
          </w:tcPr>
          <w:p w14:paraId="699C767A"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12D5EE71"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4789D3" w14:textId="77777777" w:rsidR="00461F65" w:rsidRPr="00461F65" w:rsidRDefault="00461F65" w:rsidP="00461F65">
            <w:pPr>
              <w:jc w:val="center"/>
              <w:rPr>
                <w:color w:val="000000"/>
                <w:sz w:val="20"/>
                <w:szCs w:val="20"/>
              </w:rPr>
            </w:pPr>
            <w:r w:rsidRPr="00461F65">
              <w:rPr>
                <w:color w:val="000000"/>
                <w:sz w:val="20"/>
                <w:szCs w:val="20"/>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14:paraId="007F103D" w14:textId="77777777" w:rsidR="00461F65" w:rsidRPr="00461F65" w:rsidRDefault="00461F65" w:rsidP="00461F65">
            <w:pPr>
              <w:rPr>
                <w:color w:val="000000"/>
                <w:sz w:val="20"/>
                <w:szCs w:val="20"/>
              </w:rPr>
            </w:pPr>
            <w:r w:rsidRPr="00461F65">
              <w:rPr>
                <w:color w:val="000000"/>
                <w:sz w:val="20"/>
                <w:szCs w:val="20"/>
              </w:rPr>
              <w:t>ROC</w:t>
            </w:r>
          </w:p>
        </w:tc>
        <w:tc>
          <w:tcPr>
            <w:tcW w:w="1315" w:type="dxa"/>
            <w:tcBorders>
              <w:top w:val="nil"/>
              <w:left w:val="nil"/>
              <w:bottom w:val="single" w:sz="4" w:space="0" w:color="auto"/>
              <w:right w:val="single" w:sz="4" w:space="0" w:color="auto"/>
            </w:tcBorders>
            <w:shd w:val="clear" w:color="auto" w:fill="auto"/>
            <w:noWrap/>
            <w:vAlign w:val="bottom"/>
            <w:hideMark/>
          </w:tcPr>
          <w:p w14:paraId="259EAA8F"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530204D8" w14:textId="77777777" w:rsidR="00461F65" w:rsidRPr="00461F65" w:rsidRDefault="00461F65" w:rsidP="00224542">
            <w:pPr>
              <w:jc w:val="center"/>
              <w:rPr>
                <w:color w:val="000000"/>
                <w:sz w:val="20"/>
                <w:szCs w:val="20"/>
              </w:rPr>
            </w:pPr>
            <w:r w:rsidRPr="00461F65">
              <w:rPr>
                <w:color w:val="000000"/>
                <w:sz w:val="20"/>
                <w:szCs w:val="20"/>
              </w:rPr>
              <w:t>977.5</w:t>
            </w:r>
          </w:p>
        </w:tc>
        <w:tc>
          <w:tcPr>
            <w:tcW w:w="990" w:type="dxa"/>
            <w:tcBorders>
              <w:top w:val="nil"/>
              <w:left w:val="nil"/>
              <w:bottom w:val="single" w:sz="4" w:space="0" w:color="auto"/>
              <w:right w:val="single" w:sz="4" w:space="0" w:color="auto"/>
            </w:tcBorders>
            <w:shd w:val="clear" w:color="auto" w:fill="auto"/>
            <w:noWrap/>
            <w:vAlign w:val="bottom"/>
            <w:hideMark/>
          </w:tcPr>
          <w:p w14:paraId="0F80B018" w14:textId="77777777" w:rsidR="00461F65" w:rsidRPr="00461F65" w:rsidRDefault="00461F65" w:rsidP="00461F65">
            <w:pPr>
              <w:jc w:val="right"/>
              <w:rPr>
                <w:color w:val="000000"/>
                <w:sz w:val="20"/>
                <w:szCs w:val="20"/>
              </w:rPr>
            </w:pPr>
            <w:r w:rsidRPr="00461F65">
              <w:rPr>
                <w:color w:val="000000"/>
                <w:sz w:val="20"/>
                <w:szCs w:val="20"/>
              </w:rPr>
              <w:t>30</w:t>
            </w:r>
          </w:p>
        </w:tc>
        <w:tc>
          <w:tcPr>
            <w:tcW w:w="1080" w:type="dxa"/>
            <w:tcBorders>
              <w:top w:val="nil"/>
              <w:left w:val="nil"/>
              <w:bottom w:val="single" w:sz="4" w:space="0" w:color="auto"/>
              <w:right w:val="single" w:sz="4" w:space="0" w:color="auto"/>
            </w:tcBorders>
            <w:shd w:val="clear" w:color="auto" w:fill="auto"/>
            <w:noWrap/>
            <w:vAlign w:val="bottom"/>
            <w:hideMark/>
          </w:tcPr>
          <w:p w14:paraId="56F04DCD" w14:textId="77777777" w:rsidR="00461F65" w:rsidRPr="00461F65" w:rsidRDefault="00461F65" w:rsidP="00461F65">
            <w:pPr>
              <w:jc w:val="right"/>
              <w:rPr>
                <w:color w:val="000000"/>
                <w:sz w:val="20"/>
                <w:szCs w:val="20"/>
              </w:rPr>
            </w:pPr>
            <w:r w:rsidRPr="00461F65">
              <w:rPr>
                <w:color w:val="000000"/>
                <w:sz w:val="20"/>
                <w:szCs w:val="20"/>
              </w:rPr>
              <w:t>1240.686</w:t>
            </w:r>
          </w:p>
        </w:tc>
        <w:tc>
          <w:tcPr>
            <w:tcW w:w="630" w:type="dxa"/>
            <w:tcBorders>
              <w:top w:val="nil"/>
              <w:left w:val="nil"/>
              <w:bottom w:val="single" w:sz="4" w:space="0" w:color="auto"/>
              <w:right w:val="single" w:sz="4" w:space="0" w:color="auto"/>
            </w:tcBorders>
            <w:shd w:val="clear" w:color="auto" w:fill="auto"/>
            <w:noWrap/>
            <w:vAlign w:val="bottom"/>
            <w:hideMark/>
          </w:tcPr>
          <w:p w14:paraId="5BE59D71"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74688FAD"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29183A" w14:textId="77777777" w:rsidR="00461F65" w:rsidRPr="00461F65" w:rsidRDefault="00461F65" w:rsidP="00461F65">
            <w:pPr>
              <w:jc w:val="center"/>
              <w:rPr>
                <w:color w:val="000000"/>
                <w:sz w:val="20"/>
                <w:szCs w:val="20"/>
              </w:rPr>
            </w:pPr>
            <w:r w:rsidRPr="00461F65">
              <w:rPr>
                <w:color w:val="000000"/>
                <w:sz w:val="20"/>
                <w:szCs w:val="20"/>
              </w:rPr>
              <w:t>P</w:t>
            </w:r>
          </w:p>
        </w:tc>
        <w:tc>
          <w:tcPr>
            <w:tcW w:w="960" w:type="dxa"/>
            <w:tcBorders>
              <w:top w:val="nil"/>
              <w:left w:val="nil"/>
              <w:bottom w:val="single" w:sz="4" w:space="0" w:color="auto"/>
              <w:right w:val="single" w:sz="4" w:space="0" w:color="auto"/>
            </w:tcBorders>
            <w:shd w:val="clear" w:color="auto" w:fill="auto"/>
            <w:noWrap/>
            <w:vAlign w:val="bottom"/>
            <w:hideMark/>
          </w:tcPr>
          <w:p w14:paraId="2793453C" w14:textId="77777777" w:rsidR="00461F65" w:rsidRPr="00461F65" w:rsidRDefault="00461F65" w:rsidP="00461F65">
            <w:pPr>
              <w:rPr>
                <w:color w:val="000000"/>
                <w:sz w:val="20"/>
                <w:szCs w:val="20"/>
              </w:rPr>
            </w:pPr>
            <w:r w:rsidRPr="00461F65">
              <w:rPr>
                <w:color w:val="000000"/>
                <w:sz w:val="20"/>
                <w:szCs w:val="20"/>
              </w:rPr>
              <w:t>SHE</w:t>
            </w:r>
          </w:p>
        </w:tc>
        <w:tc>
          <w:tcPr>
            <w:tcW w:w="1315" w:type="dxa"/>
            <w:tcBorders>
              <w:top w:val="nil"/>
              <w:left w:val="nil"/>
              <w:bottom w:val="single" w:sz="4" w:space="0" w:color="auto"/>
              <w:right w:val="single" w:sz="4" w:space="0" w:color="auto"/>
            </w:tcBorders>
            <w:shd w:val="clear" w:color="auto" w:fill="auto"/>
            <w:noWrap/>
            <w:vAlign w:val="bottom"/>
            <w:hideMark/>
          </w:tcPr>
          <w:p w14:paraId="57D3D24E"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7437ED6C" w14:textId="77777777" w:rsidR="00461F65" w:rsidRPr="00461F65" w:rsidRDefault="00461F65" w:rsidP="00224542">
            <w:pPr>
              <w:jc w:val="center"/>
              <w:rPr>
                <w:color w:val="000000"/>
                <w:sz w:val="20"/>
                <w:szCs w:val="20"/>
              </w:rPr>
            </w:pPr>
            <w:r w:rsidRPr="00461F65">
              <w:rPr>
                <w:color w:val="000000"/>
                <w:sz w:val="20"/>
                <w:szCs w:val="20"/>
              </w:rPr>
              <w:t>2244.8</w:t>
            </w:r>
          </w:p>
        </w:tc>
        <w:tc>
          <w:tcPr>
            <w:tcW w:w="990" w:type="dxa"/>
            <w:tcBorders>
              <w:top w:val="nil"/>
              <w:left w:val="nil"/>
              <w:bottom w:val="single" w:sz="4" w:space="0" w:color="auto"/>
              <w:right w:val="single" w:sz="4" w:space="0" w:color="auto"/>
            </w:tcBorders>
            <w:shd w:val="clear" w:color="auto" w:fill="auto"/>
            <w:noWrap/>
            <w:vAlign w:val="bottom"/>
            <w:hideMark/>
          </w:tcPr>
          <w:p w14:paraId="209C4870" w14:textId="77777777" w:rsidR="00461F65" w:rsidRPr="00461F65" w:rsidRDefault="00461F65" w:rsidP="00461F65">
            <w:pPr>
              <w:jc w:val="right"/>
              <w:rPr>
                <w:color w:val="000000"/>
                <w:sz w:val="20"/>
                <w:szCs w:val="20"/>
              </w:rPr>
            </w:pPr>
            <w:r w:rsidRPr="00461F65">
              <w:rPr>
                <w:color w:val="000000"/>
                <w:sz w:val="20"/>
                <w:szCs w:val="20"/>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693C270" w14:textId="77777777" w:rsidR="00461F65" w:rsidRPr="00461F65" w:rsidRDefault="00461F65" w:rsidP="00461F65">
            <w:pPr>
              <w:jc w:val="right"/>
              <w:rPr>
                <w:color w:val="000000"/>
                <w:sz w:val="20"/>
                <w:szCs w:val="20"/>
              </w:rPr>
            </w:pPr>
            <w:r w:rsidRPr="00461F65">
              <w:rPr>
                <w:color w:val="000000"/>
                <w:sz w:val="20"/>
                <w:szCs w:val="20"/>
              </w:rPr>
              <w:t>982.976</w:t>
            </w:r>
          </w:p>
        </w:tc>
        <w:tc>
          <w:tcPr>
            <w:tcW w:w="630" w:type="dxa"/>
            <w:tcBorders>
              <w:top w:val="nil"/>
              <w:left w:val="nil"/>
              <w:bottom w:val="single" w:sz="4" w:space="0" w:color="auto"/>
              <w:right w:val="single" w:sz="4" w:space="0" w:color="auto"/>
            </w:tcBorders>
            <w:shd w:val="clear" w:color="auto" w:fill="auto"/>
            <w:noWrap/>
            <w:vAlign w:val="bottom"/>
            <w:hideMark/>
          </w:tcPr>
          <w:p w14:paraId="0D96FCAF"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18133DD2"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5CD256" w14:textId="77777777" w:rsidR="00461F65" w:rsidRPr="00461F65" w:rsidRDefault="00461F65" w:rsidP="00461F65">
            <w:pPr>
              <w:jc w:val="center"/>
              <w:rPr>
                <w:color w:val="000000"/>
                <w:sz w:val="20"/>
                <w:szCs w:val="20"/>
              </w:rPr>
            </w:pPr>
            <w:r w:rsidRPr="00461F65">
              <w:rPr>
                <w:color w:val="000000"/>
                <w:sz w:val="20"/>
                <w:szCs w:val="20"/>
              </w:rPr>
              <w:t>Q</w:t>
            </w:r>
          </w:p>
        </w:tc>
        <w:tc>
          <w:tcPr>
            <w:tcW w:w="960" w:type="dxa"/>
            <w:tcBorders>
              <w:top w:val="nil"/>
              <w:left w:val="nil"/>
              <w:bottom w:val="single" w:sz="4" w:space="0" w:color="auto"/>
              <w:right w:val="single" w:sz="4" w:space="0" w:color="auto"/>
            </w:tcBorders>
            <w:shd w:val="clear" w:color="auto" w:fill="auto"/>
            <w:noWrap/>
            <w:vAlign w:val="bottom"/>
            <w:hideMark/>
          </w:tcPr>
          <w:p w14:paraId="05FE1C11" w14:textId="77777777" w:rsidR="00461F65" w:rsidRPr="00461F65" w:rsidRDefault="00461F65" w:rsidP="00461F65">
            <w:pPr>
              <w:rPr>
                <w:color w:val="000000"/>
                <w:sz w:val="20"/>
                <w:szCs w:val="20"/>
              </w:rPr>
            </w:pPr>
            <w:r w:rsidRPr="00461F65">
              <w:rPr>
                <w:color w:val="000000"/>
                <w:sz w:val="20"/>
                <w:szCs w:val="20"/>
              </w:rPr>
              <w:t>SUT</w:t>
            </w:r>
          </w:p>
        </w:tc>
        <w:tc>
          <w:tcPr>
            <w:tcW w:w="1315" w:type="dxa"/>
            <w:tcBorders>
              <w:top w:val="nil"/>
              <w:left w:val="nil"/>
              <w:bottom w:val="single" w:sz="4" w:space="0" w:color="auto"/>
              <w:right w:val="single" w:sz="4" w:space="0" w:color="auto"/>
            </w:tcBorders>
            <w:shd w:val="clear" w:color="auto" w:fill="auto"/>
            <w:noWrap/>
            <w:vAlign w:val="bottom"/>
            <w:hideMark/>
          </w:tcPr>
          <w:p w14:paraId="00875E18"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64316EBF" w14:textId="77777777" w:rsidR="00461F65" w:rsidRPr="00461F65" w:rsidRDefault="00461F65" w:rsidP="00224542">
            <w:pPr>
              <w:jc w:val="center"/>
              <w:rPr>
                <w:color w:val="000000"/>
                <w:sz w:val="20"/>
                <w:szCs w:val="20"/>
              </w:rPr>
            </w:pPr>
            <w:r w:rsidRPr="00461F65">
              <w:rPr>
                <w:color w:val="000000"/>
                <w:sz w:val="20"/>
                <w:szCs w:val="20"/>
              </w:rPr>
              <w:t>730</w:t>
            </w:r>
          </w:p>
        </w:tc>
        <w:tc>
          <w:tcPr>
            <w:tcW w:w="990" w:type="dxa"/>
            <w:tcBorders>
              <w:top w:val="nil"/>
              <w:left w:val="nil"/>
              <w:bottom w:val="single" w:sz="4" w:space="0" w:color="auto"/>
              <w:right w:val="single" w:sz="4" w:space="0" w:color="auto"/>
            </w:tcBorders>
            <w:shd w:val="clear" w:color="auto" w:fill="auto"/>
            <w:noWrap/>
            <w:vAlign w:val="bottom"/>
            <w:hideMark/>
          </w:tcPr>
          <w:p w14:paraId="57727FC9" w14:textId="77777777" w:rsidR="00461F65" w:rsidRPr="00461F65" w:rsidRDefault="00461F65" w:rsidP="00461F65">
            <w:pPr>
              <w:jc w:val="right"/>
              <w:rPr>
                <w:color w:val="000000"/>
                <w:sz w:val="20"/>
                <w:szCs w:val="20"/>
              </w:rPr>
            </w:pPr>
            <w:r w:rsidRPr="00461F65">
              <w:rPr>
                <w:color w:val="000000"/>
                <w:sz w:val="20"/>
                <w:szCs w:val="20"/>
              </w:rPr>
              <w:t>21</w:t>
            </w:r>
          </w:p>
        </w:tc>
        <w:tc>
          <w:tcPr>
            <w:tcW w:w="1080" w:type="dxa"/>
            <w:tcBorders>
              <w:top w:val="nil"/>
              <w:left w:val="nil"/>
              <w:bottom w:val="single" w:sz="4" w:space="0" w:color="auto"/>
              <w:right w:val="single" w:sz="4" w:space="0" w:color="auto"/>
            </w:tcBorders>
            <w:shd w:val="clear" w:color="auto" w:fill="auto"/>
            <w:noWrap/>
            <w:vAlign w:val="bottom"/>
            <w:hideMark/>
          </w:tcPr>
          <w:p w14:paraId="5E9D24A0" w14:textId="77777777" w:rsidR="00461F65" w:rsidRPr="00461F65" w:rsidRDefault="00461F65" w:rsidP="00461F65">
            <w:pPr>
              <w:jc w:val="right"/>
              <w:rPr>
                <w:color w:val="000000"/>
                <w:sz w:val="20"/>
                <w:szCs w:val="20"/>
              </w:rPr>
            </w:pPr>
            <w:r w:rsidRPr="00461F65">
              <w:rPr>
                <w:color w:val="000000"/>
                <w:sz w:val="20"/>
                <w:szCs w:val="20"/>
              </w:rPr>
              <w:t>835.701</w:t>
            </w:r>
          </w:p>
        </w:tc>
        <w:tc>
          <w:tcPr>
            <w:tcW w:w="630" w:type="dxa"/>
            <w:tcBorders>
              <w:top w:val="nil"/>
              <w:left w:val="nil"/>
              <w:bottom w:val="single" w:sz="4" w:space="0" w:color="auto"/>
              <w:right w:val="single" w:sz="4" w:space="0" w:color="auto"/>
            </w:tcBorders>
            <w:shd w:val="clear" w:color="auto" w:fill="auto"/>
            <w:noWrap/>
            <w:vAlign w:val="bottom"/>
            <w:hideMark/>
          </w:tcPr>
          <w:p w14:paraId="4D92E976"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059D39DE"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374E9F" w14:textId="77777777" w:rsidR="00461F65" w:rsidRPr="00461F65" w:rsidRDefault="00461F65" w:rsidP="00461F65">
            <w:pPr>
              <w:jc w:val="center"/>
              <w:rPr>
                <w:color w:val="000000"/>
                <w:sz w:val="20"/>
                <w:szCs w:val="20"/>
              </w:rPr>
            </w:pPr>
            <w:r w:rsidRPr="00461F65">
              <w:rPr>
                <w:color w:val="000000"/>
                <w:sz w:val="20"/>
                <w:szCs w:val="20"/>
              </w:rPr>
              <w:t>R</w:t>
            </w:r>
          </w:p>
        </w:tc>
        <w:tc>
          <w:tcPr>
            <w:tcW w:w="960" w:type="dxa"/>
            <w:tcBorders>
              <w:top w:val="nil"/>
              <w:left w:val="nil"/>
              <w:bottom w:val="single" w:sz="4" w:space="0" w:color="auto"/>
              <w:right w:val="single" w:sz="4" w:space="0" w:color="auto"/>
            </w:tcBorders>
            <w:shd w:val="clear" w:color="auto" w:fill="auto"/>
            <w:noWrap/>
            <w:vAlign w:val="bottom"/>
            <w:hideMark/>
          </w:tcPr>
          <w:p w14:paraId="25CFFF7B" w14:textId="77777777" w:rsidR="00461F65" w:rsidRPr="00461F65" w:rsidRDefault="00461F65" w:rsidP="00461F65">
            <w:pPr>
              <w:rPr>
                <w:color w:val="000000"/>
                <w:sz w:val="20"/>
                <w:szCs w:val="20"/>
              </w:rPr>
            </w:pPr>
            <w:r w:rsidRPr="00461F65">
              <w:rPr>
                <w:color w:val="000000"/>
                <w:sz w:val="20"/>
                <w:szCs w:val="20"/>
              </w:rPr>
              <w:t>WS</w:t>
            </w:r>
          </w:p>
        </w:tc>
        <w:tc>
          <w:tcPr>
            <w:tcW w:w="1315" w:type="dxa"/>
            <w:tcBorders>
              <w:top w:val="nil"/>
              <w:left w:val="nil"/>
              <w:bottom w:val="single" w:sz="4" w:space="0" w:color="auto"/>
              <w:right w:val="single" w:sz="4" w:space="0" w:color="auto"/>
            </w:tcBorders>
            <w:shd w:val="clear" w:color="auto" w:fill="auto"/>
            <w:noWrap/>
            <w:vAlign w:val="bottom"/>
            <w:hideMark/>
          </w:tcPr>
          <w:p w14:paraId="3788E3BB"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199552CE" w14:textId="77777777" w:rsidR="00461F65" w:rsidRPr="00461F65" w:rsidRDefault="00461F65" w:rsidP="00224542">
            <w:pPr>
              <w:jc w:val="center"/>
              <w:rPr>
                <w:color w:val="000000"/>
                <w:sz w:val="20"/>
                <w:szCs w:val="20"/>
              </w:rPr>
            </w:pPr>
            <w:r w:rsidRPr="00461F65">
              <w:rPr>
                <w:color w:val="000000"/>
                <w:sz w:val="20"/>
                <w:szCs w:val="20"/>
              </w:rPr>
              <w:t>271.2</w:t>
            </w:r>
          </w:p>
        </w:tc>
        <w:tc>
          <w:tcPr>
            <w:tcW w:w="990" w:type="dxa"/>
            <w:tcBorders>
              <w:top w:val="nil"/>
              <w:left w:val="nil"/>
              <w:bottom w:val="single" w:sz="4" w:space="0" w:color="auto"/>
              <w:right w:val="single" w:sz="4" w:space="0" w:color="auto"/>
            </w:tcBorders>
            <w:shd w:val="clear" w:color="auto" w:fill="auto"/>
            <w:noWrap/>
            <w:vAlign w:val="bottom"/>
            <w:hideMark/>
          </w:tcPr>
          <w:p w14:paraId="10966276" w14:textId="77777777" w:rsidR="00461F65" w:rsidRPr="00461F65" w:rsidRDefault="00461F65" w:rsidP="00461F65">
            <w:pPr>
              <w:jc w:val="right"/>
              <w:rPr>
                <w:color w:val="000000"/>
                <w:sz w:val="20"/>
                <w:szCs w:val="20"/>
              </w:rPr>
            </w:pPr>
            <w:r w:rsidRPr="00461F65">
              <w:rPr>
                <w:color w:val="000000"/>
                <w:sz w:val="20"/>
                <w:szCs w:val="20"/>
              </w:rPr>
              <w:t>33</w:t>
            </w:r>
          </w:p>
        </w:tc>
        <w:tc>
          <w:tcPr>
            <w:tcW w:w="1080" w:type="dxa"/>
            <w:tcBorders>
              <w:top w:val="nil"/>
              <w:left w:val="nil"/>
              <w:bottom w:val="single" w:sz="4" w:space="0" w:color="auto"/>
              <w:right w:val="single" w:sz="4" w:space="0" w:color="auto"/>
            </w:tcBorders>
            <w:shd w:val="clear" w:color="auto" w:fill="auto"/>
            <w:noWrap/>
            <w:vAlign w:val="bottom"/>
            <w:hideMark/>
          </w:tcPr>
          <w:p w14:paraId="744BF020" w14:textId="77777777" w:rsidR="00461F65" w:rsidRPr="00461F65" w:rsidRDefault="00461F65" w:rsidP="00461F65">
            <w:pPr>
              <w:jc w:val="right"/>
              <w:rPr>
                <w:color w:val="000000"/>
                <w:sz w:val="20"/>
                <w:szCs w:val="20"/>
              </w:rPr>
            </w:pPr>
            <w:r w:rsidRPr="00461F65">
              <w:rPr>
                <w:color w:val="000000"/>
                <w:sz w:val="20"/>
                <w:szCs w:val="20"/>
              </w:rPr>
              <w:t>1367.639</w:t>
            </w:r>
          </w:p>
        </w:tc>
        <w:tc>
          <w:tcPr>
            <w:tcW w:w="630" w:type="dxa"/>
            <w:tcBorders>
              <w:top w:val="nil"/>
              <w:left w:val="nil"/>
              <w:bottom w:val="single" w:sz="4" w:space="0" w:color="auto"/>
              <w:right w:val="single" w:sz="4" w:space="0" w:color="auto"/>
            </w:tcBorders>
            <w:shd w:val="clear" w:color="auto" w:fill="auto"/>
            <w:noWrap/>
            <w:vAlign w:val="bottom"/>
            <w:hideMark/>
          </w:tcPr>
          <w:p w14:paraId="204802B9"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57A6CFA2"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1B823" w14:textId="77777777" w:rsidR="00461F65" w:rsidRPr="00461F65" w:rsidRDefault="00461F65" w:rsidP="00461F65">
            <w:pPr>
              <w:jc w:val="center"/>
              <w:rPr>
                <w:color w:val="000000"/>
                <w:sz w:val="20"/>
                <w:szCs w:val="20"/>
              </w:rPr>
            </w:pPr>
            <w:r w:rsidRPr="00461F65">
              <w:rPr>
                <w:color w:val="000000"/>
                <w:sz w:val="20"/>
                <w:szCs w:val="20"/>
              </w:rPr>
              <w:t>S</w:t>
            </w:r>
          </w:p>
        </w:tc>
        <w:tc>
          <w:tcPr>
            <w:tcW w:w="960" w:type="dxa"/>
            <w:tcBorders>
              <w:top w:val="nil"/>
              <w:left w:val="nil"/>
              <w:bottom w:val="single" w:sz="4" w:space="0" w:color="auto"/>
              <w:right w:val="single" w:sz="4" w:space="0" w:color="auto"/>
            </w:tcBorders>
            <w:shd w:val="clear" w:color="auto" w:fill="auto"/>
            <w:noWrap/>
            <w:vAlign w:val="bottom"/>
            <w:hideMark/>
          </w:tcPr>
          <w:p w14:paraId="51C20349" w14:textId="77777777" w:rsidR="00461F65" w:rsidRPr="00461F65" w:rsidRDefault="00461F65" w:rsidP="00461F65">
            <w:pPr>
              <w:rPr>
                <w:color w:val="000000"/>
                <w:sz w:val="20"/>
                <w:szCs w:val="20"/>
              </w:rPr>
            </w:pPr>
            <w:r w:rsidRPr="00461F65">
              <w:rPr>
                <w:color w:val="000000"/>
                <w:sz w:val="20"/>
                <w:szCs w:val="20"/>
              </w:rPr>
              <w:t>WA</w:t>
            </w:r>
          </w:p>
        </w:tc>
        <w:tc>
          <w:tcPr>
            <w:tcW w:w="1315" w:type="dxa"/>
            <w:tcBorders>
              <w:top w:val="nil"/>
              <w:left w:val="nil"/>
              <w:bottom w:val="single" w:sz="4" w:space="0" w:color="auto"/>
              <w:right w:val="single" w:sz="4" w:space="0" w:color="auto"/>
            </w:tcBorders>
            <w:shd w:val="clear" w:color="auto" w:fill="auto"/>
            <w:noWrap/>
            <w:vAlign w:val="bottom"/>
            <w:hideMark/>
          </w:tcPr>
          <w:p w14:paraId="1B04E901" w14:textId="77777777" w:rsidR="00461F65" w:rsidRPr="00461F65" w:rsidRDefault="00461F65" w:rsidP="00461F65">
            <w:pPr>
              <w:rPr>
                <w:color w:val="000000"/>
                <w:sz w:val="20"/>
                <w:szCs w:val="20"/>
              </w:rPr>
            </w:pPr>
            <w:r w:rsidRPr="00461F65">
              <w:rPr>
                <w:color w:val="000000"/>
                <w:sz w:val="20"/>
                <w:szCs w:val="20"/>
              </w:rPr>
              <w:t>Natural Gas</w:t>
            </w:r>
          </w:p>
        </w:tc>
        <w:tc>
          <w:tcPr>
            <w:tcW w:w="1170" w:type="dxa"/>
            <w:tcBorders>
              <w:top w:val="nil"/>
              <w:left w:val="nil"/>
              <w:bottom w:val="single" w:sz="4" w:space="0" w:color="auto"/>
              <w:right w:val="single" w:sz="4" w:space="0" w:color="auto"/>
            </w:tcBorders>
            <w:shd w:val="clear" w:color="auto" w:fill="auto"/>
            <w:noWrap/>
            <w:vAlign w:val="bottom"/>
            <w:hideMark/>
          </w:tcPr>
          <w:p w14:paraId="266B8AE8" w14:textId="77777777" w:rsidR="00461F65" w:rsidRPr="00461F65" w:rsidRDefault="00461F65" w:rsidP="00224542">
            <w:pPr>
              <w:jc w:val="center"/>
              <w:rPr>
                <w:color w:val="000000"/>
                <w:sz w:val="20"/>
                <w:szCs w:val="20"/>
              </w:rPr>
            </w:pPr>
            <w:r w:rsidRPr="00461F65">
              <w:rPr>
                <w:color w:val="000000"/>
                <w:sz w:val="20"/>
                <w:szCs w:val="20"/>
              </w:rPr>
              <w:t>979.7</w:t>
            </w:r>
          </w:p>
        </w:tc>
        <w:tc>
          <w:tcPr>
            <w:tcW w:w="990" w:type="dxa"/>
            <w:tcBorders>
              <w:top w:val="nil"/>
              <w:left w:val="nil"/>
              <w:bottom w:val="single" w:sz="4" w:space="0" w:color="auto"/>
              <w:right w:val="single" w:sz="4" w:space="0" w:color="auto"/>
            </w:tcBorders>
            <w:shd w:val="clear" w:color="auto" w:fill="auto"/>
            <w:noWrap/>
            <w:vAlign w:val="bottom"/>
            <w:hideMark/>
          </w:tcPr>
          <w:p w14:paraId="06BC9AF6" w14:textId="77777777" w:rsidR="00461F65" w:rsidRPr="00461F65" w:rsidRDefault="00461F65" w:rsidP="00461F65">
            <w:pPr>
              <w:jc w:val="right"/>
              <w:rPr>
                <w:color w:val="000000"/>
                <w:sz w:val="20"/>
                <w:szCs w:val="20"/>
              </w:rPr>
            </w:pPr>
            <w:r w:rsidRPr="00461F65">
              <w:rPr>
                <w:color w:val="000000"/>
                <w:sz w:val="20"/>
                <w:szCs w:val="20"/>
              </w:rPr>
              <w:t>31</w:t>
            </w:r>
          </w:p>
        </w:tc>
        <w:tc>
          <w:tcPr>
            <w:tcW w:w="1080" w:type="dxa"/>
            <w:tcBorders>
              <w:top w:val="nil"/>
              <w:left w:val="nil"/>
              <w:bottom w:val="single" w:sz="4" w:space="0" w:color="auto"/>
              <w:right w:val="single" w:sz="4" w:space="0" w:color="auto"/>
            </w:tcBorders>
            <w:shd w:val="clear" w:color="auto" w:fill="auto"/>
            <w:noWrap/>
            <w:vAlign w:val="bottom"/>
            <w:hideMark/>
          </w:tcPr>
          <w:p w14:paraId="0C917715" w14:textId="77777777" w:rsidR="00461F65" w:rsidRPr="00461F65" w:rsidRDefault="00461F65" w:rsidP="00461F65">
            <w:pPr>
              <w:jc w:val="right"/>
              <w:rPr>
                <w:color w:val="000000"/>
                <w:sz w:val="20"/>
                <w:szCs w:val="20"/>
              </w:rPr>
            </w:pPr>
            <w:r w:rsidRPr="00461F65">
              <w:rPr>
                <w:color w:val="000000"/>
                <w:sz w:val="20"/>
                <w:szCs w:val="20"/>
              </w:rPr>
              <w:t>1282.978</w:t>
            </w:r>
          </w:p>
        </w:tc>
        <w:tc>
          <w:tcPr>
            <w:tcW w:w="630" w:type="dxa"/>
            <w:tcBorders>
              <w:top w:val="nil"/>
              <w:left w:val="nil"/>
              <w:bottom w:val="single" w:sz="4" w:space="0" w:color="auto"/>
              <w:right w:val="single" w:sz="4" w:space="0" w:color="auto"/>
            </w:tcBorders>
            <w:shd w:val="clear" w:color="auto" w:fill="auto"/>
            <w:noWrap/>
            <w:vAlign w:val="bottom"/>
            <w:hideMark/>
          </w:tcPr>
          <w:p w14:paraId="43921E72"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31476778"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7859FC" w14:textId="77777777" w:rsidR="00461F65" w:rsidRPr="00461F65" w:rsidRDefault="00461F65" w:rsidP="00461F65">
            <w:pPr>
              <w:jc w:val="center"/>
              <w:rPr>
                <w:color w:val="000000"/>
                <w:sz w:val="20"/>
                <w:szCs w:val="20"/>
              </w:rPr>
            </w:pPr>
            <w:r w:rsidRPr="00461F65">
              <w:rPr>
                <w:color w:val="000000"/>
                <w:sz w:val="20"/>
                <w:szCs w:val="20"/>
              </w:rPr>
              <w:t>T</w:t>
            </w:r>
          </w:p>
        </w:tc>
        <w:tc>
          <w:tcPr>
            <w:tcW w:w="960" w:type="dxa"/>
            <w:tcBorders>
              <w:top w:val="nil"/>
              <w:left w:val="nil"/>
              <w:bottom w:val="single" w:sz="4" w:space="0" w:color="auto"/>
              <w:right w:val="single" w:sz="4" w:space="0" w:color="auto"/>
            </w:tcBorders>
            <w:shd w:val="clear" w:color="auto" w:fill="auto"/>
            <w:noWrap/>
            <w:vAlign w:val="bottom"/>
            <w:hideMark/>
          </w:tcPr>
          <w:p w14:paraId="6520F41B" w14:textId="77777777" w:rsidR="00461F65" w:rsidRPr="00461F65" w:rsidRDefault="00461F65" w:rsidP="00461F65">
            <w:pPr>
              <w:rPr>
                <w:color w:val="000000"/>
                <w:sz w:val="20"/>
                <w:szCs w:val="20"/>
              </w:rPr>
            </w:pPr>
            <w:r w:rsidRPr="00461F65">
              <w:rPr>
                <w:color w:val="000000"/>
                <w:sz w:val="20"/>
                <w:szCs w:val="20"/>
              </w:rPr>
              <w:t>FOI</w:t>
            </w:r>
          </w:p>
        </w:tc>
        <w:tc>
          <w:tcPr>
            <w:tcW w:w="1315" w:type="dxa"/>
            <w:tcBorders>
              <w:top w:val="nil"/>
              <w:left w:val="nil"/>
              <w:bottom w:val="single" w:sz="4" w:space="0" w:color="auto"/>
              <w:right w:val="single" w:sz="4" w:space="0" w:color="auto"/>
            </w:tcBorders>
            <w:shd w:val="clear" w:color="auto" w:fill="auto"/>
            <w:noWrap/>
            <w:vAlign w:val="bottom"/>
            <w:hideMark/>
          </w:tcPr>
          <w:p w14:paraId="3C41AEAA" w14:textId="77777777" w:rsidR="00461F65" w:rsidRPr="00461F65" w:rsidRDefault="00461F65" w:rsidP="00461F65">
            <w:pPr>
              <w:rPr>
                <w:color w:val="000000"/>
                <w:sz w:val="20"/>
                <w:szCs w:val="20"/>
              </w:rPr>
            </w:pPr>
            <w:proofErr w:type="spellStart"/>
            <w:r w:rsidRPr="00461F65">
              <w:rPr>
                <w:color w:val="000000"/>
                <w:sz w:val="20"/>
                <w:szCs w:val="20"/>
              </w:rPr>
              <w:t>FuelOil</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ED67717" w14:textId="77777777" w:rsidR="00461F65" w:rsidRPr="00461F65" w:rsidRDefault="00461F65" w:rsidP="00224542">
            <w:pPr>
              <w:jc w:val="center"/>
              <w:rPr>
                <w:color w:val="000000"/>
                <w:sz w:val="20"/>
                <w:szCs w:val="20"/>
              </w:rPr>
            </w:pPr>
            <w:r w:rsidRPr="00461F65">
              <w:rPr>
                <w:color w:val="000000"/>
                <w:sz w:val="20"/>
                <w:szCs w:val="20"/>
              </w:rPr>
              <w:t>670</w:t>
            </w:r>
          </w:p>
        </w:tc>
        <w:tc>
          <w:tcPr>
            <w:tcW w:w="990" w:type="dxa"/>
            <w:tcBorders>
              <w:top w:val="nil"/>
              <w:left w:val="nil"/>
              <w:bottom w:val="single" w:sz="4" w:space="0" w:color="auto"/>
              <w:right w:val="single" w:sz="4" w:space="0" w:color="auto"/>
            </w:tcBorders>
            <w:shd w:val="clear" w:color="auto" w:fill="auto"/>
            <w:noWrap/>
            <w:vAlign w:val="bottom"/>
            <w:hideMark/>
          </w:tcPr>
          <w:p w14:paraId="44A38433" w14:textId="77777777" w:rsidR="00461F65" w:rsidRPr="00461F65" w:rsidRDefault="00461F65" w:rsidP="00461F65">
            <w:pPr>
              <w:jc w:val="right"/>
              <w:rPr>
                <w:color w:val="000000"/>
                <w:sz w:val="20"/>
                <w:szCs w:val="20"/>
              </w:rPr>
            </w:pPr>
            <w:r w:rsidRPr="00461F65">
              <w:rPr>
                <w:color w:val="000000"/>
                <w:sz w:val="20"/>
                <w:szCs w:val="20"/>
              </w:rPr>
              <w:t>25</w:t>
            </w:r>
          </w:p>
        </w:tc>
        <w:tc>
          <w:tcPr>
            <w:tcW w:w="1080" w:type="dxa"/>
            <w:tcBorders>
              <w:top w:val="nil"/>
              <w:left w:val="nil"/>
              <w:bottom w:val="single" w:sz="4" w:space="0" w:color="auto"/>
              <w:right w:val="single" w:sz="4" w:space="0" w:color="auto"/>
            </w:tcBorders>
            <w:shd w:val="clear" w:color="auto" w:fill="auto"/>
            <w:noWrap/>
            <w:vAlign w:val="bottom"/>
            <w:hideMark/>
          </w:tcPr>
          <w:p w14:paraId="50136002" w14:textId="77777777" w:rsidR="00461F65" w:rsidRPr="00461F65" w:rsidRDefault="00461F65" w:rsidP="00461F65">
            <w:pPr>
              <w:jc w:val="right"/>
              <w:rPr>
                <w:color w:val="000000"/>
                <w:sz w:val="20"/>
                <w:szCs w:val="20"/>
              </w:rPr>
            </w:pPr>
            <w:r w:rsidRPr="00461F65">
              <w:rPr>
                <w:color w:val="000000"/>
                <w:sz w:val="20"/>
                <w:szCs w:val="20"/>
              </w:rPr>
              <w:t>7200</w:t>
            </w:r>
          </w:p>
        </w:tc>
        <w:tc>
          <w:tcPr>
            <w:tcW w:w="630" w:type="dxa"/>
            <w:tcBorders>
              <w:top w:val="nil"/>
              <w:left w:val="nil"/>
              <w:bottom w:val="single" w:sz="4" w:space="0" w:color="auto"/>
              <w:right w:val="single" w:sz="4" w:space="0" w:color="auto"/>
            </w:tcBorders>
            <w:shd w:val="clear" w:color="auto" w:fill="auto"/>
            <w:noWrap/>
            <w:vAlign w:val="bottom"/>
            <w:hideMark/>
          </w:tcPr>
          <w:p w14:paraId="12571182"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3FD83EE3"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5925C3" w14:textId="77777777" w:rsidR="00461F65" w:rsidRPr="00461F65" w:rsidRDefault="00461F65" w:rsidP="00461F65">
            <w:pPr>
              <w:jc w:val="center"/>
              <w:rPr>
                <w:color w:val="000000"/>
                <w:sz w:val="18"/>
                <w:szCs w:val="18"/>
              </w:rPr>
            </w:pPr>
            <w:r w:rsidRPr="00461F65">
              <w:rPr>
                <w:color w:val="000000"/>
                <w:sz w:val="18"/>
                <w:szCs w:val="18"/>
              </w:rPr>
              <w:t>Nuk1</w:t>
            </w:r>
          </w:p>
        </w:tc>
        <w:tc>
          <w:tcPr>
            <w:tcW w:w="960" w:type="dxa"/>
            <w:tcBorders>
              <w:top w:val="nil"/>
              <w:left w:val="nil"/>
              <w:bottom w:val="single" w:sz="4" w:space="0" w:color="auto"/>
              <w:right w:val="single" w:sz="4" w:space="0" w:color="auto"/>
            </w:tcBorders>
            <w:shd w:val="clear" w:color="auto" w:fill="auto"/>
            <w:noWrap/>
            <w:vAlign w:val="center"/>
            <w:hideMark/>
          </w:tcPr>
          <w:p w14:paraId="460A6209" w14:textId="77777777" w:rsidR="00461F65" w:rsidRPr="00461F65" w:rsidRDefault="00461F65" w:rsidP="00461F65">
            <w:pPr>
              <w:rPr>
                <w:color w:val="000000"/>
                <w:sz w:val="18"/>
                <w:szCs w:val="18"/>
              </w:rPr>
            </w:pPr>
            <w:r w:rsidRPr="00461F65">
              <w:rPr>
                <w:color w:val="000000"/>
                <w:sz w:val="18"/>
                <w:szCs w:val="18"/>
              </w:rPr>
              <w:t>CAT</w:t>
            </w:r>
          </w:p>
        </w:tc>
        <w:tc>
          <w:tcPr>
            <w:tcW w:w="1315" w:type="dxa"/>
            <w:tcBorders>
              <w:top w:val="nil"/>
              <w:left w:val="nil"/>
              <w:bottom w:val="single" w:sz="4" w:space="0" w:color="auto"/>
              <w:right w:val="single" w:sz="4" w:space="0" w:color="auto"/>
            </w:tcBorders>
            <w:shd w:val="clear" w:color="auto" w:fill="auto"/>
            <w:noWrap/>
            <w:vAlign w:val="center"/>
            <w:hideMark/>
          </w:tcPr>
          <w:p w14:paraId="175FD5F4"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529FAD95" w14:textId="77777777" w:rsidR="00461F65" w:rsidRPr="00461F65" w:rsidRDefault="00461F65" w:rsidP="00224542">
            <w:pPr>
              <w:jc w:val="center"/>
              <w:rPr>
                <w:color w:val="000000"/>
                <w:sz w:val="18"/>
                <w:szCs w:val="18"/>
              </w:rPr>
            </w:pPr>
            <w:r w:rsidRPr="00461F65">
              <w:rPr>
                <w:color w:val="000000"/>
                <w:sz w:val="18"/>
                <w:szCs w:val="18"/>
              </w:rPr>
              <w:t>2,410.0</w:t>
            </w:r>
          </w:p>
        </w:tc>
        <w:tc>
          <w:tcPr>
            <w:tcW w:w="990" w:type="dxa"/>
            <w:tcBorders>
              <w:top w:val="nil"/>
              <w:left w:val="nil"/>
              <w:bottom w:val="single" w:sz="4" w:space="0" w:color="auto"/>
              <w:right w:val="single" w:sz="4" w:space="0" w:color="auto"/>
            </w:tcBorders>
            <w:shd w:val="clear" w:color="auto" w:fill="auto"/>
            <w:noWrap/>
            <w:vAlign w:val="bottom"/>
            <w:hideMark/>
          </w:tcPr>
          <w:p w14:paraId="52D312F5"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068B1514"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20B44C1A" w14:textId="77777777" w:rsidR="00461F65" w:rsidRPr="00461F65" w:rsidRDefault="00461F65" w:rsidP="00461F65">
            <w:pPr>
              <w:jc w:val="right"/>
              <w:rPr>
                <w:color w:val="000000"/>
                <w:sz w:val="20"/>
                <w:szCs w:val="20"/>
              </w:rPr>
            </w:pPr>
            <w:r w:rsidRPr="00461F65">
              <w:rPr>
                <w:color w:val="000000"/>
                <w:sz w:val="20"/>
                <w:szCs w:val="20"/>
              </w:rPr>
              <w:t>1</w:t>
            </w:r>
          </w:p>
        </w:tc>
      </w:tr>
      <w:tr w:rsidR="00461F65" w:rsidRPr="00461F65" w14:paraId="2A9B6754"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F16234" w14:textId="77777777" w:rsidR="00461F65" w:rsidRPr="00461F65" w:rsidRDefault="00461F65" w:rsidP="00461F65">
            <w:pPr>
              <w:jc w:val="center"/>
              <w:rPr>
                <w:color w:val="000000"/>
                <w:sz w:val="18"/>
                <w:szCs w:val="18"/>
              </w:rPr>
            </w:pPr>
            <w:r w:rsidRPr="00461F65">
              <w:rPr>
                <w:color w:val="000000"/>
                <w:sz w:val="18"/>
                <w:szCs w:val="18"/>
              </w:rPr>
              <w:t>Nuk2</w:t>
            </w:r>
          </w:p>
        </w:tc>
        <w:tc>
          <w:tcPr>
            <w:tcW w:w="960" w:type="dxa"/>
            <w:tcBorders>
              <w:top w:val="nil"/>
              <w:left w:val="nil"/>
              <w:bottom w:val="single" w:sz="4" w:space="0" w:color="auto"/>
              <w:right w:val="single" w:sz="4" w:space="0" w:color="auto"/>
            </w:tcBorders>
            <w:shd w:val="clear" w:color="auto" w:fill="auto"/>
            <w:noWrap/>
            <w:vAlign w:val="center"/>
            <w:hideMark/>
          </w:tcPr>
          <w:p w14:paraId="785159A0" w14:textId="77777777" w:rsidR="00461F65" w:rsidRPr="00461F65" w:rsidRDefault="00461F65" w:rsidP="00461F65">
            <w:pPr>
              <w:rPr>
                <w:color w:val="000000"/>
                <w:sz w:val="18"/>
                <w:szCs w:val="18"/>
              </w:rPr>
            </w:pPr>
            <w:r w:rsidRPr="00461F65">
              <w:rPr>
                <w:color w:val="000000"/>
                <w:sz w:val="18"/>
                <w:szCs w:val="18"/>
              </w:rPr>
              <w:t>MCG</w:t>
            </w:r>
          </w:p>
        </w:tc>
        <w:tc>
          <w:tcPr>
            <w:tcW w:w="1315" w:type="dxa"/>
            <w:tcBorders>
              <w:top w:val="nil"/>
              <w:left w:val="nil"/>
              <w:bottom w:val="single" w:sz="4" w:space="0" w:color="auto"/>
              <w:right w:val="single" w:sz="4" w:space="0" w:color="auto"/>
            </w:tcBorders>
            <w:shd w:val="clear" w:color="auto" w:fill="auto"/>
            <w:noWrap/>
            <w:vAlign w:val="center"/>
            <w:hideMark/>
          </w:tcPr>
          <w:p w14:paraId="63E84F2D"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62325B85" w14:textId="77777777" w:rsidR="00461F65" w:rsidRPr="00461F65" w:rsidRDefault="00461F65" w:rsidP="00224542">
            <w:pPr>
              <w:jc w:val="center"/>
              <w:rPr>
                <w:color w:val="000000"/>
                <w:sz w:val="18"/>
                <w:szCs w:val="18"/>
              </w:rPr>
            </w:pPr>
            <w:r w:rsidRPr="00461F65">
              <w:rPr>
                <w:color w:val="000000"/>
                <w:sz w:val="18"/>
                <w:szCs w:val="18"/>
              </w:rPr>
              <w:t>2,500.0</w:t>
            </w:r>
          </w:p>
        </w:tc>
        <w:tc>
          <w:tcPr>
            <w:tcW w:w="990" w:type="dxa"/>
            <w:tcBorders>
              <w:top w:val="nil"/>
              <w:left w:val="nil"/>
              <w:bottom w:val="single" w:sz="4" w:space="0" w:color="auto"/>
              <w:right w:val="single" w:sz="4" w:space="0" w:color="auto"/>
            </w:tcBorders>
            <w:shd w:val="clear" w:color="auto" w:fill="auto"/>
            <w:noWrap/>
            <w:vAlign w:val="bottom"/>
            <w:hideMark/>
          </w:tcPr>
          <w:p w14:paraId="40EDE5EB"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019A31BB"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13727FBE"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6A46FBA5"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7D58D" w14:textId="77777777" w:rsidR="00461F65" w:rsidRPr="00461F65" w:rsidRDefault="00461F65" w:rsidP="00461F65">
            <w:pPr>
              <w:jc w:val="center"/>
              <w:rPr>
                <w:color w:val="000000"/>
                <w:sz w:val="18"/>
                <w:szCs w:val="18"/>
              </w:rPr>
            </w:pPr>
            <w:r w:rsidRPr="00461F65">
              <w:rPr>
                <w:color w:val="000000"/>
                <w:sz w:val="18"/>
                <w:szCs w:val="18"/>
              </w:rPr>
              <w:t>Nuk3</w:t>
            </w:r>
          </w:p>
        </w:tc>
        <w:tc>
          <w:tcPr>
            <w:tcW w:w="960" w:type="dxa"/>
            <w:tcBorders>
              <w:top w:val="nil"/>
              <w:left w:val="nil"/>
              <w:bottom w:val="single" w:sz="4" w:space="0" w:color="auto"/>
              <w:right w:val="single" w:sz="4" w:space="0" w:color="auto"/>
            </w:tcBorders>
            <w:shd w:val="clear" w:color="auto" w:fill="auto"/>
            <w:noWrap/>
            <w:vAlign w:val="center"/>
            <w:hideMark/>
          </w:tcPr>
          <w:p w14:paraId="41283DC1" w14:textId="77777777" w:rsidR="00461F65" w:rsidRPr="00461F65" w:rsidRDefault="00461F65" w:rsidP="00461F65">
            <w:pPr>
              <w:rPr>
                <w:color w:val="000000"/>
                <w:sz w:val="18"/>
                <w:szCs w:val="18"/>
              </w:rPr>
            </w:pPr>
            <w:r w:rsidRPr="00461F65">
              <w:rPr>
                <w:color w:val="000000"/>
                <w:sz w:val="18"/>
                <w:szCs w:val="18"/>
              </w:rPr>
              <w:t>OCO</w:t>
            </w:r>
          </w:p>
        </w:tc>
        <w:tc>
          <w:tcPr>
            <w:tcW w:w="1315" w:type="dxa"/>
            <w:tcBorders>
              <w:top w:val="nil"/>
              <w:left w:val="nil"/>
              <w:bottom w:val="single" w:sz="4" w:space="0" w:color="auto"/>
              <w:right w:val="single" w:sz="4" w:space="0" w:color="auto"/>
            </w:tcBorders>
            <w:shd w:val="clear" w:color="auto" w:fill="auto"/>
            <w:noWrap/>
            <w:vAlign w:val="center"/>
            <w:hideMark/>
          </w:tcPr>
          <w:p w14:paraId="3FD5E7CC"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0C2A54A1" w14:textId="77777777" w:rsidR="00461F65" w:rsidRPr="00461F65" w:rsidRDefault="00461F65" w:rsidP="00224542">
            <w:pPr>
              <w:jc w:val="center"/>
              <w:rPr>
                <w:color w:val="000000"/>
                <w:sz w:val="18"/>
                <w:szCs w:val="18"/>
              </w:rPr>
            </w:pPr>
            <w:r w:rsidRPr="00461F65">
              <w:rPr>
                <w:color w:val="000000"/>
                <w:sz w:val="18"/>
                <w:szCs w:val="18"/>
              </w:rPr>
              <w:t>2,800.0</w:t>
            </w:r>
          </w:p>
        </w:tc>
        <w:tc>
          <w:tcPr>
            <w:tcW w:w="990" w:type="dxa"/>
            <w:tcBorders>
              <w:top w:val="nil"/>
              <w:left w:val="nil"/>
              <w:bottom w:val="single" w:sz="4" w:space="0" w:color="auto"/>
              <w:right w:val="single" w:sz="4" w:space="0" w:color="auto"/>
            </w:tcBorders>
            <w:shd w:val="clear" w:color="auto" w:fill="auto"/>
            <w:noWrap/>
            <w:vAlign w:val="bottom"/>
            <w:hideMark/>
          </w:tcPr>
          <w:p w14:paraId="4EFD5DF5"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690A660E"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4EFA100F" w14:textId="77777777" w:rsidR="00461F65" w:rsidRPr="00461F65" w:rsidRDefault="00461F65" w:rsidP="00461F65">
            <w:pPr>
              <w:jc w:val="right"/>
              <w:rPr>
                <w:color w:val="000000"/>
                <w:sz w:val="20"/>
                <w:szCs w:val="20"/>
              </w:rPr>
            </w:pPr>
            <w:r w:rsidRPr="00461F65">
              <w:rPr>
                <w:color w:val="000000"/>
                <w:sz w:val="20"/>
                <w:szCs w:val="20"/>
              </w:rPr>
              <w:t>2</w:t>
            </w:r>
          </w:p>
        </w:tc>
      </w:tr>
      <w:tr w:rsidR="00461F65" w:rsidRPr="00461F65" w14:paraId="7E913098"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30CDDF" w14:textId="77777777" w:rsidR="00461F65" w:rsidRPr="00461F65" w:rsidRDefault="00461F65" w:rsidP="00461F65">
            <w:pPr>
              <w:jc w:val="center"/>
              <w:rPr>
                <w:color w:val="000000"/>
                <w:sz w:val="18"/>
                <w:szCs w:val="18"/>
              </w:rPr>
            </w:pPr>
            <w:r w:rsidRPr="00461F65">
              <w:rPr>
                <w:color w:val="000000"/>
                <w:sz w:val="18"/>
                <w:szCs w:val="18"/>
              </w:rPr>
              <w:t>Nuk4</w:t>
            </w:r>
          </w:p>
        </w:tc>
        <w:tc>
          <w:tcPr>
            <w:tcW w:w="960" w:type="dxa"/>
            <w:tcBorders>
              <w:top w:val="nil"/>
              <w:left w:val="nil"/>
              <w:bottom w:val="single" w:sz="4" w:space="0" w:color="auto"/>
              <w:right w:val="single" w:sz="4" w:space="0" w:color="auto"/>
            </w:tcBorders>
            <w:shd w:val="clear" w:color="auto" w:fill="auto"/>
            <w:noWrap/>
            <w:vAlign w:val="center"/>
            <w:hideMark/>
          </w:tcPr>
          <w:p w14:paraId="2B56B130" w14:textId="77777777" w:rsidR="00461F65" w:rsidRPr="00461F65" w:rsidRDefault="00461F65" w:rsidP="00461F65">
            <w:pPr>
              <w:rPr>
                <w:color w:val="000000"/>
                <w:sz w:val="18"/>
                <w:szCs w:val="18"/>
              </w:rPr>
            </w:pPr>
            <w:r w:rsidRPr="00461F65">
              <w:rPr>
                <w:color w:val="000000"/>
                <w:sz w:val="18"/>
                <w:szCs w:val="18"/>
              </w:rPr>
              <w:t>BRU</w:t>
            </w:r>
          </w:p>
        </w:tc>
        <w:tc>
          <w:tcPr>
            <w:tcW w:w="1315" w:type="dxa"/>
            <w:tcBorders>
              <w:top w:val="nil"/>
              <w:left w:val="nil"/>
              <w:bottom w:val="single" w:sz="4" w:space="0" w:color="auto"/>
              <w:right w:val="single" w:sz="4" w:space="0" w:color="auto"/>
            </w:tcBorders>
            <w:shd w:val="clear" w:color="auto" w:fill="auto"/>
            <w:noWrap/>
            <w:vAlign w:val="center"/>
            <w:hideMark/>
          </w:tcPr>
          <w:p w14:paraId="37D85BB9"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0243A785" w14:textId="77777777" w:rsidR="00461F65" w:rsidRPr="00461F65" w:rsidRDefault="00461F65" w:rsidP="00224542">
            <w:pPr>
              <w:jc w:val="center"/>
              <w:rPr>
                <w:color w:val="000000"/>
                <w:sz w:val="18"/>
                <w:szCs w:val="18"/>
              </w:rPr>
            </w:pPr>
            <w:r w:rsidRPr="00461F65">
              <w:rPr>
                <w:color w:val="000000"/>
                <w:sz w:val="18"/>
                <w:szCs w:val="18"/>
              </w:rPr>
              <w:t>2,882.2</w:t>
            </w:r>
          </w:p>
        </w:tc>
        <w:tc>
          <w:tcPr>
            <w:tcW w:w="990" w:type="dxa"/>
            <w:tcBorders>
              <w:top w:val="nil"/>
              <w:left w:val="nil"/>
              <w:bottom w:val="single" w:sz="4" w:space="0" w:color="auto"/>
              <w:right w:val="single" w:sz="4" w:space="0" w:color="auto"/>
            </w:tcBorders>
            <w:shd w:val="clear" w:color="auto" w:fill="auto"/>
            <w:noWrap/>
            <w:vAlign w:val="bottom"/>
            <w:hideMark/>
          </w:tcPr>
          <w:p w14:paraId="787E4E96"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2099D652"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48BFBBB7"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00178FC3"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02449C" w14:textId="77777777" w:rsidR="00461F65" w:rsidRPr="00461F65" w:rsidRDefault="00461F65" w:rsidP="00461F65">
            <w:pPr>
              <w:jc w:val="center"/>
              <w:rPr>
                <w:color w:val="000000"/>
                <w:sz w:val="18"/>
                <w:szCs w:val="18"/>
              </w:rPr>
            </w:pPr>
            <w:r w:rsidRPr="00461F65">
              <w:rPr>
                <w:color w:val="000000"/>
                <w:sz w:val="18"/>
                <w:szCs w:val="18"/>
              </w:rPr>
              <w:t>Nuk5</w:t>
            </w:r>
          </w:p>
        </w:tc>
        <w:tc>
          <w:tcPr>
            <w:tcW w:w="960" w:type="dxa"/>
            <w:tcBorders>
              <w:top w:val="nil"/>
              <w:left w:val="nil"/>
              <w:bottom w:val="single" w:sz="4" w:space="0" w:color="auto"/>
              <w:right w:val="single" w:sz="4" w:space="0" w:color="auto"/>
            </w:tcBorders>
            <w:shd w:val="clear" w:color="auto" w:fill="auto"/>
            <w:noWrap/>
            <w:vAlign w:val="center"/>
            <w:hideMark/>
          </w:tcPr>
          <w:p w14:paraId="290EE539" w14:textId="77777777" w:rsidR="00461F65" w:rsidRPr="00461F65" w:rsidRDefault="00461F65" w:rsidP="00461F65">
            <w:pPr>
              <w:rPr>
                <w:color w:val="000000"/>
                <w:sz w:val="18"/>
                <w:szCs w:val="18"/>
              </w:rPr>
            </w:pPr>
            <w:r w:rsidRPr="00461F65">
              <w:rPr>
                <w:color w:val="000000"/>
                <w:sz w:val="18"/>
                <w:szCs w:val="18"/>
              </w:rPr>
              <w:t>HBR</w:t>
            </w:r>
          </w:p>
        </w:tc>
        <w:tc>
          <w:tcPr>
            <w:tcW w:w="1315" w:type="dxa"/>
            <w:tcBorders>
              <w:top w:val="nil"/>
              <w:left w:val="nil"/>
              <w:bottom w:val="single" w:sz="4" w:space="0" w:color="auto"/>
              <w:right w:val="single" w:sz="4" w:space="0" w:color="auto"/>
            </w:tcBorders>
            <w:shd w:val="clear" w:color="auto" w:fill="auto"/>
            <w:noWrap/>
            <w:vAlign w:val="center"/>
            <w:hideMark/>
          </w:tcPr>
          <w:p w14:paraId="3B7C794C"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31463E4A" w14:textId="77777777" w:rsidR="00461F65" w:rsidRPr="00461F65" w:rsidRDefault="00461F65" w:rsidP="00224542">
            <w:pPr>
              <w:jc w:val="center"/>
              <w:rPr>
                <w:color w:val="000000"/>
                <w:sz w:val="18"/>
                <w:szCs w:val="18"/>
              </w:rPr>
            </w:pPr>
            <w:r w:rsidRPr="00461F65">
              <w:rPr>
                <w:color w:val="000000"/>
                <w:sz w:val="18"/>
                <w:szCs w:val="18"/>
              </w:rPr>
              <w:t>768.6</w:t>
            </w:r>
          </w:p>
        </w:tc>
        <w:tc>
          <w:tcPr>
            <w:tcW w:w="990" w:type="dxa"/>
            <w:tcBorders>
              <w:top w:val="nil"/>
              <w:left w:val="nil"/>
              <w:bottom w:val="single" w:sz="4" w:space="0" w:color="auto"/>
              <w:right w:val="single" w:sz="4" w:space="0" w:color="auto"/>
            </w:tcBorders>
            <w:shd w:val="clear" w:color="auto" w:fill="auto"/>
            <w:noWrap/>
            <w:vAlign w:val="bottom"/>
            <w:hideMark/>
          </w:tcPr>
          <w:p w14:paraId="6ED06303"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4B736AE4"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25D88FF6" w14:textId="77777777" w:rsidR="00461F65" w:rsidRPr="00461F65" w:rsidRDefault="00461F65" w:rsidP="00461F65">
            <w:pPr>
              <w:jc w:val="right"/>
              <w:rPr>
                <w:color w:val="000000"/>
                <w:sz w:val="20"/>
                <w:szCs w:val="20"/>
              </w:rPr>
            </w:pPr>
            <w:r w:rsidRPr="00461F65">
              <w:rPr>
                <w:color w:val="000000"/>
                <w:sz w:val="20"/>
                <w:szCs w:val="20"/>
              </w:rPr>
              <w:t>3</w:t>
            </w:r>
          </w:p>
        </w:tc>
      </w:tr>
      <w:tr w:rsidR="00461F65" w:rsidRPr="00461F65" w14:paraId="5AD7A3FC"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F2D294" w14:textId="77777777" w:rsidR="00461F65" w:rsidRPr="00461F65" w:rsidRDefault="00461F65" w:rsidP="00461F65">
            <w:pPr>
              <w:jc w:val="center"/>
              <w:rPr>
                <w:color w:val="000000"/>
                <w:sz w:val="18"/>
                <w:szCs w:val="18"/>
              </w:rPr>
            </w:pPr>
            <w:r w:rsidRPr="00461F65">
              <w:rPr>
                <w:color w:val="000000"/>
                <w:sz w:val="18"/>
                <w:szCs w:val="18"/>
              </w:rPr>
              <w:t>Nuk6</w:t>
            </w:r>
          </w:p>
        </w:tc>
        <w:tc>
          <w:tcPr>
            <w:tcW w:w="960" w:type="dxa"/>
            <w:tcBorders>
              <w:top w:val="nil"/>
              <w:left w:val="nil"/>
              <w:bottom w:val="single" w:sz="4" w:space="0" w:color="auto"/>
              <w:right w:val="single" w:sz="4" w:space="0" w:color="auto"/>
            </w:tcBorders>
            <w:shd w:val="clear" w:color="auto" w:fill="auto"/>
            <w:noWrap/>
            <w:vAlign w:val="center"/>
            <w:hideMark/>
          </w:tcPr>
          <w:p w14:paraId="58854E15" w14:textId="77777777" w:rsidR="00461F65" w:rsidRPr="00461F65" w:rsidRDefault="00461F65" w:rsidP="00461F65">
            <w:pPr>
              <w:rPr>
                <w:color w:val="000000"/>
                <w:sz w:val="18"/>
                <w:szCs w:val="18"/>
              </w:rPr>
            </w:pPr>
            <w:r w:rsidRPr="00461F65">
              <w:rPr>
                <w:color w:val="000000"/>
                <w:sz w:val="18"/>
                <w:szCs w:val="18"/>
              </w:rPr>
              <w:t>HAR</w:t>
            </w:r>
          </w:p>
        </w:tc>
        <w:tc>
          <w:tcPr>
            <w:tcW w:w="1315" w:type="dxa"/>
            <w:tcBorders>
              <w:top w:val="nil"/>
              <w:left w:val="nil"/>
              <w:bottom w:val="single" w:sz="4" w:space="0" w:color="auto"/>
              <w:right w:val="single" w:sz="4" w:space="0" w:color="auto"/>
            </w:tcBorders>
            <w:shd w:val="clear" w:color="auto" w:fill="auto"/>
            <w:noWrap/>
            <w:vAlign w:val="center"/>
            <w:hideMark/>
          </w:tcPr>
          <w:p w14:paraId="0D116CB3" w14:textId="77777777" w:rsidR="00461F65" w:rsidRPr="00461F65" w:rsidRDefault="00461F65" w:rsidP="00461F65">
            <w:pPr>
              <w:rPr>
                <w:color w:val="000000"/>
                <w:sz w:val="18"/>
                <w:szCs w:val="18"/>
              </w:rPr>
            </w:pPr>
            <w:r w:rsidRPr="00461F65">
              <w:rPr>
                <w:color w:val="000000"/>
                <w:sz w:val="18"/>
                <w:szCs w:val="18"/>
              </w:rPr>
              <w:t>Nuclear</w:t>
            </w:r>
          </w:p>
        </w:tc>
        <w:tc>
          <w:tcPr>
            <w:tcW w:w="1170" w:type="dxa"/>
            <w:tcBorders>
              <w:top w:val="nil"/>
              <w:left w:val="nil"/>
              <w:bottom w:val="single" w:sz="4" w:space="0" w:color="auto"/>
              <w:right w:val="single" w:sz="4" w:space="0" w:color="auto"/>
            </w:tcBorders>
            <w:shd w:val="clear" w:color="auto" w:fill="auto"/>
            <w:noWrap/>
            <w:vAlign w:val="center"/>
            <w:hideMark/>
          </w:tcPr>
          <w:p w14:paraId="7083C62C" w14:textId="77777777" w:rsidR="00461F65" w:rsidRPr="00461F65" w:rsidRDefault="00461F65" w:rsidP="00224542">
            <w:pPr>
              <w:jc w:val="center"/>
              <w:rPr>
                <w:color w:val="000000"/>
                <w:sz w:val="18"/>
                <w:szCs w:val="18"/>
              </w:rPr>
            </w:pPr>
            <w:r w:rsidRPr="00461F65">
              <w:rPr>
                <w:color w:val="000000"/>
                <w:sz w:val="18"/>
                <w:szCs w:val="18"/>
              </w:rPr>
              <w:t>950.9</w:t>
            </w:r>
          </w:p>
        </w:tc>
        <w:tc>
          <w:tcPr>
            <w:tcW w:w="990" w:type="dxa"/>
            <w:tcBorders>
              <w:top w:val="nil"/>
              <w:left w:val="nil"/>
              <w:bottom w:val="single" w:sz="4" w:space="0" w:color="auto"/>
              <w:right w:val="single" w:sz="4" w:space="0" w:color="auto"/>
            </w:tcBorders>
            <w:shd w:val="clear" w:color="auto" w:fill="auto"/>
            <w:noWrap/>
            <w:vAlign w:val="bottom"/>
            <w:hideMark/>
          </w:tcPr>
          <w:p w14:paraId="0A567A34" w14:textId="77777777" w:rsidR="00461F65" w:rsidRPr="00461F65" w:rsidRDefault="00461F65" w:rsidP="00461F65">
            <w:pPr>
              <w:jc w:val="right"/>
              <w:rPr>
                <w:color w:val="000000"/>
                <w:sz w:val="20"/>
                <w:szCs w:val="20"/>
              </w:rPr>
            </w:pPr>
            <w:r w:rsidRPr="00461F65">
              <w:rPr>
                <w:color w:val="000000"/>
                <w:sz w:val="20"/>
                <w:szCs w:val="20"/>
              </w:rPr>
              <w:t>12</w:t>
            </w:r>
          </w:p>
        </w:tc>
        <w:tc>
          <w:tcPr>
            <w:tcW w:w="1080" w:type="dxa"/>
            <w:tcBorders>
              <w:top w:val="nil"/>
              <w:left w:val="nil"/>
              <w:bottom w:val="single" w:sz="4" w:space="0" w:color="auto"/>
              <w:right w:val="single" w:sz="4" w:space="0" w:color="auto"/>
            </w:tcBorders>
            <w:shd w:val="clear" w:color="auto" w:fill="auto"/>
            <w:noWrap/>
            <w:vAlign w:val="bottom"/>
            <w:hideMark/>
          </w:tcPr>
          <w:p w14:paraId="329AC5E1" w14:textId="77777777" w:rsidR="00461F65" w:rsidRPr="00461F65" w:rsidRDefault="00461F65" w:rsidP="00461F65">
            <w:pPr>
              <w:jc w:val="right"/>
              <w:rPr>
                <w:color w:val="000000"/>
                <w:sz w:val="20"/>
                <w:szCs w:val="20"/>
              </w:rPr>
            </w:pPr>
            <w:r w:rsidRPr="00461F65">
              <w:rPr>
                <w:color w:val="000000"/>
                <w:sz w:val="20"/>
                <w:szCs w:val="20"/>
              </w:rPr>
              <w:t>0</w:t>
            </w:r>
          </w:p>
        </w:tc>
        <w:tc>
          <w:tcPr>
            <w:tcW w:w="630" w:type="dxa"/>
            <w:tcBorders>
              <w:top w:val="nil"/>
              <w:left w:val="nil"/>
              <w:bottom w:val="single" w:sz="4" w:space="0" w:color="auto"/>
              <w:right w:val="single" w:sz="4" w:space="0" w:color="auto"/>
            </w:tcBorders>
            <w:shd w:val="clear" w:color="auto" w:fill="auto"/>
            <w:noWrap/>
            <w:vAlign w:val="bottom"/>
            <w:hideMark/>
          </w:tcPr>
          <w:p w14:paraId="76A609EC" w14:textId="77777777" w:rsidR="00461F65" w:rsidRPr="00461F65" w:rsidRDefault="00461F65" w:rsidP="00461F65">
            <w:pPr>
              <w:jc w:val="right"/>
              <w:rPr>
                <w:color w:val="000000"/>
                <w:sz w:val="20"/>
                <w:szCs w:val="20"/>
              </w:rPr>
            </w:pPr>
            <w:r w:rsidRPr="00461F65">
              <w:rPr>
                <w:color w:val="000000"/>
                <w:sz w:val="20"/>
                <w:szCs w:val="20"/>
              </w:rPr>
              <w:t>3</w:t>
            </w:r>
          </w:p>
        </w:tc>
      </w:tr>
    </w:tbl>
    <w:p w14:paraId="6E00B636" w14:textId="4B1BBDF9" w:rsidR="00BE6E7B" w:rsidRDefault="00461F65" w:rsidP="006D5F38">
      <w:pPr>
        <w:widowControl w:val="0"/>
        <w:tabs>
          <w:tab w:val="right" w:pos="9360"/>
        </w:tabs>
        <w:rPr>
          <w:rFonts w:ascii="Arial" w:hAnsi="Arial" w:cs="Arial"/>
          <w:b/>
          <w:bCs/>
          <w:sz w:val="20"/>
          <w:szCs w:val="20"/>
        </w:rPr>
      </w:pPr>
      <w:r>
        <w:rPr>
          <w:rFonts w:ascii="Arial" w:hAnsi="Arial" w:cs="Arial"/>
          <w:b/>
          <w:bCs/>
          <w:sz w:val="20"/>
          <w:szCs w:val="20"/>
        </w:rPr>
        <w:fldChar w:fldCharType="end"/>
      </w:r>
    </w:p>
    <w:p w14:paraId="5E1C11AE" w14:textId="6551BC44" w:rsidR="005C2619" w:rsidRDefault="005C2619" w:rsidP="006D5F38">
      <w:pPr>
        <w:widowControl w:val="0"/>
        <w:tabs>
          <w:tab w:val="right" w:pos="9360"/>
        </w:tabs>
      </w:pPr>
      <w:r>
        <w:t xml:space="preserve">All the transmission lines in </w:t>
      </w:r>
      <w:proofErr w:type="spellStart"/>
      <w:r>
        <w:t>NicIso</w:t>
      </w:r>
      <w:proofErr w:type="spellEnd"/>
      <w:r>
        <w:t xml:space="preserve"> have the same impedance</w:t>
      </w:r>
      <w:r w:rsidR="00C66875">
        <w:rPr>
          <w:rStyle w:val="FootnoteReference"/>
        </w:rPr>
        <w:footnoteReference w:id="1"/>
      </w:r>
      <w:r>
        <w:t xml:space="preserve">, and their capacity limits </w:t>
      </w:r>
      <w:r w:rsidR="00411C1E">
        <w:t xml:space="preserve">for real power transfers </w:t>
      </w:r>
      <w:r>
        <w:t>are given in Table 3:</w:t>
      </w:r>
    </w:p>
    <w:tbl>
      <w:tblPr>
        <w:tblW w:w="4152" w:type="dxa"/>
        <w:tblCellMar>
          <w:left w:w="0" w:type="dxa"/>
          <w:right w:w="0" w:type="dxa"/>
        </w:tblCellMar>
        <w:tblLook w:val="04A0" w:firstRow="1" w:lastRow="0" w:firstColumn="1" w:lastColumn="0" w:noHBand="0" w:noVBand="1"/>
      </w:tblPr>
      <w:tblGrid>
        <w:gridCol w:w="1362"/>
        <w:gridCol w:w="2790"/>
      </w:tblGrid>
      <w:tr w:rsidR="005C2619" w14:paraId="0C10E9B9" w14:textId="77777777" w:rsidTr="005C2619">
        <w:trPr>
          <w:trHeight w:val="255"/>
        </w:trPr>
        <w:tc>
          <w:tcPr>
            <w:tcW w:w="4152" w:type="dxa"/>
            <w:gridSpan w:val="2"/>
            <w:tcBorders>
              <w:top w:val="nil"/>
              <w:left w:val="nil"/>
              <w:bottom w:val="nil"/>
              <w:right w:val="nil"/>
            </w:tcBorders>
            <w:shd w:val="clear" w:color="auto" w:fill="auto"/>
            <w:noWrap/>
            <w:tcMar>
              <w:top w:w="12" w:type="dxa"/>
              <w:left w:w="12" w:type="dxa"/>
              <w:bottom w:w="0" w:type="dxa"/>
              <w:right w:w="12" w:type="dxa"/>
            </w:tcMar>
            <w:vAlign w:val="bottom"/>
            <w:hideMark/>
          </w:tcPr>
          <w:p w14:paraId="6711F6C1" w14:textId="77777777" w:rsidR="00627689" w:rsidRDefault="00627689" w:rsidP="005C2619">
            <w:pPr>
              <w:ind w:right="-644"/>
              <w:rPr>
                <w:rFonts w:ascii="Arial" w:hAnsi="Arial" w:cs="Arial"/>
                <w:b/>
                <w:bCs/>
                <w:sz w:val="20"/>
                <w:szCs w:val="20"/>
              </w:rPr>
            </w:pPr>
          </w:p>
          <w:p w14:paraId="75DF2164" w14:textId="2A610538" w:rsidR="005C2619" w:rsidRDefault="005C2619" w:rsidP="005C2619">
            <w:pPr>
              <w:ind w:right="-644"/>
              <w:rPr>
                <w:rFonts w:ascii="Arial" w:hAnsi="Arial" w:cs="Arial"/>
                <w:b/>
                <w:bCs/>
                <w:sz w:val="20"/>
                <w:szCs w:val="20"/>
              </w:rPr>
            </w:pPr>
            <w:r>
              <w:rPr>
                <w:rFonts w:ascii="Arial" w:hAnsi="Arial" w:cs="Arial"/>
                <w:b/>
                <w:bCs/>
                <w:sz w:val="20"/>
                <w:szCs w:val="20"/>
              </w:rPr>
              <w:t xml:space="preserve">Table 3: Capacity of Transmission lines </w:t>
            </w:r>
          </w:p>
        </w:tc>
      </w:tr>
      <w:tr w:rsidR="005C2619" w14:paraId="28A640A0" w14:textId="77777777" w:rsidTr="005C2619">
        <w:trPr>
          <w:trHeight w:val="540"/>
        </w:trPr>
        <w:tc>
          <w:tcPr>
            <w:tcW w:w="1362" w:type="dxa"/>
            <w:tcBorders>
              <w:top w:val="nil"/>
              <w:left w:val="nil"/>
              <w:bottom w:val="nil"/>
              <w:right w:val="nil"/>
            </w:tcBorders>
            <w:shd w:val="clear" w:color="auto" w:fill="auto"/>
            <w:noWrap/>
            <w:tcMar>
              <w:top w:w="12" w:type="dxa"/>
              <w:left w:w="12" w:type="dxa"/>
              <w:bottom w:w="0" w:type="dxa"/>
              <w:right w:w="12" w:type="dxa"/>
            </w:tcMar>
            <w:vAlign w:val="bottom"/>
            <w:hideMark/>
          </w:tcPr>
          <w:p w14:paraId="7FE3235D" w14:textId="77777777" w:rsidR="005C2619" w:rsidRDefault="005C2619">
            <w:pPr>
              <w:rPr>
                <w:rFonts w:ascii="Arial" w:hAnsi="Arial" w:cs="Arial"/>
                <w:sz w:val="20"/>
                <w:szCs w:val="20"/>
              </w:rPr>
            </w:pPr>
          </w:p>
        </w:tc>
        <w:tc>
          <w:tcPr>
            <w:tcW w:w="2790" w:type="dxa"/>
            <w:tcBorders>
              <w:top w:val="nil"/>
              <w:left w:val="nil"/>
              <w:bottom w:val="nil"/>
              <w:right w:val="nil"/>
            </w:tcBorders>
            <w:shd w:val="clear" w:color="auto" w:fill="auto"/>
            <w:tcMar>
              <w:top w:w="12" w:type="dxa"/>
              <w:left w:w="12" w:type="dxa"/>
              <w:bottom w:w="0" w:type="dxa"/>
              <w:right w:w="12" w:type="dxa"/>
            </w:tcMar>
            <w:vAlign w:val="bottom"/>
            <w:hideMark/>
          </w:tcPr>
          <w:p w14:paraId="47D099BA" w14:textId="77777777" w:rsidR="005C2619" w:rsidRDefault="005C2619">
            <w:pPr>
              <w:jc w:val="center"/>
              <w:rPr>
                <w:rFonts w:ascii="Arial" w:hAnsi="Arial" w:cs="Arial"/>
                <w:sz w:val="20"/>
                <w:szCs w:val="20"/>
              </w:rPr>
            </w:pPr>
            <w:r>
              <w:rPr>
                <w:rFonts w:ascii="Arial" w:hAnsi="Arial" w:cs="Arial"/>
                <w:sz w:val="20"/>
                <w:szCs w:val="20"/>
              </w:rPr>
              <w:t>Max Capacity (MW)</w:t>
            </w:r>
          </w:p>
        </w:tc>
      </w:tr>
      <w:tr w:rsidR="005C2619" w14:paraId="3C602658" w14:textId="77777777" w:rsidTr="005C2619">
        <w:trPr>
          <w:trHeight w:val="255"/>
        </w:trPr>
        <w:tc>
          <w:tcPr>
            <w:tcW w:w="1362" w:type="dxa"/>
            <w:tcBorders>
              <w:top w:val="single" w:sz="4" w:space="0" w:color="auto"/>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D09FB9E" w14:textId="77777777" w:rsidR="005C2619" w:rsidRDefault="005C2619">
            <w:pPr>
              <w:rPr>
                <w:rFonts w:ascii="Arial" w:hAnsi="Arial" w:cs="Arial"/>
                <w:sz w:val="20"/>
                <w:szCs w:val="20"/>
              </w:rPr>
            </w:pPr>
            <w:r>
              <w:rPr>
                <w:rFonts w:ascii="Arial" w:hAnsi="Arial" w:cs="Arial"/>
                <w:sz w:val="20"/>
                <w:szCs w:val="20"/>
              </w:rPr>
              <w:t>Branch 1-2</w:t>
            </w:r>
          </w:p>
        </w:tc>
        <w:tc>
          <w:tcPr>
            <w:tcW w:w="279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306866F" w14:textId="15FD9D8C" w:rsidR="005C2619" w:rsidRDefault="00224542" w:rsidP="005C2619">
            <w:pPr>
              <w:jc w:val="center"/>
              <w:rPr>
                <w:rFonts w:ascii="Arial" w:hAnsi="Arial" w:cs="Arial"/>
                <w:sz w:val="20"/>
                <w:szCs w:val="20"/>
              </w:rPr>
            </w:pPr>
            <w:r>
              <w:rPr>
                <w:rFonts w:ascii="Arial" w:hAnsi="Arial" w:cs="Arial"/>
                <w:sz w:val="20"/>
                <w:szCs w:val="20"/>
              </w:rPr>
              <w:t>900</w:t>
            </w:r>
          </w:p>
        </w:tc>
      </w:tr>
      <w:tr w:rsidR="005C2619" w14:paraId="3568E415" w14:textId="77777777" w:rsidTr="005C2619">
        <w:trPr>
          <w:trHeight w:val="255"/>
        </w:trPr>
        <w:tc>
          <w:tcPr>
            <w:tcW w:w="136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FABC586" w14:textId="77777777" w:rsidR="005C2619" w:rsidRDefault="005C2619">
            <w:pPr>
              <w:rPr>
                <w:rFonts w:ascii="Arial" w:hAnsi="Arial" w:cs="Arial"/>
                <w:sz w:val="20"/>
                <w:szCs w:val="20"/>
              </w:rPr>
            </w:pPr>
            <w:r>
              <w:rPr>
                <w:rFonts w:ascii="Arial" w:hAnsi="Arial" w:cs="Arial"/>
                <w:sz w:val="20"/>
                <w:szCs w:val="20"/>
              </w:rPr>
              <w:t>Branch 1-3</w:t>
            </w:r>
          </w:p>
        </w:tc>
        <w:tc>
          <w:tcPr>
            <w:tcW w:w="279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BC5916E" w14:textId="101D280B" w:rsidR="005C2619" w:rsidRPr="00A4747A" w:rsidRDefault="00224542" w:rsidP="00C66875">
            <w:pPr>
              <w:jc w:val="center"/>
              <w:rPr>
                <w:rFonts w:ascii="Arial" w:hAnsi="Arial" w:cs="Arial"/>
                <w:sz w:val="20"/>
                <w:szCs w:val="20"/>
              </w:rPr>
            </w:pPr>
            <w:r>
              <w:rPr>
                <w:rFonts w:ascii="Arial" w:hAnsi="Arial" w:cs="Arial"/>
                <w:sz w:val="20"/>
                <w:szCs w:val="20"/>
              </w:rPr>
              <w:t>900</w:t>
            </w:r>
          </w:p>
        </w:tc>
      </w:tr>
      <w:tr w:rsidR="005C2619" w14:paraId="0E28FE79" w14:textId="77777777" w:rsidTr="005C2619">
        <w:trPr>
          <w:trHeight w:val="255"/>
        </w:trPr>
        <w:tc>
          <w:tcPr>
            <w:tcW w:w="136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02B92C" w14:textId="77777777" w:rsidR="005C2619" w:rsidRDefault="005C2619">
            <w:pPr>
              <w:rPr>
                <w:rFonts w:ascii="Arial" w:hAnsi="Arial" w:cs="Arial"/>
                <w:sz w:val="20"/>
                <w:szCs w:val="20"/>
              </w:rPr>
            </w:pPr>
            <w:r>
              <w:rPr>
                <w:rFonts w:ascii="Arial" w:hAnsi="Arial" w:cs="Arial"/>
                <w:sz w:val="20"/>
                <w:szCs w:val="20"/>
              </w:rPr>
              <w:t>Branch 2-3</w:t>
            </w:r>
          </w:p>
        </w:tc>
        <w:tc>
          <w:tcPr>
            <w:tcW w:w="279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78681A9" w14:textId="770F22AE" w:rsidR="00224542" w:rsidRPr="00A4747A" w:rsidRDefault="00224542" w:rsidP="00224542">
            <w:pPr>
              <w:jc w:val="center"/>
              <w:rPr>
                <w:rFonts w:ascii="Arial" w:hAnsi="Arial" w:cs="Arial"/>
                <w:sz w:val="20"/>
                <w:szCs w:val="20"/>
              </w:rPr>
            </w:pPr>
            <w:r>
              <w:rPr>
                <w:rFonts w:ascii="Arial" w:hAnsi="Arial" w:cs="Arial"/>
                <w:sz w:val="20"/>
                <w:szCs w:val="20"/>
              </w:rPr>
              <w:t>900</w:t>
            </w:r>
          </w:p>
        </w:tc>
      </w:tr>
    </w:tbl>
    <w:p w14:paraId="15F5C696" w14:textId="77777777" w:rsidR="007C7384" w:rsidRDefault="007C7384" w:rsidP="006D5F38">
      <w:pPr>
        <w:widowControl w:val="0"/>
        <w:tabs>
          <w:tab w:val="right" w:pos="9360"/>
        </w:tabs>
      </w:pPr>
    </w:p>
    <w:p w14:paraId="10D01561" w14:textId="77777777" w:rsidR="007C7384" w:rsidRDefault="007C7384" w:rsidP="006D5F38">
      <w:pPr>
        <w:widowControl w:val="0"/>
        <w:tabs>
          <w:tab w:val="right" w:pos="9360"/>
        </w:tabs>
      </w:pPr>
    </w:p>
    <w:p w14:paraId="55B725C6" w14:textId="59379A57" w:rsidR="005C2619" w:rsidRDefault="00411C1E" w:rsidP="006D5F38">
      <w:pPr>
        <w:widowControl w:val="0"/>
        <w:tabs>
          <w:tab w:val="right" w:pos="9360"/>
        </w:tabs>
      </w:pPr>
      <w:r>
        <w:t>T</w:t>
      </w:r>
      <w:r w:rsidR="006D5F38" w:rsidRPr="00A4747A">
        <w:t xml:space="preserve">he </w:t>
      </w:r>
      <w:r w:rsidR="00717050">
        <w:t xml:space="preserve">projected </w:t>
      </w:r>
      <w:r w:rsidR="006D5F38" w:rsidRPr="00A4747A">
        <w:t xml:space="preserve">demand at </w:t>
      </w:r>
      <w:proofErr w:type="spellStart"/>
      <w:r w:rsidR="005C2619" w:rsidRPr="00A4747A">
        <w:t>NicIso</w:t>
      </w:r>
      <w:proofErr w:type="spellEnd"/>
      <w:r w:rsidR="005C2619" w:rsidRPr="00A4747A">
        <w:t xml:space="preserve"> </w:t>
      </w:r>
      <w:r>
        <w:t>for</w:t>
      </w:r>
      <w:r w:rsidR="005C2619" w:rsidRPr="00A4747A">
        <w:t xml:space="preserve"> </w:t>
      </w:r>
      <w:r w:rsidR="00717050">
        <w:t>next year is</w:t>
      </w:r>
      <w:r w:rsidR="005C2619" w:rsidRPr="00A4747A">
        <w:t xml:space="preserve"> s</w:t>
      </w:r>
      <w:r w:rsidR="00B46838">
        <w:t>ummarized</w:t>
      </w:r>
      <w:r w:rsidR="005C2619" w:rsidRPr="00A4747A">
        <w:t xml:space="preserve"> in Table 4</w:t>
      </w:r>
      <w:r w:rsidR="00B46838">
        <w:t>. There are different projections of future demand depending on ass</w:t>
      </w:r>
      <w:r w:rsidR="00717050">
        <w:t xml:space="preserve">umptions about air conditioning, </w:t>
      </w:r>
      <w:r w:rsidR="00B46838">
        <w:t>EV adoption</w:t>
      </w:r>
      <w:r w:rsidR="00717050">
        <w:t>,</w:t>
      </w:r>
      <w:r w:rsidR="00B46838">
        <w:t xml:space="preserve"> and industrial activity. </w:t>
      </w:r>
      <w:r w:rsidR="00717050">
        <w:t>For future years, d</w:t>
      </w:r>
      <w:r w:rsidR="00B46838">
        <w:t xml:space="preserve">emand is projected to grow at 0.9% per year under a low growth scenario and up to 2.5% per year under a high demand growth scenario. </w:t>
      </w:r>
      <w:r w:rsidR="00717050">
        <w:t>Some people say an even larger growth should be considered to account for electrification of space heating</w:t>
      </w:r>
      <w:r w:rsidR="004C7021">
        <w:t xml:space="preserve">, </w:t>
      </w:r>
      <w:r w:rsidR="00717050">
        <w:t>cooking</w:t>
      </w:r>
      <w:r w:rsidR="004C7021">
        <w:t>, and transportation</w:t>
      </w:r>
      <w:r w:rsidR="00717050">
        <w:t>.</w:t>
      </w:r>
    </w:p>
    <w:p w14:paraId="6E30F126" w14:textId="77777777" w:rsidR="005C2619" w:rsidRDefault="005C2619" w:rsidP="006D5F38">
      <w:pPr>
        <w:widowControl w:val="0"/>
        <w:tabs>
          <w:tab w:val="right" w:pos="9360"/>
        </w:tabs>
      </w:pPr>
    </w:p>
    <w:tbl>
      <w:tblPr>
        <w:tblW w:w="8100" w:type="dxa"/>
        <w:tblCellMar>
          <w:left w:w="0" w:type="dxa"/>
          <w:right w:w="0" w:type="dxa"/>
        </w:tblCellMar>
        <w:tblLook w:val="04A0" w:firstRow="1" w:lastRow="0" w:firstColumn="1" w:lastColumn="0" w:noHBand="0" w:noVBand="1"/>
      </w:tblPr>
      <w:tblGrid>
        <w:gridCol w:w="1108"/>
        <w:gridCol w:w="1191"/>
        <w:gridCol w:w="1211"/>
        <w:gridCol w:w="1039"/>
        <w:gridCol w:w="941"/>
        <w:gridCol w:w="1260"/>
        <w:gridCol w:w="1350"/>
      </w:tblGrid>
      <w:tr w:rsidR="009E0D35" w14:paraId="6225CB9A" w14:textId="735F36BB" w:rsidTr="007868C2">
        <w:trPr>
          <w:trHeight w:val="255"/>
        </w:trPr>
        <w:tc>
          <w:tcPr>
            <w:tcW w:w="229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6A01EF0" w14:textId="0A058395" w:rsidR="009E0D35" w:rsidRDefault="009E0D35">
            <w:pPr>
              <w:rPr>
                <w:rFonts w:ascii="Arial" w:hAnsi="Arial" w:cs="Arial"/>
                <w:b/>
                <w:bCs/>
                <w:sz w:val="20"/>
                <w:szCs w:val="20"/>
              </w:rPr>
            </w:pPr>
            <w:r>
              <w:rPr>
                <w:rFonts w:ascii="Arial" w:hAnsi="Arial" w:cs="Arial"/>
                <w:b/>
                <w:bCs/>
                <w:sz w:val="20"/>
                <w:szCs w:val="20"/>
              </w:rPr>
              <w:t>Table 4: Total system load</w:t>
            </w:r>
            <w:r w:rsidR="0075680D">
              <w:rPr>
                <w:rStyle w:val="FootnoteReference"/>
                <w:rFonts w:ascii="Arial" w:hAnsi="Arial" w:cs="Arial"/>
                <w:b/>
                <w:bCs/>
                <w:sz w:val="20"/>
                <w:szCs w:val="20"/>
              </w:rPr>
              <w:footnoteReference w:id="2"/>
            </w:r>
          </w:p>
        </w:tc>
        <w:tc>
          <w:tcPr>
            <w:tcW w:w="1211" w:type="dxa"/>
            <w:tcBorders>
              <w:top w:val="nil"/>
              <w:left w:val="nil"/>
              <w:bottom w:val="nil"/>
              <w:right w:val="nil"/>
            </w:tcBorders>
            <w:shd w:val="clear" w:color="auto" w:fill="auto"/>
            <w:noWrap/>
            <w:tcMar>
              <w:top w:w="15" w:type="dxa"/>
              <w:left w:w="15" w:type="dxa"/>
              <w:bottom w:w="0" w:type="dxa"/>
              <w:right w:w="15" w:type="dxa"/>
            </w:tcMar>
            <w:vAlign w:val="bottom"/>
            <w:hideMark/>
          </w:tcPr>
          <w:p w14:paraId="27CFB8D4" w14:textId="77777777" w:rsidR="009E0D35" w:rsidRDefault="009E0D35">
            <w:pPr>
              <w:rPr>
                <w:rFonts w:ascii="Arial" w:hAnsi="Arial" w:cs="Arial"/>
                <w:sz w:val="20"/>
                <w:szCs w:val="20"/>
              </w:rPr>
            </w:pPr>
          </w:p>
        </w:tc>
        <w:tc>
          <w:tcPr>
            <w:tcW w:w="1039" w:type="dxa"/>
            <w:tcBorders>
              <w:top w:val="nil"/>
              <w:left w:val="nil"/>
              <w:bottom w:val="nil"/>
              <w:right w:val="nil"/>
            </w:tcBorders>
            <w:shd w:val="clear" w:color="auto" w:fill="auto"/>
            <w:noWrap/>
            <w:tcMar>
              <w:top w:w="15" w:type="dxa"/>
              <w:left w:w="15" w:type="dxa"/>
              <w:bottom w:w="0" w:type="dxa"/>
              <w:right w:w="15" w:type="dxa"/>
            </w:tcMar>
            <w:vAlign w:val="bottom"/>
            <w:hideMark/>
          </w:tcPr>
          <w:p w14:paraId="66F2561C" w14:textId="77777777" w:rsidR="009E0D35" w:rsidRDefault="009E0D35">
            <w:pPr>
              <w:rPr>
                <w:rFonts w:ascii="Arial" w:hAnsi="Arial" w:cs="Arial"/>
                <w:sz w:val="20"/>
                <w:szCs w:val="20"/>
              </w:rPr>
            </w:pPr>
          </w:p>
        </w:tc>
        <w:tc>
          <w:tcPr>
            <w:tcW w:w="941" w:type="dxa"/>
            <w:tcBorders>
              <w:top w:val="nil"/>
              <w:left w:val="nil"/>
              <w:bottom w:val="nil"/>
              <w:right w:val="nil"/>
            </w:tcBorders>
            <w:shd w:val="clear" w:color="auto" w:fill="auto"/>
            <w:noWrap/>
            <w:tcMar>
              <w:top w:w="15" w:type="dxa"/>
              <w:left w:w="15" w:type="dxa"/>
              <w:bottom w:w="0" w:type="dxa"/>
              <w:right w:w="15" w:type="dxa"/>
            </w:tcMar>
            <w:vAlign w:val="bottom"/>
            <w:hideMark/>
          </w:tcPr>
          <w:p w14:paraId="79DE59BE" w14:textId="77777777" w:rsidR="009E0D35" w:rsidRDefault="009E0D35">
            <w:pPr>
              <w:rPr>
                <w:rFonts w:ascii="Arial" w:hAnsi="Arial" w:cs="Arial"/>
                <w:sz w:val="20"/>
                <w:szCs w:val="20"/>
              </w:rPr>
            </w:pPr>
          </w:p>
        </w:tc>
        <w:tc>
          <w:tcPr>
            <w:tcW w:w="1260" w:type="dxa"/>
            <w:tcBorders>
              <w:top w:val="nil"/>
              <w:left w:val="nil"/>
              <w:bottom w:val="nil"/>
              <w:right w:val="nil"/>
            </w:tcBorders>
          </w:tcPr>
          <w:p w14:paraId="2620488B" w14:textId="77777777" w:rsidR="009E0D35" w:rsidRDefault="009E0D35">
            <w:pPr>
              <w:rPr>
                <w:rFonts w:ascii="Arial" w:hAnsi="Arial" w:cs="Arial"/>
                <w:sz w:val="20"/>
                <w:szCs w:val="20"/>
              </w:rPr>
            </w:pPr>
          </w:p>
        </w:tc>
        <w:tc>
          <w:tcPr>
            <w:tcW w:w="1350" w:type="dxa"/>
            <w:tcBorders>
              <w:top w:val="nil"/>
              <w:left w:val="nil"/>
              <w:bottom w:val="nil"/>
              <w:right w:val="nil"/>
            </w:tcBorders>
          </w:tcPr>
          <w:p w14:paraId="26C3A1F8" w14:textId="77777777" w:rsidR="009E0D35" w:rsidRDefault="009E0D35">
            <w:pPr>
              <w:rPr>
                <w:rFonts w:ascii="Arial" w:hAnsi="Arial" w:cs="Arial"/>
                <w:sz w:val="20"/>
                <w:szCs w:val="20"/>
              </w:rPr>
            </w:pPr>
          </w:p>
        </w:tc>
      </w:tr>
      <w:tr w:rsidR="009E0D35" w14:paraId="636D9022" w14:textId="3A295F37" w:rsidTr="007868C2">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00BD44" w14:textId="77777777" w:rsidR="009E0D35" w:rsidRPr="00B0605C" w:rsidRDefault="009E0D35">
            <w:pPr>
              <w:rPr>
                <w:rFonts w:ascii="Arial" w:hAnsi="Arial" w:cs="Arial"/>
                <w:sz w:val="20"/>
                <w:szCs w:val="20"/>
              </w:rPr>
            </w:pPr>
          </w:p>
        </w:tc>
        <w:tc>
          <w:tcPr>
            <w:tcW w:w="2402"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9D03E" w14:textId="77777777" w:rsidR="009E0D35" w:rsidRPr="00B0605C" w:rsidRDefault="009E0D35">
            <w:pPr>
              <w:jc w:val="center"/>
              <w:rPr>
                <w:rFonts w:ascii="Arial" w:hAnsi="Arial" w:cs="Arial"/>
                <w:sz w:val="20"/>
                <w:szCs w:val="20"/>
              </w:rPr>
            </w:pPr>
            <w:r w:rsidRPr="00B0605C">
              <w:rPr>
                <w:rFonts w:ascii="Arial" w:hAnsi="Arial" w:cs="Arial"/>
                <w:sz w:val="20"/>
                <w:szCs w:val="20"/>
              </w:rPr>
              <w:t>Average hourly load (MW)</w:t>
            </w:r>
          </w:p>
        </w:tc>
        <w:tc>
          <w:tcPr>
            <w:tcW w:w="198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669BA4" w14:textId="3EA1DCE9" w:rsidR="009E0D35" w:rsidRPr="00B0605C" w:rsidRDefault="009E0D35" w:rsidP="00E6317A">
            <w:pPr>
              <w:jc w:val="center"/>
              <w:rPr>
                <w:rFonts w:ascii="Arial" w:hAnsi="Arial" w:cs="Arial"/>
                <w:sz w:val="20"/>
                <w:szCs w:val="20"/>
              </w:rPr>
            </w:pPr>
            <w:r w:rsidRPr="00B0605C">
              <w:rPr>
                <w:rFonts w:ascii="Arial" w:hAnsi="Arial" w:cs="Arial"/>
                <w:sz w:val="20"/>
                <w:szCs w:val="20"/>
              </w:rPr>
              <w:t xml:space="preserve"># </w:t>
            </w:r>
            <w:proofErr w:type="gramStart"/>
            <w:r w:rsidRPr="00B0605C">
              <w:rPr>
                <w:rFonts w:ascii="Arial" w:hAnsi="Arial" w:cs="Arial"/>
                <w:sz w:val="20"/>
                <w:szCs w:val="20"/>
              </w:rPr>
              <w:t>of</w:t>
            </w:r>
            <w:proofErr w:type="gramEnd"/>
            <w:r w:rsidRPr="00B0605C">
              <w:rPr>
                <w:rFonts w:ascii="Arial" w:hAnsi="Arial" w:cs="Arial"/>
                <w:sz w:val="20"/>
                <w:szCs w:val="20"/>
              </w:rPr>
              <w:t xml:space="preserve"> hours in 20</w:t>
            </w:r>
            <w:r w:rsidR="004C7021">
              <w:rPr>
                <w:rFonts w:ascii="Arial" w:hAnsi="Arial" w:cs="Arial"/>
                <w:sz w:val="20"/>
                <w:szCs w:val="20"/>
              </w:rPr>
              <w:t>21</w:t>
            </w:r>
          </w:p>
        </w:tc>
        <w:tc>
          <w:tcPr>
            <w:tcW w:w="2610" w:type="dxa"/>
            <w:gridSpan w:val="2"/>
            <w:tcBorders>
              <w:top w:val="single" w:sz="4" w:space="0" w:color="auto"/>
              <w:left w:val="nil"/>
              <w:bottom w:val="single" w:sz="4" w:space="0" w:color="auto"/>
              <w:right w:val="single" w:sz="4" w:space="0" w:color="auto"/>
            </w:tcBorders>
          </w:tcPr>
          <w:p w14:paraId="60369CB1" w14:textId="4A17FD16" w:rsidR="009E0D35" w:rsidRPr="00B0605C" w:rsidRDefault="009E0D35" w:rsidP="00E6317A">
            <w:pPr>
              <w:jc w:val="center"/>
              <w:rPr>
                <w:rFonts w:ascii="Arial" w:hAnsi="Arial" w:cs="Arial"/>
                <w:sz w:val="20"/>
                <w:szCs w:val="20"/>
              </w:rPr>
            </w:pPr>
            <w:r w:rsidRPr="00B0605C">
              <w:rPr>
                <w:rFonts w:ascii="Arial" w:hAnsi="Arial" w:cs="Arial"/>
                <w:sz w:val="20"/>
                <w:szCs w:val="20"/>
              </w:rPr>
              <w:t>Peak Load (MW)</w:t>
            </w:r>
          </w:p>
        </w:tc>
      </w:tr>
      <w:tr w:rsidR="009E0D35" w14:paraId="15A1302F" w14:textId="2A2618BB" w:rsidTr="007868C2">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3F52F9" w14:textId="77777777" w:rsidR="009E0D35" w:rsidRPr="00B0605C" w:rsidRDefault="009E0D35" w:rsidP="009E0D35">
            <w:pPr>
              <w:rPr>
                <w:rFonts w:ascii="Arial" w:hAnsi="Arial" w:cs="Arial"/>
                <w:sz w:val="20"/>
                <w:szCs w:val="20"/>
              </w:rPr>
            </w:pPr>
          </w:p>
        </w:tc>
        <w:tc>
          <w:tcPr>
            <w:tcW w:w="11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5F0682" w14:textId="66A7FBDA" w:rsidR="009E0D35" w:rsidRPr="00B0605C" w:rsidRDefault="009E0D35" w:rsidP="009E0D35">
            <w:pPr>
              <w:rPr>
                <w:rFonts w:ascii="Arial" w:hAnsi="Arial" w:cs="Arial"/>
                <w:sz w:val="20"/>
                <w:szCs w:val="20"/>
              </w:rPr>
            </w:pPr>
            <w:r w:rsidRPr="00B0605C">
              <w:rPr>
                <w:rFonts w:ascii="Arial" w:hAnsi="Arial" w:cs="Arial"/>
                <w:sz w:val="20"/>
                <w:szCs w:val="20"/>
              </w:rPr>
              <w:t>peak hours</w:t>
            </w:r>
            <w:r w:rsidR="00B0605C" w:rsidRPr="00B0605C">
              <w:rPr>
                <w:rFonts w:ascii="Arial" w:hAnsi="Arial" w:cs="Arial"/>
                <w:sz w:val="20"/>
                <w:szCs w:val="20"/>
              </w:rPr>
              <w:t>(v</w:t>
            </w:r>
            <w:r w:rsidR="00F9499E" w:rsidRPr="00B0605C">
              <w:rPr>
                <w:rFonts w:ascii="Arial" w:hAnsi="Arial" w:cs="Arial"/>
                <w:sz w:val="20"/>
                <w:szCs w:val="20"/>
              </w:rPr>
              <w:t>)</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95A01" w14:textId="202C7CEE" w:rsidR="009E0D35" w:rsidRPr="00B0605C" w:rsidRDefault="009E0D35" w:rsidP="009E0D35">
            <w:pPr>
              <w:rPr>
                <w:rFonts w:ascii="Arial" w:hAnsi="Arial" w:cs="Arial"/>
                <w:sz w:val="20"/>
                <w:szCs w:val="20"/>
              </w:rPr>
            </w:pPr>
            <w:r w:rsidRPr="00B0605C">
              <w:rPr>
                <w:rFonts w:ascii="Arial" w:hAnsi="Arial" w:cs="Arial"/>
                <w:sz w:val="20"/>
                <w:szCs w:val="20"/>
              </w:rPr>
              <w:t>off-peak hours</w:t>
            </w:r>
            <w:r w:rsidR="00B0605C" w:rsidRPr="00B0605C">
              <w:rPr>
                <w:rFonts w:ascii="Arial" w:hAnsi="Arial" w:cs="Arial"/>
                <w:sz w:val="20"/>
                <w:szCs w:val="20"/>
              </w:rPr>
              <w:t>(vi</w:t>
            </w:r>
            <w:r w:rsidR="00F9499E" w:rsidRPr="00B0605C">
              <w:rPr>
                <w:rFonts w:ascii="Arial" w:hAnsi="Arial" w:cs="Arial"/>
                <w:sz w:val="20"/>
                <w:szCs w:val="20"/>
              </w:rPr>
              <w:t>)</w:t>
            </w:r>
          </w:p>
        </w:tc>
        <w:tc>
          <w:tcPr>
            <w:tcW w:w="10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EBBB7" w14:textId="77777777" w:rsidR="009E0D35" w:rsidRPr="00B0605C" w:rsidRDefault="009E0D35" w:rsidP="009E0D35">
            <w:pPr>
              <w:rPr>
                <w:rFonts w:ascii="Arial" w:hAnsi="Arial" w:cs="Arial"/>
                <w:sz w:val="20"/>
                <w:szCs w:val="20"/>
              </w:rPr>
            </w:pPr>
            <w:r w:rsidRPr="00B0605C">
              <w:rPr>
                <w:rFonts w:ascii="Arial" w:hAnsi="Arial" w:cs="Arial"/>
                <w:sz w:val="20"/>
                <w:szCs w:val="20"/>
              </w:rPr>
              <w:t xml:space="preserve">peak </w:t>
            </w:r>
          </w:p>
        </w:tc>
        <w:tc>
          <w:tcPr>
            <w:tcW w:w="9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846199" w14:textId="77777777" w:rsidR="009E0D35" w:rsidRPr="00B0605C" w:rsidRDefault="009E0D35" w:rsidP="009E0D35">
            <w:pPr>
              <w:rPr>
                <w:rFonts w:ascii="Arial" w:hAnsi="Arial" w:cs="Arial"/>
                <w:sz w:val="20"/>
                <w:szCs w:val="20"/>
              </w:rPr>
            </w:pPr>
            <w:r w:rsidRPr="00B0605C">
              <w:rPr>
                <w:rFonts w:ascii="Arial" w:hAnsi="Arial" w:cs="Arial"/>
                <w:sz w:val="20"/>
                <w:szCs w:val="20"/>
              </w:rPr>
              <w:t>off-peak</w:t>
            </w:r>
          </w:p>
        </w:tc>
        <w:tc>
          <w:tcPr>
            <w:tcW w:w="1260" w:type="dxa"/>
            <w:tcBorders>
              <w:top w:val="nil"/>
              <w:left w:val="nil"/>
              <w:bottom w:val="single" w:sz="4" w:space="0" w:color="auto"/>
              <w:right w:val="single" w:sz="4" w:space="0" w:color="auto"/>
            </w:tcBorders>
            <w:vAlign w:val="bottom"/>
          </w:tcPr>
          <w:p w14:paraId="34367FC3" w14:textId="77ECB3FA" w:rsidR="009E0D35" w:rsidRPr="00B0605C" w:rsidRDefault="009E0D35" w:rsidP="009E0D35">
            <w:pPr>
              <w:rPr>
                <w:rFonts w:ascii="Arial" w:hAnsi="Arial" w:cs="Arial"/>
                <w:sz w:val="20"/>
                <w:szCs w:val="20"/>
              </w:rPr>
            </w:pPr>
            <w:r w:rsidRPr="00B0605C">
              <w:rPr>
                <w:rFonts w:ascii="Arial" w:hAnsi="Arial" w:cs="Arial"/>
                <w:sz w:val="20"/>
                <w:szCs w:val="20"/>
              </w:rPr>
              <w:t>peak hours</w:t>
            </w:r>
          </w:p>
        </w:tc>
        <w:tc>
          <w:tcPr>
            <w:tcW w:w="1350" w:type="dxa"/>
            <w:tcBorders>
              <w:top w:val="nil"/>
              <w:left w:val="nil"/>
              <w:bottom w:val="single" w:sz="4" w:space="0" w:color="auto"/>
              <w:right w:val="single" w:sz="4" w:space="0" w:color="auto"/>
            </w:tcBorders>
            <w:vAlign w:val="bottom"/>
          </w:tcPr>
          <w:p w14:paraId="128F7D07" w14:textId="4EC17E06" w:rsidR="009E0D35" w:rsidRPr="00B0605C" w:rsidRDefault="009E0D35" w:rsidP="009E0D35">
            <w:pPr>
              <w:rPr>
                <w:rFonts w:ascii="Arial" w:hAnsi="Arial" w:cs="Arial"/>
                <w:sz w:val="20"/>
                <w:szCs w:val="20"/>
              </w:rPr>
            </w:pPr>
            <w:r w:rsidRPr="00B0605C">
              <w:rPr>
                <w:rFonts w:ascii="Arial" w:hAnsi="Arial" w:cs="Arial"/>
                <w:sz w:val="20"/>
                <w:szCs w:val="20"/>
              </w:rPr>
              <w:t>off-peak hours</w:t>
            </w:r>
          </w:p>
        </w:tc>
      </w:tr>
      <w:tr w:rsidR="008D7513" w14:paraId="07FCD3E8" w14:textId="25BC26C6" w:rsidTr="007868C2">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C22974" w14:textId="1004DB58" w:rsidR="008D7513" w:rsidRPr="00B0605C" w:rsidRDefault="008D7513" w:rsidP="008D7513">
            <w:pPr>
              <w:rPr>
                <w:rFonts w:ascii="Arial" w:hAnsi="Arial" w:cs="Arial"/>
                <w:sz w:val="20"/>
                <w:szCs w:val="20"/>
              </w:rPr>
            </w:pPr>
            <w:r w:rsidRPr="00B0605C">
              <w:rPr>
                <w:rFonts w:ascii="Arial" w:hAnsi="Arial" w:cs="Arial"/>
                <w:sz w:val="20"/>
                <w:szCs w:val="20"/>
              </w:rPr>
              <w:t>Winter (i)</w:t>
            </w:r>
          </w:p>
        </w:tc>
        <w:tc>
          <w:tcPr>
            <w:tcW w:w="11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2ABD31B1" w14:textId="1F5E0EE5" w:rsidR="008D7513" w:rsidRPr="008D7513" w:rsidRDefault="008D7513" w:rsidP="008D7513">
            <w:pPr>
              <w:jc w:val="right"/>
              <w:rPr>
                <w:rFonts w:ascii="Arial" w:hAnsi="Arial" w:cs="Arial"/>
                <w:sz w:val="20"/>
                <w:szCs w:val="20"/>
              </w:rPr>
            </w:pPr>
            <w:r w:rsidRPr="008D7513">
              <w:rPr>
                <w:rFonts w:ascii="Arial" w:hAnsi="Arial" w:cs="Arial"/>
                <w:sz w:val="20"/>
                <w:szCs w:val="20"/>
              </w:rPr>
              <w:t>19450</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37281204" w14:textId="3CE91A6B" w:rsidR="008D7513" w:rsidRPr="008D7513" w:rsidRDefault="008D7513" w:rsidP="008D7513">
            <w:pPr>
              <w:jc w:val="right"/>
              <w:rPr>
                <w:rFonts w:ascii="Arial" w:hAnsi="Arial" w:cs="Arial"/>
                <w:sz w:val="20"/>
                <w:szCs w:val="20"/>
              </w:rPr>
            </w:pPr>
            <w:r w:rsidRPr="008D7513">
              <w:rPr>
                <w:rFonts w:ascii="Arial" w:hAnsi="Arial" w:cs="Arial"/>
                <w:sz w:val="20"/>
                <w:szCs w:val="20"/>
              </w:rPr>
              <w:t>16504</w:t>
            </w:r>
          </w:p>
        </w:tc>
        <w:tc>
          <w:tcPr>
            <w:tcW w:w="10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1747FE92" w14:textId="27598141" w:rsidR="008D7513" w:rsidRPr="008D7513" w:rsidRDefault="008D7513" w:rsidP="008D7513">
            <w:pPr>
              <w:jc w:val="right"/>
              <w:rPr>
                <w:rFonts w:ascii="Arial" w:hAnsi="Arial" w:cs="Arial"/>
                <w:sz w:val="20"/>
                <w:szCs w:val="20"/>
              </w:rPr>
            </w:pPr>
            <w:r w:rsidRPr="008D7513">
              <w:rPr>
                <w:rFonts w:ascii="Arial" w:hAnsi="Arial" w:cs="Arial"/>
                <w:sz w:val="20"/>
                <w:szCs w:val="20"/>
              </w:rPr>
              <w:t>1056</w:t>
            </w:r>
          </w:p>
        </w:tc>
        <w:tc>
          <w:tcPr>
            <w:tcW w:w="9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3FFDD5B8" w14:textId="02D9337E" w:rsidR="008D7513" w:rsidRPr="008D7513" w:rsidRDefault="008D7513" w:rsidP="008D7513">
            <w:pPr>
              <w:jc w:val="right"/>
              <w:rPr>
                <w:rFonts w:ascii="Arial" w:hAnsi="Arial" w:cs="Arial"/>
                <w:sz w:val="20"/>
                <w:szCs w:val="20"/>
              </w:rPr>
            </w:pPr>
            <w:r w:rsidRPr="008D7513">
              <w:rPr>
                <w:rFonts w:ascii="Arial" w:hAnsi="Arial" w:cs="Arial"/>
                <w:sz w:val="20"/>
                <w:szCs w:val="20"/>
              </w:rPr>
              <w:t>1176</w:t>
            </w:r>
          </w:p>
        </w:tc>
        <w:tc>
          <w:tcPr>
            <w:tcW w:w="1260" w:type="dxa"/>
            <w:tcBorders>
              <w:top w:val="nil"/>
              <w:left w:val="nil"/>
              <w:bottom w:val="single" w:sz="4" w:space="0" w:color="auto"/>
              <w:right w:val="single" w:sz="4" w:space="0" w:color="auto"/>
            </w:tcBorders>
          </w:tcPr>
          <w:p w14:paraId="34743CB4" w14:textId="03F5A0A3" w:rsidR="008D7513" w:rsidRPr="008D7513" w:rsidRDefault="008D7513" w:rsidP="008D7513">
            <w:pPr>
              <w:jc w:val="right"/>
              <w:rPr>
                <w:rFonts w:ascii="Arial" w:hAnsi="Arial" w:cs="Arial"/>
                <w:sz w:val="20"/>
                <w:szCs w:val="20"/>
              </w:rPr>
            </w:pPr>
            <w:r w:rsidRPr="008D7513">
              <w:rPr>
                <w:rFonts w:ascii="Arial" w:hAnsi="Arial" w:cs="Arial"/>
                <w:sz w:val="20"/>
                <w:szCs w:val="20"/>
              </w:rPr>
              <w:t>29652</w:t>
            </w:r>
          </w:p>
        </w:tc>
        <w:tc>
          <w:tcPr>
            <w:tcW w:w="1350" w:type="dxa"/>
            <w:tcBorders>
              <w:top w:val="nil"/>
              <w:left w:val="nil"/>
              <w:bottom w:val="single" w:sz="4" w:space="0" w:color="auto"/>
              <w:right w:val="single" w:sz="4" w:space="0" w:color="auto"/>
            </w:tcBorders>
          </w:tcPr>
          <w:p w14:paraId="3E283A5E" w14:textId="57960B69" w:rsidR="008D7513" w:rsidRPr="008D7513" w:rsidRDefault="008D7513" w:rsidP="008D7513">
            <w:pPr>
              <w:jc w:val="right"/>
              <w:rPr>
                <w:rFonts w:ascii="Arial" w:hAnsi="Arial" w:cs="Arial"/>
                <w:sz w:val="20"/>
                <w:szCs w:val="20"/>
              </w:rPr>
            </w:pPr>
            <w:r w:rsidRPr="008D7513">
              <w:rPr>
                <w:rFonts w:ascii="Arial" w:hAnsi="Arial" w:cs="Arial"/>
                <w:sz w:val="20"/>
                <w:szCs w:val="20"/>
              </w:rPr>
              <w:t>27163</w:t>
            </w:r>
          </w:p>
        </w:tc>
      </w:tr>
      <w:tr w:rsidR="008D7513" w14:paraId="12469B3C" w14:textId="28540A15" w:rsidTr="007868C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5A1984" w14:textId="0E6D5125" w:rsidR="008D7513" w:rsidRPr="00B0605C" w:rsidRDefault="008D7513" w:rsidP="008D7513">
            <w:pPr>
              <w:rPr>
                <w:rFonts w:ascii="Arial" w:hAnsi="Arial" w:cs="Arial"/>
                <w:sz w:val="20"/>
                <w:szCs w:val="20"/>
              </w:rPr>
            </w:pPr>
            <w:r w:rsidRPr="00B0605C">
              <w:rPr>
                <w:rFonts w:ascii="Arial" w:hAnsi="Arial" w:cs="Arial"/>
                <w:sz w:val="20"/>
                <w:szCs w:val="20"/>
              </w:rPr>
              <w:t>Spring (ii)</w:t>
            </w:r>
          </w:p>
        </w:tc>
        <w:tc>
          <w:tcPr>
            <w:tcW w:w="11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60919333" w14:textId="7A6653C1" w:rsidR="008D7513" w:rsidRPr="008D7513" w:rsidRDefault="008D7513" w:rsidP="008D7513">
            <w:pPr>
              <w:jc w:val="right"/>
              <w:rPr>
                <w:rFonts w:ascii="Arial" w:hAnsi="Arial" w:cs="Arial"/>
                <w:sz w:val="20"/>
                <w:szCs w:val="20"/>
              </w:rPr>
            </w:pPr>
            <w:r w:rsidRPr="008D7513">
              <w:rPr>
                <w:rFonts w:ascii="Arial" w:hAnsi="Arial" w:cs="Arial"/>
                <w:sz w:val="20"/>
                <w:szCs w:val="20"/>
              </w:rPr>
              <w:t>19760</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4BC8F8D9" w14:textId="31FCB9B7" w:rsidR="008D7513" w:rsidRPr="008D7513" w:rsidRDefault="008D7513" w:rsidP="008D7513">
            <w:pPr>
              <w:jc w:val="right"/>
              <w:rPr>
                <w:rFonts w:ascii="Arial" w:hAnsi="Arial" w:cs="Arial"/>
                <w:sz w:val="20"/>
                <w:szCs w:val="20"/>
              </w:rPr>
            </w:pPr>
            <w:r w:rsidRPr="008D7513">
              <w:rPr>
                <w:rFonts w:ascii="Arial" w:hAnsi="Arial" w:cs="Arial"/>
                <w:sz w:val="20"/>
                <w:szCs w:val="20"/>
              </w:rPr>
              <w:t>15839</w:t>
            </w:r>
          </w:p>
        </w:tc>
        <w:tc>
          <w:tcPr>
            <w:tcW w:w="10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77FF7731" w14:textId="49BB167A" w:rsidR="008D7513" w:rsidRPr="008D7513" w:rsidRDefault="008D7513" w:rsidP="008D7513">
            <w:pPr>
              <w:jc w:val="right"/>
              <w:rPr>
                <w:rFonts w:ascii="Arial" w:hAnsi="Arial" w:cs="Arial"/>
                <w:sz w:val="20"/>
                <w:szCs w:val="20"/>
              </w:rPr>
            </w:pPr>
            <w:r w:rsidRPr="008D7513">
              <w:rPr>
                <w:rFonts w:ascii="Arial" w:hAnsi="Arial" w:cs="Arial"/>
                <w:sz w:val="20"/>
                <w:szCs w:val="20"/>
              </w:rPr>
              <w:t>1040</w:t>
            </w:r>
          </w:p>
        </w:tc>
        <w:tc>
          <w:tcPr>
            <w:tcW w:w="9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1E8C9541" w14:textId="00DB7EB8" w:rsidR="008D7513" w:rsidRPr="008D7513" w:rsidRDefault="008D7513" w:rsidP="008D7513">
            <w:pPr>
              <w:jc w:val="right"/>
              <w:rPr>
                <w:rFonts w:ascii="Arial" w:hAnsi="Arial" w:cs="Arial"/>
                <w:sz w:val="20"/>
                <w:szCs w:val="20"/>
              </w:rPr>
            </w:pPr>
            <w:r w:rsidRPr="008D7513">
              <w:rPr>
                <w:rFonts w:ascii="Arial" w:hAnsi="Arial" w:cs="Arial"/>
                <w:sz w:val="20"/>
                <w:szCs w:val="20"/>
              </w:rPr>
              <w:t>1144</w:t>
            </w:r>
          </w:p>
        </w:tc>
        <w:tc>
          <w:tcPr>
            <w:tcW w:w="1260" w:type="dxa"/>
            <w:tcBorders>
              <w:top w:val="nil"/>
              <w:left w:val="nil"/>
              <w:bottom w:val="single" w:sz="4" w:space="0" w:color="auto"/>
              <w:right w:val="single" w:sz="4" w:space="0" w:color="auto"/>
            </w:tcBorders>
          </w:tcPr>
          <w:p w14:paraId="21C27666" w14:textId="4DE2A408" w:rsidR="008D7513" w:rsidRPr="008D7513" w:rsidRDefault="008D7513" w:rsidP="008D7513">
            <w:pPr>
              <w:jc w:val="right"/>
              <w:rPr>
                <w:rFonts w:ascii="Arial" w:hAnsi="Arial" w:cs="Arial"/>
                <w:sz w:val="20"/>
                <w:szCs w:val="20"/>
              </w:rPr>
            </w:pPr>
            <w:r w:rsidRPr="008D7513">
              <w:rPr>
                <w:rFonts w:ascii="Arial" w:hAnsi="Arial" w:cs="Arial"/>
                <w:sz w:val="20"/>
                <w:szCs w:val="20"/>
              </w:rPr>
              <w:t>30975</w:t>
            </w:r>
          </w:p>
        </w:tc>
        <w:tc>
          <w:tcPr>
            <w:tcW w:w="1350" w:type="dxa"/>
            <w:tcBorders>
              <w:top w:val="nil"/>
              <w:left w:val="nil"/>
              <w:bottom w:val="single" w:sz="4" w:space="0" w:color="auto"/>
              <w:right w:val="single" w:sz="4" w:space="0" w:color="auto"/>
            </w:tcBorders>
          </w:tcPr>
          <w:p w14:paraId="3B138A9E" w14:textId="72611C10" w:rsidR="008D7513" w:rsidRPr="008D7513" w:rsidRDefault="008D7513" w:rsidP="008D7513">
            <w:pPr>
              <w:jc w:val="right"/>
              <w:rPr>
                <w:rFonts w:ascii="Arial" w:hAnsi="Arial" w:cs="Arial"/>
                <w:sz w:val="20"/>
                <w:szCs w:val="20"/>
              </w:rPr>
            </w:pPr>
            <w:r w:rsidRPr="008D7513">
              <w:rPr>
                <w:rFonts w:ascii="Arial" w:hAnsi="Arial" w:cs="Arial"/>
                <w:sz w:val="20"/>
                <w:szCs w:val="20"/>
              </w:rPr>
              <w:t>28917</w:t>
            </w:r>
          </w:p>
        </w:tc>
      </w:tr>
      <w:tr w:rsidR="008D7513" w14:paraId="2D408F56" w14:textId="77B991B5" w:rsidTr="007868C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DFE40" w14:textId="7688A7F9" w:rsidR="008D7513" w:rsidRPr="00B0605C" w:rsidRDefault="008D7513" w:rsidP="008D7513">
            <w:pPr>
              <w:rPr>
                <w:rFonts w:ascii="Arial" w:hAnsi="Arial" w:cs="Arial"/>
                <w:sz w:val="20"/>
                <w:szCs w:val="20"/>
              </w:rPr>
            </w:pPr>
            <w:r w:rsidRPr="00B0605C">
              <w:rPr>
                <w:rFonts w:ascii="Arial" w:hAnsi="Arial" w:cs="Arial"/>
                <w:sz w:val="20"/>
                <w:szCs w:val="20"/>
              </w:rPr>
              <w:t>Summer (iii)</w:t>
            </w:r>
          </w:p>
        </w:tc>
        <w:tc>
          <w:tcPr>
            <w:tcW w:w="11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48CFB298" w14:textId="4316F1E6" w:rsidR="008D7513" w:rsidRPr="008D7513" w:rsidRDefault="008D7513" w:rsidP="008D7513">
            <w:pPr>
              <w:jc w:val="right"/>
              <w:rPr>
                <w:rFonts w:ascii="Arial" w:hAnsi="Arial" w:cs="Arial"/>
                <w:sz w:val="20"/>
                <w:szCs w:val="20"/>
              </w:rPr>
            </w:pPr>
            <w:r w:rsidRPr="008D7513">
              <w:rPr>
                <w:rFonts w:ascii="Arial" w:hAnsi="Arial" w:cs="Arial"/>
                <w:sz w:val="20"/>
                <w:szCs w:val="20"/>
              </w:rPr>
              <w:t>25782</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630346C9" w14:textId="6DAFD281" w:rsidR="008D7513" w:rsidRPr="008D7513" w:rsidRDefault="008D7513" w:rsidP="008D7513">
            <w:pPr>
              <w:jc w:val="right"/>
              <w:rPr>
                <w:rFonts w:ascii="Arial" w:hAnsi="Arial" w:cs="Arial"/>
                <w:sz w:val="20"/>
                <w:szCs w:val="20"/>
              </w:rPr>
            </w:pPr>
            <w:r w:rsidRPr="008D7513">
              <w:rPr>
                <w:rFonts w:ascii="Arial" w:hAnsi="Arial" w:cs="Arial"/>
                <w:sz w:val="20"/>
                <w:szCs w:val="20"/>
              </w:rPr>
              <w:t>20388</w:t>
            </w:r>
          </w:p>
        </w:tc>
        <w:tc>
          <w:tcPr>
            <w:tcW w:w="10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0FBF777F" w14:textId="2C1327A1" w:rsidR="008D7513" w:rsidRPr="008D7513" w:rsidRDefault="008D7513" w:rsidP="008D7513">
            <w:pPr>
              <w:jc w:val="right"/>
              <w:rPr>
                <w:rFonts w:ascii="Arial" w:hAnsi="Arial" w:cs="Arial"/>
                <w:sz w:val="20"/>
                <w:szCs w:val="20"/>
              </w:rPr>
            </w:pPr>
            <w:r w:rsidRPr="008D7513">
              <w:rPr>
                <w:rFonts w:ascii="Arial" w:hAnsi="Arial" w:cs="Arial"/>
                <w:sz w:val="20"/>
                <w:szCs w:val="20"/>
              </w:rPr>
              <w:t>1056</w:t>
            </w:r>
          </w:p>
        </w:tc>
        <w:tc>
          <w:tcPr>
            <w:tcW w:w="9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3F57FAE2" w14:textId="4ADAEBCF" w:rsidR="008D7513" w:rsidRPr="008D7513" w:rsidRDefault="008D7513" w:rsidP="008D7513">
            <w:pPr>
              <w:jc w:val="right"/>
              <w:rPr>
                <w:rFonts w:ascii="Arial" w:hAnsi="Arial" w:cs="Arial"/>
                <w:sz w:val="20"/>
                <w:szCs w:val="20"/>
              </w:rPr>
            </w:pPr>
            <w:r w:rsidRPr="008D7513">
              <w:rPr>
                <w:rFonts w:ascii="Arial" w:hAnsi="Arial" w:cs="Arial"/>
                <w:sz w:val="20"/>
                <w:szCs w:val="20"/>
              </w:rPr>
              <w:t>1152</w:t>
            </w:r>
          </w:p>
        </w:tc>
        <w:tc>
          <w:tcPr>
            <w:tcW w:w="1260" w:type="dxa"/>
            <w:tcBorders>
              <w:top w:val="nil"/>
              <w:left w:val="nil"/>
              <w:bottom w:val="single" w:sz="4" w:space="0" w:color="auto"/>
              <w:right w:val="single" w:sz="4" w:space="0" w:color="auto"/>
            </w:tcBorders>
          </w:tcPr>
          <w:p w14:paraId="3929FD73" w14:textId="5BBD76DC" w:rsidR="008D7513" w:rsidRPr="008D7513" w:rsidRDefault="008D7513" w:rsidP="008D7513">
            <w:pPr>
              <w:jc w:val="right"/>
              <w:rPr>
                <w:rFonts w:ascii="Arial" w:hAnsi="Arial" w:cs="Arial"/>
                <w:sz w:val="20"/>
                <w:szCs w:val="20"/>
              </w:rPr>
            </w:pPr>
            <w:r w:rsidRPr="008D7513">
              <w:rPr>
                <w:rFonts w:ascii="Arial" w:hAnsi="Arial" w:cs="Arial"/>
                <w:sz w:val="20"/>
                <w:szCs w:val="20"/>
              </w:rPr>
              <w:t>33567</w:t>
            </w:r>
          </w:p>
        </w:tc>
        <w:tc>
          <w:tcPr>
            <w:tcW w:w="1350" w:type="dxa"/>
            <w:tcBorders>
              <w:top w:val="nil"/>
              <w:left w:val="nil"/>
              <w:bottom w:val="single" w:sz="4" w:space="0" w:color="auto"/>
              <w:right w:val="single" w:sz="4" w:space="0" w:color="auto"/>
            </w:tcBorders>
          </w:tcPr>
          <w:p w14:paraId="2517C371" w14:textId="18FA2024" w:rsidR="008D7513" w:rsidRPr="008D7513" w:rsidRDefault="008D7513" w:rsidP="008D7513">
            <w:pPr>
              <w:jc w:val="right"/>
              <w:rPr>
                <w:rFonts w:ascii="Arial" w:hAnsi="Arial" w:cs="Arial"/>
                <w:sz w:val="20"/>
                <w:szCs w:val="20"/>
              </w:rPr>
            </w:pPr>
            <w:r w:rsidRPr="008D7513">
              <w:rPr>
                <w:rFonts w:ascii="Arial" w:hAnsi="Arial" w:cs="Arial"/>
                <w:sz w:val="20"/>
                <w:szCs w:val="20"/>
              </w:rPr>
              <w:t>31191</w:t>
            </w:r>
          </w:p>
        </w:tc>
      </w:tr>
      <w:tr w:rsidR="008D7513" w14:paraId="5B3F5BE6" w14:textId="1BB1951A" w:rsidTr="007868C2">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C7AAEA" w14:textId="4C6E2DB9" w:rsidR="008D7513" w:rsidRPr="00B0605C" w:rsidRDefault="008D7513" w:rsidP="008D7513">
            <w:pPr>
              <w:rPr>
                <w:rFonts w:ascii="Arial" w:hAnsi="Arial" w:cs="Arial"/>
                <w:sz w:val="20"/>
                <w:szCs w:val="20"/>
              </w:rPr>
            </w:pPr>
            <w:r w:rsidRPr="00B0605C">
              <w:rPr>
                <w:rFonts w:ascii="Arial" w:hAnsi="Arial" w:cs="Arial"/>
                <w:sz w:val="20"/>
                <w:szCs w:val="20"/>
              </w:rPr>
              <w:t>Fall (iv)</w:t>
            </w:r>
          </w:p>
        </w:tc>
        <w:tc>
          <w:tcPr>
            <w:tcW w:w="11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26F4903A" w14:textId="6E81AC01" w:rsidR="008D7513" w:rsidRPr="008D7513" w:rsidRDefault="008D7513" w:rsidP="008D7513">
            <w:pPr>
              <w:jc w:val="right"/>
              <w:rPr>
                <w:rFonts w:ascii="Arial" w:hAnsi="Arial" w:cs="Arial"/>
                <w:sz w:val="20"/>
                <w:szCs w:val="20"/>
              </w:rPr>
            </w:pPr>
            <w:r w:rsidRPr="008D7513">
              <w:rPr>
                <w:rFonts w:ascii="Arial" w:hAnsi="Arial" w:cs="Arial"/>
                <w:sz w:val="20"/>
                <w:szCs w:val="20"/>
              </w:rPr>
              <w:t>20847</w:t>
            </w:r>
          </w:p>
        </w:tc>
        <w:tc>
          <w:tcPr>
            <w:tcW w:w="1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0F4DC3E9" w14:textId="54E84C22" w:rsidR="008D7513" w:rsidRPr="008D7513" w:rsidRDefault="008D7513" w:rsidP="008D7513">
            <w:pPr>
              <w:jc w:val="right"/>
              <w:rPr>
                <w:rFonts w:ascii="Arial" w:hAnsi="Arial" w:cs="Arial"/>
                <w:sz w:val="20"/>
                <w:szCs w:val="20"/>
              </w:rPr>
            </w:pPr>
            <w:r w:rsidRPr="008D7513">
              <w:rPr>
                <w:rFonts w:ascii="Arial" w:hAnsi="Arial" w:cs="Arial"/>
                <w:sz w:val="20"/>
                <w:szCs w:val="20"/>
              </w:rPr>
              <w:t>18610</w:t>
            </w:r>
          </w:p>
        </w:tc>
        <w:tc>
          <w:tcPr>
            <w:tcW w:w="10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35617605" w14:textId="3A2038C9" w:rsidR="008D7513" w:rsidRPr="008D7513" w:rsidRDefault="008D7513" w:rsidP="008D7513">
            <w:pPr>
              <w:jc w:val="right"/>
              <w:rPr>
                <w:rFonts w:ascii="Arial" w:hAnsi="Arial" w:cs="Arial"/>
                <w:sz w:val="20"/>
                <w:szCs w:val="20"/>
              </w:rPr>
            </w:pPr>
            <w:r w:rsidRPr="008D7513">
              <w:rPr>
                <w:rFonts w:ascii="Arial" w:hAnsi="Arial" w:cs="Arial"/>
                <w:sz w:val="20"/>
                <w:szCs w:val="20"/>
              </w:rPr>
              <w:t>1024</w:t>
            </w:r>
          </w:p>
        </w:tc>
        <w:tc>
          <w:tcPr>
            <w:tcW w:w="9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76F97661" w14:textId="0D2731A7" w:rsidR="008D7513" w:rsidRPr="008D7513" w:rsidRDefault="008D7513" w:rsidP="008D7513">
            <w:pPr>
              <w:jc w:val="right"/>
              <w:rPr>
                <w:rFonts w:ascii="Arial" w:hAnsi="Arial" w:cs="Arial"/>
                <w:sz w:val="20"/>
                <w:szCs w:val="20"/>
              </w:rPr>
            </w:pPr>
            <w:r w:rsidRPr="008D7513">
              <w:rPr>
                <w:rFonts w:ascii="Arial" w:hAnsi="Arial" w:cs="Arial"/>
                <w:sz w:val="20"/>
                <w:szCs w:val="20"/>
              </w:rPr>
              <w:t>1112</w:t>
            </w:r>
          </w:p>
        </w:tc>
        <w:tc>
          <w:tcPr>
            <w:tcW w:w="1260" w:type="dxa"/>
            <w:tcBorders>
              <w:top w:val="nil"/>
              <w:left w:val="nil"/>
              <w:bottom w:val="single" w:sz="4" w:space="0" w:color="auto"/>
              <w:right w:val="single" w:sz="4" w:space="0" w:color="auto"/>
            </w:tcBorders>
          </w:tcPr>
          <w:p w14:paraId="0EEE3C39" w14:textId="396CC0BF" w:rsidR="008D7513" w:rsidRPr="008D7513" w:rsidRDefault="008D7513" w:rsidP="008D7513">
            <w:pPr>
              <w:jc w:val="right"/>
              <w:rPr>
                <w:rFonts w:ascii="Arial" w:hAnsi="Arial" w:cs="Arial"/>
                <w:sz w:val="20"/>
                <w:szCs w:val="20"/>
              </w:rPr>
            </w:pPr>
            <w:r w:rsidRPr="008D7513">
              <w:rPr>
                <w:rFonts w:ascii="Arial" w:hAnsi="Arial" w:cs="Arial"/>
                <w:sz w:val="20"/>
                <w:szCs w:val="20"/>
              </w:rPr>
              <w:t>32675</w:t>
            </w:r>
          </w:p>
        </w:tc>
        <w:tc>
          <w:tcPr>
            <w:tcW w:w="1350" w:type="dxa"/>
            <w:tcBorders>
              <w:top w:val="nil"/>
              <w:left w:val="nil"/>
              <w:bottom w:val="single" w:sz="4" w:space="0" w:color="auto"/>
              <w:right w:val="single" w:sz="4" w:space="0" w:color="auto"/>
            </w:tcBorders>
          </w:tcPr>
          <w:p w14:paraId="06B1D220" w14:textId="45539C40" w:rsidR="008D7513" w:rsidRPr="008D7513" w:rsidRDefault="008D7513" w:rsidP="008D7513">
            <w:pPr>
              <w:jc w:val="right"/>
              <w:rPr>
                <w:rFonts w:ascii="Arial" w:hAnsi="Arial" w:cs="Arial"/>
                <w:sz w:val="20"/>
                <w:szCs w:val="20"/>
              </w:rPr>
            </w:pPr>
            <w:r w:rsidRPr="008D7513">
              <w:rPr>
                <w:rFonts w:ascii="Arial" w:hAnsi="Arial" w:cs="Arial"/>
                <w:sz w:val="20"/>
                <w:szCs w:val="20"/>
              </w:rPr>
              <w:t>29557</w:t>
            </w:r>
          </w:p>
        </w:tc>
      </w:tr>
    </w:tbl>
    <w:p w14:paraId="28B57FB7" w14:textId="435A9A76" w:rsidR="005C2619" w:rsidRPr="00B0605C" w:rsidRDefault="00F9499E"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 xml:space="preserve">Winter is defined as the </w:t>
      </w:r>
      <w:r w:rsidR="007868C2">
        <w:rPr>
          <w:rFonts w:ascii="Arial" w:hAnsi="Arial" w:cs="Arial"/>
          <w:sz w:val="16"/>
          <w:szCs w:val="16"/>
        </w:rPr>
        <w:t>days from December 21 to March 20</w:t>
      </w:r>
    </w:p>
    <w:p w14:paraId="0E0164CD" w14:textId="0EB9DBB8" w:rsidR="00F9499E" w:rsidRPr="00B0605C" w:rsidRDefault="00F9499E"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 xml:space="preserve">Spring are the </w:t>
      </w:r>
      <w:r w:rsidR="007868C2">
        <w:rPr>
          <w:rFonts w:ascii="Arial" w:hAnsi="Arial" w:cs="Arial"/>
          <w:sz w:val="16"/>
          <w:szCs w:val="16"/>
        </w:rPr>
        <w:t>days between March 21 and June 20</w:t>
      </w:r>
    </w:p>
    <w:p w14:paraId="1969FDFB" w14:textId="76ACA84F" w:rsidR="00F9499E" w:rsidRPr="00B0605C" w:rsidRDefault="00B0605C"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 xml:space="preserve">Summer are </w:t>
      </w:r>
      <w:r w:rsidR="007868C2">
        <w:rPr>
          <w:rFonts w:ascii="Arial" w:hAnsi="Arial" w:cs="Arial"/>
          <w:sz w:val="16"/>
          <w:szCs w:val="16"/>
        </w:rPr>
        <w:t>days between June 21 and September 20</w:t>
      </w:r>
    </w:p>
    <w:p w14:paraId="1DD5E51B" w14:textId="48669588" w:rsidR="00F9499E" w:rsidRPr="00B0605C" w:rsidRDefault="00F9499E"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 xml:space="preserve">Fall </w:t>
      </w:r>
      <w:r w:rsidR="007868C2">
        <w:rPr>
          <w:rFonts w:ascii="Arial" w:hAnsi="Arial" w:cs="Arial"/>
          <w:sz w:val="16"/>
          <w:szCs w:val="16"/>
        </w:rPr>
        <w:t>are the days between September 21 and December 20</w:t>
      </w:r>
    </w:p>
    <w:p w14:paraId="4C14BF4D" w14:textId="605973A7" w:rsidR="00B0605C" w:rsidRPr="00B0605C" w:rsidRDefault="00B0605C"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Peak hours are hours 7-22 on weekdays</w:t>
      </w:r>
    </w:p>
    <w:p w14:paraId="4B2D69D7" w14:textId="7E5435CF" w:rsidR="00B0605C" w:rsidRPr="00B0605C" w:rsidRDefault="00B0605C" w:rsidP="00F9499E">
      <w:pPr>
        <w:pStyle w:val="ListParagraph"/>
        <w:widowControl w:val="0"/>
        <w:numPr>
          <w:ilvl w:val="0"/>
          <w:numId w:val="3"/>
        </w:numPr>
        <w:tabs>
          <w:tab w:val="right" w:pos="9360"/>
        </w:tabs>
        <w:rPr>
          <w:rFonts w:ascii="Arial" w:hAnsi="Arial" w:cs="Arial"/>
          <w:sz w:val="16"/>
          <w:szCs w:val="16"/>
        </w:rPr>
      </w:pPr>
      <w:r w:rsidRPr="00B0605C">
        <w:rPr>
          <w:rFonts w:ascii="Arial" w:hAnsi="Arial" w:cs="Arial"/>
          <w:sz w:val="16"/>
          <w:szCs w:val="16"/>
        </w:rPr>
        <w:t>Off-peak hours are hours 23,24,</w:t>
      </w:r>
      <w:r w:rsidR="008D7513">
        <w:rPr>
          <w:rFonts w:ascii="Arial" w:hAnsi="Arial" w:cs="Arial"/>
          <w:sz w:val="16"/>
          <w:szCs w:val="16"/>
        </w:rPr>
        <w:t>1,2,3,4,5,6</w:t>
      </w:r>
      <w:r w:rsidRPr="00B0605C">
        <w:rPr>
          <w:rFonts w:ascii="Arial" w:hAnsi="Arial" w:cs="Arial"/>
          <w:sz w:val="16"/>
          <w:szCs w:val="16"/>
        </w:rPr>
        <w:t xml:space="preserve"> on weekdays</w:t>
      </w:r>
      <w:r w:rsidR="008D7513">
        <w:rPr>
          <w:rFonts w:ascii="Arial" w:hAnsi="Arial" w:cs="Arial"/>
          <w:sz w:val="16"/>
          <w:szCs w:val="16"/>
        </w:rPr>
        <w:t>,</w:t>
      </w:r>
      <w:r w:rsidRPr="00B0605C">
        <w:rPr>
          <w:rFonts w:ascii="Arial" w:hAnsi="Arial" w:cs="Arial"/>
          <w:sz w:val="16"/>
          <w:szCs w:val="16"/>
        </w:rPr>
        <w:t xml:space="preserve"> and </w:t>
      </w:r>
      <w:r w:rsidR="007868C2">
        <w:rPr>
          <w:rFonts w:ascii="Arial" w:hAnsi="Arial" w:cs="Arial"/>
          <w:sz w:val="16"/>
          <w:szCs w:val="16"/>
        </w:rPr>
        <w:t xml:space="preserve">all </w:t>
      </w:r>
      <w:r w:rsidR="008D7513">
        <w:rPr>
          <w:rFonts w:ascii="Arial" w:hAnsi="Arial" w:cs="Arial"/>
          <w:sz w:val="16"/>
          <w:szCs w:val="16"/>
        </w:rPr>
        <w:t>hours</w:t>
      </w:r>
      <w:r w:rsidR="007868C2">
        <w:rPr>
          <w:rFonts w:ascii="Arial" w:hAnsi="Arial" w:cs="Arial"/>
          <w:sz w:val="16"/>
          <w:szCs w:val="16"/>
        </w:rPr>
        <w:t xml:space="preserve"> on </w:t>
      </w:r>
      <w:r w:rsidRPr="00B0605C">
        <w:rPr>
          <w:rFonts w:ascii="Arial" w:hAnsi="Arial" w:cs="Arial"/>
          <w:sz w:val="16"/>
          <w:szCs w:val="16"/>
        </w:rPr>
        <w:t>weekends</w:t>
      </w:r>
    </w:p>
    <w:p w14:paraId="040E04B5" w14:textId="77777777" w:rsidR="00B0605C" w:rsidRDefault="00B0605C" w:rsidP="00B0605C">
      <w:pPr>
        <w:pStyle w:val="ListParagraph"/>
        <w:widowControl w:val="0"/>
        <w:tabs>
          <w:tab w:val="right" w:pos="9360"/>
        </w:tabs>
        <w:ind w:left="1080"/>
      </w:pPr>
    </w:p>
    <w:p w14:paraId="55F15E4E" w14:textId="77777777" w:rsidR="005C2619" w:rsidRDefault="005C2619" w:rsidP="006D5F38">
      <w:pPr>
        <w:widowControl w:val="0"/>
        <w:tabs>
          <w:tab w:val="right" w:pos="9360"/>
        </w:tabs>
      </w:pPr>
      <w:r>
        <w:t>Local load exhibits the same seasonality as system load, and is distributed at each bus according to Table 5:</w:t>
      </w:r>
    </w:p>
    <w:p w14:paraId="27BBB379" w14:textId="77777777" w:rsidR="005C2619" w:rsidRDefault="005C2619" w:rsidP="006D5F38">
      <w:pPr>
        <w:widowControl w:val="0"/>
        <w:tabs>
          <w:tab w:val="right" w:pos="9360"/>
        </w:tabs>
      </w:pPr>
    </w:p>
    <w:tbl>
      <w:tblPr>
        <w:tblW w:w="3992" w:type="dxa"/>
        <w:tblCellMar>
          <w:left w:w="0" w:type="dxa"/>
          <w:right w:w="0" w:type="dxa"/>
        </w:tblCellMar>
        <w:tblLook w:val="04A0" w:firstRow="1" w:lastRow="0" w:firstColumn="1" w:lastColumn="0" w:noHBand="0" w:noVBand="1"/>
      </w:tblPr>
      <w:tblGrid>
        <w:gridCol w:w="2352"/>
        <w:gridCol w:w="1640"/>
      </w:tblGrid>
      <w:tr w:rsidR="005C2619" w14:paraId="20AF9D67" w14:textId="77777777" w:rsidTr="005C2619">
        <w:trPr>
          <w:trHeight w:val="255"/>
        </w:trPr>
        <w:tc>
          <w:tcPr>
            <w:tcW w:w="2352" w:type="dxa"/>
            <w:tcBorders>
              <w:top w:val="nil"/>
              <w:left w:val="nil"/>
              <w:bottom w:val="nil"/>
              <w:right w:val="nil"/>
            </w:tcBorders>
            <w:shd w:val="clear" w:color="auto" w:fill="auto"/>
            <w:noWrap/>
            <w:tcMar>
              <w:top w:w="12" w:type="dxa"/>
              <w:left w:w="12" w:type="dxa"/>
              <w:bottom w:w="0" w:type="dxa"/>
              <w:right w:w="12" w:type="dxa"/>
            </w:tcMar>
            <w:vAlign w:val="bottom"/>
            <w:hideMark/>
          </w:tcPr>
          <w:p w14:paraId="66E0FA54" w14:textId="77777777" w:rsidR="005C2619" w:rsidRDefault="005C2619">
            <w:pPr>
              <w:rPr>
                <w:rFonts w:ascii="Arial" w:hAnsi="Arial" w:cs="Arial"/>
                <w:b/>
                <w:bCs/>
                <w:sz w:val="20"/>
                <w:szCs w:val="20"/>
              </w:rPr>
            </w:pPr>
            <w:r>
              <w:rPr>
                <w:rFonts w:ascii="Arial" w:hAnsi="Arial" w:cs="Arial"/>
                <w:b/>
                <w:bCs/>
                <w:sz w:val="20"/>
                <w:szCs w:val="20"/>
              </w:rPr>
              <w:t>Table 5: Local load</w:t>
            </w:r>
          </w:p>
        </w:tc>
        <w:tc>
          <w:tcPr>
            <w:tcW w:w="1640" w:type="dxa"/>
            <w:tcBorders>
              <w:top w:val="nil"/>
              <w:left w:val="nil"/>
              <w:bottom w:val="nil"/>
              <w:right w:val="nil"/>
            </w:tcBorders>
            <w:shd w:val="clear" w:color="auto" w:fill="auto"/>
            <w:noWrap/>
            <w:tcMar>
              <w:top w:w="12" w:type="dxa"/>
              <w:left w:w="12" w:type="dxa"/>
              <w:bottom w:w="0" w:type="dxa"/>
              <w:right w:w="12" w:type="dxa"/>
            </w:tcMar>
            <w:vAlign w:val="bottom"/>
            <w:hideMark/>
          </w:tcPr>
          <w:p w14:paraId="5FF04C65" w14:textId="77777777" w:rsidR="005C2619" w:rsidRDefault="005C2619">
            <w:pPr>
              <w:rPr>
                <w:rFonts w:ascii="Arial" w:hAnsi="Arial" w:cs="Arial"/>
                <w:sz w:val="20"/>
                <w:szCs w:val="20"/>
              </w:rPr>
            </w:pPr>
          </w:p>
        </w:tc>
      </w:tr>
      <w:tr w:rsidR="005C2619" w14:paraId="173DD370" w14:textId="77777777" w:rsidTr="005C2619">
        <w:trPr>
          <w:trHeight w:val="255"/>
        </w:trPr>
        <w:tc>
          <w:tcPr>
            <w:tcW w:w="2352" w:type="dxa"/>
            <w:tcBorders>
              <w:top w:val="nil"/>
              <w:left w:val="nil"/>
              <w:bottom w:val="nil"/>
              <w:right w:val="nil"/>
            </w:tcBorders>
            <w:shd w:val="clear" w:color="auto" w:fill="auto"/>
            <w:noWrap/>
            <w:tcMar>
              <w:top w:w="12" w:type="dxa"/>
              <w:left w:w="12" w:type="dxa"/>
              <w:bottom w:w="0" w:type="dxa"/>
              <w:right w:w="12" w:type="dxa"/>
            </w:tcMar>
            <w:vAlign w:val="bottom"/>
            <w:hideMark/>
          </w:tcPr>
          <w:p w14:paraId="0C3642AD" w14:textId="77777777" w:rsidR="005C2619" w:rsidRDefault="005C2619">
            <w:pPr>
              <w:rPr>
                <w:rFonts w:ascii="Arial" w:hAnsi="Arial" w:cs="Arial"/>
                <w:sz w:val="20"/>
                <w:szCs w:val="20"/>
              </w:rPr>
            </w:pPr>
          </w:p>
        </w:tc>
        <w:tc>
          <w:tcPr>
            <w:tcW w:w="0" w:type="auto"/>
            <w:tcBorders>
              <w:top w:val="nil"/>
              <w:left w:val="nil"/>
              <w:bottom w:val="nil"/>
              <w:right w:val="nil"/>
            </w:tcBorders>
            <w:shd w:val="clear" w:color="auto" w:fill="auto"/>
            <w:noWrap/>
            <w:tcMar>
              <w:top w:w="12" w:type="dxa"/>
              <w:left w:w="12" w:type="dxa"/>
              <w:bottom w:w="0" w:type="dxa"/>
              <w:right w:w="12" w:type="dxa"/>
            </w:tcMar>
            <w:vAlign w:val="bottom"/>
            <w:hideMark/>
          </w:tcPr>
          <w:p w14:paraId="18A89A8D" w14:textId="77777777" w:rsidR="005C2619" w:rsidRDefault="005C2619">
            <w:pPr>
              <w:rPr>
                <w:rFonts w:ascii="Arial" w:hAnsi="Arial" w:cs="Arial"/>
                <w:sz w:val="20"/>
                <w:szCs w:val="20"/>
              </w:rPr>
            </w:pPr>
          </w:p>
        </w:tc>
      </w:tr>
      <w:tr w:rsidR="005C2619" w14:paraId="67D43790" w14:textId="77777777" w:rsidTr="005C2619">
        <w:trPr>
          <w:trHeight w:val="255"/>
        </w:trPr>
        <w:tc>
          <w:tcPr>
            <w:tcW w:w="2352" w:type="dxa"/>
            <w:tcBorders>
              <w:top w:val="single" w:sz="4" w:space="0" w:color="auto"/>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9E53CB7" w14:textId="77777777" w:rsidR="005C2619" w:rsidRDefault="005C2619">
            <w:pPr>
              <w:rPr>
                <w:rFonts w:ascii="Arial" w:hAnsi="Arial" w:cs="Arial"/>
                <w:sz w:val="20"/>
                <w:szCs w:val="20"/>
              </w:rPr>
            </w:pPr>
            <w:r>
              <w:rPr>
                <w:rFonts w:ascii="Arial" w:hAnsi="Arial" w:cs="Arial"/>
                <w:sz w:val="20"/>
                <w:szCs w:val="20"/>
              </w:rPr>
              <w:t>Bus</w:t>
            </w:r>
          </w:p>
        </w:tc>
        <w:tc>
          <w:tcPr>
            <w:tcW w:w="0" w:type="auto"/>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A5707D5" w14:textId="77777777" w:rsidR="005C2619" w:rsidRDefault="005C2619">
            <w:pPr>
              <w:rPr>
                <w:rFonts w:ascii="Arial" w:hAnsi="Arial" w:cs="Arial"/>
                <w:sz w:val="20"/>
                <w:szCs w:val="20"/>
              </w:rPr>
            </w:pPr>
            <w:r>
              <w:rPr>
                <w:rFonts w:ascii="Arial" w:hAnsi="Arial" w:cs="Arial"/>
                <w:sz w:val="20"/>
                <w:szCs w:val="20"/>
              </w:rPr>
              <w:t>% of system load</w:t>
            </w:r>
          </w:p>
        </w:tc>
      </w:tr>
      <w:tr w:rsidR="005C2619" w14:paraId="3D1379FC" w14:textId="77777777" w:rsidTr="005C2619">
        <w:trPr>
          <w:trHeight w:val="255"/>
        </w:trPr>
        <w:tc>
          <w:tcPr>
            <w:tcW w:w="235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3649090" w14:textId="77777777" w:rsidR="005C2619" w:rsidRDefault="005C2619" w:rsidP="005C2619">
            <w:pPr>
              <w:jc w:val="center"/>
              <w:rPr>
                <w:rFonts w:ascii="Arial" w:hAnsi="Arial" w:cs="Arial"/>
                <w:sz w:val="20"/>
                <w:szCs w:val="20"/>
              </w:rPr>
            </w:pPr>
            <w:r>
              <w:rPr>
                <w:rFonts w:ascii="Arial" w:hAnsi="Arial" w:cs="Arial"/>
                <w:sz w:val="20"/>
                <w:szCs w:val="20"/>
              </w:rPr>
              <w:t>1</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40ACAD0" w14:textId="1E8D3176" w:rsidR="005C2619" w:rsidRDefault="008D7513" w:rsidP="005C2619">
            <w:pPr>
              <w:jc w:val="center"/>
              <w:rPr>
                <w:rFonts w:ascii="Arial" w:hAnsi="Arial" w:cs="Arial"/>
                <w:sz w:val="20"/>
                <w:szCs w:val="20"/>
              </w:rPr>
            </w:pPr>
            <w:r>
              <w:rPr>
                <w:rFonts w:ascii="Arial" w:hAnsi="Arial" w:cs="Arial"/>
                <w:sz w:val="20"/>
                <w:szCs w:val="20"/>
              </w:rPr>
              <w:t>20</w:t>
            </w:r>
          </w:p>
        </w:tc>
      </w:tr>
      <w:tr w:rsidR="005C2619" w14:paraId="70296AE5" w14:textId="77777777" w:rsidTr="005C2619">
        <w:trPr>
          <w:trHeight w:val="255"/>
        </w:trPr>
        <w:tc>
          <w:tcPr>
            <w:tcW w:w="235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F3B8C05" w14:textId="77777777" w:rsidR="005C2619" w:rsidRDefault="005C2619" w:rsidP="005C2619">
            <w:pPr>
              <w:jc w:val="center"/>
              <w:rPr>
                <w:rFonts w:ascii="Arial" w:hAnsi="Arial" w:cs="Arial"/>
                <w:sz w:val="20"/>
                <w:szCs w:val="20"/>
              </w:rPr>
            </w:pPr>
            <w:r>
              <w:rPr>
                <w:rFonts w:ascii="Arial" w:hAnsi="Arial" w:cs="Arial"/>
                <w:sz w:val="20"/>
                <w:szCs w:val="20"/>
              </w:rPr>
              <w:t>2</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A775CA2" w14:textId="221D70F5" w:rsidR="005C2619" w:rsidRDefault="008D7513" w:rsidP="005C2619">
            <w:pPr>
              <w:jc w:val="center"/>
              <w:rPr>
                <w:rFonts w:ascii="Arial" w:hAnsi="Arial" w:cs="Arial"/>
                <w:sz w:val="20"/>
                <w:szCs w:val="20"/>
              </w:rPr>
            </w:pPr>
            <w:r>
              <w:rPr>
                <w:rFonts w:ascii="Arial" w:hAnsi="Arial" w:cs="Arial"/>
                <w:sz w:val="20"/>
                <w:szCs w:val="20"/>
              </w:rPr>
              <w:t>45</w:t>
            </w:r>
          </w:p>
        </w:tc>
      </w:tr>
      <w:tr w:rsidR="005C2619" w14:paraId="6F5BD78D" w14:textId="77777777" w:rsidTr="00B46838">
        <w:trPr>
          <w:trHeight w:val="150"/>
        </w:trPr>
        <w:tc>
          <w:tcPr>
            <w:tcW w:w="235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FF6CE4C" w14:textId="77777777" w:rsidR="005C2619" w:rsidRDefault="005C2619" w:rsidP="005C2619">
            <w:pPr>
              <w:jc w:val="center"/>
              <w:rPr>
                <w:rFonts w:ascii="Arial" w:hAnsi="Arial" w:cs="Arial"/>
                <w:sz w:val="20"/>
                <w:szCs w:val="20"/>
              </w:rPr>
            </w:pPr>
            <w:r>
              <w:rPr>
                <w:rFonts w:ascii="Arial" w:hAnsi="Arial" w:cs="Arial"/>
                <w:sz w:val="20"/>
                <w:szCs w:val="20"/>
              </w:rPr>
              <w:t>3</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A55243C" w14:textId="4D443729" w:rsidR="005C2619" w:rsidRDefault="00B46838" w:rsidP="005C2619">
            <w:pPr>
              <w:jc w:val="center"/>
              <w:rPr>
                <w:rFonts w:ascii="Arial" w:hAnsi="Arial" w:cs="Arial"/>
                <w:sz w:val="20"/>
                <w:szCs w:val="20"/>
              </w:rPr>
            </w:pPr>
            <w:r>
              <w:rPr>
                <w:rFonts w:ascii="Arial" w:hAnsi="Arial" w:cs="Arial"/>
                <w:sz w:val="20"/>
                <w:szCs w:val="20"/>
              </w:rPr>
              <w:t>35</w:t>
            </w:r>
          </w:p>
        </w:tc>
      </w:tr>
    </w:tbl>
    <w:p w14:paraId="2DDE0C4F" w14:textId="67F4A2D6" w:rsidR="00357CEB" w:rsidRDefault="00357CEB" w:rsidP="006D5F38">
      <w:pPr>
        <w:widowControl w:val="0"/>
        <w:tabs>
          <w:tab w:val="right" w:pos="9360"/>
        </w:tabs>
      </w:pPr>
    </w:p>
    <w:p w14:paraId="3E937056" w14:textId="53BDEFF3" w:rsidR="008D7513" w:rsidRPr="008E5BEE" w:rsidRDefault="008D7513" w:rsidP="008D7513">
      <w:pPr>
        <w:widowControl w:val="0"/>
        <w:tabs>
          <w:tab w:val="right" w:pos="9360"/>
        </w:tabs>
        <w:rPr>
          <w:strike/>
        </w:rPr>
      </w:pPr>
      <w:proofErr w:type="spellStart"/>
      <w:r w:rsidRPr="008E5BEE">
        <w:t>NicIso</w:t>
      </w:r>
      <w:proofErr w:type="spellEnd"/>
      <w:r w:rsidRPr="008E5BEE">
        <w:t xml:space="preserve"> also has large significant power generation capacity from six nuclear plants. It is too expensive to start-up and shut-down these power </w:t>
      </w:r>
      <w:r w:rsidR="004C7021" w:rsidRPr="008E5BEE">
        <w:t>plants,</w:t>
      </w:r>
      <w:r w:rsidRPr="008E5BEE">
        <w:t xml:space="preserve"> so they are always online and injecting into the grid a constant power output equal to 97% of their capacity. The only exception is during the spring when they are </w:t>
      </w:r>
      <w:r w:rsidR="0021006A" w:rsidRPr="008E5BEE">
        <w:t>shut down</w:t>
      </w:r>
      <w:r w:rsidRPr="008E5BEE">
        <w:t xml:space="preserve"> for </w:t>
      </w:r>
      <w:r w:rsidR="0021006A" w:rsidRPr="008E5BEE">
        <w:t>maintenance,</w:t>
      </w:r>
      <w:r w:rsidRPr="008E5BEE">
        <w:t xml:space="preserve"> so the normal power output is reduced 50%.</w:t>
      </w:r>
      <w:r w:rsidRPr="008E5BEE">
        <w:rPr>
          <w:strike/>
        </w:rPr>
        <w:t xml:space="preserve"> The characteristics of the nuclear plants is summarized in Table 6. </w:t>
      </w:r>
    </w:p>
    <w:p w14:paraId="2ADC30F3" w14:textId="26E8AC30" w:rsidR="008D7513" w:rsidRPr="008E5BEE" w:rsidRDefault="008D7513" w:rsidP="008D7513">
      <w:pPr>
        <w:widowControl w:val="0"/>
        <w:tabs>
          <w:tab w:val="right" w:pos="9360"/>
        </w:tabs>
        <w:rPr>
          <w:strike/>
        </w:rPr>
      </w:pPr>
    </w:p>
    <w:p w14:paraId="472280AF" w14:textId="11AF8BD9" w:rsidR="00224542" w:rsidRPr="008E5BEE" w:rsidRDefault="00224542" w:rsidP="008D7513">
      <w:pPr>
        <w:widowControl w:val="0"/>
        <w:tabs>
          <w:tab w:val="right" w:pos="9360"/>
        </w:tabs>
        <w:rPr>
          <w:strike/>
        </w:rPr>
      </w:pPr>
    </w:p>
    <w:p w14:paraId="1694C83F" w14:textId="1DF9FD2E" w:rsidR="00224542" w:rsidRPr="008E5BEE" w:rsidRDefault="00224542" w:rsidP="008D7513">
      <w:pPr>
        <w:widowControl w:val="0"/>
        <w:tabs>
          <w:tab w:val="right" w:pos="9360"/>
        </w:tabs>
        <w:rPr>
          <w:strike/>
        </w:rPr>
      </w:pPr>
    </w:p>
    <w:p w14:paraId="1A729E09" w14:textId="3A258E52" w:rsidR="00AC6E6B" w:rsidRPr="008E5BEE" w:rsidRDefault="00AC6E6B" w:rsidP="008D7513">
      <w:pPr>
        <w:widowControl w:val="0"/>
        <w:tabs>
          <w:tab w:val="right" w:pos="9360"/>
        </w:tabs>
        <w:rPr>
          <w:strike/>
        </w:rPr>
      </w:pPr>
    </w:p>
    <w:p w14:paraId="4DD1AB77" w14:textId="7FABDF99" w:rsidR="00AC6E6B" w:rsidRPr="008E5BEE" w:rsidRDefault="00AC6E6B" w:rsidP="008D7513">
      <w:pPr>
        <w:widowControl w:val="0"/>
        <w:tabs>
          <w:tab w:val="right" w:pos="9360"/>
        </w:tabs>
        <w:rPr>
          <w:strike/>
        </w:rPr>
      </w:pPr>
    </w:p>
    <w:p w14:paraId="7FADFBF2" w14:textId="50A76D6C" w:rsidR="00AC6E6B" w:rsidRPr="008E5BEE" w:rsidRDefault="00AC6E6B" w:rsidP="008D7513">
      <w:pPr>
        <w:widowControl w:val="0"/>
        <w:tabs>
          <w:tab w:val="right" w:pos="9360"/>
        </w:tabs>
        <w:rPr>
          <w:strike/>
        </w:rPr>
      </w:pPr>
    </w:p>
    <w:p w14:paraId="421DA179" w14:textId="05C8859D" w:rsidR="00AC6E6B" w:rsidRPr="008E5BEE" w:rsidRDefault="00AC6E6B" w:rsidP="008D7513">
      <w:pPr>
        <w:widowControl w:val="0"/>
        <w:tabs>
          <w:tab w:val="right" w:pos="9360"/>
        </w:tabs>
        <w:rPr>
          <w:strike/>
        </w:rPr>
      </w:pPr>
    </w:p>
    <w:p w14:paraId="78BA85AA" w14:textId="77777777" w:rsidR="00AC6E6B" w:rsidRPr="008E5BEE" w:rsidRDefault="00AC6E6B" w:rsidP="008D7513">
      <w:pPr>
        <w:widowControl w:val="0"/>
        <w:tabs>
          <w:tab w:val="right" w:pos="9360"/>
        </w:tabs>
        <w:rPr>
          <w:strike/>
        </w:rPr>
      </w:pPr>
    </w:p>
    <w:p w14:paraId="05084832" w14:textId="29C655F8" w:rsidR="00224542" w:rsidRPr="008E5BEE" w:rsidRDefault="00224542" w:rsidP="008D7513">
      <w:pPr>
        <w:widowControl w:val="0"/>
        <w:tabs>
          <w:tab w:val="right" w:pos="9360"/>
        </w:tabs>
        <w:rPr>
          <w:strike/>
        </w:rPr>
      </w:pPr>
    </w:p>
    <w:p w14:paraId="38DCE096" w14:textId="40EE25B0" w:rsidR="00224542" w:rsidRPr="008E5BEE" w:rsidRDefault="00224542" w:rsidP="008D7513">
      <w:pPr>
        <w:widowControl w:val="0"/>
        <w:tabs>
          <w:tab w:val="right" w:pos="9360"/>
        </w:tabs>
        <w:rPr>
          <w:strike/>
        </w:rPr>
      </w:pPr>
      <w:r w:rsidRPr="008E5BEE">
        <w:rPr>
          <w:rFonts w:ascii="Arial" w:hAnsi="Arial" w:cs="Arial"/>
          <w:b/>
          <w:bCs/>
          <w:strike/>
          <w:sz w:val="20"/>
          <w:szCs w:val="20"/>
        </w:rPr>
        <w:t>Table 6: Nuclear Power Plants</w:t>
      </w:r>
    </w:p>
    <w:tbl>
      <w:tblPr>
        <w:tblW w:w="9373" w:type="dxa"/>
        <w:tblLook w:val="04A0" w:firstRow="1" w:lastRow="0" w:firstColumn="1" w:lastColumn="0" w:noHBand="0" w:noVBand="1"/>
      </w:tblPr>
      <w:tblGrid>
        <w:gridCol w:w="960"/>
        <w:gridCol w:w="960"/>
        <w:gridCol w:w="1225"/>
        <w:gridCol w:w="2880"/>
        <w:gridCol w:w="1440"/>
        <w:gridCol w:w="1028"/>
        <w:gridCol w:w="880"/>
      </w:tblGrid>
      <w:tr w:rsidR="00224542" w:rsidRPr="00224542" w14:paraId="23A6B23B" w14:textId="77777777" w:rsidTr="00224542">
        <w:trPr>
          <w:trHeight w:val="1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3F43BF" w14:textId="0D71F7AD"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lastRenderedPageBreak/>
              <w:t>Plant 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16AB82" w14:textId="134C2A83"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Plant Name</w:t>
            </w:r>
          </w:p>
        </w:tc>
        <w:tc>
          <w:tcPr>
            <w:tcW w:w="1225" w:type="dxa"/>
            <w:tcBorders>
              <w:top w:val="single" w:sz="4" w:space="0" w:color="auto"/>
              <w:left w:val="nil"/>
              <w:bottom w:val="single" w:sz="4" w:space="0" w:color="auto"/>
              <w:right w:val="single" w:sz="4" w:space="0" w:color="auto"/>
            </w:tcBorders>
            <w:shd w:val="clear" w:color="auto" w:fill="auto"/>
            <w:vAlign w:val="bottom"/>
            <w:hideMark/>
          </w:tcPr>
          <w:p w14:paraId="0CBE921E"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Fuel Type</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05F82DFE"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 xml:space="preserve">Nameplate Capacity </w:t>
            </w:r>
            <w:r w:rsidRPr="008E5BEE">
              <w:rPr>
                <w:rFonts w:ascii="Arial" w:hAnsi="Arial" w:cs="Arial"/>
                <w:strike/>
                <w:color w:val="000000"/>
                <w:sz w:val="20"/>
                <w:szCs w:val="20"/>
              </w:rPr>
              <w:br/>
              <w:t>(MW)</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1D091961" w14:textId="68376A75"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Marginal Cost</w:t>
            </w:r>
            <w:r w:rsidRPr="008E5BEE">
              <w:rPr>
                <w:rFonts w:ascii="Arial" w:hAnsi="Arial" w:cs="Arial"/>
                <w:strike/>
                <w:color w:val="000000"/>
                <w:sz w:val="20"/>
                <w:szCs w:val="20"/>
              </w:rPr>
              <w:br/>
              <w:t>($/MWh)</w:t>
            </w:r>
          </w:p>
        </w:tc>
        <w:tc>
          <w:tcPr>
            <w:tcW w:w="1028" w:type="dxa"/>
            <w:tcBorders>
              <w:top w:val="single" w:sz="4" w:space="0" w:color="auto"/>
              <w:left w:val="nil"/>
              <w:bottom w:val="single" w:sz="4" w:space="0" w:color="auto"/>
              <w:right w:val="single" w:sz="4" w:space="0" w:color="auto"/>
            </w:tcBorders>
            <w:shd w:val="clear" w:color="auto" w:fill="auto"/>
            <w:vAlign w:val="bottom"/>
            <w:hideMark/>
          </w:tcPr>
          <w:p w14:paraId="011F693F"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 xml:space="preserve">CO2-eq </w:t>
            </w:r>
            <w:r w:rsidRPr="008E5BEE">
              <w:rPr>
                <w:rFonts w:ascii="Arial" w:hAnsi="Arial" w:cs="Arial"/>
                <w:strike/>
                <w:color w:val="000000"/>
                <w:sz w:val="20"/>
                <w:szCs w:val="20"/>
              </w:rPr>
              <w:br/>
              <w:t>Average Emission Factor</w:t>
            </w:r>
            <w:r w:rsidRPr="008E5BEE">
              <w:rPr>
                <w:rFonts w:ascii="Arial" w:hAnsi="Arial" w:cs="Arial"/>
                <w:strike/>
                <w:color w:val="000000"/>
                <w:sz w:val="20"/>
                <w:szCs w:val="20"/>
              </w:rPr>
              <w:br/>
              <w:t>(</w:t>
            </w:r>
            <w:proofErr w:type="spellStart"/>
            <w:r w:rsidRPr="008E5BEE">
              <w:rPr>
                <w:rFonts w:ascii="Arial" w:hAnsi="Arial" w:cs="Arial"/>
                <w:strike/>
                <w:color w:val="000000"/>
                <w:sz w:val="20"/>
                <w:szCs w:val="20"/>
              </w:rPr>
              <w:t>lb</w:t>
            </w:r>
            <w:proofErr w:type="spellEnd"/>
            <w:r w:rsidRPr="008E5BEE">
              <w:rPr>
                <w:rFonts w:ascii="Arial" w:hAnsi="Arial" w:cs="Arial"/>
                <w:strike/>
                <w:color w:val="000000"/>
                <w:sz w:val="20"/>
                <w:szCs w:val="20"/>
              </w:rPr>
              <w:t>/MWh)</w:t>
            </w:r>
          </w:p>
        </w:tc>
        <w:tc>
          <w:tcPr>
            <w:tcW w:w="880" w:type="dxa"/>
            <w:tcBorders>
              <w:top w:val="single" w:sz="4" w:space="0" w:color="auto"/>
              <w:left w:val="nil"/>
              <w:bottom w:val="single" w:sz="4" w:space="0" w:color="auto"/>
              <w:right w:val="single" w:sz="4" w:space="0" w:color="auto"/>
            </w:tcBorders>
            <w:shd w:val="clear" w:color="auto" w:fill="auto"/>
            <w:vAlign w:val="bottom"/>
            <w:hideMark/>
          </w:tcPr>
          <w:p w14:paraId="2D15428C"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Bus</w:t>
            </w:r>
          </w:p>
        </w:tc>
      </w:tr>
      <w:tr w:rsidR="00224542" w:rsidRPr="00224542" w14:paraId="524D2F39"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103758"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Nuk1</w:t>
            </w:r>
          </w:p>
        </w:tc>
        <w:tc>
          <w:tcPr>
            <w:tcW w:w="960" w:type="dxa"/>
            <w:tcBorders>
              <w:top w:val="nil"/>
              <w:left w:val="nil"/>
              <w:bottom w:val="single" w:sz="4" w:space="0" w:color="auto"/>
              <w:right w:val="single" w:sz="4" w:space="0" w:color="auto"/>
            </w:tcBorders>
            <w:shd w:val="clear" w:color="auto" w:fill="auto"/>
            <w:noWrap/>
            <w:vAlign w:val="center"/>
            <w:hideMark/>
          </w:tcPr>
          <w:p w14:paraId="02280C1E"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CAT</w:t>
            </w:r>
          </w:p>
        </w:tc>
        <w:tc>
          <w:tcPr>
            <w:tcW w:w="1225" w:type="dxa"/>
            <w:tcBorders>
              <w:top w:val="nil"/>
              <w:left w:val="nil"/>
              <w:bottom w:val="single" w:sz="4" w:space="0" w:color="auto"/>
              <w:right w:val="single" w:sz="4" w:space="0" w:color="auto"/>
            </w:tcBorders>
            <w:shd w:val="clear" w:color="auto" w:fill="auto"/>
            <w:noWrap/>
            <w:vAlign w:val="center"/>
            <w:hideMark/>
          </w:tcPr>
          <w:p w14:paraId="55658E4C"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3410EAAE"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2,410.2</w:t>
            </w:r>
          </w:p>
        </w:tc>
        <w:tc>
          <w:tcPr>
            <w:tcW w:w="1440" w:type="dxa"/>
            <w:tcBorders>
              <w:top w:val="nil"/>
              <w:left w:val="nil"/>
              <w:bottom w:val="single" w:sz="4" w:space="0" w:color="auto"/>
              <w:right w:val="single" w:sz="4" w:space="0" w:color="auto"/>
            </w:tcBorders>
            <w:shd w:val="clear" w:color="auto" w:fill="auto"/>
            <w:noWrap/>
            <w:vAlign w:val="center"/>
            <w:hideMark/>
          </w:tcPr>
          <w:p w14:paraId="0807E35D"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31AA2B92"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8565023"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1</w:t>
            </w:r>
          </w:p>
        </w:tc>
      </w:tr>
      <w:tr w:rsidR="00224542" w:rsidRPr="00224542" w14:paraId="25D82008"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1975BF"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Nuk2</w:t>
            </w:r>
          </w:p>
        </w:tc>
        <w:tc>
          <w:tcPr>
            <w:tcW w:w="960" w:type="dxa"/>
            <w:tcBorders>
              <w:top w:val="nil"/>
              <w:left w:val="nil"/>
              <w:bottom w:val="single" w:sz="4" w:space="0" w:color="auto"/>
              <w:right w:val="single" w:sz="4" w:space="0" w:color="auto"/>
            </w:tcBorders>
            <w:shd w:val="clear" w:color="auto" w:fill="auto"/>
            <w:noWrap/>
            <w:vAlign w:val="center"/>
            <w:hideMark/>
          </w:tcPr>
          <w:p w14:paraId="49C70AA3"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MCG</w:t>
            </w:r>
          </w:p>
        </w:tc>
        <w:tc>
          <w:tcPr>
            <w:tcW w:w="1225" w:type="dxa"/>
            <w:tcBorders>
              <w:top w:val="nil"/>
              <w:left w:val="nil"/>
              <w:bottom w:val="single" w:sz="4" w:space="0" w:color="auto"/>
              <w:right w:val="single" w:sz="4" w:space="0" w:color="auto"/>
            </w:tcBorders>
            <w:shd w:val="clear" w:color="auto" w:fill="auto"/>
            <w:noWrap/>
            <w:vAlign w:val="center"/>
            <w:hideMark/>
          </w:tcPr>
          <w:p w14:paraId="73EFD891"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53542C35"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2,440.6</w:t>
            </w:r>
          </w:p>
        </w:tc>
        <w:tc>
          <w:tcPr>
            <w:tcW w:w="1440" w:type="dxa"/>
            <w:tcBorders>
              <w:top w:val="nil"/>
              <w:left w:val="nil"/>
              <w:bottom w:val="single" w:sz="4" w:space="0" w:color="auto"/>
              <w:right w:val="single" w:sz="4" w:space="0" w:color="auto"/>
            </w:tcBorders>
            <w:shd w:val="clear" w:color="auto" w:fill="auto"/>
            <w:noWrap/>
            <w:vAlign w:val="center"/>
            <w:hideMark/>
          </w:tcPr>
          <w:p w14:paraId="5F30DF12"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70EA8C01"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09F3BA"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2</w:t>
            </w:r>
          </w:p>
        </w:tc>
      </w:tr>
      <w:tr w:rsidR="00224542" w:rsidRPr="00224542" w14:paraId="3FCE2483"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519750"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Nuk3</w:t>
            </w:r>
          </w:p>
        </w:tc>
        <w:tc>
          <w:tcPr>
            <w:tcW w:w="960" w:type="dxa"/>
            <w:tcBorders>
              <w:top w:val="nil"/>
              <w:left w:val="nil"/>
              <w:bottom w:val="single" w:sz="4" w:space="0" w:color="auto"/>
              <w:right w:val="single" w:sz="4" w:space="0" w:color="auto"/>
            </w:tcBorders>
            <w:shd w:val="clear" w:color="auto" w:fill="auto"/>
            <w:noWrap/>
            <w:vAlign w:val="center"/>
            <w:hideMark/>
          </w:tcPr>
          <w:p w14:paraId="2826D20C"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OCO</w:t>
            </w:r>
          </w:p>
        </w:tc>
        <w:tc>
          <w:tcPr>
            <w:tcW w:w="1225" w:type="dxa"/>
            <w:tcBorders>
              <w:top w:val="nil"/>
              <w:left w:val="nil"/>
              <w:bottom w:val="single" w:sz="4" w:space="0" w:color="auto"/>
              <w:right w:val="single" w:sz="4" w:space="0" w:color="auto"/>
            </w:tcBorders>
            <w:shd w:val="clear" w:color="auto" w:fill="auto"/>
            <w:noWrap/>
            <w:vAlign w:val="center"/>
            <w:hideMark/>
          </w:tcPr>
          <w:p w14:paraId="7454E51B"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77E63956"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2,666.7</w:t>
            </w:r>
          </w:p>
        </w:tc>
        <w:tc>
          <w:tcPr>
            <w:tcW w:w="1440" w:type="dxa"/>
            <w:tcBorders>
              <w:top w:val="nil"/>
              <w:left w:val="nil"/>
              <w:bottom w:val="single" w:sz="4" w:space="0" w:color="auto"/>
              <w:right w:val="single" w:sz="4" w:space="0" w:color="auto"/>
            </w:tcBorders>
            <w:shd w:val="clear" w:color="auto" w:fill="auto"/>
            <w:noWrap/>
            <w:vAlign w:val="center"/>
            <w:hideMark/>
          </w:tcPr>
          <w:p w14:paraId="5632943F"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6D6E2667"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5C41E60"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2</w:t>
            </w:r>
          </w:p>
        </w:tc>
      </w:tr>
      <w:tr w:rsidR="00224542" w:rsidRPr="00224542" w14:paraId="7F4D8CA9"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B950C"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Nuk4</w:t>
            </w:r>
          </w:p>
        </w:tc>
        <w:tc>
          <w:tcPr>
            <w:tcW w:w="960" w:type="dxa"/>
            <w:tcBorders>
              <w:top w:val="nil"/>
              <w:left w:val="nil"/>
              <w:bottom w:val="single" w:sz="4" w:space="0" w:color="auto"/>
              <w:right w:val="single" w:sz="4" w:space="0" w:color="auto"/>
            </w:tcBorders>
            <w:shd w:val="clear" w:color="auto" w:fill="auto"/>
            <w:noWrap/>
            <w:vAlign w:val="center"/>
            <w:hideMark/>
          </w:tcPr>
          <w:p w14:paraId="6E71D6EE"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BRU</w:t>
            </w:r>
          </w:p>
        </w:tc>
        <w:tc>
          <w:tcPr>
            <w:tcW w:w="1225" w:type="dxa"/>
            <w:tcBorders>
              <w:top w:val="nil"/>
              <w:left w:val="nil"/>
              <w:bottom w:val="single" w:sz="4" w:space="0" w:color="auto"/>
              <w:right w:val="single" w:sz="4" w:space="0" w:color="auto"/>
            </w:tcBorders>
            <w:shd w:val="clear" w:color="auto" w:fill="auto"/>
            <w:noWrap/>
            <w:vAlign w:val="center"/>
            <w:hideMark/>
          </w:tcPr>
          <w:p w14:paraId="204F660B"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210A77F5"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2,003.2</w:t>
            </w:r>
          </w:p>
        </w:tc>
        <w:tc>
          <w:tcPr>
            <w:tcW w:w="1440" w:type="dxa"/>
            <w:tcBorders>
              <w:top w:val="nil"/>
              <w:left w:val="nil"/>
              <w:bottom w:val="single" w:sz="4" w:space="0" w:color="auto"/>
              <w:right w:val="single" w:sz="4" w:space="0" w:color="auto"/>
            </w:tcBorders>
            <w:shd w:val="clear" w:color="auto" w:fill="auto"/>
            <w:noWrap/>
            <w:vAlign w:val="center"/>
            <w:hideMark/>
          </w:tcPr>
          <w:p w14:paraId="29A8C22E"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4A2E1FD3"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87B592"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3</w:t>
            </w:r>
          </w:p>
        </w:tc>
      </w:tr>
      <w:tr w:rsidR="00224542" w:rsidRPr="00224542" w14:paraId="75F71819"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1A1B71"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Nuk5</w:t>
            </w:r>
          </w:p>
        </w:tc>
        <w:tc>
          <w:tcPr>
            <w:tcW w:w="960" w:type="dxa"/>
            <w:tcBorders>
              <w:top w:val="nil"/>
              <w:left w:val="nil"/>
              <w:bottom w:val="single" w:sz="4" w:space="0" w:color="auto"/>
              <w:right w:val="single" w:sz="4" w:space="0" w:color="auto"/>
            </w:tcBorders>
            <w:shd w:val="clear" w:color="auto" w:fill="auto"/>
            <w:noWrap/>
            <w:vAlign w:val="center"/>
            <w:hideMark/>
          </w:tcPr>
          <w:p w14:paraId="4D9B9531"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HB</w:t>
            </w:r>
          </w:p>
        </w:tc>
        <w:tc>
          <w:tcPr>
            <w:tcW w:w="1225" w:type="dxa"/>
            <w:tcBorders>
              <w:top w:val="nil"/>
              <w:left w:val="nil"/>
              <w:bottom w:val="single" w:sz="4" w:space="0" w:color="auto"/>
              <w:right w:val="single" w:sz="4" w:space="0" w:color="auto"/>
            </w:tcBorders>
            <w:shd w:val="clear" w:color="auto" w:fill="auto"/>
            <w:noWrap/>
            <w:vAlign w:val="center"/>
            <w:hideMark/>
          </w:tcPr>
          <w:p w14:paraId="64B75C27"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69573ED3"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768.6</w:t>
            </w:r>
          </w:p>
        </w:tc>
        <w:tc>
          <w:tcPr>
            <w:tcW w:w="1440" w:type="dxa"/>
            <w:tcBorders>
              <w:top w:val="nil"/>
              <w:left w:val="nil"/>
              <w:bottom w:val="single" w:sz="4" w:space="0" w:color="auto"/>
              <w:right w:val="single" w:sz="4" w:space="0" w:color="auto"/>
            </w:tcBorders>
            <w:shd w:val="clear" w:color="auto" w:fill="auto"/>
            <w:noWrap/>
            <w:vAlign w:val="center"/>
            <w:hideMark/>
          </w:tcPr>
          <w:p w14:paraId="53120BC1"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7659C28D"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C899A73"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3</w:t>
            </w:r>
          </w:p>
        </w:tc>
      </w:tr>
      <w:tr w:rsidR="00224542" w:rsidRPr="00224542" w14:paraId="0ABBC765" w14:textId="77777777" w:rsidTr="00224542">
        <w:trPr>
          <w:trHeight w:val="2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646DB2"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Nuk6</w:t>
            </w:r>
          </w:p>
        </w:tc>
        <w:tc>
          <w:tcPr>
            <w:tcW w:w="960" w:type="dxa"/>
            <w:tcBorders>
              <w:top w:val="nil"/>
              <w:left w:val="nil"/>
              <w:bottom w:val="single" w:sz="4" w:space="0" w:color="auto"/>
              <w:right w:val="single" w:sz="4" w:space="0" w:color="auto"/>
            </w:tcBorders>
            <w:shd w:val="clear" w:color="auto" w:fill="auto"/>
            <w:noWrap/>
            <w:vAlign w:val="center"/>
            <w:hideMark/>
          </w:tcPr>
          <w:p w14:paraId="5ED10DD2"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Harris</w:t>
            </w:r>
          </w:p>
        </w:tc>
        <w:tc>
          <w:tcPr>
            <w:tcW w:w="1225" w:type="dxa"/>
            <w:tcBorders>
              <w:top w:val="nil"/>
              <w:left w:val="nil"/>
              <w:bottom w:val="single" w:sz="4" w:space="0" w:color="auto"/>
              <w:right w:val="single" w:sz="4" w:space="0" w:color="auto"/>
            </w:tcBorders>
            <w:shd w:val="clear" w:color="auto" w:fill="auto"/>
            <w:noWrap/>
            <w:vAlign w:val="center"/>
            <w:hideMark/>
          </w:tcPr>
          <w:p w14:paraId="150C080F" w14:textId="77777777" w:rsidR="00224542" w:rsidRPr="008E5BEE" w:rsidRDefault="00224542" w:rsidP="00224542">
            <w:pPr>
              <w:rPr>
                <w:rFonts w:ascii="Arial" w:hAnsi="Arial" w:cs="Arial"/>
                <w:strike/>
                <w:color w:val="000000"/>
                <w:sz w:val="20"/>
                <w:szCs w:val="20"/>
              </w:rPr>
            </w:pPr>
            <w:r w:rsidRPr="008E5BEE">
              <w:rPr>
                <w:rFonts w:ascii="Arial" w:hAnsi="Arial" w:cs="Arial"/>
                <w:strike/>
                <w:color w:val="000000"/>
                <w:sz w:val="20"/>
                <w:szCs w:val="20"/>
              </w:rPr>
              <w:t>Nuclear</w:t>
            </w:r>
          </w:p>
        </w:tc>
        <w:tc>
          <w:tcPr>
            <w:tcW w:w="2880" w:type="dxa"/>
            <w:tcBorders>
              <w:top w:val="nil"/>
              <w:left w:val="nil"/>
              <w:bottom w:val="single" w:sz="4" w:space="0" w:color="auto"/>
              <w:right w:val="single" w:sz="4" w:space="0" w:color="auto"/>
            </w:tcBorders>
            <w:shd w:val="clear" w:color="auto" w:fill="auto"/>
            <w:noWrap/>
            <w:vAlign w:val="center"/>
            <w:hideMark/>
          </w:tcPr>
          <w:p w14:paraId="099DE7F7"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950.9</w:t>
            </w:r>
          </w:p>
        </w:tc>
        <w:tc>
          <w:tcPr>
            <w:tcW w:w="1440" w:type="dxa"/>
            <w:tcBorders>
              <w:top w:val="nil"/>
              <w:left w:val="nil"/>
              <w:bottom w:val="single" w:sz="4" w:space="0" w:color="auto"/>
              <w:right w:val="single" w:sz="4" w:space="0" w:color="auto"/>
            </w:tcBorders>
            <w:shd w:val="clear" w:color="auto" w:fill="auto"/>
            <w:noWrap/>
            <w:vAlign w:val="center"/>
            <w:hideMark/>
          </w:tcPr>
          <w:p w14:paraId="09D8B145" w14:textId="77777777" w:rsidR="00224542" w:rsidRPr="008E5BEE" w:rsidRDefault="00224542" w:rsidP="00224542">
            <w:pPr>
              <w:jc w:val="center"/>
              <w:rPr>
                <w:rFonts w:ascii="Arial" w:hAnsi="Arial" w:cs="Arial"/>
                <w:strike/>
                <w:color w:val="000000"/>
                <w:sz w:val="20"/>
                <w:szCs w:val="20"/>
              </w:rPr>
            </w:pPr>
            <w:r w:rsidRPr="008E5BEE">
              <w:rPr>
                <w:rFonts w:ascii="Arial" w:hAnsi="Arial" w:cs="Arial"/>
                <w:strike/>
                <w:color w:val="000000"/>
                <w:sz w:val="20"/>
                <w:szCs w:val="20"/>
              </w:rPr>
              <w:t>12.2</w:t>
            </w:r>
          </w:p>
        </w:tc>
        <w:tc>
          <w:tcPr>
            <w:tcW w:w="1028" w:type="dxa"/>
            <w:tcBorders>
              <w:top w:val="nil"/>
              <w:left w:val="nil"/>
              <w:bottom w:val="single" w:sz="4" w:space="0" w:color="auto"/>
              <w:right w:val="single" w:sz="4" w:space="0" w:color="auto"/>
            </w:tcBorders>
            <w:shd w:val="clear" w:color="auto" w:fill="auto"/>
            <w:noWrap/>
            <w:vAlign w:val="bottom"/>
            <w:hideMark/>
          </w:tcPr>
          <w:p w14:paraId="591562EE"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4812D83" w14:textId="77777777" w:rsidR="00224542" w:rsidRPr="008E5BEE" w:rsidRDefault="00224542" w:rsidP="00224542">
            <w:pPr>
              <w:jc w:val="right"/>
              <w:rPr>
                <w:rFonts w:ascii="Arial" w:hAnsi="Arial" w:cs="Arial"/>
                <w:strike/>
                <w:color w:val="000000"/>
                <w:sz w:val="20"/>
                <w:szCs w:val="20"/>
              </w:rPr>
            </w:pPr>
            <w:r w:rsidRPr="008E5BEE">
              <w:rPr>
                <w:rFonts w:ascii="Arial" w:hAnsi="Arial" w:cs="Arial"/>
                <w:strike/>
                <w:color w:val="000000"/>
                <w:sz w:val="20"/>
                <w:szCs w:val="20"/>
              </w:rPr>
              <w:t>3</w:t>
            </w:r>
          </w:p>
        </w:tc>
      </w:tr>
    </w:tbl>
    <w:p w14:paraId="50278E2D" w14:textId="77777777" w:rsidR="008D7513" w:rsidRPr="00224542" w:rsidRDefault="008D7513" w:rsidP="008D7513">
      <w:pPr>
        <w:widowControl w:val="0"/>
        <w:tabs>
          <w:tab w:val="right" w:pos="9360"/>
        </w:tabs>
        <w:rPr>
          <w:rFonts w:ascii="Arial" w:hAnsi="Arial" w:cs="Arial"/>
          <w:sz w:val="20"/>
          <w:szCs w:val="20"/>
        </w:rPr>
      </w:pPr>
    </w:p>
    <w:p w14:paraId="2F17C954" w14:textId="0A0A1927" w:rsidR="008D7513" w:rsidRDefault="00717050" w:rsidP="006D5F38">
      <w:pPr>
        <w:widowControl w:val="0"/>
        <w:tabs>
          <w:tab w:val="right" w:pos="9360"/>
        </w:tabs>
      </w:pPr>
      <w:r>
        <w:t xml:space="preserve">Finally, </w:t>
      </w:r>
      <w:r w:rsidR="003F287B">
        <w:t xml:space="preserve">busses 1 and 2 of </w:t>
      </w:r>
      <w:proofErr w:type="spellStart"/>
      <w:r w:rsidR="003F287B">
        <w:t>NicIso</w:t>
      </w:r>
      <w:proofErr w:type="spellEnd"/>
      <w:r w:rsidR="003F287B">
        <w:t xml:space="preserve"> have transmission ties with 2 different neighboring authorities that allow them to import up to 1200 MW of electricity </w:t>
      </w:r>
      <w:r w:rsidR="001A7D3D">
        <w:t>at a cost of $90/MWh and $100/MWh respectively.</w:t>
      </w:r>
    </w:p>
    <w:p w14:paraId="3D8F6CCD" w14:textId="77777777" w:rsidR="00972EEB" w:rsidRDefault="00972EEB" w:rsidP="006D5F38">
      <w:pPr>
        <w:widowControl w:val="0"/>
        <w:tabs>
          <w:tab w:val="right" w:pos="9360"/>
        </w:tabs>
      </w:pPr>
    </w:p>
    <w:p w14:paraId="3A8AF72F" w14:textId="245F4857" w:rsidR="00357CEB" w:rsidRPr="0021006A" w:rsidRDefault="00357CEB" w:rsidP="006D5F38">
      <w:pPr>
        <w:widowControl w:val="0"/>
        <w:tabs>
          <w:tab w:val="right" w:pos="9360"/>
        </w:tabs>
        <w:rPr>
          <w:b/>
          <w:bCs/>
        </w:rPr>
      </w:pPr>
      <w:r w:rsidRPr="0021006A">
        <w:rPr>
          <w:b/>
          <w:bCs/>
        </w:rPr>
        <w:t xml:space="preserve">The </w:t>
      </w:r>
      <w:r w:rsidR="0021006A" w:rsidRPr="0021006A">
        <w:rPr>
          <w:b/>
          <w:bCs/>
        </w:rPr>
        <w:t xml:space="preserve">current political and regulatory </w:t>
      </w:r>
      <w:r w:rsidRPr="0021006A">
        <w:rPr>
          <w:b/>
          <w:bCs/>
        </w:rPr>
        <w:t>situation:</w:t>
      </w:r>
    </w:p>
    <w:p w14:paraId="0039A0AB" w14:textId="4C1F6F9B" w:rsidR="002401EA" w:rsidRDefault="00AF27DE" w:rsidP="006D5F38">
      <w:pPr>
        <w:widowControl w:val="0"/>
        <w:tabs>
          <w:tab w:val="right" w:pos="9360"/>
        </w:tabs>
      </w:pPr>
      <w:r>
        <w:t xml:space="preserve">The </w:t>
      </w:r>
      <w:r w:rsidR="008E334A">
        <w:t xml:space="preserve">state of </w:t>
      </w:r>
      <w:proofErr w:type="spellStart"/>
      <w:r w:rsidR="008E334A">
        <w:t>NicIso</w:t>
      </w:r>
      <w:proofErr w:type="spellEnd"/>
      <w:r w:rsidR="008E334A">
        <w:t xml:space="preserve"> restructured its electricity industry almost 15 years ago.  </w:t>
      </w:r>
      <w:r w:rsidR="00F31934">
        <w:t xml:space="preserve">Although it is not clear whether restructuring has reduced electricity prices, improved environmental performance, or enhanced reliability, there have not been any serious </w:t>
      </w:r>
      <w:r w:rsidR="00E6317A">
        <w:t>challenges</w:t>
      </w:r>
      <w:r w:rsidR="00F31934">
        <w:t xml:space="preserve"> </w:t>
      </w:r>
      <w:r w:rsidR="00125EB0">
        <w:t>in the recent past</w:t>
      </w:r>
      <w:r w:rsidR="00F31934">
        <w:t xml:space="preserve">.  However, this year, things have changed. </w:t>
      </w:r>
      <w:r w:rsidR="00E6317A">
        <w:t xml:space="preserve"> </w:t>
      </w:r>
      <w:r w:rsidR="003F287B">
        <w:t xml:space="preserve">Several </w:t>
      </w:r>
      <w:proofErr w:type="gramStart"/>
      <w:r w:rsidR="003F287B">
        <w:t>coal</w:t>
      </w:r>
      <w:proofErr w:type="gramEnd"/>
      <w:r w:rsidR="003F287B">
        <w:t xml:space="preserve"> fired power plants have been retired in anticipation to</w:t>
      </w:r>
      <w:r w:rsidR="00E6317A" w:rsidRPr="00E6317A">
        <w:t xml:space="preserve"> ambitious legislation mandating that the state's publicly regulated utilities get </w:t>
      </w:r>
      <w:r w:rsidR="00972EEB">
        <w:t>95%</w:t>
      </w:r>
      <w:r w:rsidR="00E6317A" w:rsidRPr="00E6317A">
        <w:t xml:space="preserve"> of their electricity from carbon-free sources by 204</w:t>
      </w:r>
      <w:r w:rsidR="00972EEB">
        <w:t>0</w:t>
      </w:r>
      <w:r w:rsidR="001A7D3D">
        <w:t xml:space="preserve"> and now there are several hours in the year when </w:t>
      </w:r>
      <w:proofErr w:type="spellStart"/>
      <w:r w:rsidR="001A7D3D">
        <w:t>NicIso</w:t>
      </w:r>
      <w:proofErr w:type="spellEnd"/>
      <w:r w:rsidR="001A7D3D">
        <w:t xml:space="preserve"> depends on electricity imports.</w:t>
      </w:r>
    </w:p>
    <w:p w14:paraId="62F167B2" w14:textId="1F105323" w:rsidR="00851468" w:rsidRDefault="002401EA" w:rsidP="006D5F38">
      <w:pPr>
        <w:widowControl w:val="0"/>
        <w:tabs>
          <w:tab w:val="right" w:pos="9360"/>
        </w:tabs>
      </w:pPr>
      <w:proofErr w:type="spellStart"/>
      <w:r>
        <w:t>NicIso</w:t>
      </w:r>
      <w:proofErr w:type="spellEnd"/>
      <w:r>
        <w:t xml:space="preserve"> officials are in the</w:t>
      </w:r>
      <w:r w:rsidRPr="002401EA">
        <w:t xml:space="preserve"> process of assessing the overall reliability of the system </w:t>
      </w:r>
      <w:r w:rsidR="008E334A">
        <w:t>if some capacity is retired</w:t>
      </w:r>
      <w:r w:rsidR="00C30E89">
        <w:t xml:space="preserve"> and considering demand growth</w:t>
      </w:r>
      <w:r w:rsidR="008E334A">
        <w:t xml:space="preserve">. For now, their focus is on achieving resource adequacy </w:t>
      </w:r>
      <w:r w:rsidR="00224542">
        <w:t xml:space="preserve">under normal conditions </w:t>
      </w:r>
      <w:r w:rsidR="008E334A">
        <w:t xml:space="preserve">to ensure that the </w:t>
      </w:r>
      <w:r w:rsidR="00C30E89">
        <w:t>LOLE of the system</w:t>
      </w:r>
      <w:r w:rsidR="008E334A">
        <w:t xml:space="preserve"> do</w:t>
      </w:r>
      <w:r w:rsidR="00C30E89">
        <w:t>es not exceed 1 day in 10 years</w:t>
      </w:r>
      <w:r w:rsidR="00B10E7F">
        <w:t xml:space="preserve"> which according to some old modelling exercises, requires a reserve margin of 1</w:t>
      </w:r>
      <w:r w:rsidR="00972EEB">
        <w:t>1.5</w:t>
      </w:r>
      <w:r w:rsidR="00B10E7F">
        <w:t>%</w:t>
      </w:r>
      <w:r w:rsidR="00C30E89">
        <w:t>.</w:t>
      </w:r>
      <w:r w:rsidR="008E334A">
        <w:t xml:space="preserve">  </w:t>
      </w:r>
      <w:r w:rsidR="00851468">
        <w:t>In this assessment of resource adequacy only baseload powerplants will be considered because lack of data and other constraints prevent an accurate estimation of the contribution t</w:t>
      </w:r>
      <w:r w:rsidR="00972EEB">
        <w:t>o reliability from</w:t>
      </w:r>
      <w:r w:rsidR="00224542">
        <w:t xml:space="preserve"> </w:t>
      </w:r>
      <w:r w:rsidR="00972EEB">
        <w:t xml:space="preserve">some </w:t>
      </w:r>
      <w:r w:rsidR="00851468">
        <w:t>wind</w:t>
      </w:r>
      <w:r w:rsidR="00224542">
        <w:t>,</w:t>
      </w:r>
      <w:r w:rsidR="00851468">
        <w:t xml:space="preserve"> and solar resources in the system</w:t>
      </w:r>
      <w:r w:rsidR="00B10E7F">
        <w:rPr>
          <w:rStyle w:val="FootnoteReference"/>
        </w:rPr>
        <w:footnoteReference w:id="3"/>
      </w:r>
      <w:r w:rsidR="00851468">
        <w:t xml:space="preserve">. </w:t>
      </w:r>
    </w:p>
    <w:p w14:paraId="3DD56463" w14:textId="53F403CE" w:rsidR="002401EA" w:rsidRDefault="002401EA" w:rsidP="006D5F38">
      <w:pPr>
        <w:widowControl w:val="0"/>
        <w:tabs>
          <w:tab w:val="right" w:pos="9360"/>
        </w:tabs>
      </w:pPr>
      <w:proofErr w:type="spellStart"/>
      <w:r w:rsidRPr="002401EA">
        <w:t>NicIso</w:t>
      </w:r>
      <w:proofErr w:type="spellEnd"/>
      <w:r w:rsidRPr="002401EA">
        <w:t xml:space="preserve"> </w:t>
      </w:r>
      <w:r>
        <w:t xml:space="preserve">does not have a capacity </w:t>
      </w:r>
      <w:proofErr w:type="gramStart"/>
      <w:r>
        <w:t>market</w:t>
      </w:r>
      <w:proofErr w:type="gramEnd"/>
      <w:r>
        <w:t xml:space="preserve"> but </w:t>
      </w:r>
      <w:r w:rsidRPr="00561143">
        <w:rPr>
          <w:u w:val="single"/>
        </w:rPr>
        <w:t>several stake holders argue that an adequate capacity payment is necessary to motivate investment in new installed capacity</w:t>
      </w:r>
      <w:r w:rsidR="008E334A" w:rsidRPr="00561143">
        <w:rPr>
          <w:u w:val="single"/>
        </w:rPr>
        <w:t xml:space="preserve"> </w:t>
      </w:r>
      <w:r w:rsidR="00972EEB">
        <w:rPr>
          <w:u w:val="single"/>
        </w:rPr>
        <w:t xml:space="preserve">and perhaps avoid the retirement of the </w:t>
      </w:r>
      <w:r w:rsidR="0021006A">
        <w:rPr>
          <w:u w:val="single"/>
        </w:rPr>
        <w:t>state’s</w:t>
      </w:r>
      <w:r w:rsidR="00972EEB">
        <w:rPr>
          <w:u w:val="single"/>
        </w:rPr>
        <w:t xml:space="preserve"> nuclear power plants </w:t>
      </w:r>
      <w:r w:rsidR="008E334A" w:rsidRPr="00561143">
        <w:rPr>
          <w:u w:val="single"/>
        </w:rPr>
        <w:t xml:space="preserve">or </w:t>
      </w:r>
      <w:proofErr w:type="spellStart"/>
      <w:r w:rsidR="008E334A" w:rsidRPr="00561143">
        <w:rPr>
          <w:u w:val="single"/>
        </w:rPr>
        <w:t>NicIso</w:t>
      </w:r>
      <w:proofErr w:type="spellEnd"/>
      <w:r w:rsidR="008E334A" w:rsidRPr="00561143">
        <w:rPr>
          <w:u w:val="single"/>
        </w:rPr>
        <w:t xml:space="preserve"> risks having tremendous prices spikes and black outs in the near future</w:t>
      </w:r>
      <w:r w:rsidR="008E334A">
        <w:t>.</w:t>
      </w:r>
      <w:r w:rsidR="00972EEB">
        <w:t xml:space="preserve"> The nuclear power plants of </w:t>
      </w:r>
      <w:proofErr w:type="spellStart"/>
      <w:r w:rsidR="00972EEB">
        <w:t>NicIso</w:t>
      </w:r>
      <w:proofErr w:type="spellEnd"/>
      <w:r w:rsidR="00972EEB">
        <w:t xml:space="preserve"> are old and will soon require significant maintenance to be able to renew the</w:t>
      </w:r>
      <w:r w:rsidR="00826E7C">
        <w:t>ir operating</w:t>
      </w:r>
      <w:r w:rsidR="00972EEB">
        <w:t xml:space="preserve"> licenses.</w:t>
      </w:r>
    </w:p>
    <w:p w14:paraId="3E790082" w14:textId="77777777" w:rsidR="002401EA" w:rsidRDefault="002401EA" w:rsidP="006D5F38">
      <w:pPr>
        <w:widowControl w:val="0"/>
        <w:tabs>
          <w:tab w:val="right" w:pos="9360"/>
        </w:tabs>
      </w:pPr>
    </w:p>
    <w:p w14:paraId="36908CF2" w14:textId="33969C9C" w:rsidR="00357CEB" w:rsidRDefault="00BE6E7B" w:rsidP="006D5F38">
      <w:pPr>
        <w:widowControl w:val="0"/>
        <w:tabs>
          <w:tab w:val="right" w:pos="9360"/>
        </w:tabs>
      </w:pPr>
      <w:r>
        <w:lastRenderedPageBreak/>
        <w:t>Electric utilities</w:t>
      </w:r>
      <w:r w:rsidR="00B70572">
        <w:t xml:space="preserve"> agree that it is necessary to </w:t>
      </w:r>
      <w:r w:rsidR="008E334A">
        <w:t xml:space="preserve">conduct ASAP an analysis of the </w:t>
      </w:r>
      <w:r w:rsidR="00B70572">
        <w:t xml:space="preserve">alternatives to replace </w:t>
      </w:r>
      <w:r w:rsidR="00F31934">
        <w:t>any capacity that may be lost due to power plant retirements</w:t>
      </w:r>
      <w:r w:rsidR="00C30E89">
        <w:t xml:space="preserve"> and/or if demand grows</w:t>
      </w:r>
      <w:r w:rsidR="00B70572">
        <w:t xml:space="preserve">.  The first stage of such analysis focuses on the possibility of replacing </w:t>
      </w:r>
      <w:r w:rsidR="00F31934">
        <w:t xml:space="preserve">old </w:t>
      </w:r>
      <w:r w:rsidR="00851468">
        <w:t>and coal</w:t>
      </w:r>
      <w:r w:rsidR="00F31934">
        <w:t xml:space="preserve"> power plants with </w:t>
      </w:r>
      <w:r w:rsidR="00224542">
        <w:t>carbon free technologies</w:t>
      </w:r>
      <w:r w:rsidR="00C30E89">
        <w:t xml:space="preserve">.  The state of </w:t>
      </w:r>
      <w:proofErr w:type="spellStart"/>
      <w:r w:rsidR="00AC3028">
        <w:t>NicLand</w:t>
      </w:r>
      <w:proofErr w:type="spellEnd"/>
      <w:r w:rsidR="00C30E89">
        <w:t xml:space="preserve"> </w:t>
      </w:r>
      <w:r w:rsidR="00224542">
        <w:t xml:space="preserve">imports all its </w:t>
      </w:r>
      <w:r w:rsidR="00C30E89" w:rsidRPr="00C30E89">
        <w:t xml:space="preserve">fossil </w:t>
      </w:r>
      <w:proofErr w:type="gramStart"/>
      <w:r w:rsidR="00C30E89" w:rsidRPr="00C30E89">
        <w:t>fuel</w:t>
      </w:r>
      <w:r w:rsidR="00851468">
        <w:t>s</w:t>
      </w:r>
      <w:r w:rsidR="00C30E89" w:rsidRPr="00C30E89">
        <w:t xml:space="preserve">, </w:t>
      </w:r>
      <w:r w:rsidR="00224542">
        <w:t>but</w:t>
      </w:r>
      <w:proofErr w:type="gramEnd"/>
      <w:r w:rsidR="00224542">
        <w:t xml:space="preserve"> has great potential for solar electricity and some for wind</w:t>
      </w:r>
      <w:r w:rsidR="00C30E89">
        <w:t>.</w:t>
      </w:r>
      <w:r w:rsidR="00F31934">
        <w:t xml:space="preserve"> </w:t>
      </w:r>
      <w:proofErr w:type="spellStart"/>
      <w:r w:rsidR="005C27E9">
        <w:t>NicIso</w:t>
      </w:r>
      <w:proofErr w:type="spellEnd"/>
      <w:r w:rsidR="005C27E9">
        <w:t xml:space="preserve"> officials are also currently assessing the need for future</w:t>
      </w:r>
      <w:r w:rsidR="00357CEB">
        <w:t xml:space="preserve"> transmission investments.  </w:t>
      </w:r>
    </w:p>
    <w:p w14:paraId="627BF93A" w14:textId="77777777" w:rsidR="00357CEB" w:rsidRDefault="00357CEB" w:rsidP="006D5F38">
      <w:pPr>
        <w:widowControl w:val="0"/>
        <w:tabs>
          <w:tab w:val="right" w:pos="9360"/>
        </w:tabs>
      </w:pPr>
    </w:p>
    <w:p w14:paraId="483B212C" w14:textId="77777777" w:rsidR="00B0605C" w:rsidRDefault="00B0605C" w:rsidP="005C27E9">
      <w:pPr>
        <w:widowControl w:val="0"/>
        <w:tabs>
          <w:tab w:val="right" w:pos="9360"/>
        </w:tabs>
      </w:pPr>
    </w:p>
    <w:p w14:paraId="491513B1" w14:textId="6EC64B14" w:rsidR="00031122" w:rsidRPr="00B0605C" w:rsidRDefault="00031122" w:rsidP="005C27E9">
      <w:pPr>
        <w:widowControl w:val="0"/>
        <w:tabs>
          <w:tab w:val="right" w:pos="9360"/>
        </w:tabs>
        <w:rPr>
          <w:b/>
        </w:rPr>
      </w:pPr>
      <w:r w:rsidRPr="00B0605C">
        <w:rPr>
          <w:b/>
        </w:rPr>
        <w:t>Your Job:</w:t>
      </w:r>
    </w:p>
    <w:p w14:paraId="77851A65" w14:textId="60C45729" w:rsidR="001342A1" w:rsidRDefault="001342A1" w:rsidP="001342A1">
      <w:pPr>
        <w:pStyle w:val="NormalWeb"/>
        <w:spacing w:before="0" w:beforeAutospacing="0" w:after="0" w:afterAutospacing="0"/>
        <w:rPr>
          <w:color w:val="0E101A"/>
        </w:rPr>
      </w:pPr>
      <w:r>
        <w:t xml:space="preserve">Your team must </w:t>
      </w:r>
      <w:r w:rsidR="005C27E9">
        <w:t xml:space="preserve">conduct quantitative and qualitative analysis that helps </w:t>
      </w:r>
      <w:proofErr w:type="spellStart"/>
      <w:r w:rsidR="005C27E9">
        <w:t>NicIso</w:t>
      </w:r>
      <w:proofErr w:type="spellEnd"/>
      <w:r w:rsidR="005C27E9">
        <w:t xml:space="preserve"> </w:t>
      </w:r>
      <w:r w:rsidR="00851468">
        <w:t xml:space="preserve">and the state of </w:t>
      </w:r>
      <w:proofErr w:type="spellStart"/>
      <w:r w:rsidR="00AC3028">
        <w:t>NicLand</w:t>
      </w:r>
      <w:proofErr w:type="spellEnd"/>
      <w:r w:rsidR="00851468">
        <w:t xml:space="preserve"> make decisions regarding their electricity future.  Both </w:t>
      </w:r>
      <w:proofErr w:type="spellStart"/>
      <w:r w:rsidR="00851468">
        <w:t>NicIso</w:t>
      </w:r>
      <w:proofErr w:type="spellEnd"/>
      <w:r w:rsidR="00851468">
        <w:t xml:space="preserve"> managers and state officials want to hear your recommendations about </w:t>
      </w:r>
      <w:r w:rsidR="00167662">
        <w:t xml:space="preserve">the design of the electricity market and the design of statewide energy </w:t>
      </w:r>
      <w:r w:rsidR="00F31934">
        <w:t>policy</w:t>
      </w:r>
      <w:r w:rsidR="005C27E9">
        <w:t xml:space="preserve">.  The next meeting is </w:t>
      </w:r>
      <w:r w:rsidR="0021006A">
        <w:t>in two weeks,</w:t>
      </w:r>
      <w:r w:rsidR="005C27E9">
        <w:t xml:space="preserve"> and they want </w:t>
      </w:r>
      <w:r w:rsidR="00167662">
        <w:t xml:space="preserve">you to present an assessment of the current situation and </w:t>
      </w:r>
      <w:r w:rsidR="0021006A">
        <w:rPr>
          <w:u w:val="single"/>
        </w:rPr>
        <w:t>an</w:t>
      </w:r>
      <w:r w:rsidR="00167662" w:rsidRPr="00972EEB">
        <w:rPr>
          <w:u w:val="single"/>
        </w:rPr>
        <w:t xml:space="preserve"> analysis</w:t>
      </w:r>
      <w:r w:rsidR="00167662">
        <w:t xml:space="preserve"> of different strategies that </w:t>
      </w:r>
      <w:proofErr w:type="spellStart"/>
      <w:r w:rsidR="00AC3028">
        <w:t>NicLand</w:t>
      </w:r>
      <w:proofErr w:type="spellEnd"/>
      <w:r w:rsidR="00167662">
        <w:t xml:space="preserve"> must pursue to enjoy a clean, </w:t>
      </w:r>
      <w:proofErr w:type="gramStart"/>
      <w:r w:rsidR="00167662">
        <w:t>affordable</w:t>
      </w:r>
      <w:proofErr w:type="gramEnd"/>
      <w:r w:rsidR="00167662">
        <w:t xml:space="preserve"> and reliable energy system, now and in the future</w:t>
      </w:r>
      <w:r w:rsidR="005C27E9">
        <w:t xml:space="preserve">. </w:t>
      </w:r>
      <w:r>
        <w:rPr>
          <w:color w:val="0E101A"/>
        </w:rPr>
        <w:t xml:space="preserve">Specifically, you must present a plan to reliability and economically achieve significant penetration of low-carbon emitting power generation resources and reduce CO2 emissions in </w:t>
      </w:r>
      <w:proofErr w:type="spellStart"/>
      <w:r w:rsidR="00AC3028">
        <w:rPr>
          <w:color w:val="0E101A"/>
        </w:rPr>
        <w:t>NicLand</w:t>
      </w:r>
      <w:proofErr w:type="spellEnd"/>
      <w:r>
        <w:rPr>
          <w:color w:val="0E101A"/>
        </w:rPr>
        <w:t xml:space="preserve">.  The plan may specify the mix of supply and demand-side alternatives that would reduce </w:t>
      </w:r>
      <w:proofErr w:type="spellStart"/>
      <w:r>
        <w:rPr>
          <w:color w:val="0E101A"/>
        </w:rPr>
        <w:t>NicIso’s</w:t>
      </w:r>
      <w:proofErr w:type="spellEnd"/>
      <w:r>
        <w:rPr>
          <w:color w:val="0E101A"/>
        </w:rPr>
        <w:t xml:space="preserve"> CO2 emissions by 95% by 2040. Of course, this requires estimating today’s emissions and estimating carbon emissions under a BAU scenario.  It also requires demonstrating that such a mix of resources and programs will not jeopardize </w:t>
      </w:r>
      <w:proofErr w:type="spellStart"/>
      <w:r>
        <w:rPr>
          <w:color w:val="0E101A"/>
        </w:rPr>
        <w:t>NicIso’s</w:t>
      </w:r>
      <w:proofErr w:type="spellEnd"/>
      <w:r>
        <w:rPr>
          <w:color w:val="0E101A"/>
        </w:rPr>
        <w:t xml:space="preserve"> reliability. Since </w:t>
      </w:r>
      <w:proofErr w:type="spellStart"/>
      <w:r>
        <w:rPr>
          <w:color w:val="0E101A"/>
        </w:rPr>
        <w:t>NicIso</w:t>
      </w:r>
      <w:proofErr w:type="spellEnd"/>
      <w:r>
        <w:rPr>
          <w:color w:val="0E101A"/>
        </w:rPr>
        <w:t xml:space="preserve"> is only an RTO/ISO and does not own any physical resources, you also need to determine what kind of policies would be required to incentivize the necessary investment in new infrastructure as well as compulsory retirements. </w:t>
      </w:r>
    </w:p>
    <w:p w14:paraId="7A3A5631" w14:textId="2D1A6D42" w:rsidR="001342A1" w:rsidRDefault="001342A1" w:rsidP="001342A1">
      <w:pPr>
        <w:pStyle w:val="NormalWeb"/>
        <w:spacing w:before="0" w:beforeAutospacing="0" w:after="0" w:afterAutospacing="0"/>
        <w:rPr>
          <w:color w:val="0E101A"/>
        </w:rPr>
      </w:pPr>
    </w:p>
    <w:p w14:paraId="2C5D8AEB" w14:textId="2B09843F" w:rsidR="00B62FCE" w:rsidRDefault="0021006A" w:rsidP="00E81B20">
      <w:pPr>
        <w:widowControl w:val="0"/>
        <w:tabs>
          <w:tab w:val="right" w:pos="9360"/>
        </w:tabs>
      </w:pPr>
      <w:r>
        <w:t xml:space="preserve">You must present a report </w:t>
      </w:r>
      <w:r w:rsidR="00B65A00">
        <w:t xml:space="preserve">of </w:t>
      </w:r>
      <w:r>
        <w:t>no more than 8,</w:t>
      </w:r>
      <w:r w:rsidR="006A6B23">
        <w:t>6</w:t>
      </w:r>
      <w:r>
        <w:t xml:space="preserve">00 words (where each table and figure </w:t>
      </w:r>
      <w:r w:rsidR="006A6B23">
        <w:t>count</w:t>
      </w:r>
      <w:r>
        <w:t xml:space="preserve"> as 300 words). </w:t>
      </w:r>
      <w:r w:rsidR="00CB26D7">
        <w:t>You</w:t>
      </w:r>
      <w:r w:rsidR="003415BA">
        <w:t xml:space="preserve"> may </w:t>
      </w:r>
      <w:r w:rsidR="006A6B23">
        <w:t>include</w:t>
      </w:r>
      <w:r w:rsidR="003415BA">
        <w:t xml:space="preserve"> attachments with supplementary information</w:t>
      </w:r>
      <w:r w:rsidR="00B65A00">
        <w:t xml:space="preserve"> (and you can cite them in the main body of your document)</w:t>
      </w:r>
      <w:r w:rsidR="003415BA">
        <w:t>, but your boss and other busy people may not read them, so your report s</w:t>
      </w:r>
      <w:r w:rsidR="00A4747A">
        <w:t>hould be a standalone document</w:t>
      </w:r>
      <w:r w:rsidR="003415BA">
        <w:t>)</w:t>
      </w:r>
      <w:r w:rsidR="00B10E7F">
        <w:rPr>
          <w:rStyle w:val="FootnoteReference"/>
        </w:rPr>
        <w:footnoteReference w:id="4"/>
      </w:r>
      <w:r w:rsidR="005D3D77" w:rsidRPr="005D3D77">
        <w:t xml:space="preserve">.  </w:t>
      </w:r>
      <w:r w:rsidR="005775E9">
        <w:t xml:space="preserve">You are glad you </w:t>
      </w:r>
      <w:r w:rsidR="003415BA">
        <w:t xml:space="preserve">have </w:t>
      </w:r>
      <w:r w:rsidR="00167662">
        <w:t>a solid education</w:t>
      </w:r>
      <w:r w:rsidR="005D3D77" w:rsidRPr="005D3D77">
        <w:t xml:space="preserve"> and </w:t>
      </w:r>
      <w:r w:rsidR="005775E9">
        <w:t>a pretty good</w:t>
      </w:r>
      <w:r w:rsidR="005D3D77">
        <w:t xml:space="preserve"> understand</w:t>
      </w:r>
      <w:r w:rsidR="005775E9">
        <w:t>ing of</w:t>
      </w:r>
      <w:r w:rsidR="005D3D77">
        <w:t xml:space="preserve"> how power systems</w:t>
      </w:r>
      <w:r w:rsidR="003415BA">
        <w:t xml:space="preserve"> and markets </w:t>
      </w:r>
      <w:r w:rsidR="005D3D77">
        <w:t>operate</w:t>
      </w:r>
      <w:r w:rsidR="005D3D77" w:rsidRPr="005D3D77">
        <w:t xml:space="preserve">.  </w:t>
      </w:r>
    </w:p>
    <w:p w14:paraId="6F6CDC7D" w14:textId="3E538FB6" w:rsidR="001342A1" w:rsidRDefault="001342A1" w:rsidP="00E81B20">
      <w:pPr>
        <w:widowControl w:val="0"/>
        <w:tabs>
          <w:tab w:val="right" w:pos="9360"/>
        </w:tabs>
      </w:pPr>
    </w:p>
    <w:p w14:paraId="667FE764" w14:textId="02BFF2E6" w:rsidR="006A6B23" w:rsidRDefault="001A7D3D" w:rsidP="00E81B20">
      <w:pPr>
        <w:widowControl w:val="0"/>
        <w:tabs>
          <w:tab w:val="right" w:pos="9360"/>
        </w:tabs>
      </w:pPr>
      <w:r>
        <w:t>As a first step in your analysis please</w:t>
      </w:r>
      <w:r w:rsidR="006A6B23">
        <w:t xml:space="preserve"> include in your report Table 7 and Table 8 described below (each one counts as 300 words for a total of 600 words)</w:t>
      </w:r>
      <w:r>
        <w:t xml:space="preserve">. For these preliminary calculations you may </w:t>
      </w:r>
      <w:r w:rsidR="004316B3">
        <w:t xml:space="preserve">only consider the information provided so far up to this page. You can </w:t>
      </w:r>
      <w:r>
        <w:t xml:space="preserve">ignore ramp rates, and min up and down times constraints of the generators, </w:t>
      </w:r>
      <w:proofErr w:type="gramStart"/>
      <w:r w:rsidR="004316B3">
        <w:t>and also</w:t>
      </w:r>
      <w:proofErr w:type="gramEnd"/>
      <w:r w:rsidR="004316B3">
        <w:t xml:space="preserve"> ignore variable renewable resources</w:t>
      </w:r>
      <w:r>
        <w:t>.</w:t>
      </w:r>
    </w:p>
    <w:p w14:paraId="22A73E0E" w14:textId="77777777" w:rsidR="006A6B23" w:rsidRPr="00E81B20" w:rsidRDefault="006A6B23" w:rsidP="00E81B20">
      <w:pPr>
        <w:widowControl w:val="0"/>
        <w:tabs>
          <w:tab w:val="right" w:pos="9360"/>
        </w:tabs>
      </w:pPr>
    </w:p>
    <w:p w14:paraId="18538DC7" w14:textId="5F3B7250" w:rsidR="00FB5FCE" w:rsidRDefault="00FB5FCE" w:rsidP="002C39FB">
      <w:pPr>
        <w:keepNext/>
        <w:keepLines/>
        <w:tabs>
          <w:tab w:val="right" w:pos="9360"/>
        </w:tabs>
        <w:rPr>
          <w:sz w:val="22"/>
        </w:rPr>
      </w:pPr>
      <w:r w:rsidRPr="00FB5FCE">
        <w:rPr>
          <w:sz w:val="22"/>
        </w:rPr>
        <w:lastRenderedPageBreak/>
        <w:t xml:space="preserve">Table </w:t>
      </w:r>
      <w:r w:rsidR="00500768">
        <w:rPr>
          <w:sz w:val="22"/>
        </w:rPr>
        <w:t>7</w:t>
      </w:r>
      <w:r w:rsidRPr="00FB5FCE">
        <w:rPr>
          <w:sz w:val="22"/>
        </w:rPr>
        <w:t xml:space="preserve">. </w:t>
      </w:r>
      <w:proofErr w:type="spellStart"/>
      <w:r w:rsidRPr="00FB5FCE">
        <w:rPr>
          <w:sz w:val="22"/>
        </w:rPr>
        <w:t>NicIso</w:t>
      </w:r>
      <w:proofErr w:type="spellEnd"/>
      <w:r w:rsidR="00A4747A">
        <w:rPr>
          <w:sz w:val="22"/>
        </w:rPr>
        <w:t xml:space="preserve"> Operation </w:t>
      </w:r>
      <w:r w:rsidR="00B0605C">
        <w:rPr>
          <w:sz w:val="22"/>
        </w:rPr>
        <w:t xml:space="preserve">outcomes </w:t>
      </w:r>
      <w:r w:rsidR="00A4747A">
        <w:rPr>
          <w:sz w:val="22"/>
        </w:rPr>
        <w:t>in 20</w:t>
      </w:r>
      <w:r w:rsidR="0000720A">
        <w:rPr>
          <w:sz w:val="22"/>
        </w:rPr>
        <w:t>2</w:t>
      </w:r>
      <w:r w:rsidR="00972EEB">
        <w:rPr>
          <w:sz w:val="22"/>
        </w:rPr>
        <w:t>2</w:t>
      </w:r>
      <w:r w:rsidR="00F9499E">
        <w:rPr>
          <w:sz w:val="22"/>
        </w:rPr>
        <w:t xml:space="preserve"> for 8 </w:t>
      </w:r>
      <w:r w:rsidR="00A034C2">
        <w:rPr>
          <w:sz w:val="22"/>
        </w:rPr>
        <w:t xml:space="preserve">projected </w:t>
      </w:r>
      <w:r w:rsidR="00F9499E" w:rsidRPr="00F9499E">
        <w:rPr>
          <w:b/>
          <w:sz w:val="22"/>
        </w:rPr>
        <w:t>typical load levels</w:t>
      </w:r>
      <w:r w:rsidR="00F9499E">
        <w:rPr>
          <w:sz w:val="22"/>
        </w:rPr>
        <w:t xml:space="preserve">. These results are calculated ignoring intertemporal constraints and hence do not account for </w:t>
      </w:r>
      <w:r w:rsidR="00A034C2">
        <w:rPr>
          <w:sz w:val="22"/>
        </w:rPr>
        <w:t xml:space="preserve">minimum generation limits, </w:t>
      </w:r>
      <w:r w:rsidR="00F9499E">
        <w:rPr>
          <w:sz w:val="22"/>
        </w:rPr>
        <w:t>ramping limits</w:t>
      </w:r>
      <w:r w:rsidR="00A034C2">
        <w:rPr>
          <w:sz w:val="22"/>
        </w:rPr>
        <w:t>,</w:t>
      </w:r>
      <w:r w:rsidR="00F9499E">
        <w:rPr>
          <w:sz w:val="22"/>
        </w:rPr>
        <w:t xml:space="preserve"> or minimum up or down times for the generators.</w:t>
      </w:r>
      <w:r w:rsidR="00B0605C">
        <w:rPr>
          <w:sz w:val="22"/>
        </w:rPr>
        <w:t xml:space="preserve"> </w:t>
      </w:r>
      <w:r w:rsidR="00F9499E">
        <w:rPr>
          <w:sz w:val="22"/>
        </w:rPr>
        <w:t xml:space="preserve">The typical load levels are the </w:t>
      </w:r>
      <w:r w:rsidR="00A034C2">
        <w:rPr>
          <w:sz w:val="22"/>
        </w:rPr>
        <w:t xml:space="preserve">projected </w:t>
      </w:r>
      <w:r w:rsidR="00F9499E">
        <w:rPr>
          <w:sz w:val="22"/>
        </w:rPr>
        <w:t xml:space="preserve">average load for </w:t>
      </w:r>
      <w:proofErr w:type="gramStart"/>
      <w:r w:rsidR="00F9499E">
        <w:rPr>
          <w:sz w:val="22"/>
        </w:rPr>
        <w:t>on-peak</w:t>
      </w:r>
      <w:proofErr w:type="gramEnd"/>
      <w:r w:rsidR="00F9499E">
        <w:rPr>
          <w:sz w:val="22"/>
        </w:rPr>
        <w:t xml:space="preserve"> and off-peak hours for each season.</w:t>
      </w:r>
    </w:p>
    <w:p w14:paraId="7E05A766" w14:textId="5B5BAF37" w:rsidR="00F9499E" w:rsidRDefault="00F9499E" w:rsidP="002C39FB">
      <w:pPr>
        <w:keepNext/>
        <w:keepLines/>
        <w:tabs>
          <w:tab w:val="right" w:pos="9360"/>
        </w:tabs>
        <w:rPr>
          <w:sz w:val="22"/>
        </w:rPr>
      </w:pPr>
    </w:p>
    <w:tbl>
      <w:tblPr>
        <w:tblW w:w="13855" w:type="dxa"/>
        <w:tblLook w:val="04A0" w:firstRow="1" w:lastRow="0" w:firstColumn="1" w:lastColumn="0" w:noHBand="0" w:noVBand="1"/>
      </w:tblPr>
      <w:tblGrid>
        <w:gridCol w:w="417"/>
        <w:gridCol w:w="580"/>
        <w:gridCol w:w="575"/>
        <w:gridCol w:w="532"/>
        <w:gridCol w:w="425"/>
        <w:gridCol w:w="425"/>
        <w:gridCol w:w="425"/>
        <w:gridCol w:w="425"/>
        <w:gridCol w:w="424"/>
        <w:gridCol w:w="424"/>
        <w:gridCol w:w="424"/>
        <w:gridCol w:w="424"/>
        <w:gridCol w:w="531"/>
        <w:gridCol w:w="424"/>
        <w:gridCol w:w="424"/>
        <w:gridCol w:w="424"/>
        <w:gridCol w:w="424"/>
        <w:gridCol w:w="424"/>
        <w:gridCol w:w="424"/>
        <w:gridCol w:w="531"/>
        <w:gridCol w:w="424"/>
        <w:gridCol w:w="424"/>
        <w:gridCol w:w="424"/>
        <w:gridCol w:w="424"/>
        <w:gridCol w:w="424"/>
        <w:gridCol w:w="424"/>
        <w:gridCol w:w="483"/>
        <w:gridCol w:w="483"/>
        <w:gridCol w:w="483"/>
        <w:gridCol w:w="378"/>
        <w:gridCol w:w="378"/>
      </w:tblGrid>
      <w:tr w:rsidR="00500768" w:rsidRPr="00500768" w14:paraId="76F6099A" w14:textId="77777777" w:rsidTr="00B5388C">
        <w:trPr>
          <w:trHeight w:val="330"/>
        </w:trPr>
        <w:tc>
          <w:tcPr>
            <w:tcW w:w="415" w:type="dxa"/>
            <w:tcBorders>
              <w:top w:val="nil"/>
              <w:left w:val="nil"/>
              <w:bottom w:val="nil"/>
              <w:right w:val="nil"/>
            </w:tcBorders>
            <w:shd w:val="clear" w:color="auto" w:fill="auto"/>
            <w:noWrap/>
            <w:vAlign w:val="bottom"/>
            <w:hideMark/>
          </w:tcPr>
          <w:p w14:paraId="41F131CE" w14:textId="77777777" w:rsidR="00500768" w:rsidRPr="00500768" w:rsidRDefault="00500768" w:rsidP="00500768">
            <w:pPr>
              <w:rPr>
                <w:sz w:val="20"/>
                <w:szCs w:val="20"/>
              </w:rPr>
            </w:pPr>
          </w:p>
        </w:tc>
        <w:tc>
          <w:tcPr>
            <w:tcW w:w="654" w:type="dxa"/>
            <w:tcBorders>
              <w:top w:val="nil"/>
              <w:left w:val="nil"/>
              <w:bottom w:val="nil"/>
              <w:right w:val="nil"/>
            </w:tcBorders>
            <w:shd w:val="clear" w:color="auto" w:fill="auto"/>
            <w:noWrap/>
            <w:vAlign w:val="bottom"/>
            <w:hideMark/>
          </w:tcPr>
          <w:p w14:paraId="5D10726B" w14:textId="77777777" w:rsidR="00500768" w:rsidRPr="00500768" w:rsidRDefault="00500768" w:rsidP="00500768">
            <w:pPr>
              <w:rPr>
                <w:sz w:val="20"/>
                <w:szCs w:val="20"/>
              </w:rPr>
            </w:pPr>
          </w:p>
        </w:tc>
        <w:tc>
          <w:tcPr>
            <w:tcW w:w="571" w:type="dxa"/>
            <w:tcBorders>
              <w:top w:val="nil"/>
              <w:left w:val="nil"/>
              <w:bottom w:val="nil"/>
              <w:right w:val="nil"/>
            </w:tcBorders>
            <w:shd w:val="clear" w:color="auto" w:fill="auto"/>
            <w:noWrap/>
            <w:vAlign w:val="bottom"/>
            <w:hideMark/>
          </w:tcPr>
          <w:p w14:paraId="5B0250C1" w14:textId="77777777" w:rsidR="00500768" w:rsidRPr="00500768" w:rsidRDefault="00500768" w:rsidP="00500768">
            <w:pPr>
              <w:rPr>
                <w:sz w:val="20"/>
                <w:szCs w:val="20"/>
              </w:rPr>
            </w:pPr>
          </w:p>
        </w:tc>
        <w:tc>
          <w:tcPr>
            <w:tcW w:w="390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0ECCF"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Bus1</w:t>
            </w:r>
          </w:p>
        </w:tc>
        <w:tc>
          <w:tcPr>
            <w:tcW w:w="3059" w:type="dxa"/>
            <w:gridSpan w:val="7"/>
            <w:tcBorders>
              <w:top w:val="single" w:sz="4" w:space="0" w:color="auto"/>
              <w:left w:val="nil"/>
              <w:bottom w:val="single" w:sz="4" w:space="0" w:color="auto"/>
              <w:right w:val="single" w:sz="4" w:space="0" w:color="auto"/>
            </w:tcBorders>
            <w:shd w:val="clear" w:color="auto" w:fill="auto"/>
            <w:noWrap/>
            <w:vAlign w:val="bottom"/>
            <w:hideMark/>
          </w:tcPr>
          <w:p w14:paraId="09E97BDF"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Bus2</w:t>
            </w:r>
          </w:p>
        </w:tc>
        <w:tc>
          <w:tcPr>
            <w:tcW w:w="3059" w:type="dxa"/>
            <w:gridSpan w:val="7"/>
            <w:tcBorders>
              <w:top w:val="single" w:sz="4" w:space="0" w:color="auto"/>
              <w:left w:val="nil"/>
              <w:bottom w:val="single" w:sz="4" w:space="0" w:color="auto"/>
              <w:right w:val="single" w:sz="4" w:space="0" w:color="auto"/>
            </w:tcBorders>
            <w:shd w:val="clear" w:color="auto" w:fill="auto"/>
            <w:noWrap/>
            <w:vAlign w:val="bottom"/>
            <w:hideMark/>
          </w:tcPr>
          <w:p w14:paraId="5D41D61B"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Bus3</w:t>
            </w:r>
          </w:p>
        </w:tc>
        <w:tc>
          <w:tcPr>
            <w:tcW w:w="14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1BFAE34"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Power Flow (MW)</w:t>
            </w:r>
          </w:p>
        </w:tc>
        <w:tc>
          <w:tcPr>
            <w:tcW w:w="75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18ADABA"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Generators Profits ($/MWh)</w:t>
            </w:r>
          </w:p>
        </w:tc>
      </w:tr>
      <w:tr w:rsidR="00500768" w:rsidRPr="00500768" w14:paraId="495EE58B" w14:textId="77777777" w:rsidTr="00B5388C">
        <w:trPr>
          <w:trHeight w:val="300"/>
        </w:trPr>
        <w:tc>
          <w:tcPr>
            <w:tcW w:w="415" w:type="dxa"/>
            <w:tcBorders>
              <w:top w:val="nil"/>
              <w:left w:val="nil"/>
              <w:bottom w:val="nil"/>
              <w:right w:val="nil"/>
            </w:tcBorders>
            <w:shd w:val="clear" w:color="auto" w:fill="auto"/>
            <w:noWrap/>
            <w:vAlign w:val="bottom"/>
            <w:hideMark/>
          </w:tcPr>
          <w:p w14:paraId="57DB58D9" w14:textId="77777777" w:rsidR="00500768" w:rsidRPr="00500768" w:rsidRDefault="00500768" w:rsidP="00500768">
            <w:pPr>
              <w:jc w:val="center"/>
              <w:rPr>
                <w:rFonts w:ascii="Arial Narrow" w:hAnsi="Arial Narrow" w:cs="Tahoma"/>
                <w:color w:val="000000"/>
                <w:sz w:val="16"/>
                <w:szCs w:val="16"/>
              </w:rPr>
            </w:pPr>
          </w:p>
        </w:tc>
        <w:tc>
          <w:tcPr>
            <w:tcW w:w="122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EC5912"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Load (MW)</w:t>
            </w:r>
          </w:p>
        </w:tc>
        <w:tc>
          <w:tcPr>
            <w:tcW w:w="528" w:type="dxa"/>
            <w:vMerge w:val="restart"/>
            <w:tcBorders>
              <w:top w:val="nil"/>
              <w:left w:val="single" w:sz="4" w:space="0" w:color="auto"/>
              <w:bottom w:val="single" w:sz="4" w:space="0" w:color="auto"/>
              <w:right w:val="single" w:sz="4" w:space="0" w:color="auto"/>
            </w:tcBorders>
            <w:shd w:val="clear" w:color="auto" w:fill="auto"/>
            <w:vAlign w:val="center"/>
            <w:hideMark/>
          </w:tcPr>
          <w:p w14:paraId="4A21D204"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3377" w:type="dxa"/>
            <w:gridSpan w:val="8"/>
            <w:tcBorders>
              <w:top w:val="single" w:sz="4" w:space="0" w:color="auto"/>
              <w:left w:val="nil"/>
              <w:bottom w:val="single" w:sz="4" w:space="0" w:color="auto"/>
              <w:right w:val="single" w:sz="4" w:space="0" w:color="auto"/>
            </w:tcBorders>
            <w:shd w:val="clear" w:color="auto" w:fill="auto"/>
            <w:noWrap/>
            <w:vAlign w:val="bottom"/>
            <w:hideMark/>
          </w:tcPr>
          <w:p w14:paraId="0E82D26D"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hideMark/>
          </w:tcPr>
          <w:p w14:paraId="4BCF5373"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2532" w:type="dxa"/>
            <w:gridSpan w:val="6"/>
            <w:tcBorders>
              <w:top w:val="single" w:sz="4" w:space="0" w:color="auto"/>
              <w:left w:val="nil"/>
              <w:bottom w:val="single" w:sz="4" w:space="0" w:color="auto"/>
              <w:right w:val="single" w:sz="4" w:space="0" w:color="auto"/>
            </w:tcBorders>
            <w:shd w:val="clear" w:color="auto" w:fill="auto"/>
            <w:noWrap/>
            <w:vAlign w:val="bottom"/>
            <w:hideMark/>
          </w:tcPr>
          <w:p w14:paraId="6BC130ED"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hideMark/>
          </w:tcPr>
          <w:p w14:paraId="6D7EDF3E"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2532" w:type="dxa"/>
            <w:gridSpan w:val="6"/>
            <w:tcBorders>
              <w:top w:val="single" w:sz="4" w:space="0" w:color="auto"/>
              <w:left w:val="nil"/>
              <w:bottom w:val="single" w:sz="4" w:space="0" w:color="auto"/>
              <w:right w:val="single" w:sz="4" w:space="0" w:color="auto"/>
            </w:tcBorders>
            <w:shd w:val="clear" w:color="auto" w:fill="auto"/>
            <w:noWrap/>
            <w:vAlign w:val="bottom"/>
            <w:hideMark/>
          </w:tcPr>
          <w:p w14:paraId="37474423"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4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0DBADF"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Line1-2</w:t>
            </w:r>
          </w:p>
        </w:tc>
        <w:tc>
          <w:tcPr>
            <w:tcW w:w="4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DC6D3C7"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Line1-3</w:t>
            </w:r>
          </w:p>
        </w:tc>
        <w:tc>
          <w:tcPr>
            <w:tcW w:w="4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FB7602C"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Line2-3</w:t>
            </w:r>
          </w:p>
        </w:tc>
        <w:tc>
          <w:tcPr>
            <w:tcW w:w="752" w:type="dxa"/>
            <w:gridSpan w:val="2"/>
            <w:vMerge/>
            <w:tcBorders>
              <w:top w:val="nil"/>
              <w:left w:val="single" w:sz="4" w:space="0" w:color="auto"/>
              <w:bottom w:val="single" w:sz="4" w:space="0" w:color="auto"/>
              <w:right w:val="single" w:sz="4" w:space="0" w:color="auto"/>
            </w:tcBorders>
            <w:vAlign w:val="center"/>
            <w:hideMark/>
          </w:tcPr>
          <w:p w14:paraId="28F13A86" w14:textId="77777777" w:rsidR="00500768" w:rsidRPr="00500768" w:rsidRDefault="00500768" w:rsidP="00500768">
            <w:pPr>
              <w:rPr>
                <w:rFonts w:ascii="Arial Narrow" w:hAnsi="Arial Narrow" w:cs="Tahoma"/>
                <w:color w:val="000000"/>
                <w:sz w:val="16"/>
                <w:szCs w:val="16"/>
              </w:rPr>
            </w:pPr>
          </w:p>
        </w:tc>
      </w:tr>
      <w:tr w:rsidR="00500768" w:rsidRPr="00500768" w14:paraId="103607E0" w14:textId="77777777" w:rsidTr="00B5388C">
        <w:trPr>
          <w:trHeight w:val="530"/>
        </w:trPr>
        <w:tc>
          <w:tcPr>
            <w:tcW w:w="4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8EE8B" w14:textId="77777777" w:rsidR="00500768" w:rsidRPr="00500768" w:rsidRDefault="00500768" w:rsidP="00500768">
            <w:pPr>
              <w:rPr>
                <w:rFonts w:ascii="Arial" w:hAnsi="Arial" w:cs="Arial"/>
                <w:color w:val="000000"/>
                <w:sz w:val="12"/>
                <w:szCs w:val="12"/>
              </w:rPr>
            </w:pPr>
            <w:r w:rsidRPr="00500768">
              <w:rPr>
                <w:rFonts w:ascii="Arial" w:hAnsi="Arial" w:cs="Arial"/>
                <w:color w:val="000000"/>
                <w:sz w:val="12"/>
                <w:szCs w:val="12"/>
              </w:rPr>
              <w:t>Hour type</w:t>
            </w:r>
          </w:p>
        </w:tc>
        <w:tc>
          <w:tcPr>
            <w:tcW w:w="654" w:type="dxa"/>
            <w:tcBorders>
              <w:top w:val="nil"/>
              <w:left w:val="nil"/>
              <w:bottom w:val="single" w:sz="4" w:space="0" w:color="auto"/>
              <w:right w:val="single" w:sz="4" w:space="0" w:color="auto"/>
            </w:tcBorders>
            <w:shd w:val="clear" w:color="auto" w:fill="auto"/>
            <w:noWrap/>
            <w:vAlign w:val="bottom"/>
            <w:hideMark/>
          </w:tcPr>
          <w:p w14:paraId="7E043DA8"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Season</w:t>
            </w:r>
          </w:p>
        </w:tc>
        <w:tc>
          <w:tcPr>
            <w:tcW w:w="571" w:type="dxa"/>
            <w:tcBorders>
              <w:top w:val="nil"/>
              <w:left w:val="nil"/>
              <w:bottom w:val="single" w:sz="4" w:space="0" w:color="auto"/>
              <w:right w:val="nil"/>
            </w:tcBorders>
            <w:shd w:val="clear" w:color="auto" w:fill="auto"/>
            <w:vAlign w:val="center"/>
            <w:hideMark/>
          </w:tcPr>
          <w:p w14:paraId="03BE5D35"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Average</w:t>
            </w:r>
          </w:p>
        </w:tc>
        <w:tc>
          <w:tcPr>
            <w:tcW w:w="528" w:type="dxa"/>
            <w:vMerge/>
            <w:tcBorders>
              <w:top w:val="nil"/>
              <w:left w:val="single" w:sz="4" w:space="0" w:color="auto"/>
              <w:bottom w:val="single" w:sz="4" w:space="0" w:color="auto"/>
              <w:right w:val="single" w:sz="4" w:space="0" w:color="auto"/>
            </w:tcBorders>
            <w:vAlign w:val="center"/>
            <w:hideMark/>
          </w:tcPr>
          <w:p w14:paraId="390A6171" w14:textId="77777777" w:rsidR="00500768" w:rsidRPr="00500768" w:rsidRDefault="00500768" w:rsidP="00500768">
            <w:pPr>
              <w:rPr>
                <w:rFonts w:ascii="Arial Narrow" w:hAnsi="Arial Narrow" w:cs="Tahoma"/>
                <w:color w:val="000000"/>
                <w:sz w:val="16"/>
                <w:szCs w:val="16"/>
              </w:rPr>
            </w:pPr>
          </w:p>
        </w:tc>
        <w:tc>
          <w:tcPr>
            <w:tcW w:w="423" w:type="dxa"/>
            <w:tcBorders>
              <w:top w:val="nil"/>
              <w:left w:val="nil"/>
              <w:bottom w:val="single" w:sz="4" w:space="0" w:color="auto"/>
              <w:right w:val="single" w:sz="4" w:space="0" w:color="auto"/>
            </w:tcBorders>
            <w:shd w:val="clear" w:color="auto" w:fill="auto"/>
            <w:noWrap/>
            <w:vAlign w:val="center"/>
            <w:hideMark/>
          </w:tcPr>
          <w:p w14:paraId="5E4905D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G1.1</w:t>
            </w:r>
          </w:p>
        </w:tc>
        <w:tc>
          <w:tcPr>
            <w:tcW w:w="422" w:type="dxa"/>
            <w:tcBorders>
              <w:top w:val="nil"/>
              <w:left w:val="nil"/>
              <w:bottom w:val="single" w:sz="4" w:space="0" w:color="auto"/>
              <w:right w:val="single" w:sz="4" w:space="0" w:color="auto"/>
            </w:tcBorders>
            <w:shd w:val="clear" w:color="auto" w:fill="auto"/>
            <w:noWrap/>
            <w:vAlign w:val="center"/>
            <w:hideMark/>
          </w:tcPr>
          <w:p w14:paraId="3270EDA1"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G1.2</w:t>
            </w:r>
          </w:p>
        </w:tc>
        <w:tc>
          <w:tcPr>
            <w:tcW w:w="422" w:type="dxa"/>
            <w:tcBorders>
              <w:top w:val="nil"/>
              <w:left w:val="nil"/>
              <w:bottom w:val="single" w:sz="4" w:space="0" w:color="auto"/>
              <w:right w:val="single" w:sz="4" w:space="0" w:color="auto"/>
            </w:tcBorders>
            <w:shd w:val="clear" w:color="auto" w:fill="auto"/>
            <w:vAlign w:val="center"/>
            <w:hideMark/>
          </w:tcPr>
          <w:p w14:paraId="3159170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G1.3</w:t>
            </w:r>
          </w:p>
        </w:tc>
        <w:tc>
          <w:tcPr>
            <w:tcW w:w="422" w:type="dxa"/>
            <w:tcBorders>
              <w:top w:val="nil"/>
              <w:left w:val="nil"/>
              <w:bottom w:val="single" w:sz="4" w:space="0" w:color="auto"/>
              <w:right w:val="single" w:sz="4" w:space="0" w:color="auto"/>
            </w:tcBorders>
            <w:shd w:val="clear" w:color="auto" w:fill="auto"/>
            <w:vAlign w:val="center"/>
            <w:hideMark/>
          </w:tcPr>
          <w:p w14:paraId="41D428DA"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G1.4</w:t>
            </w:r>
          </w:p>
        </w:tc>
        <w:tc>
          <w:tcPr>
            <w:tcW w:w="422" w:type="dxa"/>
            <w:tcBorders>
              <w:top w:val="nil"/>
              <w:left w:val="nil"/>
              <w:bottom w:val="single" w:sz="4" w:space="0" w:color="auto"/>
              <w:right w:val="single" w:sz="4" w:space="0" w:color="auto"/>
            </w:tcBorders>
            <w:shd w:val="clear" w:color="auto" w:fill="auto"/>
            <w:noWrap/>
            <w:vAlign w:val="center"/>
            <w:hideMark/>
          </w:tcPr>
          <w:p w14:paraId="03300279"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G1.5</w:t>
            </w:r>
          </w:p>
        </w:tc>
        <w:tc>
          <w:tcPr>
            <w:tcW w:w="422" w:type="dxa"/>
            <w:tcBorders>
              <w:top w:val="nil"/>
              <w:left w:val="nil"/>
              <w:bottom w:val="single" w:sz="4" w:space="0" w:color="auto"/>
              <w:right w:val="single" w:sz="4" w:space="0" w:color="auto"/>
            </w:tcBorders>
            <w:shd w:val="clear" w:color="auto" w:fill="auto"/>
            <w:noWrap/>
            <w:vAlign w:val="center"/>
            <w:hideMark/>
          </w:tcPr>
          <w:p w14:paraId="63DB962D"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G1.6</w:t>
            </w:r>
          </w:p>
        </w:tc>
        <w:tc>
          <w:tcPr>
            <w:tcW w:w="422" w:type="dxa"/>
            <w:tcBorders>
              <w:top w:val="nil"/>
              <w:left w:val="nil"/>
              <w:bottom w:val="single" w:sz="4" w:space="0" w:color="auto"/>
              <w:right w:val="single" w:sz="4" w:space="0" w:color="auto"/>
            </w:tcBorders>
            <w:shd w:val="clear" w:color="auto" w:fill="auto"/>
            <w:vAlign w:val="center"/>
            <w:hideMark/>
          </w:tcPr>
          <w:p w14:paraId="7A1D1B5B"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G1.7</w:t>
            </w:r>
          </w:p>
        </w:tc>
        <w:tc>
          <w:tcPr>
            <w:tcW w:w="422" w:type="dxa"/>
            <w:tcBorders>
              <w:top w:val="nil"/>
              <w:left w:val="nil"/>
              <w:bottom w:val="single" w:sz="4" w:space="0" w:color="auto"/>
              <w:right w:val="single" w:sz="4" w:space="0" w:color="auto"/>
            </w:tcBorders>
            <w:shd w:val="clear" w:color="auto" w:fill="auto"/>
            <w:vAlign w:val="center"/>
            <w:hideMark/>
          </w:tcPr>
          <w:p w14:paraId="49AF6F3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G1.8</w:t>
            </w:r>
          </w:p>
        </w:tc>
        <w:tc>
          <w:tcPr>
            <w:tcW w:w="527" w:type="dxa"/>
            <w:vMerge/>
            <w:tcBorders>
              <w:top w:val="nil"/>
              <w:left w:val="single" w:sz="4" w:space="0" w:color="auto"/>
              <w:bottom w:val="single" w:sz="4" w:space="0" w:color="auto"/>
              <w:right w:val="single" w:sz="4" w:space="0" w:color="auto"/>
            </w:tcBorders>
            <w:vAlign w:val="center"/>
            <w:hideMark/>
          </w:tcPr>
          <w:p w14:paraId="6A496B76" w14:textId="77777777" w:rsidR="00500768" w:rsidRPr="00500768" w:rsidRDefault="00500768" w:rsidP="00500768">
            <w:pPr>
              <w:rPr>
                <w:rFonts w:ascii="Arial Narrow" w:hAnsi="Arial Narrow" w:cs="Tahoma"/>
                <w:color w:val="000000"/>
                <w:sz w:val="16"/>
                <w:szCs w:val="16"/>
              </w:rPr>
            </w:pPr>
          </w:p>
        </w:tc>
        <w:tc>
          <w:tcPr>
            <w:tcW w:w="422" w:type="dxa"/>
            <w:tcBorders>
              <w:top w:val="nil"/>
              <w:left w:val="nil"/>
              <w:bottom w:val="single" w:sz="4" w:space="0" w:color="auto"/>
              <w:right w:val="single" w:sz="4" w:space="0" w:color="auto"/>
            </w:tcBorders>
            <w:shd w:val="clear" w:color="auto" w:fill="auto"/>
            <w:noWrap/>
            <w:vAlign w:val="center"/>
            <w:hideMark/>
          </w:tcPr>
          <w:p w14:paraId="1DAC84B5"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G2.1</w:t>
            </w:r>
          </w:p>
        </w:tc>
        <w:tc>
          <w:tcPr>
            <w:tcW w:w="422" w:type="dxa"/>
            <w:tcBorders>
              <w:top w:val="nil"/>
              <w:left w:val="nil"/>
              <w:bottom w:val="single" w:sz="4" w:space="0" w:color="auto"/>
              <w:right w:val="single" w:sz="4" w:space="0" w:color="auto"/>
            </w:tcBorders>
            <w:shd w:val="clear" w:color="auto" w:fill="auto"/>
            <w:noWrap/>
            <w:vAlign w:val="center"/>
            <w:hideMark/>
          </w:tcPr>
          <w:p w14:paraId="7E6BCA6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G2.2</w:t>
            </w:r>
          </w:p>
        </w:tc>
        <w:tc>
          <w:tcPr>
            <w:tcW w:w="422" w:type="dxa"/>
            <w:tcBorders>
              <w:top w:val="nil"/>
              <w:left w:val="nil"/>
              <w:bottom w:val="single" w:sz="4" w:space="0" w:color="auto"/>
              <w:right w:val="single" w:sz="4" w:space="0" w:color="auto"/>
            </w:tcBorders>
            <w:shd w:val="clear" w:color="auto" w:fill="auto"/>
            <w:vAlign w:val="center"/>
            <w:hideMark/>
          </w:tcPr>
          <w:p w14:paraId="083FAEAD"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G2.3</w:t>
            </w:r>
          </w:p>
        </w:tc>
        <w:tc>
          <w:tcPr>
            <w:tcW w:w="422" w:type="dxa"/>
            <w:tcBorders>
              <w:top w:val="nil"/>
              <w:left w:val="nil"/>
              <w:bottom w:val="single" w:sz="4" w:space="0" w:color="auto"/>
              <w:right w:val="single" w:sz="4" w:space="0" w:color="auto"/>
            </w:tcBorders>
            <w:shd w:val="clear" w:color="auto" w:fill="auto"/>
            <w:vAlign w:val="center"/>
            <w:hideMark/>
          </w:tcPr>
          <w:p w14:paraId="0E1CE89C"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G2.4</w:t>
            </w:r>
          </w:p>
        </w:tc>
        <w:tc>
          <w:tcPr>
            <w:tcW w:w="422" w:type="dxa"/>
            <w:tcBorders>
              <w:top w:val="nil"/>
              <w:left w:val="nil"/>
              <w:bottom w:val="single" w:sz="4" w:space="0" w:color="auto"/>
              <w:right w:val="single" w:sz="4" w:space="0" w:color="auto"/>
            </w:tcBorders>
            <w:shd w:val="clear" w:color="auto" w:fill="auto"/>
            <w:noWrap/>
            <w:vAlign w:val="center"/>
            <w:hideMark/>
          </w:tcPr>
          <w:p w14:paraId="06146046"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G2.5</w:t>
            </w:r>
          </w:p>
        </w:tc>
        <w:tc>
          <w:tcPr>
            <w:tcW w:w="422" w:type="dxa"/>
            <w:tcBorders>
              <w:top w:val="nil"/>
              <w:left w:val="nil"/>
              <w:bottom w:val="single" w:sz="4" w:space="0" w:color="auto"/>
              <w:right w:val="single" w:sz="4" w:space="0" w:color="auto"/>
            </w:tcBorders>
            <w:shd w:val="clear" w:color="auto" w:fill="auto"/>
            <w:noWrap/>
            <w:vAlign w:val="center"/>
            <w:hideMark/>
          </w:tcPr>
          <w:p w14:paraId="56BE085D"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G2.6</w:t>
            </w:r>
          </w:p>
        </w:tc>
        <w:tc>
          <w:tcPr>
            <w:tcW w:w="527" w:type="dxa"/>
            <w:vMerge/>
            <w:tcBorders>
              <w:top w:val="nil"/>
              <w:left w:val="single" w:sz="4" w:space="0" w:color="auto"/>
              <w:bottom w:val="single" w:sz="4" w:space="0" w:color="auto"/>
              <w:right w:val="single" w:sz="4" w:space="0" w:color="auto"/>
            </w:tcBorders>
            <w:vAlign w:val="center"/>
            <w:hideMark/>
          </w:tcPr>
          <w:p w14:paraId="5353B4B2" w14:textId="77777777" w:rsidR="00500768" w:rsidRPr="00500768" w:rsidRDefault="00500768" w:rsidP="00500768">
            <w:pPr>
              <w:rPr>
                <w:rFonts w:ascii="Arial Narrow" w:hAnsi="Arial Narrow" w:cs="Tahoma"/>
                <w:color w:val="000000"/>
                <w:sz w:val="16"/>
                <w:szCs w:val="16"/>
              </w:rPr>
            </w:pPr>
          </w:p>
        </w:tc>
        <w:tc>
          <w:tcPr>
            <w:tcW w:w="422" w:type="dxa"/>
            <w:tcBorders>
              <w:top w:val="nil"/>
              <w:left w:val="nil"/>
              <w:bottom w:val="single" w:sz="4" w:space="0" w:color="auto"/>
              <w:right w:val="single" w:sz="4" w:space="0" w:color="auto"/>
            </w:tcBorders>
            <w:shd w:val="clear" w:color="auto" w:fill="auto"/>
            <w:noWrap/>
            <w:vAlign w:val="center"/>
            <w:hideMark/>
          </w:tcPr>
          <w:p w14:paraId="4D47F37E"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G3.1</w:t>
            </w:r>
          </w:p>
        </w:tc>
        <w:tc>
          <w:tcPr>
            <w:tcW w:w="422" w:type="dxa"/>
            <w:tcBorders>
              <w:top w:val="nil"/>
              <w:left w:val="nil"/>
              <w:bottom w:val="single" w:sz="4" w:space="0" w:color="auto"/>
              <w:right w:val="single" w:sz="4" w:space="0" w:color="auto"/>
            </w:tcBorders>
            <w:shd w:val="clear" w:color="auto" w:fill="auto"/>
            <w:noWrap/>
            <w:vAlign w:val="center"/>
            <w:hideMark/>
          </w:tcPr>
          <w:p w14:paraId="5C551904"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G3.2</w:t>
            </w:r>
          </w:p>
        </w:tc>
        <w:tc>
          <w:tcPr>
            <w:tcW w:w="422" w:type="dxa"/>
            <w:tcBorders>
              <w:top w:val="nil"/>
              <w:left w:val="nil"/>
              <w:bottom w:val="single" w:sz="4" w:space="0" w:color="auto"/>
              <w:right w:val="single" w:sz="4" w:space="0" w:color="auto"/>
            </w:tcBorders>
            <w:shd w:val="clear" w:color="auto" w:fill="auto"/>
            <w:vAlign w:val="center"/>
            <w:hideMark/>
          </w:tcPr>
          <w:p w14:paraId="47AD8C0A"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G3.3</w:t>
            </w:r>
          </w:p>
        </w:tc>
        <w:tc>
          <w:tcPr>
            <w:tcW w:w="422" w:type="dxa"/>
            <w:tcBorders>
              <w:top w:val="nil"/>
              <w:left w:val="nil"/>
              <w:bottom w:val="single" w:sz="4" w:space="0" w:color="auto"/>
              <w:right w:val="single" w:sz="4" w:space="0" w:color="auto"/>
            </w:tcBorders>
            <w:shd w:val="clear" w:color="auto" w:fill="auto"/>
            <w:vAlign w:val="center"/>
            <w:hideMark/>
          </w:tcPr>
          <w:p w14:paraId="67E2307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G3.4</w:t>
            </w:r>
          </w:p>
        </w:tc>
        <w:tc>
          <w:tcPr>
            <w:tcW w:w="422" w:type="dxa"/>
            <w:tcBorders>
              <w:top w:val="nil"/>
              <w:left w:val="nil"/>
              <w:bottom w:val="single" w:sz="4" w:space="0" w:color="auto"/>
              <w:right w:val="single" w:sz="4" w:space="0" w:color="auto"/>
            </w:tcBorders>
            <w:shd w:val="clear" w:color="auto" w:fill="auto"/>
            <w:noWrap/>
            <w:vAlign w:val="center"/>
            <w:hideMark/>
          </w:tcPr>
          <w:p w14:paraId="6B699D4B"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G3.5</w:t>
            </w:r>
          </w:p>
        </w:tc>
        <w:tc>
          <w:tcPr>
            <w:tcW w:w="422" w:type="dxa"/>
            <w:tcBorders>
              <w:top w:val="nil"/>
              <w:left w:val="nil"/>
              <w:bottom w:val="single" w:sz="4" w:space="0" w:color="auto"/>
              <w:right w:val="single" w:sz="4" w:space="0" w:color="auto"/>
            </w:tcBorders>
            <w:shd w:val="clear" w:color="auto" w:fill="auto"/>
            <w:noWrap/>
            <w:vAlign w:val="center"/>
            <w:hideMark/>
          </w:tcPr>
          <w:p w14:paraId="4DC42734"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G3.6</w:t>
            </w:r>
          </w:p>
        </w:tc>
        <w:tc>
          <w:tcPr>
            <w:tcW w:w="480" w:type="dxa"/>
            <w:vMerge/>
            <w:tcBorders>
              <w:top w:val="nil"/>
              <w:left w:val="single" w:sz="4" w:space="0" w:color="auto"/>
              <w:bottom w:val="single" w:sz="4" w:space="0" w:color="auto"/>
              <w:right w:val="single" w:sz="4" w:space="0" w:color="auto"/>
            </w:tcBorders>
            <w:vAlign w:val="center"/>
            <w:hideMark/>
          </w:tcPr>
          <w:p w14:paraId="7920D186" w14:textId="77777777" w:rsidR="00500768" w:rsidRPr="00500768" w:rsidRDefault="00500768" w:rsidP="00500768">
            <w:pPr>
              <w:rPr>
                <w:rFonts w:ascii="Arial Narrow" w:hAnsi="Arial Narrow" w:cs="Tahoma"/>
                <w:color w:val="000000"/>
                <w:sz w:val="16"/>
                <w:szCs w:val="16"/>
              </w:rPr>
            </w:pPr>
          </w:p>
        </w:tc>
        <w:tc>
          <w:tcPr>
            <w:tcW w:w="480" w:type="dxa"/>
            <w:vMerge/>
            <w:tcBorders>
              <w:top w:val="nil"/>
              <w:left w:val="single" w:sz="4" w:space="0" w:color="auto"/>
              <w:bottom w:val="single" w:sz="4" w:space="0" w:color="auto"/>
              <w:right w:val="single" w:sz="4" w:space="0" w:color="auto"/>
            </w:tcBorders>
            <w:vAlign w:val="center"/>
            <w:hideMark/>
          </w:tcPr>
          <w:p w14:paraId="7B130780" w14:textId="77777777" w:rsidR="00500768" w:rsidRPr="00500768" w:rsidRDefault="00500768" w:rsidP="00500768">
            <w:pPr>
              <w:rPr>
                <w:rFonts w:ascii="Arial Narrow" w:hAnsi="Arial Narrow" w:cs="Tahoma"/>
                <w:color w:val="000000"/>
                <w:sz w:val="16"/>
                <w:szCs w:val="16"/>
              </w:rPr>
            </w:pPr>
          </w:p>
        </w:tc>
        <w:tc>
          <w:tcPr>
            <w:tcW w:w="480" w:type="dxa"/>
            <w:vMerge/>
            <w:tcBorders>
              <w:top w:val="nil"/>
              <w:left w:val="single" w:sz="4" w:space="0" w:color="auto"/>
              <w:bottom w:val="single" w:sz="4" w:space="0" w:color="auto"/>
              <w:right w:val="single" w:sz="4" w:space="0" w:color="auto"/>
            </w:tcBorders>
            <w:vAlign w:val="center"/>
            <w:hideMark/>
          </w:tcPr>
          <w:p w14:paraId="2413A33A" w14:textId="77777777" w:rsidR="00500768" w:rsidRPr="00500768" w:rsidRDefault="00500768" w:rsidP="00500768">
            <w:pPr>
              <w:rPr>
                <w:rFonts w:ascii="Arial Narrow" w:hAnsi="Arial Narrow" w:cs="Tahoma"/>
                <w:color w:val="000000"/>
                <w:sz w:val="16"/>
                <w:szCs w:val="16"/>
              </w:rPr>
            </w:pPr>
          </w:p>
        </w:tc>
        <w:tc>
          <w:tcPr>
            <w:tcW w:w="752" w:type="dxa"/>
            <w:gridSpan w:val="2"/>
            <w:vMerge/>
            <w:tcBorders>
              <w:top w:val="nil"/>
              <w:left w:val="single" w:sz="4" w:space="0" w:color="auto"/>
              <w:bottom w:val="single" w:sz="4" w:space="0" w:color="auto"/>
              <w:right w:val="single" w:sz="4" w:space="0" w:color="auto"/>
            </w:tcBorders>
            <w:vAlign w:val="center"/>
            <w:hideMark/>
          </w:tcPr>
          <w:p w14:paraId="2069A6F0" w14:textId="77777777" w:rsidR="00500768" w:rsidRPr="00500768" w:rsidRDefault="00500768" w:rsidP="00500768">
            <w:pPr>
              <w:rPr>
                <w:rFonts w:ascii="Arial Narrow" w:hAnsi="Arial Narrow" w:cs="Tahoma"/>
                <w:color w:val="000000"/>
                <w:sz w:val="16"/>
                <w:szCs w:val="16"/>
              </w:rPr>
            </w:pPr>
          </w:p>
        </w:tc>
      </w:tr>
      <w:tr w:rsidR="00B5388C" w:rsidRPr="00500768" w14:paraId="1CED4F14" w14:textId="77777777" w:rsidTr="00B5388C">
        <w:trPr>
          <w:trHeight w:val="250"/>
        </w:trPr>
        <w:tc>
          <w:tcPr>
            <w:tcW w:w="41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3D8E92E" w14:textId="77777777" w:rsidR="00B5388C" w:rsidRPr="00500768" w:rsidRDefault="00B5388C" w:rsidP="00B5388C">
            <w:pPr>
              <w:jc w:val="center"/>
              <w:rPr>
                <w:rFonts w:ascii="Arial" w:hAnsi="Arial" w:cs="Arial"/>
                <w:color w:val="000000"/>
                <w:sz w:val="12"/>
                <w:szCs w:val="12"/>
              </w:rPr>
            </w:pPr>
            <w:r w:rsidRPr="00500768">
              <w:rPr>
                <w:rFonts w:ascii="Arial" w:hAnsi="Arial" w:cs="Arial"/>
                <w:color w:val="000000"/>
                <w:sz w:val="12"/>
                <w:szCs w:val="12"/>
              </w:rPr>
              <w:t>Peak</w:t>
            </w:r>
          </w:p>
        </w:tc>
        <w:tc>
          <w:tcPr>
            <w:tcW w:w="654" w:type="dxa"/>
            <w:tcBorders>
              <w:top w:val="nil"/>
              <w:left w:val="nil"/>
              <w:bottom w:val="single" w:sz="4" w:space="0" w:color="auto"/>
              <w:right w:val="single" w:sz="4" w:space="0" w:color="auto"/>
            </w:tcBorders>
            <w:shd w:val="clear" w:color="auto" w:fill="auto"/>
            <w:noWrap/>
            <w:vAlign w:val="center"/>
            <w:hideMark/>
          </w:tcPr>
          <w:p w14:paraId="3376442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Winter</w:t>
            </w:r>
          </w:p>
        </w:tc>
        <w:tc>
          <w:tcPr>
            <w:tcW w:w="571" w:type="dxa"/>
            <w:tcBorders>
              <w:top w:val="nil"/>
              <w:left w:val="nil"/>
              <w:bottom w:val="single" w:sz="4" w:space="0" w:color="auto"/>
              <w:right w:val="single" w:sz="4" w:space="0" w:color="auto"/>
            </w:tcBorders>
            <w:shd w:val="clear" w:color="auto" w:fill="auto"/>
            <w:noWrap/>
            <w:vAlign w:val="center"/>
            <w:hideMark/>
          </w:tcPr>
          <w:p w14:paraId="5B218015" w14:textId="3D6C18BA"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19450</w:t>
            </w:r>
          </w:p>
        </w:tc>
        <w:tc>
          <w:tcPr>
            <w:tcW w:w="528" w:type="dxa"/>
            <w:tcBorders>
              <w:top w:val="nil"/>
              <w:left w:val="nil"/>
              <w:bottom w:val="single" w:sz="4" w:space="0" w:color="auto"/>
              <w:right w:val="single" w:sz="4" w:space="0" w:color="auto"/>
            </w:tcBorders>
            <w:shd w:val="clear" w:color="auto" w:fill="auto"/>
            <w:noWrap/>
            <w:vAlign w:val="center"/>
            <w:hideMark/>
          </w:tcPr>
          <w:p w14:paraId="2F3B7F6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center"/>
            <w:hideMark/>
          </w:tcPr>
          <w:p w14:paraId="1893106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CE8D03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6A8828B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48FD04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C36D43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7E773ACE"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3F17FD5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65E492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vAlign w:val="center"/>
            <w:hideMark/>
          </w:tcPr>
          <w:p w14:paraId="3A29E5A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745C8BF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D71669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2279274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CE50E7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A6890C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3886AF7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center"/>
            <w:hideMark/>
          </w:tcPr>
          <w:p w14:paraId="2206DA5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7BF2776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FDC38D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E7D320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3F5DB1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9E1D37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3779A61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50E491F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6BC1C9D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04690DA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4D3DA3B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50BDD04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4392722B"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56FF66B7"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1F145A0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Spring</w:t>
            </w:r>
          </w:p>
        </w:tc>
        <w:tc>
          <w:tcPr>
            <w:tcW w:w="571" w:type="dxa"/>
            <w:tcBorders>
              <w:top w:val="nil"/>
              <w:left w:val="nil"/>
              <w:bottom w:val="single" w:sz="4" w:space="0" w:color="auto"/>
              <w:right w:val="single" w:sz="4" w:space="0" w:color="auto"/>
            </w:tcBorders>
            <w:shd w:val="clear" w:color="auto" w:fill="auto"/>
            <w:noWrap/>
            <w:vAlign w:val="center"/>
            <w:hideMark/>
          </w:tcPr>
          <w:p w14:paraId="6ACE15A1" w14:textId="736AA105"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19760</w:t>
            </w:r>
          </w:p>
        </w:tc>
        <w:tc>
          <w:tcPr>
            <w:tcW w:w="528" w:type="dxa"/>
            <w:tcBorders>
              <w:top w:val="nil"/>
              <w:left w:val="nil"/>
              <w:bottom w:val="single" w:sz="4" w:space="0" w:color="auto"/>
              <w:right w:val="single" w:sz="4" w:space="0" w:color="auto"/>
            </w:tcBorders>
            <w:shd w:val="clear" w:color="auto" w:fill="auto"/>
            <w:noWrap/>
            <w:vAlign w:val="center"/>
            <w:hideMark/>
          </w:tcPr>
          <w:p w14:paraId="7F20BAF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center"/>
            <w:hideMark/>
          </w:tcPr>
          <w:p w14:paraId="25B0C0B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8DCF3A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F7B639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BA7AA1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4A34E3D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6A164EE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74DDE7E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016900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vAlign w:val="center"/>
            <w:hideMark/>
          </w:tcPr>
          <w:p w14:paraId="7C9FB01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534070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7FE6B8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4670585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EFAA95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13F92B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EEBAEE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center"/>
            <w:hideMark/>
          </w:tcPr>
          <w:p w14:paraId="02A2820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F632EC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B06087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17ED5D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79DE0CB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69BAFF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DBB4F8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05E7E1D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2BCFB41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5A3DD9E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11DC9E0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57A72DB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05D9DE54"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6432B289"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07F8269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Summer</w:t>
            </w:r>
          </w:p>
        </w:tc>
        <w:tc>
          <w:tcPr>
            <w:tcW w:w="571" w:type="dxa"/>
            <w:tcBorders>
              <w:top w:val="nil"/>
              <w:left w:val="nil"/>
              <w:bottom w:val="single" w:sz="4" w:space="0" w:color="auto"/>
              <w:right w:val="single" w:sz="4" w:space="0" w:color="auto"/>
            </w:tcBorders>
            <w:shd w:val="clear" w:color="auto" w:fill="auto"/>
            <w:noWrap/>
            <w:vAlign w:val="center"/>
            <w:hideMark/>
          </w:tcPr>
          <w:p w14:paraId="55ED02C9" w14:textId="70FC30BB"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25782</w:t>
            </w:r>
          </w:p>
        </w:tc>
        <w:tc>
          <w:tcPr>
            <w:tcW w:w="528" w:type="dxa"/>
            <w:tcBorders>
              <w:top w:val="nil"/>
              <w:left w:val="nil"/>
              <w:bottom w:val="single" w:sz="4" w:space="0" w:color="auto"/>
              <w:right w:val="single" w:sz="4" w:space="0" w:color="auto"/>
            </w:tcBorders>
            <w:shd w:val="clear" w:color="auto" w:fill="auto"/>
            <w:noWrap/>
            <w:vAlign w:val="center"/>
            <w:hideMark/>
          </w:tcPr>
          <w:p w14:paraId="0090BF0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center"/>
            <w:hideMark/>
          </w:tcPr>
          <w:p w14:paraId="4BFC1EA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23069E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365B663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6B6CEE4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4CFEBAC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6350C7D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2D0FC25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09EB29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vAlign w:val="center"/>
            <w:hideMark/>
          </w:tcPr>
          <w:p w14:paraId="7336D6F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9E0FEA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6796D09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FCD355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E83B6C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3E06B86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2DDC47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center"/>
            <w:hideMark/>
          </w:tcPr>
          <w:p w14:paraId="30C658F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4450498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722CB8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6CE6554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B61715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4445B81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41B4785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4379729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252E655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7FF2D44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21C6BCE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6049AF6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62FF3259"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1232F7F0"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485E673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Fall</w:t>
            </w:r>
          </w:p>
        </w:tc>
        <w:tc>
          <w:tcPr>
            <w:tcW w:w="571" w:type="dxa"/>
            <w:tcBorders>
              <w:top w:val="nil"/>
              <w:left w:val="nil"/>
              <w:bottom w:val="single" w:sz="4" w:space="0" w:color="auto"/>
              <w:right w:val="single" w:sz="4" w:space="0" w:color="auto"/>
            </w:tcBorders>
            <w:shd w:val="clear" w:color="auto" w:fill="auto"/>
            <w:noWrap/>
            <w:vAlign w:val="center"/>
            <w:hideMark/>
          </w:tcPr>
          <w:p w14:paraId="68AB59B6" w14:textId="45578E26"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20847</w:t>
            </w:r>
          </w:p>
        </w:tc>
        <w:tc>
          <w:tcPr>
            <w:tcW w:w="528" w:type="dxa"/>
            <w:tcBorders>
              <w:top w:val="nil"/>
              <w:left w:val="nil"/>
              <w:bottom w:val="single" w:sz="4" w:space="0" w:color="auto"/>
              <w:right w:val="single" w:sz="4" w:space="0" w:color="auto"/>
            </w:tcBorders>
            <w:shd w:val="clear" w:color="auto" w:fill="auto"/>
            <w:noWrap/>
            <w:vAlign w:val="center"/>
            <w:hideMark/>
          </w:tcPr>
          <w:p w14:paraId="109D910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center"/>
            <w:hideMark/>
          </w:tcPr>
          <w:p w14:paraId="07D29C2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35BE5F3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6358686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51AAD91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25729B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4E8FE1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7968AEA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4001A8B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vAlign w:val="center"/>
            <w:hideMark/>
          </w:tcPr>
          <w:p w14:paraId="1AB16EB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3F1F35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14124B8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1CE7F62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9DAD89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2BB2CE1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0599815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center"/>
            <w:hideMark/>
          </w:tcPr>
          <w:p w14:paraId="6D04459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7EEA14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78ADD82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404AA60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vAlign w:val="center"/>
            <w:hideMark/>
          </w:tcPr>
          <w:p w14:paraId="0ACFAA8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5BCD533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center"/>
            <w:hideMark/>
          </w:tcPr>
          <w:p w14:paraId="6EFEF0F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45705C6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029689C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642F87E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0E7CA99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5F83EBF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41EC7064" w14:textId="77777777" w:rsidTr="00B5388C">
        <w:trPr>
          <w:trHeight w:val="250"/>
        </w:trPr>
        <w:tc>
          <w:tcPr>
            <w:tcW w:w="41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3B6A34" w14:textId="77777777" w:rsidR="00B5388C" w:rsidRPr="00500768" w:rsidRDefault="00B5388C" w:rsidP="00B5388C">
            <w:pPr>
              <w:jc w:val="center"/>
              <w:rPr>
                <w:rFonts w:ascii="Arial" w:hAnsi="Arial" w:cs="Arial"/>
                <w:color w:val="000000"/>
                <w:sz w:val="12"/>
                <w:szCs w:val="12"/>
              </w:rPr>
            </w:pPr>
            <w:r w:rsidRPr="00500768">
              <w:rPr>
                <w:rFonts w:ascii="Arial" w:hAnsi="Arial" w:cs="Arial"/>
                <w:color w:val="000000"/>
                <w:sz w:val="12"/>
                <w:szCs w:val="12"/>
              </w:rPr>
              <w:t>Off</w:t>
            </w:r>
          </w:p>
        </w:tc>
        <w:tc>
          <w:tcPr>
            <w:tcW w:w="654" w:type="dxa"/>
            <w:tcBorders>
              <w:top w:val="nil"/>
              <w:left w:val="nil"/>
              <w:bottom w:val="single" w:sz="4" w:space="0" w:color="auto"/>
              <w:right w:val="single" w:sz="4" w:space="0" w:color="auto"/>
            </w:tcBorders>
            <w:shd w:val="clear" w:color="auto" w:fill="auto"/>
            <w:noWrap/>
            <w:vAlign w:val="center"/>
            <w:hideMark/>
          </w:tcPr>
          <w:p w14:paraId="49663FF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Winter</w:t>
            </w:r>
          </w:p>
        </w:tc>
        <w:tc>
          <w:tcPr>
            <w:tcW w:w="571" w:type="dxa"/>
            <w:tcBorders>
              <w:top w:val="nil"/>
              <w:left w:val="nil"/>
              <w:bottom w:val="single" w:sz="4" w:space="0" w:color="auto"/>
              <w:right w:val="single" w:sz="4" w:space="0" w:color="auto"/>
            </w:tcBorders>
            <w:shd w:val="clear" w:color="auto" w:fill="auto"/>
            <w:noWrap/>
            <w:vAlign w:val="center"/>
            <w:hideMark/>
          </w:tcPr>
          <w:p w14:paraId="72B15A05" w14:textId="3943A6AD"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16504</w:t>
            </w:r>
          </w:p>
        </w:tc>
        <w:tc>
          <w:tcPr>
            <w:tcW w:w="528" w:type="dxa"/>
            <w:tcBorders>
              <w:top w:val="nil"/>
              <w:left w:val="nil"/>
              <w:bottom w:val="single" w:sz="4" w:space="0" w:color="auto"/>
              <w:right w:val="single" w:sz="4" w:space="0" w:color="auto"/>
            </w:tcBorders>
            <w:shd w:val="clear" w:color="auto" w:fill="auto"/>
            <w:noWrap/>
            <w:vAlign w:val="bottom"/>
            <w:hideMark/>
          </w:tcPr>
          <w:p w14:paraId="18D769D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bottom"/>
            <w:hideMark/>
          </w:tcPr>
          <w:p w14:paraId="1B04A9B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CF06D7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EA40B6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65554F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2A9619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710EFB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FC8F28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B0C337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2E1EB4E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6B0E812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67E2F8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1F13C7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EA9311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BCE12D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BB635E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383F7AD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657AD3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C9C280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DB7D4A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06500A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DD6CA2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417137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345197E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393DB8F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0FED7DC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24FDF41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3D88BDF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185A1634"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26A086FE"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77678FD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Spring</w:t>
            </w:r>
          </w:p>
        </w:tc>
        <w:tc>
          <w:tcPr>
            <w:tcW w:w="571" w:type="dxa"/>
            <w:tcBorders>
              <w:top w:val="nil"/>
              <w:left w:val="nil"/>
              <w:bottom w:val="single" w:sz="4" w:space="0" w:color="auto"/>
              <w:right w:val="single" w:sz="4" w:space="0" w:color="auto"/>
            </w:tcBorders>
            <w:shd w:val="clear" w:color="auto" w:fill="auto"/>
            <w:noWrap/>
            <w:vAlign w:val="center"/>
            <w:hideMark/>
          </w:tcPr>
          <w:p w14:paraId="5B07306E" w14:textId="77B77EDC"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15839</w:t>
            </w:r>
          </w:p>
        </w:tc>
        <w:tc>
          <w:tcPr>
            <w:tcW w:w="528" w:type="dxa"/>
            <w:tcBorders>
              <w:top w:val="nil"/>
              <w:left w:val="nil"/>
              <w:bottom w:val="single" w:sz="4" w:space="0" w:color="auto"/>
              <w:right w:val="single" w:sz="4" w:space="0" w:color="auto"/>
            </w:tcBorders>
            <w:shd w:val="clear" w:color="auto" w:fill="auto"/>
            <w:noWrap/>
            <w:vAlign w:val="bottom"/>
            <w:hideMark/>
          </w:tcPr>
          <w:p w14:paraId="3DD9E4A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bottom"/>
            <w:hideMark/>
          </w:tcPr>
          <w:p w14:paraId="6B2665D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B1E9EC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0BE543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0B1C1F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E6AB72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F00791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032CE1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817F9B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3AD3499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6BA8EC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E04443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4BA606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D11288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64BDBF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74188C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382977D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9E821E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969020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C802E2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C772C9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2F66CF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2BEAD2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680562D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31ADE2B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76DF8D0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79330E4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36B6A80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1BF2836B"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531278B2"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06AD1A2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Summer</w:t>
            </w:r>
          </w:p>
        </w:tc>
        <w:tc>
          <w:tcPr>
            <w:tcW w:w="571" w:type="dxa"/>
            <w:tcBorders>
              <w:top w:val="nil"/>
              <w:left w:val="nil"/>
              <w:bottom w:val="single" w:sz="4" w:space="0" w:color="auto"/>
              <w:right w:val="single" w:sz="4" w:space="0" w:color="auto"/>
            </w:tcBorders>
            <w:shd w:val="clear" w:color="auto" w:fill="auto"/>
            <w:noWrap/>
            <w:vAlign w:val="center"/>
            <w:hideMark/>
          </w:tcPr>
          <w:p w14:paraId="39D15409" w14:textId="4828124D"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20388</w:t>
            </w:r>
          </w:p>
        </w:tc>
        <w:tc>
          <w:tcPr>
            <w:tcW w:w="528" w:type="dxa"/>
            <w:tcBorders>
              <w:top w:val="nil"/>
              <w:left w:val="nil"/>
              <w:bottom w:val="single" w:sz="4" w:space="0" w:color="auto"/>
              <w:right w:val="single" w:sz="4" w:space="0" w:color="auto"/>
            </w:tcBorders>
            <w:shd w:val="clear" w:color="auto" w:fill="auto"/>
            <w:noWrap/>
            <w:vAlign w:val="bottom"/>
            <w:hideMark/>
          </w:tcPr>
          <w:p w14:paraId="2E91BF8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bottom"/>
            <w:hideMark/>
          </w:tcPr>
          <w:p w14:paraId="286C705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631F519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38AC5D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DD549E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A804F7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6774BB4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4417E1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F8F166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0F5AD29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A4DEA0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A1731E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6E3642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C87280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81877C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DB7ED3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7413AA8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182A1B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B82AFD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FA0941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E5DE6D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636D673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71DDA7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4F53ACA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581341D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75D166E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7D66E7D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6FDA120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6BD7B2F4" w14:textId="77777777" w:rsidTr="00B5388C">
        <w:trPr>
          <w:trHeight w:val="250"/>
        </w:trPr>
        <w:tc>
          <w:tcPr>
            <w:tcW w:w="415" w:type="dxa"/>
            <w:vMerge/>
            <w:tcBorders>
              <w:top w:val="nil"/>
              <w:left w:val="single" w:sz="4" w:space="0" w:color="auto"/>
              <w:bottom w:val="single" w:sz="4" w:space="0" w:color="000000"/>
              <w:right w:val="single" w:sz="4" w:space="0" w:color="auto"/>
            </w:tcBorders>
            <w:vAlign w:val="center"/>
            <w:hideMark/>
          </w:tcPr>
          <w:p w14:paraId="41A85080" w14:textId="77777777" w:rsidR="00B5388C" w:rsidRPr="00500768" w:rsidRDefault="00B5388C" w:rsidP="00B5388C">
            <w:pPr>
              <w:rPr>
                <w:rFonts w:ascii="Arial" w:hAnsi="Arial" w:cs="Arial"/>
                <w:color w:val="000000"/>
                <w:sz w:val="12"/>
                <w:szCs w:val="12"/>
              </w:rPr>
            </w:pPr>
          </w:p>
        </w:tc>
        <w:tc>
          <w:tcPr>
            <w:tcW w:w="654" w:type="dxa"/>
            <w:tcBorders>
              <w:top w:val="nil"/>
              <w:left w:val="nil"/>
              <w:bottom w:val="single" w:sz="4" w:space="0" w:color="auto"/>
              <w:right w:val="single" w:sz="4" w:space="0" w:color="auto"/>
            </w:tcBorders>
            <w:shd w:val="clear" w:color="auto" w:fill="auto"/>
            <w:noWrap/>
            <w:vAlign w:val="center"/>
            <w:hideMark/>
          </w:tcPr>
          <w:p w14:paraId="712513E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Fall</w:t>
            </w:r>
          </w:p>
        </w:tc>
        <w:tc>
          <w:tcPr>
            <w:tcW w:w="571" w:type="dxa"/>
            <w:tcBorders>
              <w:top w:val="nil"/>
              <w:left w:val="nil"/>
              <w:bottom w:val="single" w:sz="4" w:space="0" w:color="auto"/>
              <w:right w:val="single" w:sz="4" w:space="0" w:color="auto"/>
            </w:tcBorders>
            <w:shd w:val="clear" w:color="auto" w:fill="auto"/>
            <w:noWrap/>
            <w:vAlign w:val="center"/>
            <w:hideMark/>
          </w:tcPr>
          <w:p w14:paraId="3679FAE9" w14:textId="3C6BB6E2"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18610</w:t>
            </w:r>
          </w:p>
        </w:tc>
        <w:tc>
          <w:tcPr>
            <w:tcW w:w="528" w:type="dxa"/>
            <w:tcBorders>
              <w:top w:val="nil"/>
              <w:left w:val="nil"/>
              <w:bottom w:val="single" w:sz="4" w:space="0" w:color="auto"/>
              <w:right w:val="single" w:sz="4" w:space="0" w:color="auto"/>
            </w:tcBorders>
            <w:shd w:val="clear" w:color="auto" w:fill="auto"/>
            <w:noWrap/>
            <w:vAlign w:val="bottom"/>
            <w:hideMark/>
          </w:tcPr>
          <w:p w14:paraId="009B7CB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3" w:type="dxa"/>
            <w:tcBorders>
              <w:top w:val="nil"/>
              <w:left w:val="nil"/>
              <w:bottom w:val="single" w:sz="4" w:space="0" w:color="auto"/>
              <w:right w:val="single" w:sz="4" w:space="0" w:color="auto"/>
            </w:tcBorders>
            <w:shd w:val="clear" w:color="auto" w:fill="auto"/>
            <w:noWrap/>
            <w:vAlign w:val="bottom"/>
            <w:hideMark/>
          </w:tcPr>
          <w:p w14:paraId="680C113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1FCF5D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07051B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FFC733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2DCB74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86F345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D37035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6288A48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2F1CD38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FEB4E2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1235C1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4915B8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17718DE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A5DDB3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DB0AAD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27" w:type="dxa"/>
            <w:tcBorders>
              <w:top w:val="nil"/>
              <w:left w:val="nil"/>
              <w:bottom w:val="single" w:sz="4" w:space="0" w:color="auto"/>
              <w:right w:val="single" w:sz="4" w:space="0" w:color="auto"/>
            </w:tcBorders>
            <w:shd w:val="clear" w:color="auto" w:fill="auto"/>
            <w:noWrap/>
            <w:vAlign w:val="bottom"/>
            <w:hideMark/>
          </w:tcPr>
          <w:p w14:paraId="7D96174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0207C24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7EB5F72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25D6DA8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3E8A2B4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55AC4D5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2" w:type="dxa"/>
            <w:tcBorders>
              <w:top w:val="nil"/>
              <w:left w:val="nil"/>
              <w:bottom w:val="single" w:sz="4" w:space="0" w:color="auto"/>
              <w:right w:val="single" w:sz="4" w:space="0" w:color="auto"/>
            </w:tcBorders>
            <w:shd w:val="clear" w:color="auto" w:fill="auto"/>
            <w:noWrap/>
            <w:vAlign w:val="bottom"/>
            <w:hideMark/>
          </w:tcPr>
          <w:p w14:paraId="4E20D68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5CD3E36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47C7836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4C095EA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1E815B7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639F283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500768" w:rsidRPr="00500768" w14:paraId="70F4FF5C" w14:textId="77777777" w:rsidTr="00B5388C">
        <w:trPr>
          <w:trHeight w:val="250"/>
        </w:trPr>
        <w:tc>
          <w:tcPr>
            <w:tcW w:w="1640" w:type="dxa"/>
            <w:gridSpan w:val="3"/>
            <w:tcBorders>
              <w:top w:val="single" w:sz="4" w:space="0" w:color="auto"/>
              <w:left w:val="single" w:sz="4" w:space="0" w:color="auto"/>
              <w:bottom w:val="single" w:sz="4" w:space="0" w:color="auto"/>
              <w:right w:val="nil"/>
            </w:tcBorders>
            <w:shd w:val="clear" w:color="auto" w:fill="auto"/>
            <w:noWrap/>
            <w:vAlign w:val="center"/>
            <w:hideMark/>
          </w:tcPr>
          <w:p w14:paraId="4CF9321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generator profits ($/MW)</w:t>
            </w:r>
          </w:p>
        </w:tc>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0F02F16D"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3" w:type="dxa"/>
            <w:tcBorders>
              <w:top w:val="nil"/>
              <w:left w:val="nil"/>
              <w:bottom w:val="single" w:sz="4" w:space="0" w:color="auto"/>
              <w:right w:val="single" w:sz="4" w:space="0" w:color="auto"/>
            </w:tcBorders>
            <w:shd w:val="clear" w:color="auto" w:fill="auto"/>
            <w:noWrap/>
            <w:vAlign w:val="bottom"/>
            <w:hideMark/>
          </w:tcPr>
          <w:p w14:paraId="7EF492FF"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07B84DE1"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44907359"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74A60987"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20C864F9"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42D671B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37D51102"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03FA54E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527" w:type="dxa"/>
            <w:tcBorders>
              <w:top w:val="nil"/>
              <w:left w:val="nil"/>
              <w:bottom w:val="single" w:sz="4" w:space="0" w:color="auto"/>
              <w:right w:val="single" w:sz="4" w:space="0" w:color="auto"/>
            </w:tcBorders>
            <w:shd w:val="clear" w:color="auto" w:fill="auto"/>
            <w:noWrap/>
            <w:vAlign w:val="bottom"/>
            <w:hideMark/>
          </w:tcPr>
          <w:p w14:paraId="3598710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3434A8C1"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633AC91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614103B8"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16388290"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10F58430"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35DCEFE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527" w:type="dxa"/>
            <w:tcBorders>
              <w:top w:val="nil"/>
              <w:left w:val="nil"/>
              <w:bottom w:val="single" w:sz="4" w:space="0" w:color="auto"/>
              <w:right w:val="single" w:sz="4" w:space="0" w:color="auto"/>
            </w:tcBorders>
            <w:shd w:val="clear" w:color="auto" w:fill="auto"/>
            <w:noWrap/>
            <w:vAlign w:val="bottom"/>
            <w:hideMark/>
          </w:tcPr>
          <w:p w14:paraId="77ECD2F9"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53669B08"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2256766C"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6A09D204"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15CAD9E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2216C68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2" w:type="dxa"/>
            <w:tcBorders>
              <w:top w:val="nil"/>
              <w:left w:val="nil"/>
              <w:bottom w:val="single" w:sz="4" w:space="0" w:color="auto"/>
              <w:right w:val="single" w:sz="4" w:space="0" w:color="auto"/>
            </w:tcBorders>
            <w:shd w:val="clear" w:color="auto" w:fill="auto"/>
            <w:noWrap/>
            <w:vAlign w:val="bottom"/>
            <w:hideMark/>
          </w:tcPr>
          <w:p w14:paraId="5ECA8DFE"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80" w:type="dxa"/>
            <w:tcBorders>
              <w:top w:val="nil"/>
              <w:left w:val="nil"/>
              <w:bottom w:val="single" w:sz="4" w:space="0" w:color="auto"/>
              <w:right w:val="single" w:sz="4" w:space="0" w:color="auto"/>
            </w:tcBorders>
            <w:shd w:val="clear" w:color="auto" w:fill="auto"/>
            <w:noWrap/>
            <w:vAlign w:val="bottom"/>
            <w:hideMark/>
          </w:tcPr>
          <w:p w14:paraId="1BB63386"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37E364E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0" w:type="dxa"/>
            <w:tcBorders>
              <w:top w:val="nil"/>
              <w:left w:val="nil"/>
              <w:bottom w:val="single" w:sz="4" w:space="0" w:color="auto"/>
              <w:right w:val="single" w:sz="4" w:space="0" w:color="auto"/>
            </w:tcBorders>
            <w:shd w:val="clear" w:color="auto" w:fill="auto"/>
            <w:noWrap/>
            <w:vAlign w:val="bottom"/>
            <w:hideMark/>
          </w:tcPr>
          <w:p w14:paraId="29A21DB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4B5A2F92"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bottom"/>
            <w:hideMark/>
          </w:tcPr>
          <w:p w14:paraId="5DDFE22F"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r>
    </w:tbl>
    <w:p w14:paraId="014AD108" w14:textId="28854731" w:rsidR="00B0605C" w:rsidRDefault="00B0605C" w:rsidP="00F9499E">
      <w:pPr>
        <w:keepNext/>
        <w:keepLines/>
        <w:tabs>
          <w:tab w:val="right" w:pos="9360"/>
        </w:tabs>
        <w:rPr>
          <w:sz w:val="22"/>
        </w:rPr>
      </w:pPr>
    </w:p>
    <w:p w14:paraId="1C08DE12" w14:textId="1B3C2604" w:rsidR="00500768" w:rsidRDefault="00500768" w:rsidP="00F9499E">
      <w:pPr>
        <w:keepNext/>
        <w:keepLines/>
        <w:tabs>
          <w:tab w:val="right" w:pos="9360"/>
        </w:tabs>
        <w:rPr>
          <w:sz w:val="22"/>
        </w:rPr>
      </w:pPr>
    </w:p>
    <w:p w14:paraId="6D8B3A3F" w14:textId="77777777" w:rsidR="00500768" w:rsidRDefault="00500768" w:rsidP="00F9499E">
      <w:pPr>
        <w:keepNext/>
        <w:keepLines/>
        <w:tabs>
          <w:tab w:val="right" w:pos="9360"/>
        </w:tabs>
        <w:rPr>
          <w:sz w:val="22"/>
        </w:rPr>
      </w:pPr>
    </w:p>
    <w:p w14:paraId="5C7A109C" w14:textId="77777777" w:rsidR="00500768" w:rsidRDefault="00500768" w:rsidP="00F9499E">
      <w:pPr>
        <w:keepNext/>
        <w:keepLines/>
        <w:tabs>
          <w:tab w:val="right" w:pos="9360"/>
        </w:tabs>
        <w:rPr>
          <w:sz w:val="22"/>
        </w:rPr>
      </w:pPr>
    </w:p>
    <w:p w14:paraId="04F8CDD2" w14:textId="77777777" w:rsidR="00500768" w:rsidRDefault="00500768" w:rsidP="00F9499E">
      <w:pPr>
        <w:keepNext/>
        <w:keepLines/>
        <w:tabs>
          <w:tab w:val="right" w:pos="9360"/>
        </w:tabs>
        <w:rPr>
          <w:sz w:val="22"/>
        </w:rPr>
      </w:pPr>
    </w:p>
    <w:p w14:paraId="13945601" w14:textId="77777777" w:rsidR="00500768" w:rsidRDefault="00500768" w:rsidP="00F9499E">
      <w:pPr>
        <w:keepNext/>
        <w:keepLines/>
        <w:tabs>
          <w:tab w:val="right" w:pos="9360"/>
        </w:tabs>
        <w:rPr>
          <w:sz w:val="22"/>
        </w:rPr>
      </w:pPr>
    </w:p>
    <w:p w14:paraId="67A99ABF" w14:textId="77777777" w:rsidR="00500768" w:rsidRDefault="00500768" w:rsidP="00F9499E">
      <w:pPr>
        <w:keepNext/>
        <w:keepLines/>
        <w:tabs>
          <w:tab w:val="right" w:pos="9360"/>
        </w:tabs>
        <w:rPr>
          <w:sz w:val="22"/>
        </w:rPr>
      </w:pPr>
    </w:p>
    <w:p w14:paraId="22687CB3" w14:textId="77777777" w:rsidR="00500768" w:rsidRDefault="00500768" w:rsidP="00F9499E">
      <w:pPr>
        <w:keepNext/>
        <w:keepLines/>
        <w:tabs>
          <w:tab w:val="right" w:pos="9360"/>
        </w:tabs>
        <w:rPr>
          <w:sz w:val="22"/>
        </w:rPr>
      </w:pPr>
    </w:p>
    <w:p w14:paraId="068FBB84" w14:textId="30045C27" w:rsidR="00500768" w:rsidRDefault="00500768" w:rsidP="00F9499E">
      <w:pPr>
        <w:keepNext/>
        <w:keepLines/>
        <w:tabs>
          <w:tab w:val="right" w:pos="9360"/>
        </w:tabs>
        <w:rPr>
          <w:sz w:val="22"/>
        </w:rPr>
      </w:pPr>
    </w:p>
    <w:p w14:paraId="10C45342" w14:textId="42F2EE8F" w:rsidR="00500768" w:rsidRDefault="00500768" w:rsidP="00F9499E">
      <w:pPr>
        <w:keepNext/>
        <w:keepLines/>
        <w:tabs>
          <w:tab w:val="right" w:pos="9360"/>
        </w:tabs>
        <w:rPr>
          <w:sz w:val="22"/>
        </w:rPr>
      </w:pPr>
    </w:p>
    <w:p w14:paraId="55237A12" w14:textId="77777777" w:rsidR="00500768" w:rsidRDefault="00500768" w:rsidP="00F9499E">
      <w:pPr>
        <w:keepNext/>
        <w:keepLines/>
        <w:tabs>
          <w:tab w:val="right" w:pos="9360"/>
        </w:tabs>
        <w:rPr>
          <w:sz w:val="22"/>
        </w:rPr>
      </w:pPr>
    </w:p>
    <w:p w14:paraId="703D5A2F" w14:textId="77777777" w:rsidR="00646620" w:rsidRDefault="00646620" w:rsidP="00F9499E">
      <w:pPr>
        <w:keepNext/>
        <w:keepLines/>
        <w:tabs>
          <w:tab w:val="right" w:pos="9360"/>
        </w:tabs>
        <w:rPr>
          <w:sz w:val="22"/>
        </w:rPr>
      </w:pPr>
    </w:p>
    <w:p w14:paraId="27B37AD2" w14:textId="09A73F8A" w:rsidR="00F9499E" w:rsidRDefault="00F9499E" w:rsidP="00F9499E">
      <w:pPr>
        <w:keepNext/>
        <w:keepLines/>
        <w:tabs>
          <w:tab w:val="right" w:pos="9360"/>
        </w:tabs>
        <w:rPr>
          <w:sz w:val="22"/>
        </w:rPr>
      </w:pPr>
      <w:r w:rsidRPr="00FB5FCE">
        <w:rPr>
          <w:sz w:val="22"/>
        </w:rPr>
        <w:t xml:space="preserve">Table </w:t>
      </w:r>
      <w:r w:rsidR="00500768">
        <w:rPr>
          <w:sz w:val="22"/>
        </w:rPr>
        <w:t>8</w:t>
      </w:r>
      <w:r w:rsidRPr="00FB5FCE">
        <w:rPr>
          <w:sz w:val="22"/>
        </w:rPr>
        <w:t xml:space="preserve">. </w:t>
      </w:r>
      <w:proofErr w:type="spellStart"/>
      <w:r w:rsidRPr="00FB5FCE">
        <w:rPr>
          <w:sz w:val="22"/>
        </w:rPr>
        <w:t>NicIso</w:t>
      </w:r>
      <w:proofErr w:type="spellEnd"/>
      <w:r>
        <w:rPr>
          <w:sz w:val="22"/>
        </w:rPr>
        <w:t xml:space="preserve"> Operation </w:t>
      </w:r>
      <w:r w:rsidR="00B0605C">
        <w:rPr>
          <w:sz w:val="22"/>
        </w:rPr>
        <w:t xml:space="preserve">Results </w:t>
      </w:r>
      <w:r w:rsidR="00A034C2">
        <w:rPr>
          <w:sz w:val="22"/>
        </w:rPr>
        <w:t>projections for</w:t>
      </w:r>
      <w:r>
        <w:rPr>
          <w:sz w:val="22"/>
        </w:rPr>
        <w:t xml:space="preserve"> 2020 for 8 </w:t>
      </w:r>
      <w:r w:rsidRPr="00F9499E">
        <w:rPr>
          <w:b/>
          <w:sz w:val="22"/>
        </w:rPr>
        <w:t>peak load</w:t>
      </w:r>
      <w:r>
        <w:rPr>
          <w:sz w:val="22"/>
        </w:rPr>
        <w:t xml:space="preserve"> levels. These results are calculated ignoring intertemporal constraints and hence do not account for </w:t>
      </w:r>
      <w:r w:rsidR="00A034C2">
        <w:rPr>
          <w:sz w:val="22"/>
        </w:rPr>
        <w:t xml:space="preserve">minimum power generation, </w:t>
      </w:r>
      <w:r>
        <w:rPr>
          <w:sz w:val="22"/>
        </w:rPr>
        <w:t xml:space="preserve">ramping limits or minimum up or down times for the generators. The </w:t>
      </w:r>
      <w:r w:rsidR="00B0605C">
        <w:rPr>
          <w:sz w:val="22"/>
        </w:rPr>
        <w:t>peak</w:t>
      </w:r>
      <w:r>
        <w:rPr>
          <w:sz w:val="22"/>
        </w:rPr>
        <w:t xml:space="preserve"> load levels are the highest load </w:t>
      </w:r>
      <w:r w:rsidR="00A034C2">
        <w:rPr>
          <w:sz w:val="22"/>
        </w:rPr>
        <w:t>projected for</w:t>
      </w:r>
      <w:r>
        <w:rPr>
          <w:sz w:val="22"/>
        </w:rPr>
        <w:t xml:space="preserve"> </w:t>
      </w:r>
      <w:proofErr w:type="gramStart"/>
      <w:r>
        <w:rPr>
          <w:sz w:val="22"/>
        </w:rPr>
        <w:t>on-peak</w:t>
      </w:r>
      <w:proofErr w:type="gramEnd"/>
      <w:r>
        <w:rPr>
          <w:sz w:val="22"/>
        </w:rPr>
        <w:t xml:space="preserve"> and off-peak hours for each season.</w:t>
      </w:r>
    </w:p>
    <w:p w14:paraId="15F8EFFE" w14:textId="01F567E8" w:rsidR="00F9499E" w:rsidRDefault="00F9499E" w:rsidP="00F9499E">
      <w:pPr>
        <w:keepNext/>
        <w:keepLines/>
        <w:tabs>
          <w:tab w:val="right" w:pos="9360"/>
        </w:tabs>
        <w:rPr>
          <w:sz w:val="22"/>
        </w:rPr>
      </w:pPr>
    </w:p>
    <w:p w14:paraId="3E9FEFF2" w14:textId="18C4E764" w:rsidR="00500768" w:rsidRDefault="00500768" w:rsidP="00F9499E">
      <w:pPr>
        <w:keepNext/>
        <w:keepLines/>
        <w:tabs>
          <w:tab w:val="right" w:pos="9360"/>
        </w:tabs>
        <w:rPr>
          <w:sz w:val="22"/>
        </w:rPr>
      </w:pPr>
    </w:p>
    <w:tbl>
      <w:tblPr>
        <w:tblW w:w="13855" w:type="dxa"/>
        <w:tblLook w:val="04A0" w:firstRow="1" w:lastRow="0" w:firstColumn="1" w:lastColumn="0" w:noHBand="0" w:noVBand="1"/>
      </w:tblPr>
      <w:tblGrid>
        <w:gridCol w:w="419"/>
        <w:gridCol w:w="583"/>
        <w:gridCol w:w="575"/>
        <w:gridCol w:w="534"/>
        <w:gridCol w:w="427"/>
        <w:gridCol w:w="427"/>
        <w:gridCol w:w="426"/>
        <w:gridCol w:w="426"/>
        <w:gridCol w:w="426"/>
        <w:gridCol w:w="426"/>
        <w:gridCol w:w="426"/>
        <w:gridCol w:w="426"/>
        <w:gridCol w:w="533"/>
        <w:gridCol w:w="426"/>
        <w:gridCol w:w="426"/>
        <w:gridCol w:w="426"/>
        <w:gridCol w:w="426"/>
        <w:gridCol w:w="426"/>
        <w:gridCol w:w="426"/>
        <w:gridCol w:w="533"/>
        <w:gridCol w:w="426"/>
        <w:gridCol w:w="426"/>
        <w:gridCol w:w="426"/>
        <w:gridCol w:w="426"/>
        <w:gridCol w:w="426"/>
        <w:gridCol w:w="426"/>
        <w:gridCol w:w="485"/>
        <w:gridCol w:w="485"/>
        <w:gridCol w:w="485"/>
        <w:gridCol w:w="701"/>
      </w:tblGrid>
      <w:tr w:rsidR="00500768" w:rsidRPr="00500768" w14:paraId="750968C1" w14:textId="77777777" w:rsidTr="00B5388C">
        <w:trPr>
          <w:trHeight w:val="330"/>
        </w:trPr>
        <w:tc>
          <w:tcPr>
            <w:tcW w:w="421" w:type="dxa"/>
            <w:tcBorders>
              <w:top w:val="nil"/>
              <w:left w:val="nil"/>
              <w:bottom w:val="nil"/>
              <w:right w:val="nil"/>
            </w:tcBorders>
            <w:shd w:val="clear" w:color="auto" w:fill="auto"/>
            <w:noWrap/>
            <w:vAlign w:val="bottom"/>
            <w:hideMark/>
          </w:tcPr>
          <w:p w14:paraId="1BA5FEB5" w14:textId="77777777" w:rsidR="00500768" w:rsidRPr="00500768" w:rsidRDefault="00500768" w:rsidP="00500768">
            <w:pPr>
              <w:rPr>
                <w:sz w:val="20"/>
                <w:szCs w:val="20"/>
              </w:rPr>
            </w:pPr>
          </w:p>
        </w:tc>
        <w:tc>
          <w:tcPr>
            <w:tcW w:w="587" w:type="dxa"/>
            <w:tcBorders>
              <w:top w:val="nil"/>
              <w:left w:val="nil"/>
              <w:bottom w:val="nil"/>
              <w:right w:val="nil"/>
            </w:tcBorders>
            <w:shd w:val="clear" w:color="auto" w:fill="auto"/>
            <w:noWrap/>
            <w:vAlign w:val="bottom"/>
            <w:hideMark/>
          </w:tcPr>
          <w:p w14:paraId="4A291BDA" w14:textId="77777777" w:rsidR="00500768" w:rsidRPr="00500768" w:rsidRDefault="00500768" w:rsidP="00500768">
            <w:pPr>
              <w:rPr>
                <w:sz w:val="20"/>
                <w:szCs w:val="20"/>
              </w:rPr>
            </w:pPr>
          </w:p>
        </w:tc>
        <w:tc>
          <w:tcPr>
            <w:tcW w:w="702" w:type="dxa"/>
            <w:tcBorders>
              <w:top w:val="nil"/>
              <w:left w:val="nil"/>
              <w:bottom w:val="nil"/>
              <w:right w:val="nil"/>
            </w:tcBorders>
            <w:shd w:val="clear" w:color="auto" w:fill="auto"/>
            <w:noWrap/>
            <w:vAlign w:val="bottom"/>
            <w:hideMark/>
          </w:tcPr>
          <w:p w14:paraId="261E5995" w14:textId="77777777" w:rsidR="00500768" w:rsidRPr="00500768" w:rsidRDefault="00500768" w:rsidP="00500768">
            <w:pPr>
              <w:rPr>
                <w:sz w:val="20"/>
                <w:szCs w:val="20"/>
              </w:rPr>
            </w:pPr>
          </w:p>
        </w:tc>
        <w:tc>
          <w:tcPr>
            <w:tcW w:w="3749" w:type="dxa"/>
            <w:gridSpan w:val="9"/>
            <w:tcBorders>
              <w:top w:val="single" w:sz="4" w:space="0" w:color="auto"/>
              <w:left w:val="single" w:sz="4" w:space="0" w:color="auto"/>
              <w:bottom w:val="nil"/>
              <w:right w:val="single" w:sz="4" w:space="0" w:color="auto"/>
            </w:tcBorders>
            <w:shd w:val="clear" w:color="auto" w:fill="auto"/>
            <w:noWrap/>
            <w:vAlign w:val="bottom"/>
            <w:hideMark/>
          </w:tcPr>
          <w:p w14:paraId="755F655E"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Bus1</w:t>
            </w:r>
          </w:p>
        </w:tc>
        <w:tc>
          <w:tcPr>
            <w:tcW w:w="3111" w:type="dxa"/>
            <w:gridSpan w:val="7"/>
            <w:tcBorders>
              <w:top w:val="single" w:sz="4" w:space="0" w:color="auto"/>
              <w:left w:val="nil"/>
              <w:bottom w:val="nil"/>
              <w:right w:val="single" w:sz="4" w:space="0" w:color="auto"/>
            </w:tcBorders>
            <w:shd w:val="clear" w:color="auto" w:fill="auto"/>
            <w:noWrap/>
            <w:vAlign w:val="bottom"/>
            <w:hideMark/>
          </w:tcPr>
          <w:p w14:paraId="67C0C8D9"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Bus2</w:t>
            </w:r>
          </w:p>
        </w:tc>
        <w:tc>
          <w:tcPr>
            <w:tcW w:w="3111" w:type="dxa"/>
            <w:gridSpan w:val="7"/>
            <w:tcBorders>
              <w:top w:val="single" w:sz="4" w:space="0" w:color="auto"/>
              <w:left w:val="nil"/>
              <w:bottom w:val="nil"/>
              <w:right w:val="single" w:sz="4" w:space="0" w:color="auto"/>
            </w:tcBorders>
            <w:shd w:val="clear" w:color="auto" w:fill="auto"/>
            <w:noWrap/>
            <w:vAlign w:val="bottom"/>
            <w:hideMark/>
          </w:tcPr>
          <w:p w14:paraId="69E616DA"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Bus3</w:t>
            </w:r>
          </w:p>
        </w:tc>
        <w:tc>
          <w:tcPr>
            <w:tcW w:w="146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B07AA39"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Power Flow</w:t>
            </w:r>
          </w:p>
        </w:tc>
        <w:tc>
          <w:tcPr>
            <w:tcW w:w="707" w:type="dxa"/>
            <w:tcBorders>
              <w:top w:val="single" w:sz="4" w:space="0" w:color="auto"/>
              <w:left w:val="nil"/>
              <w:bottom w:val="single" w:sz="4" w:space="0" w:color="auto"/>
              <w:right w:val="single" w:sz="4" w:space="0" w:color="auto"/>
            </w:tcBorders>
            <w:shd w:val="clear" w:color="auto" w:fill="auto"/>
            <w:vAlign w:val="bottom"/>
            <w:hideMark/>
          </w:tcPr>
          <w:p w14:paraId="301A1E4E"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Generators Profits ($/MWh)</w:t>
            </w:r>
          </w:p>
        </w:tc>
      </w:tr>
      <w:tr w:rsidR="00646620" w:rsidRPr="00500768" w14:paraId="33BDEFEB" w14:textId="77777777" w:rsidTr="00B5388C">
        <w:trPr>
          <w:trHeight w:val="300"/>
        </w:trPr>
        <w:tc>
          <w:tcPr>
            <w:tcW w:w="421" w:type="dxa"/>
            <w:tcBorders>
              <w:top w:val="nil"/>
              <w:left w:val="nil"/>
              <w:bottom w:val="nil"/>
              <w:right w:val="nil"/>
            </w:tcBorders>
            <w:shd w:val="clear" w:color="auto" w:fill="auto"/>
            <w:noWrap/>
            <w:vAlign w:val="bottom"/>
            <w:hideMark/>
          </w:tcPr>
          <w:p w14:paraId="0504ACD4" w14:textId="77777777" w:rsidR="00500768" w:rsidRPr="00500768" w:rsidRDefault="00500768" w:rsidP="00500768">
            <w:pPr>
              <w:jc w:val="center"/>
              <w:rPr>
                <w:rFonts w:ascii="Arial Narrow" w:hAnsi="Arial Narrow" w:cs="Tahoma"/>
                <w:color w:val="000000"/>
                <w:sz w:val="16"/>
                <w:szCs w:val="16"/>
              </w:rPr>
            </w:pPr>
          </w:p>
        </w:tc>
        <w:tc>
          <w:tcPr>
            <w:tcW w:w="1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66E61C"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Load (MW)</w:t>
            </w:r>
          </w:p>
        </w:tc>
        <w:tc>
          <w:tcPr>
            <w:tcW w:w="3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967047"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3432" w:type="dxa"/>
            <w:gridSpan w:val="8"/>
            <w:tcBorders>
              <w:top w:val="single" w:sz="4" w:space="0" w:color="auto"/>
              <w:left w:val="nil"/>
              <w:bottom w:val="single" w:sz="4" w:space="0" w:color="auto"/>
              <w:right w:val="single" w:sz="4" w:space="0" w:color="auto"/>
            </w:tcBorders>
            <w:shd w:val="clear" w:color="auto" w:fill="auto"/>
            <w:noWrap/>
            <w:vAlign w:val="bottom"/>
            <w:hideMark/>
          </w:tcPr>
          <w:p w14:paraId="2B5E1ECC"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5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D04B21"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2574" w:type="dxa"/>
            <w:gridSpan w:val="6"/>
            <w:tcBorders>
              <w:top w:val="single" w:sz="4" w:space="0" w:color="auto"/>
              <w:left w:val="nil"/>
              <w:bottom w:val="single" w:sz="4" w:space="0" w:color="auto"/>
              <w:right w:val="single" w:sz="4" w:space="0" w:color="auto"/>
            </w:tcBorders>
            <w:shd w:val="clear" w:color="auto" w:fill="auto"/>
            <w:noWrap/>
            <w:vAlign w:val="bottom"/>
            <w:hideMark/>
          </w:tcPr>
          <w:p w14:paraId="55DF14B8"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5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2AA79D"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LMP ($/MW)</w:t>
            </w:r>
          </w:p>
        </w:tc>
        <w:tc>
          <w:tcPr>
            <w:tcW w:w="2574" w:type="dxa"/>
            <w:gridSpan w:val="6"/>
            <w:tcBorders>
              <w:top w:val="single" w:sz="4" w:space="0" w:color="auto"/>
              <w:left w:val="nil"/>
              <w:bottom w:val="single" w:sz="4" w:space="0" w:color="auto"/>
              <w:right w:val="single" w:sz="4" w:space="0" w:color="auto"/>
            </w:tcBorders>
            <w:shd w:val="clear" w:color="auto" w:fill="auto"/>
            <w:noWrap/>
            <w:vAlign w:val="bottom"/>
            <w:hideMark/>
          </w:tcPr>
          <w:p w14:paraId="016D2AE6"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Generation (MW)</w:t>
            </w:r>
          </w:p>
        </w:tc>
        <w:tc>
          <w:tcPr>
            <w:tcW w:w="48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136C81"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Line1-2</w:t>
            </w:r>
          </w:p>
        </w:tc>
        <w:tc>
          <w:tcPr>
            <w:tcW w:w="48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367E7D"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Line1-3</w:t>
            </w:r>
          </w:p>
        </w:tc>
        <w:tc>
          <w:tcPr>
            <w:tcW w:w="48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9F3663"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Line2-3</w:t>
            </w:r>
          </w:p>
        </w:tc>
        <w:tc>
          <w:tcPr>
            <w:tcW w:w="707" w:type="dxa"/>
            <w:tcBorders>
              <w:top w:val="nil"/>
              <w:left w:val="nil"/>
              <w:bottom w:val="single" w:sz="4" w:space="0" w:color="auto"/>
              <w:right w:val="single" w:sz="4" w:space="0" w:color="auto"/>
            </w:tcBorders>
            <w:shd w:val="clear" w:color="auto" w:fill="auto"/>
            <w:vAlign w:val="bottom"/>
            <w:hideMark/>
          </w:tcPr>
          <w:p w14:paraId="4FF6378D"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 </w:t>
            </w:r>
          </w:p>
        </w:tc>
      </w:tr>
      <w:tr w:rsidR="00646620" w:rsidRPr="00500768" w14:paraId="77D6CE44" w14:textId="77777777" w:rsidTr="00B5388C">
        <w:trPr>
          <w:trHeight w:val="530"/>
        </w:trPr>
        <w:tc>
          <w:tcPr>
            <w:tcW w:w="42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9E017" w14:textId="77777777" w:rsidR="00500768" w:rsidRPr="00500768" w:rsidRDefault="00500768" w:rsidP="00500768">
            <w:pPr>
              <w:rPr>
                <w:rFonts w:ascii="Arial" w:hAnsi="Arial" w:cs="Arial"/>
                <w:color w:val="000000"/>
                <w:sz w:val="12"/>
                <w:szCs w:val="12"/>
              </w:rPr>
            </w:pPr>
            <w:r w:rsidRPr="00500768">
              <w:rPr>
                <w:rFonts w:ascii="Arial" w:hAnsi="Arial" w:cs="Arial"/>
                <w:color w:val="000000"/>
                <w:sz w:val="12"/>
                <w:szCs w:val="12"/>
              </w:rPr>
              <w:t>Hour type</w:t>
            </w:r>
          </w:p>
        </w:tc>
        <w:tc>
          <w:tcPr>
            <w:tcW w:w="587" w:type="dxa"/>
            <w:tcBorders>
              <w:top w:val="nil"/>
              <w:left w:val="nil"/>
              <w:bottom w:val="single" w:sz="4" w:space="0" w:color="auto"/>
              <w:right w:val="single" w:sz="4" w:space="0" w:color="auto"/>
            </w:tcBorders>
            <w:shd w:val="clear" w:color="auto" w:fill="auto"/>
            <w:noWrap/>
            <w:vAlign w:val="bottom"/>
            <w:hideMark/>
          </w:tcPr>
          <w:p w14:paraId="4806A467"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Season</w:t>
            </w:r>
          </w:p>
        </w:tc>
        <w:tc>
          <w:tcPr>
            <w:tcW w:w="702" w:type="dxa"/>
            <w:tcBorders>
              <w:top w:val="nil"/>
              <w:left w:val="nil"/>
              <w:bottom w:val="single" w:sz="4" w:space="0" w:color="auto"/>
              <w:right w:val="single" w:sz="4" w:space="0" w:color="auto"/>
            </w:tcBorders>
            <w:shd w:val="clear" w:color="auto" w:fill="auto"/>
            <w:noWrap/>
            <w:vAlign w:val="center"/>
            <w:hideMark/>
          </w:tcPr>
          <w:p w14:paraId="41DDD949"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Peak</w:t>
            </w:r>
          </w:p>
        </w:tc>
        <w:tc>
          <w:tcPr>
            <w:tcW w:w="317" w:type="dxa"/>
            <w:vMerge/>
            <w:tcBorders>
              <w:top w:val="single" w:sz="4" w:space="0" w:color="auto"/>
              <w:left w:val="single" w:sz="4" w:space="0" w:color="auto"/>
              <w:bottom w:val="single" w:sz="4" w:space="0" w:color="auto"/>
              <w:right w:val="single" w:sz="4" w:space="0" w:color="auto"/>
            </w:tcBorders>
            <w:vAlign w:val="center"/>
            <w:hideMark/>
          </w:tcPr>
          <w:p w14:paraId="76E5A580" w14:textId="77777777" w:rsidR="00500768" w:rsidRPr="00500768" w:rsidRDefault="00500768" w:rsidP="00500768">
            <w:pPr>
              <w:rPr>
                <w:rFonts w:ascii="Arial Narrow" w:hAnsi="Arial Narrow" w:cs="Tahoma"/>
                <w:color w:val="000000"/>
                <w:sz w:val="16"/>
                <w:szCs w:val="16"/>
              </w:rPr>
            </w:pPr>
          </w:p>
        </w:tc>
        <w:tc>
          <w:tcPr>
            <w:tcW w:w="429" w:type="dxa"/>
            <w:tcBorders>
              <w:top w:val="nil"/>
              <w:left w:val="nil"/>
              <w:bottom w:val="single" w:sz="4" w:space="0" w:color="auto"/>
              <w:right w:val="single" w:sz="4" w:space="0" w:color="auto"/>
            </w:tcBorders>
            <w:shd w:val="clear" w:color="auto" w:fill="auto"/>
            <w:noWrap/>
            <w:vAlign w:val="center"/>
            <w:hideMark/>
          </w:tcPr>
          <w:p w14:paraId="630B137D"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G1.1</w:t>
            </w:r>
          </w:p>
        </w:tc>
        <w:tc>
          <w:tcPr>
            <w:tcW w:w="429" w:type="dxa"/>
            <w:tcBorders>
              <w:top w:val="nil"/>
              <w:left w:val="nil"/>
              <w:bottom w:val="single" w:sz="4" w:space="0" w:color="auto"/>
              <w:right w:val="single" w:sz="4" w:space="0" w:color="auto"/>
            </w:tcBorders>
            <w:shd w:val="clear" w:color="auto" w:fill="auto"/>
            <w:noWrap/>
            <w:vAlign w:val="center"/>
            <w:hideMark/>
          </w:tcPr>
          <w:p w14:paraId="3AF78325"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G1.2</w:t>
            </w:r>
          </w:p>
        </w:tc>
        <w:tc>
          <w:tcPr>
            <w:tcW w:w="429" w:type="dxa"/>
            <w:tcBorders>
              <w:top w:val="nil"/>
              <w:left w:val="nil"/>
              <w:bottom w:val="single" w:sz="4" w:space="0" w:color="auto"/>
              <w:right w:val="single" w:sz="4" w:space="0" w:color="auto"/>
            </w:tcBorders>
            <w:shd w:val="clear" w:color="auto" w:fill="auto"/>
            <w:vAlign w:val="center"/>
            <w:hideMark/>
          </w:tcPr>
          <w:p w14:paraId="446EE906"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G1.3</w:t>
            </w:r>
          </w:p>
        </w:tc>
        <w:tc>
          <w:tcPr>
            <w:tcW w:w="429" w:type="dxa"/>
            <w:tcBorders>
              <w:top w:val="nil"/>
              <w:left w:val="nil"/>
              <w:bottom w:val="single" w:sz="4" w:space="0" w:color="auto"/>
              <w:right w:val="single" w:sz="4" w:space="0" w:color="auto"/>
            </w:tcBorders>
            <w:shd w:val="clear" w:color="auto" w:fill="auto"/>
            <w:vAlign w:val="center"/>
            <w:hideMark/>
          </w:tcPr>
          <w:p w14:paraId="6DEE691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G1.4</w:t>
            </w:r>
          </w:p>
        </w:tc>
        <w:tc>
          <w:tcPr>
            <w:tcW w:w="429" w:type="dxa"/>
            <w:tcBorders>
              <w:top w:val="nil"/>
              <w:left w:val="nil"/>
              <w:bottom w:val="single" w:sz="4" w:space="0" w:color="auto"/>
              <w:right w:val="single" w:sz="4" w:space="0" w:color="auto"/>
            </w:tcBorders>
            <w:shd w:val="clear" w:color="auto" w:fill="auto"/>
            <w:noWrap/>
            <w:vAlign w:val="center"/>
            <w:hideMark/>
          </w:tcPr>
          <w:p w14:paraId="6E417B81"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G1.5</w:t>
            </w:r>
          </w:p>
        </w:tc>
        <w:tc>
          <w:tcPr>
            <w:tcW w:w="429" w:type="dxa"/>
            <w:tcBorders>
              <w:top w:val="nil"/>
              <w:left w:val="nil"/>
              <w:bottom w:val="single" w:sz="4" w:space="0" w:color="auto"/>
              <w:right w:val="single" w:sz="4" w:space="0" w:color="auto"/>
            </w:tcBorders>
            <w:shd w:val="clear" w:color="auto" w:fill="auto"/>
            <w:noWrap/>
            <w:vAlign w:val="center"/>
            <w:hideMark/>
          </w:tcPr>
          <w:p w14:paraId="612BE4E5"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G1.6</w:t>
            </w:r>
          </w:p>
        </w:tc>
        <w:tc>
          <w:tcPr>
            <w:tcW w:w="429" w:type="dxa"/>
            <w:tcBorders>
              <w:top w:val="nil"/>
              <w:left w:val="nil"/>
              <w:bottom w:val="single" w:sz="4" w:space="0" w:color="auto"/>
              <w:right w:val="single" w:sz="4" w:space="0" w:color="auto"/>
            </w:tcBorders>
            <w:shd w:val="clear" w:color="auto" w:fill="auto"/>
            <w:vAlign w:val="center"/>
            <w:hideMark/>
          </w:tcPr>
          <w:p w14:paraId="6BF907B8"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G1.7</w:t>
            </w:r>
          </w:p>
        </w:tc>
        <w:tc>
          <w:tcPr>
            <w:tcW w:w="429" w:type="dxa"/>
            <w:tcBorders>
              <w:top w:val="nil"/>
              <w:left w:val="nil"/>
              <w:bottom w:val="single" w:sz="4" w:space="0" w:color="auto"/>
              <w:right w:val="single" w:sz="4" w:space="0" w:color="auto"/>
            </w:tcBorders>
            <w:shd w:val="clear" w:color="auto" w:fill="auto"/>
            <w:vAlign w:val="center"/>
            <w:hideMark/>
          </w:tcPr>
          <w:p w14:paraId="4BAA189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G1.8</w:t>
            </w:r>
          </w:p>
        </w:tc>
        <w:tc>
          <w:tcPr>
            <w:tcW w:w="537" w:type="dxa"/>
            <w:vMerge/>
            <w:tcBorders>
              <w:top w:val="single" w:sz="4" w:space="0" w:color="auto"/>
              <w:left w:val="single" w:sz="4" w:space="0" w:color="auto"/>
              <w:bottom w:val="single" w:sz="4" w:space="0" w:color="auto"/>
              <w:right w:val="single" w:sz="4" w:space="0" w:color="auto"/>
            </w:tcBorders>
            <w:vAlign w:val="center"/>
            <w:hideMark/>
          </w:tcPr>
          <w:p w14:paraId="577DAD9F" w14:textId="77777777" w:rsidR="00500768" w:rsidRPr="00500768" w:rsidRDefault="00500768" w:rsidP="00500768">
            <w:pPr>
              <w:rPr>
                <w:rFonts w:ascii="Arial Narrow" w:hAnsi="Arial Narrow" w:cs="Tahoma"/>
                <w:color w:val="000000"/>
                <w:sz w:val="16"/>
                <w:szCs w:val="16"/>
              </w:rPr>
            </w:pPr>
          </w:p>
        </w:tc>
        <w:tc>
          <w:tcPr>
            <w:tcW w:w="429" w:type="dxa"/>
            <w:tcBorders>
              <w:top w:val="nil"/>
              <w:left w:val="nil"/>
              <w:bottom w:val="single" w:sz="4" w:space="0" w:color="auto"/>
              <w:right w:val="single" w:sz="4" w:space="0" w:color="auto"/>
            </w:tcBorders>
            <w:shd w:val="clear" w:color="auto" w:fill="auto"/>
            <w:noWrap/>
            <w:vAlign w:val="center"/>
            <w:hideMark/>
          </w:tcPr>
          <w:p w14:paraId="0B7A8E06"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G2.1</w:t>
            </w:r>
          </w:p>
        </w:tc>
        <w:tc>
          <w:tcPr>
            <w:tcW w:w="429" w:type="dxa"/>
            <w:tcBorders>
              <w:top w:val="nil"/>
              <w:left w:val="nil"/>
              <w:bottom w:val="single" w:sz="4" w:space="0" w:color="auto"/>
              <w:right w:val="single" w:sz="4" w:space="0" w:color="auto"/>
            </w:tcBorders>
            <w:shd w:val="clear" w:color="auto" w:fill="auto"/>
            <w:noWrap/>
            <w:vAlign w:val="center"/>
            <w:hideMark/>
          </w:tcPr>
          <w:p w14:paraId="77A726D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G2.2</w:t>
            </w:r>
          </w:p>
        </w:tc>
        <w:tc>
          <w:tcPr>
            <w:tcW w:w="429" w:type="dxa"/>
            <w:tcBorders>
              <w:top w:val="nil"/>
              <w:left w:val="nil"/>
              <w:bottom w:val="single" w:sz="4" w:space="0" w:color="auto"/>
              <w:right w:val="single" w:sz="4" w:space="0" w:color="auto"/>
            </w:tcBorders>
            <w:shd w:val="clear" w:color="auto" w:fill="auto"/>
            <w:vAlign w:val="center"/>
            <w:hideMark/>
          </w:tcPr>
          <w:p w14:paraId="6288E0F6"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G2.3</w:t>
            </w:r>
          </w:p>
        </w:tc>
        <w:tc>
          <w:tcPr>
            <w:tcW w:w="429" w:type="dxa"/>
            <w:tcBorders>
              <w:top w:val="nil"/>
              <w:left w:val="nil"/>
              <w:bottom w:val="single" w:sz="4" w:space="0" w:color="auto"/>
              <w:right w:val="single" w:sz="4" w:space="0" w:color="auto"/>
            </w:tcBorders>
            <w:shd w:val="clear" w:color="auto" w:fill="auto"/>
            <w:vAlign w:val="center"/>
            <w:hideMark/>
          </w:tcPr>
          <w:p w14:paraId="382B30AF"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G2.4</w:t>
            </w:r>
          </w:p>
        </w:tc>
        <w:tc>
          <w:tcPr>
            <w:tcW w:w="429" w:type="dxa"/>
            <w:tcBorders>
              <w:top w:val="nil"/>
              <w:left w:val="nil"/>
              <w:bottom w:val="single" w:sz="4" w:space="0" w:color="auto"/>
              <w:right w:val="single" w:sz="4" w:space="0" w:color="auto"/>
            </w:tcBorders>
            <w:shd w:val="clear" w:color="auto" w:fill="auto"/>
            <w:noWrap/>
            <w:vAlign w:val="center"/>
            <w:hideMark/>
          </w:tcPr>
          <w:p w14:paraId="6BF771F4"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G2.5</w:t>
            </w:r>
          </w:p>
        </w:tc>
        <w:tc>
          <w:tcPr>
            <w:tcW w:w="429" w:type="dxa"/>
            <w:tcBorders>
              <w:top w:val="nil"/>
              <w:left w:val="nil"/>
              <w:bottom w:val="single" w:sz="4" w:space="0" w:color="auto"/>
              <w:right w:val="single" w:sz="4" w:space="0" w:color="auto"/>
            </w:tcBorders>
            <w:shd w:val="clear" w:color="auto" w:fill="auto"/>
            <w:noWrap/>
            <w:vAlign w:val="center"/>
            <w:hideMark/>
          </w:tcPr>
          <w:p w14:paraId="0EDB8951"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G2.6</w:t>
            </w:r>
          </w:p>
        </w:tc>
        <w:tc>
          <w:tcPr>
            <w:tcW w:w="537" w:type="dxa"/>
            <w:vMerge/>
            <w:tcBorders>
              <w:top w:val="single" w:sz="4" w:space="0" w:color="auto"/>
              <w:left w:val="single" w:sz="4" w:space="0" w:color="auto"/>
              <w:bottom w:val="single" w:sz="4" w:space="0" w:color="auto"/>
              <w:right w:val="single" w:sz="4" w:space="0" w:color="auto"/>
            </w:tcBorders>
            <w:vAlign w:val="center"/>
            <w:hideMark/>
          </w:tcPr>
          <w:p w14:paraId="172F9CA7" w14:textId="77777777" w:rsidR="00500768" w:rsidRPr="00500768" w:rsidRDefault="00500768" w:rsidP="00500768">
            <w:pPr>
              <w:rPr>
                <w:rFonts w:ascii="Arial Narrow" w:hAnsi="Arial Narrow" w:cs="Tahoma"/>
                <w:color w:val="000000"/>
                <w:sz w:val="16"/>
                <w:szCs w:val="16"/>
              </w:rPr>
            </w:pPr>
          </w:p>
        </w:tc>
        <w:tc>
          <w:tcPr>
            <w:tcW w:w="429" w:type="dxa"/>
            <w:tcBorders>
              <w:top w:val="nil"/>
              <w:left w:val="nil"/>
              <w:bottom w:val="single" w:sz="4" w:space="0" w:color="auto"/>
              <w:right w:val="single" w:sz="4" w:space="0" w:color="auto"/>
            </w:tcBorders>
            <w:shd w:val="clear" w:color="auto" w:fill="auto"/>
            <w:noWrap/>
            <w:vAlign w:val="center"/>
            <w:hideMark/>
          </w:tcPr>
          <w:p w14:paraId="18997D4D"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G3.1</w:t>
            </w:r>
          </w:p>
        </w:tc>
        <w:tc>
          <w:tcPr>
            <w:tcW w:w="429" w:type="dxa"/>
            <w:tcBorders>
              <w:top w:val="nil"/>
              <w:left w:val="nil"/>
              <w:bottom w:val="single" w:sz="4" w:space="0" w:color="auto"/>
              <w:right w:val="single" w:sz="4" w:space="0" w:color="auto"/>
            </w:tcBorders>
            <w:shd w:val="clear" w:color="auto" w:fill="auto"/>
            <w:noWrap/>
            <w:vAlign w:val="center"/>
            <w:hideMark/>
          </w:tcPr>
          <w:p w14:paraId="5368A327"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G3.2</w:t>
            </w:r>
          </w:p>
        </w:tc>
        <w:tc>
          <w:tcPr>
            <w:tcW w:w="429" w:type="dxa"/>
            <w:tcBorders>
              <w:top w:val="nil"/>
              <w:left w:val="nil"/>
              <w:bottom w:val="single" w:sz="4" w:space="0" w:color="auto"/>
              <w:right w:val="single" w:sz="4" w:space="0" w:color="auto"/>
            </w:tcBorders>
            <w:shd w:val="clear" w:color="auto" w:fill="auto"/>
            <w:vAlign w:val="center"/>
            <w:hideMark/>
          </w:tcPr>
          <w:p w14:paraId="7047E12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G3.3</w:t>
            </w:r>
          </w:p>
        </w:tc>
        <w:tc>
          <w:tcPr>
            <w:tcW w:w="429" w:type="dxa"/>
            <w:tcBorders>
              <w:top w:val="nil"/>
              <w:left w:val="nil"/>
              <w:bottom w:val="single" w:sz="4" w:space="0" w:color="auto"/>
              <w:right w:val="single" w:sz="4" w:space="0" w:color="auto"/>
            </w:tcBorders>
            <w:shd w:val="clear" w:color="auto" w:fill="auto"/>
            <w:vAlign w:val="center"/>
            <w:hideMark/>
          </w:tcPr>
          <w:p w14:paraId="1094F0FB"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G3.4</w:t>
            </w:r>
          </w:p>
        </w:tc>
        <w:tc>
          <w:tcPr>
            <w:tcW w:w="429" w:type="dxa"/>
            <w:tcBorders>
              <w:top w:val="nil"/>
              <w:left w:val="nil"/>
              <w:bottom w:val="single" w:sz="4" w:space="0" w:color="auto"/>
              <w:right w:val="single" w:sz="4" w:space="0" w:color="auto"/>
            </w:tcBorders>
            <w:shd w:val="clear" w:color="auto" w:fill="auto"/>
            <w:noWrap/>
            <w:vAlign w:val="center"/>
            <w:hideMark/>
          </w:tcPr>
          <w:p w14:paraId="3CED8B00"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G3.5</w:t>
            </w:r>
          </w:p>
        </w:tc>
        <w:tc>
          <w:tcPr>
            <w:tcW w:w="429" w:type="dxa"/>
            <w:tcBorders>
              <w:top w:val="nil"/>
              <w:left w:val="nil"/>
              <w:bottom w:val="single" w:sz="4" w:space="0" w:color="auto"/>
              <w:right w:val="single" w:sz="4" w:space="0" w:color="auto"/>
            </w:tcBorders>
            <w:shd w:val="clear" w:color="auto" w:fill="auto"/>
            <w:noWrap/>
            <w:vAlign w:val="center"/>
            <w:hideMark/>
          </w:tcPr>
          <w:p w14:paraId="7FFA5337"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G3.6</w:t>
            </w:r>
          </w:p>
        </w:tc>
        <w:tc>
          <w:tcPr>
            <w:tcW w:w="489" w:type="dxa"/>
            <w:vMerge/>
            <w:tcBorders>
              <w:top w:val="nil"/>
              <w:left w:val="single" w:sz="4" w:space="0" w:color="auto"/>
              <w:bottom w:val="single" w:sz="4" w:space="0" w:color="auto"/>
              <w:right w:val="single" w:sz="4" w:space="0" w:color="auto"/>
            </w:tcBorders>
            <w:vAlign w:val="center"/>
            <w:hideMark/>
          </w:tcPr>
          <w:p w14:paraId="41576B7A" w14:textId="77777777" w:rsidR="00500768" w:rsidRPr="00500768" w:rsidRDefault="00500768" w:rsidP="00500768">
            <w:pPr>
              <w:rPr>
                <w:rFonts w:ascii="Arial Narrow" w:hAnsi="Arial Narrow" w:cs="Tahoma"/>
                <w:color w:val="000000"/>
                <w:sz w:val="16"/>
                <w:szCs w:val="16"/>
              </w:rPr>
            </w:pPr>
          </w:p>
        </w:tc>
        <w:tc>
          <w:tcPr>
            <w:tcW w:w="489" w:type="dxa"/>
            <w:vMerge/>
            <w:tcBorders>
              <w:top w:val="nil"/>
              <w:left w:val="single" w:sz="4" w:space="0" w:color="auto"/>
              <w:bottom w:val="single" w:sz="4" w:space="0" w:color="auto"/>
              <w:right w:val="single" w:sz="4" w:space="0" w:color="auto"/>
            </w:tcBorders>
            <w:vAlign w:val="center"/>
            <w:hideMark/>
          </w:tcPr>
          <w:p w14:paraId="51C302F5" w14:textId="77777777" w:rsidR="00500768" w:rsidRPr="00500768" w:rsidRDefault="00500768" w:rsidP="00500768">
            <w:pPr>
              <w:rPr>
                <w:rFonts w:ascii="Arial Narrow" w:hAnsi="Arial Narrow" w:cs="Tahoma"/>
                <w:color w:val="000000"/>
                <w:sz w:val="16"/>
                <w:szCs w:val="16"/>
              </w:rPr>
            </w:pPr>
          </w:p>
        </w:tc>
        <w:tc>
          <w:tcPr>
            <w:tcW w:w="489" w:type="dxa"/>
            <w:vMerge/>
            <w:tcBorders>
              <w:top w:val="nil"/>
              <w:left w:val="single" w:sz="4" w:space="0" w:color="auto"/>
              <w:bottom w:val="single" w:sz="4" w:space="0" w:color="auto"/>
              <w:right w:val="single" w:sz="4" w:space="0" w:color="auto"/>
            </w:tcBorders>
            <w:vAlign w:val="center"/>
            <w:hideMark/>
          </w:tcPr>
          <w:p w14:paraId="41555076" w14:textId="77777777" w:rsidR="00500768" w:rsidRPr="00500768" w:rsidRDefault="00500768" w:rsidP="00500768">
            <w:pPr>
              <w:rPr>
                <w:rFonts w:ascii="Arial Narrow" w:hAnsi="Arial Narrow" w:cs="Tahoma"/>
                <w:color w:val="000000"/>
                <w:sz w:val="16"/>
                <w:szCs w:val="16"/>
              </w:rPr>
            </w:pPr>
          </w:p>
        </w:tc>
        <w:tc>
          <w:tcPr>
            <w:tcW w:w="707" w:type="dxa"/>
            <w:tcBorders>
              <w:top w:val="nil"/>
              <w:left w:val="nil"/>
              <w:bottom w:val="single" w:sz="4" w:space="0" w:color="auto"/>
              <w:right w:val="single" w:sz="4" w:space="0" w:color="auto"/>
            </w:tcBorders>
            <w:shd w:val="clear" w:color="auto" w:fill="auto"/>
            <w:vAlign w:val="bottom"/>
            <w:hideMark/>
          </w:tcPr>
          <w:p w14:paraId="00FCA872" w14:textId="77777777" w:rsidR="00500768" w:rsidRPr="00500768" w:rsidRDefault="00500768" w:rsidP="00500768">
            <w:pPr>
              <w:jc w:val="cente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6BBD1DA7" w14:textId="77777777" w:rsidTr="00B5388C">
        <w:trPr>
          <w:trHeight w:val="250"/>
        </w:trPr>
        <w:tc>
          <w:tcPr>
            <w:tcW w:w="42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6B3F108" w14:textId="77777777" w:rsidR="00B5388C" w:rsidRPr="00500768" w:rsidRDefault="00B5388C" w:rsidP="00B5388C">
            <w:pPr>
              <w:jc w:val="center"/>
              <w:rPr>
                <w:rFonts w:ascii="Arial" w:hAnsi="Arial" w:cs="Arial"/>
                <w:color w:val="000000"/>
                <w:sz w:val="12"/>
                <w:szCs w:val="12"/>
              </w:rPr>
            </w:pPr>
            <w:r w:rsidRPr="00500768">
              <w:rPr>
                <w:rFonts w:ascii="Arial" w:hAnsi="Arial" w:cs="Arial"/>
                <w:color w:val="000000"/>
                <w:sz w:val="12"/>
                <w:szCs w:val="12"/>
              </w:rPr>
              <w:t>Peak</w:t>
            </w:r>
          </w:p>
        </w:tc>
        <w:tc>
          <w:tcPr>
            <w:tcW w:w="587" w:type="dxa"/>
            <w:tcBorders>
              <w:top w:val="nil"/>
              <w:left w:val="nil"/>
              <w:bottom w:val="single" w:sz="4" w:space="0" w:color="auto"/>
              <w:right w:val="single" w:sz="4" w:space="0" w:color="auto"/>
            </w:tcBorders>
            <w:shd w:val="clear" w:color="auto" w:fill="auto"/>
            <w:noWrap/>
            <w:vAlign w:val="center"/>
            <w:hideMark/>
          </w:tcPr>
          <w:p w14:paraId="4032755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Winter</w:t>
            </w:r>
          </w:p>
        </w:tc>
        <w:tc>
          <w:tcPr>
            <w:tcW w:w="702" w:type="dxa"/>
            <w:tcBorders>
              <w:top w:val="nil"/>
              <w:left w:val="nil"/>
              <w:bottom w:val="single" w:sz="4" w:space="0" w:color="auto"/>
              <w:right w:val="single" w:sz="4" w:space="0" w:color="auto"/>
            </w:tcBorders>
            <w:shd w:val="clear" w:color="auto" w:fill="auto"/>
            <w:vAlign w:val="center"/>
            <w:hideMark/>
          </w:tcPr>
          <w:p w14:paraId="6ACC04E9" w14:textId="312CFA94"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29652</w:t>
            </w:r>
          </w:p>
        </w:tc>
        <w:tc>
          <w:tcPr>
            <w:tcW w:w="317" w:type="dxa"/>
            <w:tcBorders>
              <w:top w:val="nil"/>
              <w:left w:val="nil"/>
              <w:bottom w:val="single" w:sz="4" w:space="0" w:color="auto"/>
              <w:right w:val="single" w:sz="4" w:space="0" w:color="auto"/>
            </w:tcBorders>
            <w:shd w:val="clear" w:color="auto" w:fill="auto"/>
            <w:noWrap/>
            <w:vAlign w:val="center"/>
            <w:hideMark/>
          </w:tcPr>
          <w:p w14:paraId="2FE53FF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8D431D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4F89AF2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011F43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BD1C10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8E749D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C079EC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B633FE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5997C50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vAlign w:val="center"/>
            <w:hideMark/>
          </w:tcPr>
          <w:p w14:paraId="2E6D9ED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E73720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DEA3AC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4DDEB68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40CE37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D7EE2D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7D1E65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center"/>
            <w:hideMark/>
          </w:tcPr>
          <w:p w14:paraId="4A7F72D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664D80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5BF5F8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09C17F1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5F363BA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E9C21E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6CD94C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17D070E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3289128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4F97D9F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0F91E9A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4F8C6601"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51279125"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75F80D7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Spring</w:t>
            </w:r>
          </w:p>
        </w:tc>
        <w:tc>
          <w:tcPr>
            <w:tcW w:w="702" w:type="dxa"/>
            <w:tcBorders>
              <w:top w:val="nil"/>
              <w:left w:val="nil"/>
              <w:bottom w:val="single" w:sz="4" w:space="0" w:color="auto"/>
              <w:right w:val="single" w:sz="4" w:space="0" w:color="auto"/>
            </w:tcBorders>
            <w:shd w:val="clear" w:color="auto" w:fill="auto"/>
            <w:vAlign w:val="center"/>
            <w:hideMark/>
          </w:tcPr>
          <w:p w14:paraId="482A2E1B" w14:textId="7D2ADAAF"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30975</w:t>
            </w:r>
          </w:p>
        </w:tc>
        <w:tc>
          <w:tcPr>
            <w:tcW w:w="317" w:type="dxa"/>
            <w:tcBorders>
              <w:top w:val="nil"/>
              <w:left w:val="nil"/>
              <w:bottom w:val="single" w:sz="4" w:space="0" w:color="auto"/>
              <w:right w:val="single" w:sz="4" w:space="0" w:color="auto"/>
            </w:tcBorders>
            <w:shd w:val="clear" w:color="auto" w:fill="auto"/>
            <w:noWrap/>
            <w:vAlign w:val="center"/>
            <w:hideMark/>
          </w:tcPr>
          <w:p w14:paraId="1537968E"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09789C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08D2FA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369A80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760F62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DCF300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07310F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395E3D4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F60AD9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vAlign w:val="center"/>
            <w:hideMark/>
          </w:tcPr>
          <w:p w14:paraId="6AEF946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41D0FA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9EE6A9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A7BCC1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A507E4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D08EBA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5A45C76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center"/>
            <w:hideMark/>
          </w:tcPr>
          <w:p w14:paraId="4200856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909997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051C2D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0BACDD6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01B6282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442F76C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BEC678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674C1EC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6E457A7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7A779CE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59CAAE4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51509DF8"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58322581"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16D5AA5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Summer</w:t>
            </w:r>
          </w:p>
        </w:tc>
        <w:tc>
          <w:tcPr>
            <w:tcW w:w="702" w:type="dxa"/>
            <w:tcBorders>
              <w:top w:val="nil"/>
              <w:left w:val="nil"/>
              <w:bottom w:val="single" w:sz="4" w:space="0" w:color="auto"/>
              <w:right w:val="single" w:sz="4" w:space="0" w:color="auto"/>
            </w:tcBorders>
            <w:shd w:val="clear" w:color="auto" w:fill="auto"/>
            <w:vAlign w:val="center"/>
            <w:hideMark/>
          </w:tcPr>
          <w:p w14:paraId="1DF4BBB3" w14:textId="5B398A59"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33567</w:t>
            </w:r>
          </w:p>
        </w:tc>
        <w:tc>
          <w:tcPr>
            <w:tcW w:w="317" w:type="dxa"/>
            <w:tcBorders>
              <w:top w:val="nil"/>
              <w:left w:val="nil"/>
              <w:bottom w:val="single" w:sz="4" w:space="0" w:color="auto"/>
              <w:right w:val="single" w:sz="4" w:space="0" w:color="auto"/>
            </w:tcBorders>
            <w:shd w:val="clear" w:color="auto" w:fill="auto"/>
            <w:noWrap/>
            <w:vAlign w:val="center"/>
            <w:hideMark/>
          </w:tcPr>
          <w:p w14:paraId="50D191A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2CE76E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5B4930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4B7A1B5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267876C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670BE4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5E3F8BE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46E79B2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3E37E66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vAlign w:val="center"/>
            <w:hideMark/>
          </w:tcPr>
          <w:p w14:paraId="018F0950"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764FA4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7E198A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14AA52CE"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537604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87593E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1B703E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center"/>
            <w:hideMark/>
          </w:tcPr>
          <w:p w14:paraId="151D23E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19F772A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44F5E4FB"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285E3E2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42828D1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56BBD6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14D7FD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052E452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5B1EDDA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4A2A214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4D4B002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591DEAD1"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1CC924D6"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6B96F53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Fall</w:t>
            </w:r>
          </w:p>
        </w:tc>
        <w:tc>
          <w:tcPr>
            <w:tcW w:w="702" w:type="dxa"/>
            <w:tcBorders>
              <w:top w:val="nil"/>
              <w:left w:val="nil"/>
              <w:bottom w:val="single" w:sz="4" w:space="0" w:color="auto"/>
              <w:right w:val="single" w:sz="4" w:space="0" w:color="auto"/>
            </w:tcBorders>
            <w:shd w:val="clear" w:color="auto" w:fill="auto"/>
            <w:vAlign w:val="center"/>
            <w:hideMark/>
          </w:tcPr>
          <w:p w14:paraId="194B1AA7" w14:textId="67D772E1"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32675</w:t>
            </w:r>
          </w:p>
        </w:tc>
        <w:tc>
          <w:tcPr>
            <w:tcW w:w="317" w:type="dxa"/>
            <w:tcBorders>
              <w:top w:val="nil"/>
              <w:left w:val="nil"/>
              <w:bottom w:val="single" w:sz="4" w:space="0" w:color="auto"/>
              <w:right w:val="single" w:sz="4" w:space="0" w:color="auto"/>
            </w:tcBorders>
            <w:shd w:val="clear" w:color="auto" w:fill="auto"/>
            <w:noWrap/>
            <w:vAlign w:val="center"/>
            <w:hideMark/>
          </w:tcPr>
          <w:p w14:paraId="714A24F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44786587"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59DBD192"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103AC9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5014C43"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DD788A4"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50A207C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7310E4B5"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6A22F34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vAlign w:val="center"/>
            <w:hideMark/>
          </w:tcPr>
          <w:p w14:paraId="59DBF0FD"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5B8FFF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540695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13161ACE"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520F0F66"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26CEAF99"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62333781"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center"/>
            <w:hideMark/>
          </w:tcPr>
          <w:p w14:paraId="61E52F2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304F869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5EC6138"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085A8AEC"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vAlign w:val="center"/>
            <w:hideMark/>
          </w:tcPr>
          <w:p w14:paraId="149030AA"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7AA7B4AF"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center"/>
            <w:hideMark/>
          </w:tcPr>
          <w:p w14:paraId="0ECB8FFE" w14:textId="77777777" w:rsidR="00B5388C" w:rsidRPr="00500768" w:rsidRDefault="00B5388C" w:rsidP="00B5388C">
            <w:pPr>
              <w:jc w:val="right"/>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325FC4D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1F0F1D1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21DC8D1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251CB37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057A32F9" w14:textId="77777777" w:rsidTr="00B5388C">
        <w:trPr>
          <w:trHeight w:val="250"/>
        </w:trPr>
        <w:tc>
          <w:tcPr>
            <w:tcW w:w="42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BC6472A" w14:textId="77777777" w:rsidR="00B5388C" w:rsidRPr="00500768" w:rsidRDefault="00B5388C" w:rsidP="00B5388C">
            <w:pPr>
              <w:jc w:val="center"/>
              <w:rPr>
                <w:rFonts w:ascii="Arial" w:hAnsi="Arial" w:cs="Arial"/>
                <w:color w:val="000000"/>
                <w:sz w:val="12"/>
                <w:szCs w:val="12"/>
              </w:rPr>
            </w:pPr>
            <w:r w:rsidRPr="00500768">
              <w:rPr>
                <w:rFonts w:ascii="Arial" w:hAnsi="Arial" w:cs="Arial"/>
                <w:color w:val="000000"/>
                <w:sz w:val="12"/>
                <w:szCs w:val="12"/>
              </w:rPr>
              <w:t>Off</w:t>
            </w:r>
          </w:p>
        </w:tc>
        <w:tc>
          <w:tcPr>
            <w:tcW w:w="587" w:type="dxa"/>
            <w:tcBorders>
              <w:top w:val="nil"/>
              <w:left w:val="nil"/>
              <w:bottom w:val="single" w:sz="4" w:space="0" w:color="auto"/>
              <w:right w:val="single" w:sz="4" w:space="0" w:color="auto"/>
            </w:tcBorders>
            <w:shd w:val="clear" w:color="auto" w:fill="auto"/>
            <w:noWrap/>
            <w:vAlign w:val="center"/>
            <w:hideMark/>
          </w:tcPr>
          <w:p w14:paraId="30A4FE0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Winter</w:t>
            </w:r>
          </w:p>
        </w:tc>
        <w:tc>
          <w:tcPr>
            <w:tcW w:w="702" w:type="dxa"/>
            <w:tcBorders>
              <w:top w:val="nil"/>
              <w:left w:val="nil"/>
              <w:bottom w:val="single" w:sz="4" w:space="0" w:color="auto"/>
              <w:right w:val="single" w:sz="4" w:space="0" w:color="auto"/>
            </w:tcBorders>
            <w:shd w:val="clear" w:color="auto" w:fill="auto"/>
            <w:vAlign w:val="center"/>
            <w:hideMark/>
          </w:tcPr>
          <w:p w14:paraId="44B268C6" w14:textId="0BE017AE"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27163</w:t>
            </w:r>
          </w:p>
        </w:tc>
        <w:tc>
          <w:tcPr>
            <w:tcW w:w="317" w:type="dxa"/>
            <w:tcBorders>
              <w:top w:val="nil"/>
              <w:left w:val="nil"/>
              <w:bottom w:val="single" w:sz="4" w:space="0" w:color="auto"/>
              <w:right w:val="single" w:sz="4" w:space="0" w:color="auto"/>
            </w:tcBorders>
            <w:shd w:val="clear" w:color="auto" w:fill="auto"/>
            <w:noWrap/>
            <w:vAlign w:val="bottom"/>
            <w:hideMark/>
          </w:tcPr>
          <w:p w14:paraId="0B6A550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94D23B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F5F2CF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14C0C1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D79AA6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F8ADA2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CE0E95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B652F4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3D4CF1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461902F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893895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F08664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048C14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22BBAE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2AEF2C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CA4D6F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6AD6D82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F2F52F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58FB9C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5D8046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B2CD05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141379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DFDF56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32BCDCB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126D3AD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03763CF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6A0CBB4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3BC7E866"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3C021E33"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384D56A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Spring</w:t>
            </w:r>
          </w:p>
        </w:tc>
        <w:tc>
          <w:tcPr>
            <w:tcW w:w="702" w:type="dxa"/>
            <w:tcBorders>
              <w:top w:val="nil"/>
              <w:left w:val="nil"/>
              <w:bottom w:val="single" w:sz="4" w:space="0" w:color="auto"/>
              <w:right w:val="single" w:sz="4" w:space="0" w:color="auto"/>
            </w:tcBorders>
            <w:shd w:val="clear" w:color="auto" w:fill="auto"/>
            <w:vAlign w:val="center"/>
            <w:hideMark/>
          </w:tcPr>
          <w:p w14:paraId="0A02337E" w14:textId="2706E92E"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28917</w:t>
            </w:r>
          </w:p>
        </w:tc>
        <w:tc>
          <w:tcPr>
            <w:tcW w:w="317" w:type="dxa"/>
            <w:tcBorders>
              <w:top w:val="nil"/>
              <w:left w:val="nil"/>
              <w:bottom w:val="single" w:sz="4" w:space="0" w:color="auto"/>
              <w:right w:val="single" w:sz="4" w:space="0" w:color="auto"/>
            </w:tcBorders>
            <w:shd w:val="clear" w:color="auto" w:fill="auto"/>
            <w:noWrap/>
            <w:vAlign w:val="bottom"/>
            <w:hideMark/>
          </w:tcPr>
          <w:p w14:paraId="117E0EB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C064C5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8AB1CE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781142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DEED92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F0DCE3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FABEE8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1EAFB9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EC20F5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65D36DB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B2633D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3A0B2A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6F3676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2D271A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E5EAC9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11115E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3781E3A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D0697F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101B27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927FB6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DE4BAD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AE1BAA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0C36B7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13FFA94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520EB16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18B9CD9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2B10BA4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3AD1C604"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7F2B7561"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414312C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Summer</w:t>
            </w:r>
          </w:p>
        </w:tc>
        <w:tc>
          <w:tcPr>
            <w:tcW w:w="702" w:type="dxa"/>
            <w:tcBorders>
              <w:top w:val="nil"/>
              <w:left w:val="nil"/>
              <w:bottom w:val="single" w:sz="4" w:space="0" w:color="auto"/>
              <w:right w:val="single" w:sz="4" w:space="0" w:color="auto"/>
            </w:tcBorders>
            <w:shd w:val="clear" w:color="auto" w:fill="auto"/>
            <w:vAlign w:val="center"/>
            <w:hideMark/>
          </w:tcPr>
          <w:p w14:paraId="45337484" w14:textId="71F18C8D"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31191</w:t>
            </w:r>
          </w:p>
        </w:tc>
        <w:tc>
          <w:tcPr>
            <w:tcW w:w="317" w:type="dxa"/>
            <w:tcBorders>
              <w:top w:val="nil"/>
              <w:left w:val="nil"/>
              <w:bottom w:val="single" w:sz="4" w:space="0" w:color="auto"/>
              <w:right w:val="single" w:sz="4" w:space="0" w:color="auto"/>
            </w:tcBorders>
            <w:shd w:val="clear" w:color="auto" w:fill="auto"/>
            <w:noWrap/>
            <w:vAlign w:val="bottom"/>
            <w:hideMark/>
          </w:tcPr>
          <w:p w14:paraId="6209D63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E6B521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6394E5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F7E4CF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B5BB43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81E627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0B3AAF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7B2DA1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36570B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15A1B89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83453F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A874C3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384512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62AC16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149692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853B88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6EDA4E0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7F07DF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01C7C43"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FD7FDE5"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C33EED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F5F88B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F0D058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219A3AE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34D36DF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2E2F5F39"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6A64DF2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B5388C" w:rsidRPr="00500768" w14:paraId="50A4FDBD" w14:textId="77777777" w:rsidTr="00B5388C">
        <w:trPr>
          <w:trHeight w:val="250"/>
        </w:trPr>
        <w:tc>
          <w:tcPr>
            <w:tcW w:w="421" w:type="dxa"/>
            <w:vMerge/>
            <w:tcBorders>
              <w:top w:val="nil"/>
              <w:left w:val="single" w:sz="4" w:space="0" w:color="auto"/>
              <w:bottom w:val="single" w:sz="4" w:space="0" w:color="000000"/>
              <w:right w:val="single" w:sz="4" w:space="0" w:color="auto"/>
            </w:tcBorders>
            <w:vAlign w:val="center"/>
            <w:hideMark/>
          </w:tcPr>
          <w:p w14:paraId="1CA6620B" w14:textId="77777777" w:rsidR="00B5388C" w:rsidRPr="00500768" w:rsidRDefault="00B5388C" w:rsidP="00B5388C">
            <w:pPr>
              <w:rPr>
                <w:rFonts w:ascii="Arial" w:hAnsi="Arial" w:cs="Arial"/>
                <w:color w:val="000000"/>
                <w:sz w:val="12"/>
                <w:szCs w:val="12"/>
              </w:rPr>
            </w:pPr>
          </w:p>
        </w:tc>
        <w:tc>
          <w:tcPr>
            <w:tcW w:w="587" w:type="dxa"/>
            <w:tcBorders>
              <w:top w:val="nil"/>
              <w:left w:val="nil"/>
              <w:bottom w:val="single" w:sz="4" w:space="0" w:color="auto"/>
              <w:right w:val="single" w:sz="4" w:space="0" w:color="auto"/>
            </w:tcBorders>
            <w:shd w:val="clear" w:color="auto" w:fill="auto"/>
            <w:noWrap/>
            <w:vAlign w:val="center"/>
            <w:hideMark/>
          </w:tcPr>
          <w:p w14:paraId="360C0AA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Fall</w:t>
            </w:r>
          </w:p>
        </w:tc>
        <w:tc>
          <w:tcPr>
            <w:tcW w:w="702" w:type="dxa"/>
            <w:tcBorders>
              <w:top w:val="nil"/>
              <w:left w:val="nil"/>
              <w:bottom w:val="single" w:sz="4" w:space="0" w:color="auto"/>
              <w:right w:val="single" w:sz="4" w:space="0" w:color="auto"/>
            </w:tcBorders>
            <w:shd w:val="clear" w:color="auto" w:fill="auto"/>
            <w:vAlign w:val="center"/>
            <w:hideMark/>
          </w:tcPr>
          <w:p w14:paraId="070072AC" w14:textId="45245F16" w:rsidR="00B5388C" w:rsidRPr="00B5388C" w:rsidRDefault="00B5388C" w:rsidP="00B5388C">
            <w:pPr>
              <w:jc w:val="right"/>
              <w:rPr>
                <w:rFonts w:ascii="Arial Narrow" w:hAnsi="Arial Narrow" w:cs="Tahoma"/>
                <w:color w:val="000000"/>
                <w:sz w:val="14"/>
                <w:szCs w:val="14"/>
                <w:highlight w:val="yellow"/>
              </w:rPr>
            </w:pPr>
            <w:r w:rsidRPr="00B5388C">
              <w:rPr>
                <w:rFonts w:ascii="Calibri" w:hAnsi="Calibri" w:cs="Calibri"/>
                <w:color w:val="000000"/>
                <w:sz w:val="14"/>
                <w:szCs w:val="14"/>
                <w:highlight w:val="yellow"/>
              </w:rPr>
              <w:t>29557</w:t>
            </w:r>
          </w:p>
        </w:tc>
        <w:tc>
          <w:tcPr>
            <w:tcW w:w="317" w:type="dxa"/>
            <w:tcBorders>
              <w:top w:val="nil"/>
              <w:left w:val="nil"/>
              <w:bottom w:val="single" w:sz="4" w:space="0" w:color="auto"/>
              <w:right w:val="single" w:sz="4" w:space="0" w:color="auto"/>
            </w:tcBorders>
            <w:shd w:val="clear" w:color="auto" w:fill="auto"/>
            <w:noWrap/>
            <w:vAlign w:val="bottom"/>
            <w:hideMark/>
          </w:tcPr>
          <w:p w14:paraId="373BDC1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0E77539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12CFB88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5E5FA1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2B90EC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079369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52F5B0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4C4DDA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F78715D"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0AA1D607"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D9C8AD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7986E15F"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680EB2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ACB0C5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AA459A4"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4E0FB6B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537" w:type="dxa"/>
            <w:tcBorders>
              <w:top w:val="nil"/>
              <w:left w:val="nil"/>
              <w:bottom w:val="single" w:sz="4" w:space="0" w:color="auto"/>
              <w:right w:val="single" w:sz="4" w:space="0" w:color="auto"/>
            </w:tcBorders>
            <w:shd w:val="clear" w:color="auto" w:fill="auto"/>
            <w:noWrap/>
            <w:vAlign w:val="bottom"/>
            <w:hideMark/>
          </w:tcPr>
          <w:p w14:paraId="4BE1E8B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4A9AAF1"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C0FC00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3347D77E"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6622C0BB"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5E48BC78"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29" w:type="dxa"/>
            <w:tcBorders>
              <w:top w:val="nil"/>
              <w:left w:val="nil"/>
              <w:bottom w:val="single" w:sz="4" w:space="0" w:color="auto"/>
              <w:right w:val="single" w:sz="4" w:space="0" w:color="auto"/>
            </w:tcBorders>
            <w:shd w:val="clear" w:color="auto" w:fill="auto"/>
            <w:noWrap/>
            <w:vAlign w:val="bottom"/>
            <w:hideMark/>
          </w:tcPr>
          <w:p w14:paraId="27732F12"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08E19976"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51C90820"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28499FAC"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2B7F607A" w14:textId="77777777" w:rsidR="00B5388C" w:rsidRPr="00500768" w:rsidRDefault="00B5388C" w:rsidP="00B5388C">
            <w:pPr>
              <w:rPr>
                <w:rFonts w:ascii="Arial Narrow" w:hAnsi="Arial Narrow" w:cs="Tahoma"/>
                <w:color w:val="000000"/>
                <w:sz w:val="16"/>
                <w:szCs w:val="16"/>
              </w:rPr>
            </w:pPr>
            <w:r w:rsidRPr="00500768">
              <w:rPr>
                <w:rFonts w:ascii="Arial Narrow" w:hAnsi="Arial Narrow" w:cs="Tahoma"/>
                <w:color w:val="000000"/>
                <w:sz w:val="16"/>
                <w:szCs w:val="16"/>
              </w:rPr>
              <w:t> </w:t>
            </w:r>
          </w:p>
        </w:tc>
      </w:tr>
      <w:tr w:rsidR="00646620" w:rsidRPr="00500768" w14:paraId="6E7CD361" w14:textId="77777777" w:rsidTr="00B5388C">
        <w:trPr>
          <w:trHeight w:val="250"/>
        </w:trPr>
        <w:tc>
          <w:tcPr>
            <w:tcW w:w="171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A71832"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generator profits ($/MW)</w:t>
            </w:r>
          </w:p>
        </w:tc>
        <w:tc>
          <w:tcPr>
            <w:tcW w:w="317" w:type="dxa"/>
            <w:tcBorders>
              <w:top w:val="nil"/>
              <w:left w:val="nil"/>
              <w:bottom w:val="single" w:sz="4" w:space="0" w:color="auto"/>
              <w:right w:val="single" w:sz="4" w:space="0" w:color="auto"/>
            </w:tcBorders>
            <w:shd w:val="clear" w:color="auto" w:fill="auto"/>
            <w:noWrap/>
            <w:vAlign w:val="bottom"/>
            <w:hideMark/>
          </w:tcPr>
          <w:p w14:paraId="79581C83"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444AD270"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0577EE7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6504855A"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797CAF06"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3F537782"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001C99A9"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643F9D4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7782293A"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537" w:type="dxa"/>
            <w:tcBorders>
              <w:top w:val="nil"/>
              <w:left w:val="nil"/>
              <w:bottom w:val="single" w:sz="4" w:space="0" w:color="auto"/>
              <w:right w:val="single" w:sz="4" w:space="0" w:color="auto"/>
            </w:tcBorders>
            <w:shd w:val="clear" w:color="auto" w:fill="auto"/>
            <w:noWrap/>
            <w:vAlign w:val="bottom"/>
            <w:hideMark/>
          </w:tcPr>
          <w:p w14:paraId="57747C4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2AD059F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1618AFC7"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4C1C249B"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6EB53ACD"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399DCB46"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758C1F8F"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537" w:type="dxa"/>
            <w:tcBorders>
              <w:top w:val="nil"/>
              <w:left w:val="nil"/>
              <w:bottom w:val="single" w:sz="4" w:space="0" w:color="auto"/>
              <w:right w:val="single" w:sz="4" w:space="0" w:color="auto"/>
            </w:tcBorders>
            <w:shd w:val="clear" w:color="auto" w:fill="auto"/>
            <w:noWrap/>
            <w:vAlign w:val="bottom"/>
            <w:hideMark/>
          </w:tcPr>
          <w:p w14:paraId="1BA396B4"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6DD944A4"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432B2BD5"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6A3D65B7"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5074076E"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0E4DDAA9"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29" w:type="dxa"/>
            <w:tcBorders>
              <w:top w:val="nil"/>
              <w:left w:val="nil"/>
              <w:bottom w:val="single" w:sz="4" w:space="0" w:color="auto"/>
              <w:right w:val="single" w:sz="4" w:space="0" w:color="auto"/>
            </w:tcBorders>
            <w:shd w:val="clear" w:color="auto" w:fill="auto"/>
            <w:noWrap/>
            <w:vAlign w:val="bottom"/>
            <w:hideMark/>
          </w:tcPr>
          <w:p w14:paraId="5BCA34BF" w14:textId="77777777" w:rsidR="00500768" w:rsidRPr="00500768" w:rsidRDefault="00500768" w:rsidP="00500768">
            <w:pPr>
              <w:rPr>
                <w:rFonts w:ascii="Tahoma" w:hAnsi="Tahoma" w:cs="Tahoma"/>
                <w:color w:val="000000"/>
                <w:sz w:val="20"/>
                <w:szCs w:val="20"/>
              </w:rPr>
            </w:pPr>
            <w:r w:rsidRPr="00500768">
              <w:rPr>
                <w:rFonts w:ascii="Tahoma" w:hAnsi="Tahoma" w:cs="Tahoma"/>
                <w:color w:val="000000"/>
                <w:sz w:val="20"/>
                <w:szCs w:val="20"/>
              </w:rPr>
              <w:t> </w:t>
            </w:r>
          </w:p>
        </w:tc>
        <w:tc>
          <w:tcPr>
            <w:tcW w:w="489" w:type="dxa"/>
            <w:tcBorders>
              <w:top w:val="nil"/>
              <w:left w:val="nil"/>
              <w:bottom w:val="single" w:sz="4" w:space="0" w:color="auto"/>
              <w:right w:val="single" w:sz="4" w:space="0" w:color="auto"/>
            </w:tcBorders>
            <w:shd w:val="clear" w:color="auto" w:fill="auto"/>
            <w:noWrap/>
            <w:vAlign w:val="bottom"/>
            <w:hideMark/>
          </w:tcPr>
          <w:p w14:paraId="77567BCB"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4BD816FA"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489" w:type="dxa"/>
            <w:tcBorders>
              <w:top w:val="nil"/>
              <w:left w:val="nil"/>
              <w:bottom w:val="single" w:sz="4" w:space="0" w:color="auto"/>
              <w:right w:val="single" w:sz="4" w:space="0" w:color="auto"/>
            </w:tcBorders>
            <w:shd w:val="clear" w:color="auto" w:fill="auto"/>
            <w:noWrap/>
            <w:vAlign w:val="bottom"/>
            <w:hideMark/>
          </w:tcPr>
          <w:p w14:paraId="3BF654F4"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c>
          <w:tcPr>
            <w:tcW w:w="707" w:type="dxa"/>
            <w:tcBorders>
              <w:top w:val="nil"/>
              <w:left w:val="nil"/>
              <w:bottom w:val="single" w:sz="4" w:space="0" w:color="auto"/>
              <w:right w:val="single" w:sz="4" w:space="0" w:color="auto"/>
            </w:tcBorders>
            <w:shd w:val="clear" w:color="auto" w:fill="auto"/>
            <w:noWrap/>
            <w:vAlign w:val="bottom"/>
            <w:hideMark/>
          </w:tcPr>
          <w:p w14:paraId="7425F033" w14:textId="77777777" w:rsidR="00500768" w:rsidRPr="00500768" w:rsidRDefault="00500768" w:rsidP="00500768">
            <w:pPr>
              <w:rPr>
                <w:rFonts w:ascii="Arial Narrow" w:hAnsi="Arial Narrow" w:cs="Tahoma"/>
                <w:color w:val="000000"/>
                <w:sz w:val="16"/>
                <w:szCs w:val="16"/>
              </w:rPr>
            </w:pPr>
            <w:r w:rsidRPr="00500768">
              <w:rPr>
                <w:rFonts w:ascii="Arial Narrow" w:hAnsi="Arial Narrow" w:cs="Tahoma"/>
                <w:color w:val="000000"/>
                <w:sz w:val="16"/>
                <w:szCs w:val="16"/>
              </w:rPr>
              <w:t> </w:t>
            </w:r>
          </w:p>
        </w:tc>
      </w:tr>
    </w:tbl>
    <w:p w14:paraId="13C7CFC6" w14:textId="1EC70E12" w:rsidR="001A7D3D" w:rsidRPr="00646620" w:rsidRDefault="004316B3" w:rsidP="001A7D3D">
      <w:pPr>
        <w:tabs>
          <w:tab w:val="right" w:pos="9360"/>
        </w:tabs>
        <w:rPr>
          <w:b/>
          <w:bCs/>
        </w:rPr>
      </w:pPr>
      <w:r w:rsidRPr="00646620">
        <w:rPr>
          <w:b/>
          <w:bCs/>
        </w:rPr>
        <w:lastRenderedPageBreak/>
        <w:t xml:space="preserve">Some useful </w:t>
      </w:r>
      <w:r w:rsidR="001A7D3D" w:rsidRPr="00646620">
        <w:rPr>
          <w:b/>
          <w:bCs/>
        </w:rPr>
        <w:t>information about the system:</w:t>
      </w:r>
    </w:p>
    <w:p w14:paraId="737AACC7" w14:textId="77777777" w:rsidR="001A7D3D" w:rsidRDefault="001A7D3D" w:rsidP="001A7D3D">
      <w:pPr>
        <w:tabs>
          <w:tab w:val="right" w:pos="9360"/>
        </w:tabs>
      </w:pPr>
    </w:p>
    <w:p w14:paraId="444343EE" w14:textId="77777777" w:rsidR="001A7D3D" w:rsidRPr="00F02957" w:rsidRDefault="001A7D3D" w:rsidP="001A7D3D">
      <w:pPr>
        <w:numPr>
          <w:ilvl w:val="0"/>
          <w:numId w:val="6"/>
        </w:numPr>
        <w:rPr>
          <w:color w:val="0E101A"/>
        </w:rPr>
      </w:pPr>
      <w:r w:rsidRPr="00F02957">
        <w:rPr>
          <w:color w:val="0E101A"/>
        </w:rPr>
        <w:t>Nuclear Power:</w:t>
      </w:r>
    </w:p>
    <w:p w14:paraId="6391E231" w14:textId="44B3241E" w:rsidR="001A7D3D" w:rsidRPr="00F02957" w:rsidRDefault="001A7D3D" w:rsidP="001A7D3D">
      <w:pPr>
        <w:rPr>
          <w:color w:val="0E101A"/>
        </w:rPr>
      </w:pPr>
      <w:r w:rsidRPr="00F02957">
        <w:rPr>
          <w:color w:val="0E101A"/>
        </w:rPr>
        <w:t>To stay operational beyond 202</w:t>
      </w:r>
      <w:r w:rsidR="004316B3">
        <w:rPr>
          <w:color w:val="0E101A"/>
        </w:rPr>
        <w:t>3</w:t>
      </w:r>
      <w:r w:rsidRPr="00F02957">
        <w:rPr>
          <w:color w:val="0E101A"/>
        </w:rPr>
        <w:t xml:space="preserve"> (and until 2050), the nuclear power plants in </w:t>
      </w:r>
      <w:proofErr w:type="spellStart"/>
      <w:r w:rsidRPr="00F02957">
        <w:rPr>
          <w:color w:val="0E101A"/>
        </w:rPr>
        <w:t>NicIso</w:t>
      </w:r>
      <w:proofErr w:type="spellEnd"/>
      <w:r w:rsidRPr="00F02957">
        <w:rPr>
          <w:color w:val="0E101A"/>
        </w:rPr>
        <w:t xml:space="preserve"> require maintenance that would cost a total of $1,000/kW of capacity. The maintenance work would be completed during the regular spring shutdowns. It would reduce the available Nuclear Power generation capacity during spring by 50% during the first five years (202</w:t>
      </w:r>
      <w:r w:rsidR="004316B3">
        <w:rPr>
          <w:color w:val="0E101A"/>
        </w:rPr>
        <w:t>3</w:t>
      </w:r>
      <w:r w:rsidRPr="00F02957">
        <w:rPr>
          <w:color w:val="0E101A"/>
        </w:rPr>
        <w:t>, 202</w:t>
      </w:r>
      <w:r w:rsidR="004316B3">
        <w:rPr>
          <w:color w:val="0E101A"/>
        </w:rPr>
        <w:t>4</w:t>
      </w:r>
      <w:r w:rsidRPr="00F02957">
        <w:rPr>
          <w:color w:val="0E101A"/>
        </w:rPr>
        <w:t>, 202</w:t>
      </w:r>
      <w:r w:rsidR="004316B3">
        <w:rPr>
          <w:color w:val="0E101A"/>
        </w:rPr>
        <w:t>5</w:t>
      </w:r>
      <w:r w:rsidRPr="00F02957">
        <w:rPr>
          <w:color w:val="0E101A"/>
        </w:rPr>
        <w:t>, 202</w:t>
      </w:r>
      <w:r w:rsidR="004316B3">
        <w:rPr>
          <w:color w:val="0E101A"/>
        </w:rPr>
        <w:t>6</w:t>
      </w:r>
      <w:r w:rsidRPr="00F02957">
        <w:rPr>
          <w:color w:val="0E101A"/>
        </w:rPr>
        <w:t>) and then only by 10%. </w:t>
      </w:r>
    </w:p>
    <w:p w14:paraId="6E9F5EBE" w14:textId="77777777" w:rsidR="001A7D3D" w:rsidRDefault="001A7D3D" w:rsidP="001A7D3D">
      <w:pPr>
        <w:tabs>
          <w:tab w:val="right" w:pos="9360"/>
        </w:tabs>
      </w:pPr>
      <w:r>
        <w:t xml:space="preserve"> </w:t>
      </w:r>
    </w:p>
    <w:p w14:paraId="7302A345" w14:textId="5B7ABE17" w:rsidR="001A7D3D" w:rsidRDefault="001A7D3D" w:rsidP="00D46C7D">
      <w:pPr>
        <w:pStyle w:val="ListParagraph"/>
        <w:numPr>
          <w:ilvl w:val="0"/>
          <w:numId w:val="6"/>
        </w:numPr>
        <w:tabs>
          <w:tab w:val="right" w:pos="9360"/>
        </w:tabs>
      </w:pPr>
      <w:r>
        <w:t>Renewable energy:</w:t>
      </w:r>
    </w:p>
    <w:p w14:paraId="473E7ED5" w14:textId="0ADC724C" w:rsidR="001A7D3D" w:rsidRDefault="001A7D3D" w:rsidP="001A7D3D">
      <w:pPr>
        <w:tabs>
          <w:tab w:val="right" w:pos="9360"/>
        </w:tabs>
      </w:pPr>
      <w:r w:rsidRPr="003E3471">
        <w:rPr>
          <w:u w:val="single"/>
        </w:rPr>
        <w:t>Utility-scale solar PV:</w:t>
      </w:r>
      <w:r>
        <w:t xml:space="preserve"> </w:t>
      </w:r>
      <w:proofErr w:type="spellStart"/>
      <w:r w:rsidR="00AC3028">
        <w:t>NicLand</w:t>
      </w:r>
      <w:proofErr w:type="spellEnd"/>
      <w:r>
        <w:t xml:space="preserve"> has a total of 650 utility-scale solar PV facilities with a combined name plate capacity of </w:t>
      </w:r>
      <w:r w:rsidRPr="00C31383">
        <w:t>4,834 MW</w:t>
      </w:r>
      <w:r>
        <w:t>. The installed capacity of these facilities ranges between 1 and 100 MW, and the average is 7.4 MW. Data on the combined solar PV generation during 202</w:t>
      </w:r>
      <w:r w:rsidR="004325FC" w:rsidRPr="004325FC">
        <w:rPr>
          <w:highlight w:val="yellow"/>
        </w:rPr>
        <w:t>1</w:t>
      </w:r>
      <w:r>
        <w:t xml:space="preserve"> and the day-ahead forecast is available in the spreadsheet </w:t>
      </w:r>
      <w:r w:rsidRPr="001B37DB">
        <w:t>A11-NicIso-PV hourly production</w:t>
      </w:r>
      <w:r>
        <w:t xml:space="preserve"> and forecast current</w:t>
      </w:r>
      <w:r w:rsidR="006A67A5" w:rsidRPr="00D86F08">
        <w:rPr>
          <w:highlight w:val="yellow"/>
        </w:rPr>
        <w:t>-S2022</w:t>
      </w:r>
      <w:r w:rsidRPr="001B37DB">
        <w:t>.xlsx</w:t>
      </w:r>
      <w:r>
        <w:t xml:space="preserve">.  The PV facilities are equally distributed across the three </w:t>
      </w:r>
      <w:r w:rsidR="004316B3">
        <w:t>buses,</w:t>
      </w:r>
      <w:r>
        <w:t xml:space="preserve"> and it is acceptable to assume that the variability and uncertainty on PV production are identical for the three regions. </w:t>
      </w:r>
    </w:p>
    <w:p w14:paraId="43949974" w14:textId="56E4325A" w:rsidR="001A7D3D" w:rsidRDefault="00AC3028" w:rsidP="001A7D3D">
      <w:pPr>
        <w:tabs>
          <w:tab w:val="right" w:pos="9360"/>
        </w:tabs>
      </w:pPr>
      <w:proofErr w:type="spellStart"/>
      <w:r>
        <w:t>NicLand</w:t>
      </w:r>
      <w:proofErr w:type="spellEnd"/>
      <w:r w:rsidR="001A7D3D">
        <w:t xml:space="preserve"> investors are considering the installation of other PV solar energy centers. Although land near buses 2 and 3 is expensive or protected from development, there is an opportunity to expand utility solar PV generation capacity at bus 1. The costs of developing utility-scale solar PV in that region (CAPEX) are </w:t>
      </w:r>
      <w:r w:rsidR="004325FC">
        <w:t>like</w:t>
      </w:r>
      <w:r w:rsidR="001A7D3D">
        <w:t xml:space="preserve"> those provided by NRELs Annual Technology Baseline Database (ATB)</w:t>
      </w:r>
      <w:r w:rsidR="004316B3">
        <w:rPr>
          <w:rStyle w:val="FootnoteReference"/>
        </w:rPr>
        <w:footnoteReference w:id="5"/>
      </w:r>
      <w:r w:rsidR="001A7D3D">
        <w:t xml:space="preserve"> for Kansas City. In general, it is estimated that a 10MW facility would occupy 100 acres of land, and its construction would generate 240 jobs </w:t>
      </w:r>
      <w:r w:rsidR="004316B3">
        <w:t>for</w:t>
      </w:r>
      <w:r w:rsidR="001A7D3D">
        <w:t xml:space="preserve"> one year. </w:t>
      </w:r>
    </w:p>
    <w:p w14:paraId="36CFDC72" w14:textId="7B7186E9" w:rsidR="001A7D3D" w:rsidRDefault="001A7D3D" w:rsidP="001A7D3D">
      <w:pPr>
        <w:tabs>
          <w:tab w:val="right" w:pos="9360"/>
        </w:tabs>
      </w:pPr>
      <w:r>
        <w:t>There is no measured data on solar irradiance for the specific sites under consideration that can be used in a study that will be made public. Similarly, there is no data on the variability and uncertainty of annual, monthly, and hourly PV production. However, there is data on the electricity production from the SPS1 facility. This data is provided hourly for years 2011-20</w:t>
      </w:r>
      <w:r w:rsidR="00B5388C" w:rsidRPr="004325FC">
        <w:rPr>
          <w:highlight w:val="yellow"/>
        </w:rPr>
        <w:t>22</w:t>
      </w:r>
      <w:r w:rsidR="00B73413">
        <w:rPr>
          <w:rStyle w:val="FootnoteReference"/>
          <w:highlight w:val="yellow"/>
        </w:rPr>
        <w:footnoteReference w:id="6"/>
      </w:r>
      <w:r>
        <w:t xml:space="preserve"> and is included in the </w:t>
      </w:r>
      <w:r w:rsidRPr="001B37DB">
        <w:t>spreadsheet A11-NicIso-PV hourly production</w:t>
      </w:r>
      <w:r w:rsidR="00D86F08">
        <w:t>-S2022</w:t>
      </w:r>
      <w:r w:rsidRPr="001B37DB">
        <w:t xml:space="preserve">.xlsx. Solar experts who have used the NREL </w:t>
      </w:r>
      <w:proofErr w:type="spellStart"/>
      <w:r w:rsidRPr="001B37DB">
        <w:t>PVWatts</w:t>
      </w:r>
      <w:proofErr w:type="spellEnd"/>
      <w:r w:rsidRPr="001B37DB">
        <w:t xml:space="preserve"> tool</w:t>
      </w:r>
      <w:r w:rsidRPr="001B37DB">
        <w:rPr>
          <w:rStyle w:val="FootnoteReference"/>
        </w:rPr>
        <w:footnoteReference w:id="7"/>
      </w:r>
      <w:r w:rsidRPr="001B37DB">
        <w:t xml:space="preserve"> have found that the solar resource at this facility </w:t>
      </w:r>
      <w:r>
        <w:t xml:space="preserve">is </w:t>
      </w:r>
      <w:r w:rsidRPr="001B37DB">
        <w:t xml:space="preserve">representative of </w:t>
      </w:r>
      <w:r>
        <w:t>other</w:t>
      </w:r>
      <w:r w:rsidRPr="001B37DB">
        <w:t xml:space="preserve"> </w:t>
      </w:r>
      <w:r>
        <w:t>sites considered for PV development in</w:t>
      </w:r>
      <w:r w:rsidRPr="001B37DB">
        <w:t xml:space="preserve"> </w:t>
      </w:r>
      <w:proofErr w:type="spellStart"/>
      <w:r w:rsidR="00AC3028">
        <w:t>NicLand</w:t>
      </w:r>
      <w:proofErr w:type="spellEnd"/>
      <w:r w:rsidRPr="001B37DB">
        <w:t xml:space="preserve">. </w:t>
      </w:r>
    </w:p>
    <w:p w14:paraId="5F48CB11" w14:textId="77777777" w:rsidR="001A7D3D" w:rsidRDefault="001A7D3D" w:rsidP="001A7D3D">
      <w:pPr>
        <w:tabs>
          <w:tab w:val="right" w:pos="9360"/>
        </w:tabs>
      </w:pPr>
    </w:p>
    <w:p w14:paraId="06A33A39" w14:textId="512016EA" w:rsidR="001A7D3D" w:rsidRDefault="001A7D3D" w:rsidP="001A7D3D">
      <w:pPr>
        <w:tabs>
          <w:tab w:val="right" w:pos="9360"/>
        </w:tabs>
      </w:pPr>
      <w:r w:rsidRPr="003E3471">
        <w:rPr>
          <w:u w:val="single"/>
        </w:rPr>
        <w:t>Resident</w:t>
      </w:r>
      <w:r>
        <w:rPr>
          <w:u w:val="single"/>
        </w:rPr>
        <w:t>i</w:t>
      </w:r>
      <w:r w:rsidRPr="003E3471">
        <w:rPr>
          <w:u w:val="single"/>
        </w:rPr>
        <w:t>al roof-top solar:</w:t>
      </w:r>
      <w:r>
        <w:t xml:space="preserve"> </w:t>
      </w:r>
      <w:proofErr w:type="spellStart"/>
      <w:r w:rsidR="00AC3028">
        <w:t>NicLand</w:t>
      </w:r>
      <w:proofErr w:type="spellEnd"/>
      <w:r>
        <w:t xml:space="preserve"> has 7.4 million customers; residential customers account for 40% of the load, commercial customers for 30%, and industrial customers for the rest. Because the current land use around buses 2 and 3 makes it difficult to install utility-scale solar facilities, a local university has looked at the potential for residential roof-top solar in those areas and the whole state. They found that 50% of households served by </w:t>
      </w:r>
      <w:proofErr w:type="spellStart"/>
      <w:r w:rsidR="00AC3028">
        <w:t>NicLand</w:t>
      </w:r>
      <w:proofErr w:type="spellEnd"/>
      <w:r>
        <w:t xml:space="preserve"> have the necessary conditions and roof space to accommodate a PV array of 4kW. Their study shows that the average capacity factor of these roof-top solar arrangements would be 15%.</w:t>
      </w:r>
    </w:p>
    <w:p w14:paraId="3EFD5787" w14:textId="77777777" w:rsidR="001A7D3D" w:rsidRDefault="001A7D3D" w:rsidP="001A7D3D">
      <w:pPr>
        <w:tabs>
          <w:tab w:val="right" w:pos="9360"/>
        </w:tabs>
      </w:pPr>
    </w:p>
    <w:p w14:paraId="1813A013" w14:textId="66A94884" w:rsidR="001A7D3D" w:rsidRDefault="001A7D3D" w:rsidP="001A7D3D">
      <w:pPr>
        <w:tabs>
          <w:tab w:val="right" w:pos="9360"/>
        </w:tabs>
      </w:pPr>
      <w:r>
        <w:lastRenderedPageBreak/>
        <w:t xml:space="preserve">To deal with the steep evening down-ramp in PV production that would create a duck-curve-problem in </w:t>
      </w:r>
      <w:proofErr w:type="spellStart"/>
      <w:r w:rsidR="00AC3028">
        <w:t>NicLand</w:t>
      </w:r>
      <w:proofErr w:type="spellEnd"/>
      <w:r>
        <w:t xml:space="preserve">, some people have suggested that </w:t>
      </w:r>
      <w:proofErr w:type="spellStart"/>
      <w:r>
        <w:t>NicIso</w:t>
      </w:r>
      <w:proofErr w:type="spellEnd"/>
      <w:r>
        <w:t xml:space="preserve"> pay $500 to households whose PV panels are oriented West instead of South. The changes in the daily generation profile for different orientations are presented below. All the PV data presented for extant and potential PV capacity assumes a due South orientation. The reduction in annual solar power output from a due south system is 11% for east-facing systems, 6% for west-facing systems, and 7% for north-facing systems.</w:t>
      </w:r>
      <w:r w:rsidRPr="003E3471">
        <w:rPr>
          <w:noProof/>
        </w:rPr>
        <w:drawing>
          <wp:inline distT="0" distB="0" distL="0" distR="0" wp14:anchorId="6DEBA8B5" wp14:editId="04B42231">
            <wp:extent cx="5740400" cy="40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4027805"/>
                    </a:xfrm>
                    <a:prstGeom prst="rect">
                      <a:avLst/>
                    </a:prstGeom>
                    <a:noFill/>
                    <a:ln>
                      <a:noFill/>
                    </a:ln>
                  </pic:spPr>
                </pic:pic>
              </a:graphicData>
            </a:graphic>
          </wp:inline>
        </w:drawing>
      </w:r>
    </w:p>
    <w:p w14:paraId="43F0BE10" w14:textId="36578F8A" w:rsidR="001A7D3D" w:rsidRDefault="001A7D3D" w:rsidP="001A7D3D">
      <w:pPr>
        <w:pStyle w:val="Caption"/>
      </w:pPr>
      <w:r>
        <w:t xml:space="preserve">Figure </w:t>
      </w:r>
      <w:fldSimple w:instr=" SEQ Figure \* ARABIC ">
        <w:r w:rsidR="005C666C">
          <w:rPr>
            <w:noProof/>
          </w:rPr>
          <w:t>1</w:t>
        </w:r>
      </w:fldSimple>
      <w:r>
        <w:t>. Typical PV power output of a 4kW system for different seasons and panel’s orientation.</w:t>
      </w:r>
    </w:p>
    <w:p w14:paraId="05B83865" w14:textId="1F2A9250" w:rsidR="001A7D3D" w:rsidRDefault="001A7D3D" w:rsidP="001A7D3D">
      <w:pPr>
        <w:tabs>
          <w:tab w:val="right" w:pos="9360"/>
        </w:tabs>
      </w:pPr>
      <w:r w:rsidRPr="00176A1F">
        <w:rPr>
          <w:u w:val="single"/>
        </w:rPr>
        <w:t>Other solar:</w:t>
      </w:r>
      <w:r>
        <w:t xml:space="preserve"> There is also potential for developing a large CSP or ISCC facility in a location in </w:t>
      </w:r>
      <w:proofErr w:type="spellStart"/>
      <w:r w:rsidR="00AC3028">
        <w:t>NicLand</w:t>
      </w:r>
      <w:proofErr w:type="spellEnd"/>
      <w:r>
        <w:t xml:space="preserve"> that could be connected to bus 1 (with a 50km-long transmission line). The location is close to a large natural gas pipeline. The solar resource is the same as the one already developed </w:t>
      </w:r>
      <w:r>
        <w:lastRenderedPageBreak/>
        <w:t>in the state and data on a CSP can be found in the ATB. Details on the ISCC technology can be found in the paper “</w:t>
      </w:r>
      <w:r w:rsidRPr="006F156C">
        <w:rPr>
          <w:i/>
        </w:rPr>
        <w:t>Integrated Solar Combined Cycle Power Plants: Paving the Way for Thermal Solar by Bandar Alqahtani and Dalia Patiño-Echeverri</w:t>
      </w:r>
      <w:r>
        <w:t>”</w:t>
      </w:r>
      <w:r>
        <w:rPr>
          <w:rStyle w:val="FootnoteReference"/>
        </w:rPr>
        <w:footnoteReference w:id="8"/>
      </w:r>
      <w:r>
        <w:t xml:space="preserve">. </w:t>
      </w:r>
    </w:p>
    <w:p w14:paraId="0758203C" w14:textId="77777777" w:rsidR="001A7D3D" w:rsidRDefault="001A7D3D" w:rsidP="001A7D3D">
      <w:pPr>
        <w:tabs>
          <w:tab w:val="right" w:pos="9360"/>
        </w:tabs>
      </w:pPr>
    </w:p>
    <w:p w14:paraId="5AD95159" w14:textId="77777777" w:rsidR="001A7D3D" w:rsidRPr="001B37DB" w:rsidRDefault="001A7D3D" w:rsidP="001A7D3D">
      <w:pPr>
        <w:tabs>
          <w:tab w:val="right" w:pos="9360"/>
        </w:tabs>
      </w:pPr>
    </w:p>
    <w:p w14:paraId="5E129BF8" w14:textId="2099AE11" w:rsidR="001A7D3D" w:rsidRDefault="001A7D3D" w:rsidP="001A7D3D">
      <w:pPr>
        <w:tabs>
          <w:tab w:val="right" w:pos="9360"/>
        </w:tabs>
      </w:pPr>
      <w:r w:rsidRPr="003D6BA4">
        <w:rPr>
          <w:u w:val="single"/>
        </w:rPr>
        <w:t xml:space="preserve">Wind energy: </w:t>
      </w:r>
      <w:proofErr w:type="spellStart"/>
      <w:r w:rsidR="00AC3028">
        <w:t>NicLand</w:t>
      </w:r>
      <w:proofErr w:type="spellEnd"/>
      <w:r>
        <w:t xml:space="preserve"> is in a region with limited wind development and there is also significant opposition to this technology. Your boss has discouraged you from considering it unless some back-of-the envelope calculations show that other options are not </w:t>
      </w:r>
      <w:r w:rsidR="00AC3028">
        <w:t>enough,</w:t>
      </w:r>
      <w:r>
        <w:t xml:space="preserve"> and that wind energy must be considered to reduce costs and improve reliability. The intern helping you has found that south of </w:t>
      </w:r>
      <w:r w:rsidRPr="001B37DB">
        <w:t>bus 3</w:t>
      </w:r>
      <w:r>
        <w:t xml:space="preserve"> there is enough land to accommodate up to 3GW of installed wind capacity (located about 100km of distance from bus 3). </w:t>
      </w:r>
      <w:r w:rsidRPr="001B37DB">
        <w:t xml:space="preserve"> Costs of land-based wind development can be found in NRELs Annual Technology Baseline (ATB) Spreadsheet – 20</w:t>
      </w:r>
      <w:r>
        <w:t>20</w:t>
      </w:r>
      <w:r w:rsidRPr="001B37DB">
        <w:t xml:space="preserve"> while transmission costs can be found in the paper: </w:t>
      </w:r>
      <w:r w:rsidRPr="001B37DB">
        <w:rPr>
          <w:i/>
        </w:rPr>
        <w:t>‘Cost of Wind Energy: Comparing Wind Resources to Local Resources in Mid-Western United States’</w:t>
      </w:r>
      <w:r w:rsidRPr="001B37DB">
        <w:t xml:space="preserve"> by David C. Hoppock and Dalia Patino Echeverri. It is estimated that new transmission capacity in </w:t>
      </w:r>
      <w:proofErr w:type="spellStart"/>
      <w:r w:rsidR="00AC3028">
        <w:t>NicLand</w:t>
      </w:r>
      <w:proofErr w:type="spellEnd"/>
      <w:r w:rsidRPr="001B37DB">
        <w:t xml:space="preserve"> costs about the same as new transmission in the state of Iowa. </w:t>
      </w:r>
      <w:r>
        <w:t>T</w:t>
      </w:r>
      <w:r w:rsidRPr="001B37DB">
        <w:t xml:space="preserve">he performance </w:t>
      </w:r>
      <w:r>
        <w:t>of</w:t>
      </w:r>
      <w:r w:rsidRPr="001B37DB">
        <w:t xml:space="preserve"> wind power </w:t>
      </w:r>
      <w:r>
        <w:t xml:space="preserve">in this region is estimated to be remarkably </w:t>
      </w:r>
      <w:r w:rsidR="00AC3028">
        <w:t>like</w:t>
      </w:r>
      <w:r>
        <w:t xml:space="preserve"> the performance of all the wind facilities in a neighboring area which have a total installed capacity of 2700 MW (outside of </w:t>
      </w:r>
      <w:proofErr w:type="spellStart"/>
      <w:r w:rsidR="00AC3028">
        <w:t>NicLand</w:t>
      </w:r>
      <w:proofErr w:type="spellEnd"/>
      <w:r>
        <w:t xml:space="preserve">). </w:t>
      </w:r>
      <w:r w:rsidR="00AC3028">
        <w:t>Fortunately,</w:t>
      </w:r>
      <w:r>
        <w:t xml:space="preserve"> very granular data for both wind energy forecasts and production </w:t>
      </w:r>
      <w:proofErr w:type="gramStart"/>
      <w:r>
        <w:t>is</w:t>
      </w:r>
      <w:proofErr w:type="gramEnd"/>
      <w:r>
        <w:t xml:space="preserve"> available for the same year for which we have demand PV production and wind data. This data is in the file A11-NicIso Wind Data.xlsx. </w:t>
      </w:r>
    </w:p>
    <w:p w14:paraId="0AF674BB" w14:textId="77777777" w:rsidR="001A7D3D" w:rsidRDefault="001A7D3D" w:rsidP="001A7D3D">
      <w:pPr>
        <w:tabs>
          <w:tab w:val="right" w:pos="9360"/>
        </w:tabs>
      </w:pPr>
    </w:p>
    <w:p w14:paraId="2BE8D22C" w14:textId="77777777" w:rsidR="001A7D3D" w:rsidRPr="00496340" w:rsidRDefault="001A7D3D" w:rsidP="001A7D3D">
      <w:pPr>
        <w:tabs>
          <w:tab w:val="right" w:pos="9360"/>
        </w:tabs>
      </w:pPr>
      <w:r>
        <w:t>3. Demand Response and End-use energy efficiency:</w:t>
      </w:r>
    </w:p>
    <w:p w14:paraId="1DD3AA38" w14:textId="6B665408" w:rsidR="001A7D3D" w:rsidRDefault="001A7D3D" w:rsidP="001A7D3D">
      <w:pPr>
        <w:tabs>
          <w:tab w:val="right" w:pos="9360"/>
        </w:tabs>
      </w:pPr>
      <w:r w:rsidRPr="001C006D">
        <w:rPr>
          <w:u w:val="single"/>
        </w:rPr>
        <w:t>Demand response:</w:t>
      </w:r>
      <w:r>
        <w:t xml:space="preserve"> </w:t>
      </w:r>
      <w:r w:rsidRPr="00860DFD">
        <w:t>T</w:t>
      </w:r>
      <w:r>
        <w:t>o deal with wind and solar intermittency, t</w:t>
      </w:r>
      <w:r w:rsidRPr="00860DFD">
        <w:t xml:space="preserve">here is </w:t>
      </w:r>
      <w:r>
        <w:t xml:space="preserve">also </w:t>
      </w:r>
      <w:r w:rsidRPr="00860DFD">
        <w:t xml:space="preserve">the potential to </w:t>
      </w:r>
      <w:r>
        <w:t xml:space="preserve">invest in energy efficiency and </w:t>
      </w:r>
      <w:r w:rsidRPr="00860DFD">
        <w:t xml:space="preserve">create a demand response program. </w:t>
      </w:r>
      <w:proofErr w:type="spellStart"/>
      <w:r>
        <w:t>NicIso</w:t>
      </w:r>
      <w:proofErr w:type="spellEnd"/>
      <w:r>
        <w:t xml:space="preserve"> is considering implementing a program </w:t>
      </w:r>
      <w:r w:rsidR="00AC3028">
        <w:t>like</w:t>
      </w:r>
      <w:r>
        <w:t xml:space="preserve"> the one available at PJM</w:t>
      </w:r>
      <w:r>
        <w:rPr>
          <w:rStyle w:val="FootnoteReference"/>
        </w:rPr>
        <w:footnoteReference w:id="9"/>
      </w:r>
      <w:r>
        <w:t xml:space="preserve">.  </w:t>
      </w:r>
      <w:r w:rsidRPr="00860DFD">
        <w:t xml:space="preserve"> </w:t>
      </w:r>
      <w:r>
        <w:t xml:space="preserve">They calculate that </w:t>
      </w:r>
      <w:r w:rsidRPr="00860DFD">
        <w:t xml:space="preserve">about </w:t>
      </w:r>
      <w:r>
        <w:t>90</w:t>
      </w:r>
      <w:r w:rsidRPr="00860DFD">
        <w:t xml:space="preserve">% of the </w:t>
      </w:r>
      <w:r>
        <w:t xml:space="preserve">commercial and industrial </w:t>
      </w:r>
      <w:r w:rsidRPr="00860DFD">
        <w:t xml:space="preserve">load in each bus comes from customers willing to join a demand side management program.  </w:t>
      </w:r>
      <w:proofErr w:type="spellStart"/>
      <w:r>
        <w:t>NicIso</w:t>
      </w:r>
      <w:proofErr w:type="spellEnd"/>
      <w:r>
        <w:t xml:space="preserve"> has explored the possibility of paying $</w:t>
      </w:r>
      <w:r w:rsidR="00AC3028">
        <w:t>40</w:t>
      </w:r>
      <w:r w:rsidRPr="00860DFD">
        <w:t>/kW of capacity</w:t>
      </w:r>
      <w:r>
        <w:t xml:space="preserve">/year </w:t>
      </w:r>
      <w:r w:rsidRPr="00860DFD">
        <w:t>plus $0.</w:t>
      </w:r>
      <w:r>
        <w:t>15</w:t>
      </w:r>
      <w:r w:rsidRPr="00860DFD">
        <w:t>/kWh.</w:t>
      </w:r>
      <w:r>
        <w:t xml:space="preserve">  </w:t>
      </w:r>
    </w:p>
    <w:p w14:paraId="5C35DDB7" w14:textId="77777777" w:rsidR="001A7D3D" w:rsidRPr="001C006D" w:rsidRDefault="001A7D3D" w:rsidP="001A7D3D">
      <w:pPr>
        <w:tabs>
          <w:tab w:val="right" w:pos="9360"/>
        </w:tabs>
        <w:rPr>
          <w:u w:val="single"/>
        </w:rPr>
      </w:pPr>
      <w:r w:rsidRPr="001C006D">
        <w:rPr>
          <w:u w:val="single"/>
        </w:rPr>
        <w:t>End use energy efficiency:</w:t>
      </w:r>
    </w:p>
    <w:p w14:paraId="1987983D" w14:textId="5C609E4E" w:rsidR="001A7D3D" w:rsidRDefault="001A7D3D" w:rsidP="001A7D3D">
      <w:pPr>
        <w:tabs>
          <w:tab w:val="right" w:pos="9360"/>
        </w:tabs>
      </w:pPr>
      <w:r>
        <w:t xml:space="preserve">The people of </w:t>
      </w:r>
      <w:proofErr w:type="spellStart"/>
      <w:r w:rsidR="00AC3028">
        <w:t>NicLand</w:t>
      </w:r>
      <w:proofErr w:type="spellEnd"/>
      <w:r>
        <w:t xml:space="preserve"> have recently hosted a team of experts on Integrative Design</w:t>
      </w:r>
      <w:r>
        <w:rPr>
          <w:rStyle w:val="FootnoteReference"/>
        </w:rPr>
        <w:footnoteReference w:id="10"/>
      </w:r>
      <w:r>
        <w:t xml:space="preserve"> and now everyone wants building energy efficiency to be given serious consideration. Details of this are provided at the end.</w:t>
      </w:r>
    </w:p>
    <w:p w14:paraId="01E81F13" w14:textId="77777777" w:rsidR="001A7D3D" w:rsidRDefault="001A7D3D" w:rsidP="001A7D3D">
      <w:pPr>
        <w:tabs>
          <w:tab w:val="right" w:pos="9360"/>
        </w:tabs>
      </w:pPr>
    </w:p>
    <w:p w14:paraId="40FCD73F" w14:textId="156CA767" w:rsidR="001A7D3D" w:rsidRDefault="001A7D3D" w:rsidP="001A7D3D">
      <w:pPr>
        <w:tabs>
          <w:tab w:val="right" w:pos="9360"/>
        </w:tabs>
      </w:pPr>
      <w:r>
        <w:t xml:space="preserve">4.Reliability:  </w:t>
      </w:r>
      <w:proofErr w:type="spellStart"/>
      <w:r w:rsidR="00AC3028">
        <w:t>NicLand</w:t>
      </w:r>
      <w:proofErr w:type="spellEnd"/>
      <w:r>
        <w:t xml:space="preserve"> legislators have ruled that the electricity system of the state should be highly reliable and should consider the possibility of extreme weather events in winter and summer. Each year there is a 10% probability of occurrence of an extreme weather event. An extreme weather event causes a surge in demand and generator outages. Studies show that under an extreme weather event demand could be as high as 1.18 times peak winter demand. </w:t>
      </w:r>
      <w:r w:rsidR="00AC3028">
        <w:t>This demand</w:t>
      </w:r>
      <w:r>
        <w:t xml:space="preserve"> could be sustained for an average of 4 days. </w:t>
      </w:r>
    </w:p>
    <w:p w14:paraId="3EDA6055" w14:textId="022A01FB" w:rsidR="001A7D3D" w:rsidRDefault="001A7D3D" w:rsidP="001A7D3D">
      <w:pPr>
        <w:tabs>
          <w:tab w:val="right" w:pos="9360"/>
        </w:tabs>
      </w:pPr>
      <w:r>
        <w:lastRenderedPageBreak/>
        <w:t>Regarding outages, natural gas fired plants m</w:t>
      </w:r>
      <w:r w:rsidR="00AC3028">
        <w:t>a</w:t>
      </w:r>
      <w:r>
        <w:t xml:space="preserve">y see a reduction in power output due to multiple causes. The reduction is a random variable that follows a uniform probability distribution function with parameters 20%-40%. At the same time, during extreme winter weather conditions there will be significant reductions in both wind and solar power. The reduction in power production from both wind and solar can be modeled also as uniform distribution with parameters 50%-100%. There is also wide consensus that spinning reserves </w:t>
      </w:r>
      <w:r w:rsidR="00AC3028">
        <w:t>always</w:t>
      </w:r>
      <w:r>
        <w:t xml:space="preserve"> should be at least as follows:</w:t>
      </w:r>
    </w:p>
    <w:p w14:paraId="5AAE828E" w14:textId="77777777" w:rsidR="001A7D3D" w:rsidRDefault="001A7D3D" w:rsidP="001A7D3D">
      <w:pPr>
        <w:tabs>
          <w:tab w:val="right" w:pos="9360"/>
        </w:tabs>
      </w:pPr>
    </w:p>
    <w:p w14:paraId="73D36E14" w14:textId="267839F9" w:rsidR="001A7D3D" w:rsidRPr="00154112" w:rsidRDefault="001A7D3D" w:rsidP="001A7D3D">
      <w:pPr>
        <w:pStyle w:val="Caption"/>
        <w:keepNext/>
        <w:rPr>
          <w:rFonts w:ascii="Arial" w:hAnsi="Arial" w:cs="Arial"/>
          <w:color w:val="auto"/>
          <w:sz w:val="20"/>
          <w:szCs w:val="20"/>
        </w:rPr>
      </w:pPr>
      <w:r w:rsidRPr="00154112">
        <w:rPr>
          <w:rFonts w:ascii="Arial" w:hAnsi="Arial" w:cs="Arial"/>
          <w:color w:val="auto"/>
          <w:sz w:val="20"/>
          <w:szCs w:val="20"/>
        </w:rPr>
        <w:t xml:space="preserve">Table </w:t>
      </w:r>
      <w:r w:rsidR="00154112" w:rsidRPr="00154112">
        <w:rPr>
          <w:rFonts w:ascii="Arial" w:hAnsi="Arial" w:cs="Arial"/>
          <w:color w:val="auto"/>
          <w:sz w:val="20"/>
          <w:szCs w:val="20"/>
        </w:rPr>
        <w:t>9</w:t>
      </w:r>
      <w:r w:rsidRPr="00154112">
        <w:rPr>
          <w:rFonts w:ascii="Arial" w:hAnsi="Arial" w:cs="Arial"/>
          <w:color w:val="auto"/>
          <w:sz w:val="20"/>
          <w:szCs w:val="20"/>
        </w:rPr>
        <w:t>: Sipping reserve requirements</w:t>
      </w:r>
    </w:p>
    <w:tbl>
      <w:tblPr>
        <w:tblW w:w="7900" w:type="dxa"/>
        <w:tblInd w:w="-5" w:type="dxa"/>
        <w:tblLook w:val="04A0" w:firstRow="1" w:lastRow="0" w:firstColumn="1" w:lastColumn="0" w:noHBand="0" w:noVBand="1"/>
      </w:tblPr>
      <w:tblGrid>
        <w:gridCol w:w="6360"/>
        <w:gridCol w:w="1540"/>
      </w:tblGrid>
      <w:tr w:rsidR="001A7D3D" w:rsidRPr="001F686F" w14:paraId="64CF0F16" w14:textId="77777777" w:rsidTr="00E147EB">
        <w:trPr>
          <w:trHeight w:val="310"/>
        </w:trPr>
        <w:tc>
          <w:tcPr>
            <w:tcW w:w="6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2F612" w14:textId="77777777" w:rsidR="001A7D3D" w:rsidRPr="001F686F" w:rsidRDefault="001A7D3D" w:rsidP="00E147EB">
            <w:pPr>
              <w:rPr>
                <w:color w:val="000000"/>
                <w:sz w:val="20"/>
                <w:szCs w:val="20"/>
              </w:rPr>
            </w:pPr>
            <w:r w:rsidRPr="001F686F">
              <w:rPr>
                <w:color w:val="000000"/>
                <w:sz w:val="20"/>
                <w:szCs w:val="20"/>
              </w:rPr>
              <w:t>Spinning reserves requirement as a fraction of net demand</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B16CD4E" w14:textId="77777777" w:rsidR="001A7D3D" w:rsidRPr="001F686F" w:rsidRDefault="001A7D3D" w:rsidP="00E147EB">
            <w:pPr>
              <w:jc w:val="center"/>
              <w:rPr>
                <w:color w:val="000000"/>
                <w:sz w:val="18"/>
                <w:szCs w:val="18"/>
              </w:rPr>
            </w:pPr>
            <w:r w:rsidRPr="001F686F">
              <w:rPr>
                <w:color w:val="000000"/>
                <w:sz w:val="18"/>
                <w:szCs w:val="18"/>
              </w:rPr>
              <w:t>3%</w:t>
            </w:r>
          </w:p>
        </w:tc>
      </w:tr>
      <w:tr w:rsidR="001A7D3D" w:rsidRPr="001F686F" w14:paraId="2BBD17A7" w14:textId="77777777" w:rsidTr="00E147EB">
        <w:trPr>
          <w:trHeight w:val="310"/>
        </w:trPr>
        <w:tc>
          <w:tcPr>
            <w:tcW w:w="6360" w:type="dxa"/>
            <w:tcBorders>
              <w:top w:val="nil"/>
              <w:left w:val="single" w:sz="4" w:space="0" w:color="auto"/>
              <w:bottom w:val="single" w:sz="4" w:space="0" w:color="auto"/>
              <w:right w:val="single" w:sz="4" w:space="0" w:color="auto"/>
            </w:tcBorders>
            <w:shd w:val="clear" w:color="auto" w:fill="auto"/>
            <w:vAlign w:val="center"/>
            <w:hideMark/>
          </w:tcPr>
          <w:p w14:paraId="7682B29B" w14:textId="77777777" w:rsidR="001A7D3D" w:rsidRPr="001F686F" w:rsidRDefault="001A7D3D" w:rsidP="00E147EB">
            <w:pPr>
              <w:rPr>
                <w:color w:val="000000"/>
                <w:sz w:val="20"/>
                <w:szCs w:val="20"/>
              </w:rPr>
            </w:pPr>
            <w:r w:rsidRPr="001F686F">
              <w:rPr>
                <w:color w:val="000000"/>
                <w:sz w:val="20"/>
                <w:szCs w:val="20"/>
              </w:rPr>
              <w:t>Spinning reserves requirement as a fraction of PV</w:t>
            </w:r>
            <w:r>
              <w:rPr>
                <w:color w:val="000000"/>
                <w:sz w:val="20"/>
                <w:szCs w:val="20"/>
              </w:rPr>
              <w:t xml:space="preserve"> or wind</w:t>
            </w:r>
            <w:r w:rsidRPr="001F686F">
              <w:rPr>
                <w:color w:val="000000"/>
                <w:sz w:val="20"/>
                <w:szCs w:val="20"/>
              </w:rPr>
              <w:t xml:space="preserve"> </w:t>
            </w:r>
            <w:proofErr w:type="gramStart"/>
            <w:r w:rsidRPr="001F686F">
              <w:rPr>
                <w:color w:val="000000"/>
                <w:sz w:val="20"/>
                <w:szCs w:val="20"/>
              </w:rPr>
              <w:t>production</w:t>
            </w:r>
            <w:r>
              <w:rPr>
                <w:color w:val="000000"/>
                <w:sz w:val="20"/>
                <w:szCs w:val="20"/>
              </w:rPr>
              <w:t>(</w:t>
            </w:r>
            <w:proofErr w:type="gramEnd"/>
            <w:r>
              <w:rPr>
                <w:color w:val="000000"/>
                <w:sz w:val="20"/>
                <w:szCs w:val="20"/>
              </w:rPr>
              <w:t>*)</w:t>
            </w:r>
          </w:p>
        </w:tc>
        <w:tc>
          <w:tcPr>
            <w:tcW w:w="1540" w:type="dxa"/>
            <w:tcBorders>
              <w:top w:val="nil"/>
              <w:left w:val="nil"/>
              <w:bottom w:val="single" w:sz="4" w:space="0" w:color="auto"/>
              <w:right w:val="single" w:sz="4" w:space="0" w:color="auto"/>
            </w:tcBorders>
            <w:shd w:val="clear" w:color="auto" w:fill="auto"/>
            <w:noWrap/>
            <w:vAlign w:val="center"/>
            <w:hideMark/>
          </w:tcPr>
          <w:p w14:paraId="0F0AC891" w14:textId="77777777" w:rsidR="001A7D3D" w:rsidRPr="001F686F" w:rsidRDefault="001A7D3D" w:rsidP="00E147EB">
            <w:pPr>
              <w:jc w:val="center"/>
              <w:rPr>
                <w:color w:val="000000"/>
                <w:sz w:val="18"/>
                <w:szCs w:val="18"/>
              </w:rPr>
            </w:pPr>
            <w:r w:rsidRPr="001F686F">
              <w:rPr>
                <w:color w:val="000000"/>
                <w:sz w:val="18"/>
                <w:szCs w:val="18"/>
              </w:rPr>
              <w:t>5%</w:t>
            </w:r>
          </w:p>
        </w:tc>
      </w:tr>
    </w:tbl>
    <w:p w14:paraId="10412542" w14:textId="77777777" w:rsidR="001A7D3D" w:rsidRDefault="001A7D3D" w:rsidP="001A7D3D">
      <w:pPr>
        <w:tabs>
          <w:tab w:val="right" w:pos="9360"/>
        </w:tabs>
      </w:pPr>
      <w:r>
        <w:t>*Unless there is very large storage capacity co-located with the facility that makes it fully dispatchable.</w:t>
      </w:r>
    </w:p>
    <w:p w14:paraId="2E3F024F" w14:textId="77777777" w:rsidR="001A7D3D" w:rsidRDefault="001A7D3D" w:rsidP="001A7D3D">
      <w:pPr>
        <w:tabs>
          <w:tab w:val="right" w:pos="9360"/>
        </w:tabs>
      </w:pPr>
    </w:p>
    <w:p w14:paraId="4248666B" w14:textId="77777777" w:rsidR="001A7D3D" w:rsidRDefault="001A7D3D" w:rsidP="001A7D3D">
      <w:pPr>
        <w:tabs>
          <w:tab w:val="right" w:pos="9360"/>
        </w:tabs>
      </w:pPr>
    </w:p>
    <w:p w14:paraId="6E8DE8EA" w14:textId="77777777" w:rsidR="001A7D3D" w:rsidRPr="00496340" w:rsidRDefault="001A7D3D" w:rsidP="001A7D3D">
      <w:pPr>
        <w:tabs>
          <w:tab w:val="right" w:pos="9360"/>
        </w:tabs>
      </w:pPr>
    </w:p>
    <w:p w14:paraId="552D553D" w14:textId="77777777" w:rsidR="001A7D3D" w:rsidRDefault="001A7D3D" w:rsidP="001A7D3D">
      <w:pPr>
        <w:tabs>
          <w:tab w:val="right" w:pos="9360"/>
        </w:tabs>
      </w:pPr>
      <w:r>
        <w:t>5.Energy storage:</w:t>
      </w:r>
    </w:p>
    <w:p w14:paraId="472BE54B" w14:textId="77777777" w:rsidR="001A7D3D" w:rsidRDefault="001A7D3D" w:rsidP="001A7D3D">
      <w:pPr>
        <w:tabs>
          <w:tab w:val="right" w:pos="9360"/>
        </w:tabs>
      </w:pPr>
      <w:r w:rsidRPr="00211677">
        <w:rPr>
          <w:u w:val="single"/>
        </w:rPr>
        <w:t>Battery Energy Storage</w:t>
      </w:r>
      <w:r>
        <w:rPr>
          <w:u w:val="single"/>
        </w:rPr>
        <w:t>: r</w:t>
      </w:r>
      <w:r>
        <w:t xml:space="preserve">ecent studies have shown that cost reductions in Li-ion batteries make this technology an attractive resource for the region. A recent study examines co-location of li-ion Battery Storage Systems with PV. It shows that for low levels of PV penetration, </w:t>
      </w:r>
      <w:r w:rsidRPr="00103876">
        <w:t xml:space="preserve">the optimal power rating of a </w:t>
      </w:r>
      <w:r>
        <w:t>Battery Energy Storage System (</w:t>
      </w:r>
      <w:r w:rsidRPr="00103876">
        <w:t>BES</w:t>
      </w:r>
      <w:r>
        <w:t>)</w:t>
      </w:r>
      <w:r w:rsidRPr="00103876">
        <w:t xml:space="preserve"> seems to be lower than 20% of the </w:t>
      </w:r>
      <w:r>
        <w:t xml:space="preserve">PV </w:t>
      </w:r>
      <w:r w:rsidRPr="00103876">
        <w:t xml:space="preserve">capacity </w:t>
      </w:r>
      <w:r>
        <w:t>and that batteries of</w:t>
      </w:r>
      <w:r w:rsidRPr="00103876">
        <w:t xml:space="preserve"> short duration </w:t>
      </w:r>
      <w:r>
        <w:t xml:space="preserve">(i.e., 2 hours) </w:t>
      </w:r>
      <w:r w:rsidRPr="00103876">
        <w:t>are more cost-effect</w:t>
      </w:r>
      <w:r>
        <w:t>ive (i.e., result in a lower Cost of Carbon Abatement</w:t>
      </w:r>
      <w:r w:rsidRPr="00103876">
        <w:t>)</w:t>
      </w:r>
      <w:r>
        <w:t xml:space="preserve">.  </w:t>
      </w:r>
      <w:r w:rsidRPr="00103876">
        <w:t xml:space="preserve"> BES of longer duration </w:t>
      </w:r>
      <w:r>
        <w:t xml:space="preserve">(4 hours and 6 hours) </w:t>
      </w:r>
      <w:r w:rsidRPr="00103876">
        <w:t>are more cost-effective when there are larger shares of PV</w:t>
      </w:r>
      <w:r>
        <w:t xml:space="preserve">. The shares of PV are measured as an expected percentage of the total energy generated in the system. A low PV share is seen as a capacity of PV able to generate about 5% of the annual energy of the system while a large share is equivalent to a 25% generation of the system electricity. </w:t>
      </w:r>
    </w:p>
    <w:p w14:paraId="7A0849CE" w14:textId="77777777" w:rsidR="001A7D3D" w:rsidRDefault="001A7D3D" w:rsidP="001A7D3D">
      <w:pPr>
        <w:tabs>
          <w:tab w:val="right" w:pos="9360"/>
        </w:tabs>
      </w:pPr>
    </w:p>
    <w:p w14:paraId="2B0462B1" w14:textId="4136796F" w:rsidR="001A7D3D" w:rsidRPr="00154112" w:rsidRDefault="001A7D3D" w:rsidP="001A7D3D">
      <w:pPr>
        <w:pStyle w:val="Caption"/>
        <w:keepNext/>
        <w:rPr>
          <w:rFonts w:ascii="Arial" w:hAnsi="Arial" w:cs="Arial"/>
          <w:color w:val="auto"/>
          <w:sz w:val="20"/>
          <w:szCs w:val="20"/>
        </w:rPr>
      </w:pPr>
      <w:r w:rsidRPr="00154112">
        <w:rPr>
          <w:rFonts w:ascii="Arial" w:hAnsi="Arial" w:cs="Arial"/>
          <w:color w:val="auto"/>
          <w:sz w:val="20"/>
          <w:szCs w:val="20"/>
        </w:rPr>
        <w:t xml:space="preserve">Table </w:t>
      </w:r>
      <w:r w:rsidR="00154112" w:rsidRPr="00154112">
        <w:rPr>
          <w:rFonts w:ascii="Arial" w:hAnsi="Arial" w:cs="Arial"/>
          <w:color w:val="auto"/>
          <w:sz w:val="20"/>
          <w:szCs w:val="20"/>
        </w:rPr>
        <w:t>10</w:t>
      </w:r>
      <w:r w:rsidRPr="00154112">
        <w:rPr>
          <w:rFonts w:ascii="Arial" w:hAnsi="Arial" w:cs="Arial"/>
          <w:color w:val="auto"/>
          <w:sz w:val="20"/>
          <w:szCs w:val="20"/>
        </w:rPr>
        <w:t>: Parameters of li-ion batteries</w:t>
      </w:r>
    </w:p>
    <w:tbl>
      <w:tblPr>
        <w:tblW w:w="7920" w:type="dxa"/>
        <w:tblInd w:w="-5" w:type="dxa"/>
        <w:tblLook w:val="04A0" w:firstRow="1" w:lastRow="0" w:firstColumn="1" w:lastColumn="0" w:noHBand="0" w:noVBand="1"/>
      </w:tblPr>
      <w:tblGrid>
        <w:gridCol w:w="4820"/>
        <w:gridCol w:w="1560"/>
        <w:gridCol w:w="1540"/>
      </w:tblGrid>
      <w:tr w:rsidR="001A7D3D" w:rsidRPr="00103876" w14:paraId="05672C80" w14:textId="77777777" w:rsidTr="00E147EB">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AE7B5" w14:textId="77777777" w:rsidR="001A7D3D" w:rsidRPr="00103876" w:rsidRDefault="001A7D3D" w:rsidP="00E147EB">
            <w:pPr>
              <w:rPr>
                <w:color w:val="000000"/>
                <w:sz w:val="20"/>
                <w:szCs w:val="20"/>
              </w:rPr>
            </w:pPr>
            <w:r w:rsidRPr="00103876">
              <w:rPr>
                <w:color w:val="000000"/>
                <w:sz w:val="20"/>
                <w:szCs w:val="20"/>
              </w:rPr>
              <w:t>Efficiency during charge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EA7E890" w14:textId="77777777" w:rsidR="001A7D3D" w:rsidRPr="00103876" w:rsidRDefault="001A7D3D" w:rsidP="00E147EB">
            <w:pPr>
              <w:jc w:val="center"/>
              <w:rPr>
                <w:color w:val="000000"/>
                <w:sz w:val="20"/>
                <w:szCs w:val="20"/>
              </w:rPr>
            </w:pPr>
            <w:r w:rsidRPr="00103876">
              <w:rPr>
                <w:color w:val="000000"/>
                <w:sz w:val="20"/>
                <w:szCs w:val="20"/>
              </w:rPr>
              <w:t>%</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3A91C609" w14:textId="77777777" w:rsidR="001A7D3D" w:rsidRPr="00103876" w:rsidRDefault="001A7D3D" w:rsidP="00E147EB">
            <w:pPr>
              <w:jc w:val="center"/>
              <w:rPr>
                <w:color w:val="000000"/>
                <w:sz w:val="18"/>
                <w:szCs w:val="18"/>
              </w:rPr>
            </w:pPr>
            <w:bookmarkStart w:id="0" w:name="RANGE!F14"/>
            <w:r w:rsidRPr="00103876">
              <w:rPr>
                <w:color w:val="000000"/>
                <w:sz w:val="18"/>
                <w:szCs w:val="18"/>
              </w:rPr>
              <w:t>95%</w:t>
            </w:r>
            <w:bookmarkEnd w:id="0"/>
          </w:p>
        </w:tc>
      </w:tr>
      <w:tr w:rsidR="001A7D3D" w:rsidRPr="00103876" w14:paraId="48D87AA5" w14:textId="77777777" w:rsidTr="00E147EB">
        <w:trPr>
          <w:trHeight w:val="310"/>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6222ED2F" w14:textId="77777777" w:rsidR="001A7D3D" w:rsidRPr="00103876" w:rsidRDefault="001A7D3D" w:rsidP="00E147EB">
            <w:pPr>
              <w:rPr>
                <w:color w:val="000000"/>
                <w:sz w:val="20"/>
                <w:szCs w:val="20"/>
              </w:rPr>
            </w:pPr>
            <w:r w:rsidRPr="00103876">
              <w:rPr>
                <w:color w:val="000000"/>
                <w:sz w:val="20"/>
                <w:szCs w:val="20"/>
              </w:rPr>
              <w:t>Maximum charge limit for battery</w:t>
            </w:r>
          </w:p>
        </w:tc>
        <w:tc>
          <w:tcPr>
            <w:tcW w:w="1560" w:type="dxa"/>
            <w:tcBorders>
              <w:top w:val="nil"/>
              <w:left w:val="nil"/>
              <w:bottom w:val="single" w:sz="4" w:space="0" w:color="auto"/>
              <w:right w:val="single" w:sz="4" w:space="0" w:color="auto"/>
            </w:tcBorders>
            <w:shd w:val="clear" w:color="auto" w:fill="auto"/>
            <w:vAlign w:val="center"/>
            <w:hideMark/>
          </w:tcPr>
          <w:p w14:paraId="70F2173D" w14:textId="77777777" w:rsidR="001A7D3D" w:rsidRPr="00103876" w:rsidRDefault="001A7D3D" w:rsidP="00E147EB">
            <w:pPr>
              <w:jc w:val="center"/>
              <w:rPr>
                <w:color w:val="000000"/>
                <w:sz w:val="20"/>
                <w:szCs w:val="20"/>
              </w:rPr>
            </w:pPr>
            <w:r w:rsidRPr="00103876">
              <w:rPr>
                <w:color w:val="000000"/>
                <w:sz w:val="20"/>
                <w:szCs w:val="20"/>
              </w:rPr>
              <w:t>%</w:t>
            </w:r>
          </w:p>
        </w:tc>
        <w:tc>
          <w:tcPr>
            <w:tcW w:w="1540" w:type="dxa"/>
            <w:tcBorders>
              <w:top w:val="nil"/>
              <w:left w:val="nil"/>
              <w:bottom w:val="single" w:sz="4" w:space="0" w:color="auto"/>
              <w:right w:val="single" w:sz="4" w:space="0" w:color="auto"/>
            </w:tcBorders>
            <w:shd w:val="clear" w:color="auto" w:fill="auto"/>
            <w:vAlign w:val="bottom"/>
            <w:hideMark/>
          </w:tcPr>
          <w:p w14:paraId="12725FF8" w14:textId="77777777" w:rsidR="001A7D3D" w:rsidRPr="00103876" w:rsidRDefault="001A7D3D" w:rsidP="00E147EB">
            <w:pPr>
              <w:jc w:val="center"/>
              <w:rPr>
                <w:color w:val="000000"/>
                <w:sz w:val="18"/>
                <w:szCs w:val="18"/>
              </w:rPr>
            </w:pPr>
            <w:bookmarkStart w:id="1" w:name="RANGE!F15"/>
            <w:r w:rsidRPr="00103876">
              <w:rPr>
                <w:color w:val="000000"/>
                <w:sz w:val="18"/>
                <w:szCs w:val="18"/>
              </w:rPr>
              <w:t>100%</w:t>
            </w:r>
            <w:bookmarkEnd w:id="1"/>
          </w:p>
        </w:tc>
      </w:tr>
      <w:tr w:rsidR="001A7D3D" w:rsidRPr="00103876" w14:paraId="35BAA84E" w14:textId="77777777" w:rsidTr="00E147EB">
        <w:trPr>
          <w:trHeight w:val="310"/>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33E5E5B5" w14:textId="77777777" w:rsidR="001A7D3D" w:rsidRPr="00103876" w:rsidRDefault="001A7D3D" w:rsidP="00E147EB">
            <w:pPr>
              <w:rPr>
                <w:color w:val="000000"/>
                <w:sz w:val="20"/>
                <w:szCs w:val="20"/>
              </w:rPr>
            </w:pPr>
            <w:r w:rsidRPr="00103876">
              <w:rPr>
                <w:color w:val="000000"/>
                <w:sz w:val="20"/>
                <w:szCs w:val="20"/>
              </w:rPr>
              <w:t>Efficiency during discharge</w:t>
            </w:r>
          </w:p>
        </w:tc>
        <w:tc>
          <w:tcPr>
            <w:tcW w:w="1560" w:type="dxa"/>
            <w:tcBorders>
              <w:top w:val="nil"/>
              <w:left w:val="nil"/>
              <w:bottom w:val="single" w:sz="4" w:space="0" w:color="auto"/>
              <w:right w:val="single" w:sz="4" w:space="0" w:color="auto"/>
            </w:tcBorders>
            <w:shd w:val="clear" w:color="auto" w:fill="auto"/>
            <w:vAlign w:val="center"/>
            <w:hideMark/>
          </w:tcPr>
          <w:p w14:paraId="15AA1B76" w14:textId="77777777" w:rsidR="001A7D3D" w:rsidRPr="00103876" w:rsidRDefault="001A7D3D" w:rsidP="00E147EB">
            <w:pPr>
              <w:jc w:val="center"/>
              <w:rPr>
                <w:color w:val="000000"/>
                <w:sz w:val="20"/>
                <w:szCs w:val="20"/>
              </w:rPr>
            </w:pPr>
            <w:r w:rsidRPr="00103876">
              <w:rPr>
                <w:color w:val="000000"/>
                <w:sz w:val="20"/>
                <w:szCs w:val="20"/>
              </w:rPr>
              <w:t>%</w:t>
            </w:r>
          </w:p>
        </w:tc>
        <w:tc>
          <w:tcPr>
            <w:tcW w:w="1540" w:type="dxa"/>
            <w:tcBorders>
              <w:top w:val="nil"/>
              <w:left w:val="nil"/>
              <w:bottom w:val="single" w:sz="4" w:space="0" w:color="auto"/>
              <w:right w:val="single" w:sz="4" w:space="0" w:color="auto"/>
            </w:tcBorders>
            <w:shd w:val="clear" w:color="auto" w:fill="auto"/>
            <w:vAlign w:val="bottom"/>
            <w:hideMark/>
          </w:tcPr>
          <w:p w14:paraId="39EC3504" w14:textId="77777777" w:rsidR="001A7D3D" w:rsidRPr="00103876" w:rsidRDefault="001A7D3D" w:rsidP="00E147EB">
            <w:pPr>
              <w:jc w:val="center"/>
              <w:rPr>
                <w:color w:val="000000"/>
                <w:sz w:val="18"/>
                <w:szCs w:val="18"/>
              </w:rPr>
            </w:pPr>
            <w:bookmarkStart w:id="2" w:name="RANGE!F16"/>
            <w:r w:rsidRPr="00103876">
              <w:rPr>
                <w:color w:val="000000"/>
                <w:sz w:val="18"/>
                <w:szCs w:val="18"/>
              </w:rPr>
              <w:t>95%</w:t>
            </w:r>
            <w:bookmarkEnd w:id="2"/>
          </w:p>
        </w:tc>
      </w:tr>
      <w:tr w:rsidR="001A7D3D" w:rsidRPr="00103876" w14:paraId="2EA511E4" w14:textId="77777777" w:rsidTr="00E147EB">
        <w:trPr>
          <w:trHeight w:val="310"/>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54D7879C" w14:textId="77777777" w:rsidR="001A7D3D" w:rsidRPr="00103876" w:rsidRDefault="001A7D3D" w:rsidP="00E147EB">
            <w:pPr>
              <w:rPr>
                <w:color w:val="000000"/>
                <w:sz w:val="20"/>
                <w:szCs w:val="20"/>
              </w:rPr>
            </w:pPr>
            <w:r w:rsidRPr="00103876">
              <w:rPr>
                <w:color w:val="000000"/>
                <w:sz w:val="20"/>
                <w:szCs w:val="20"/>
              </w:rPr>
              <w:t>Maximum discharge limit for battery</w:t>
            </w:r>
          </w:p>
        </w:tc>
        <w:tc>
          <w:tcPr>
            <w:tcW w:w="1560" w:type="dxa"/>
            <w:tcBorders>
              <w:top w:val="nil"/>
              <w:left w:val="nil"/>
              <w:bottom w:val="single" w:sz="4" w:space="0" w:color="auto"/>
              <w:right w:val="single" w:sz="4" w:space="0" w:color="auto"/>
            </w:tcBorders>
            <w:shd w:val="clear" w:color="auto" w:fill="auto"/>
            <w:vAlign w:val="center"/>
            <w:hideMark/>
          </w:tcPr>
          <w:p w14:paraId="6B7A4C41" w14:textId="77777777" w:rsidR="001A7D3D" w:rsidRPr="00103876" w:rsidRDefault="001A7D3D" w:rsidP="00E147EB">
            <w:pPr>
              <w:jc w:val="center"/>
              <w:rPr>
                <w:color w:val="000000"/>
                <w:sz w:val="20"/>
                <w:szCs w:val="20"/>
              </w:rPr>
            </w:pPr>
            <w:r w:rsidRPr="00103876">
              <w:rPr>
                <w:color w:val="000000"/>
                <w:sz w:val="20"/>
                <w:szCs w:val="20"/>
              </w:rPr>
              <w:t>%</w:t>
            </w:r>
          </w:p>
        </w:tc>
        <w:tc>
          <w:tcPr>
            <w:tcW w:w="1540" w:type="dxa"/>
            <w:tcBorders>
              <w:top w:val="nil"/>
              <w:left w:val="nil"/>
              <w:bottom w:val="single" w:sz="4" w:space="0" w:color="auto"/>
              <w:right w:val="single" w:sz="4" w:space="0" w:color="auto"/>
            </w:tcBorders>
            <w:shd w:val="clear" w:color="auto" w:fill="auto"/>
            <w:vAlign w:val="bottom"/>
            <w:hideMark/>
          </w:tcPr>
          <w:p w14:paraId="4DCC389F" w14:textId="77777777" w:rsidR="001A7D3D" w:rsidRPr="00103876" w:rsidRDefault="001A7D3D" w:rsidP="00E147EB">
            <w:pPr>
              <w:jc w:val="center"/>
              <w:rPr>
                <w:color w:val="000000"/>
                <w:sz w:val="18"/>
                <w:szCs w:val="18"/>
              </w:rPr>
            </w:pPr>
            <w:bookmarkStart w:id="3" w:name="RANGE!F17"/>
            <w:r w:rsidRPr="00103876">
              <w:rPr>
                <w:color w:val="000000"/>
                <w:sz w:val="18"/>
                <w:szCs w:val="18"/>
              </w:rPr>
              <w:t>100%</w:t>
            </w:r>
            <w:bookmarkEnd w:id="3"/>
          </w:p>
        </w:tc>
      </w:tr>
    </w:tbl>
    <w:p w14:paraId="0DAC2169" w14:textId="77777777" w:rsidR="001A7D3D" w:rsidRPr="007C346A" w:rsidRDefault="001A7D3D" w:rsidP="001A7D3D">
      <w:pPr>
        <w:tabs>
          <w:tab w:val="right" w:pos="9360"/>
        </w:tabs>
      </w:pPr>
    </w:p>
    <w:p w14:paraId="1F8A7ADC" w14:textId="03990992" w:rsidR="001A7D3D" w:rsidRPr="007C346A" w:rsidRDefault="001A7D3D" w:rsidP="001A7D3D">
      <w:pPr>
        <w:tabs>
          <w:tab w:val="right" w:pos="9360"/>
        </w:tabs>
      </w:pPr>
      <w:r w:rsidRPr="007C346A">
        <w:lastRenderedPageBreak/>
        <w:t xml:space="preserve">The costs of BES can be found in NREL’S ATB (and another good source </w:t>
      </w:r>
      <w:r w:rsidR="00A93594">
        <w:t xml:space="preserve">is </w:t>
      </w:r>
      <w:proofErr w:type="spellStart"/>
      <w:r w:rsidRPr="007C346A">
        <w:t>Lazards</w:t>
      </w:r>
      <w:proofErr w:type="spellEnd"/>
      <w:r w:rsidR="00A93594">
        <w:rPr>
          <w:rStyle w:val="FootnoteReference"/>
        </w:rPr>
        <w:footnoteReference w:id="11"/>
      </w:r>
      <w:r w:rsidRPr="007C346A">
        <w:t xml:space="preserve">). However, it is important to note the economies of scale that can be achieved when BES and PV are co-located as reported in an NREL report </w:t>
      </w:r>
      <w:r w:rsidRPr="007C346A">
        <w:rPr>
          <w:rStyle w:val="FootnoteReference"/>
        </w:rPr>
        <w:footnoteReference w:id="12"/>
      </w:r>
      <w:r w:rsidRPr="007C346A">
        <w:t>).</w:t>
      </w:r>
    </w:p>
    <w:p w14:paraId="1E9808DD" w14:textId="77777777" w:rsidR="001A7D3D" w:rsidRPr="007C346A" w:rsidRDefault="001A7D3D" w:rsidP="001A7D3D">
      <w:pPr>
        <w:tabs>
          <w:tab w:val="right" w:pos="9360"/>
        </w:tabs>
      </w:pPr>
    </w:p>
    <w:p w14:paraId="4998CFF0" w14:textId="04CEBD2F" w:rsidR="001A7D3D" w:rsidRPr="007C346A" w:rsidRDefault="001A7D3D" w:rsidP="001A7D3D">
      <w:pPr>
        <w:tabs>
          <w:tab w:val="right" w:pos="9360"/>
        </w:tabs>
      </w:pPr>
      <w:r w:rsidRPr="007C346A">
        <w:rPr>
          <w:u w:val="single"/>
        </w:rPr>
        <w:t xml:space="preserve">Long-duration energy Storage: </w:t>
      </w:r>
      <w:r w:rsidRPr="007C346A">
        <w:t xml:space="preserve">Because achieving reliability with large shares of variable energy generation (such as wind and solar) may require long-duration storage (more than what is currently economic for BES) a commission of </w:t>
      </w:r>
      <w:r w:rsidR="00A93594">
        <w:t xml:space="preserve">European </w:t>
      </w:r>
      <w:r w:rsidRPr="007C346A">
        <w:t>experts</w:t>
      </w:r>
      <w:r w:rsidR="00A93594">
        <w:t xml:space="preserve"> recently recommended that </w:t>
      </w:r>
      <w:proofErr w:type="spellStart"/>
      <w:r w:rsidR="00A93594">
        <w:t>NicLands</w:t>
      </w:r>
      <w:proofErr w:type="spellEnd"/>
      <w:r w:rsidR="00A93594">
        <w:t xml:space="preserve"> government takes a serious look at hydrogen</w:t>
      </w:r>
      <w:r w:rsidRPr="007C346A">
        <w:rPr>
          <w:rStyle w:val="FootnoteReference"/>
        </w:rPr>
        <w:footnoteReference w:id="13"/>
      </w:r>
      <w:r w:rsidRPr="007C346A">
        <w:t xml:space="preserve">. </w:t>
      </w:r>
    </w:p>
    <w:p w14:paraId="066E193C" w14:textId="09D0DFFC" w:rsidR="001A7D3D" w:rsidRDefault="001A7D3D" w:rsidP="001A7D3D">
      <w:pPr>
        <w:tabs>
          <w:tab w:val="right" w:pos="9360"/>
        </w:tabs>
      </w:pPr>
      <w:r>
        <w:t xml:space="preserve">Also, it is known that geologic formations in </w:t>
      </w:r>
      <w:proofErr w:type="spellStart"/>
      <w:r w:rsidR="00AC3028">
        <w:t>NicLand</w:t>
      </w:r>
      <w:proofErr w:type="spellEnd"/>
      <w:r>
        <w:t xml:space="preserve"> allow the installation of a</w:t>
      </w:r>
      <w:r w:rsidRPr="00496340">
        <w:t xml:space="preserve"> CAES </w:t>
      </w:r>
      <w:r>
        <w:t>system with storage capacity of 20,000MWh.  Pr</w:t>
      </w:r>
      <w:r w:rsidRPr="00496340">
        <w:t xml:space="preserve">eliminary studies suggest </w:t>
      </w:r>
      <w:r>
        <w:t>the c</w:t>
      </w:r>
      <w:r w:rsidRPr="00496340">
        <w:t>apital costs for a diabatic CAES plant are o</w:t>
      </w:r>
      <w:r>
        <w:t>f</w:t>
      </w:r>
      <w:r w:rsidRPr="00496340">
        <w:t xml:space="preserve"> the order of $</w:t>
      </w:r>
      <w:r>
        <w:t>5</w:t>
      </w:r>
      <w:r w:rsidRPr="00496340">
        <w:t>00/kW. Developing underground storage capacity costs about $2/kWh. The natural gas consumption of one of these plants is about 4,800Btu/kWh. For each kWh of output, about 0.8kWh of compressor input are required.</w:t>
      </w:r>
      <w:r>
        <w:t xml:space="preserve">  </w:t>
      </w:r>
      <w:r w:rsidRPr="00496340">
        <w:t xml:space="preserve"> </w:t>
      </w:r>
      <w:r>
        <w:t>General information (to provide to the public) about this and other types of storage that could be considered (such as pumped hydro storage</w:t>
      </w:r>
      <w:r>
        <w:rPr>
          <w:rStyle w:val="FootnoteReference"/>
        </w:rPr>
        <w:footnoteReference w:id="14"/>
      </w:r>
      <w:r>
        <w:t xml:space="preserve"> of which there seems to be a potential for 50MW in </w:t>
      </w:r>
      <w:proofErr w:type="spellStart"/>
      <w:r w:rsidR="00AC3028">
        <w:t>NicLand</w:t>
      </w:r>
      <w:proofErr w:type="spellEnd"/>
      <w:r>
        <w:t>) is described in Bradbury et al.</w:t>
      </w:r>
      <w:r>
        <w:rPr>
          <w:rStyle w:val="FootnoteReference"/>
        </w:rPr>
        <w:footnoteReference w:id="15"/>
      </w:r>
    </w:p>
    <w:p w14:paraId="48CACD9E" w14:textId="77777777" w:rsidR="001A7D3D" w:rsidRDefault="001A7D3D" w:rsidP="001A7D3D">
      <w:pPr>
        <w:tabs>
          <w:tab w:val="right" w:pos="9360"/>
        </w:tabs>
      </w:pPr>
    </w:p>
    <w:p w14:paraId="273EF06E" w14:textId="77777777" w:rsidR="001A7D3D" w:rsidRDefault="001A7D3D" w:rsidP="001A7D3D">
      <w:pPr>
        <w:tabs>
          <w:tab w:val="right" w:pos="9360"/>
        </w:tabs>
      </w:pPr>
    </w:p>
    <w:p w14:paraId="349A711F" w14:textId="711CA35F" w:rsidR="001A7D3D" w:rsidRDefault="00D46C7D" w:rsidP="001A7D3D">
      <w:pPr>
        <w:tabs>
          <w:tab w:val="right" w:pos="9360"/>
        </w:tabs>
      </w:pPr>
      <w:r>
        <w:t>6</w:t>
      </w:r>
      <w:r w:rsidR="001A7D3D">
        <w:t>. Electrification of the transportation system:</w:t>
      </w:r>
    </w:p>
    <w:p w14:paraId="23F27ED7" w14:textId="1EBEF032" w:rsidR="001A7D3D" w:rsidRDefault="001A7D3D" w:rsidP="001A7D3D">
      <w:pPr>
        <w:tabs>
          <w:tab w:val="right" w:pos="9360"/>
        </w:tabs>
      </w:pPr>
      <w:r>
        <w:t>Electrification of the transportation System:  Although electrification of the transportation fleet would not reduce CO</w:t>
      </w:r>
      <w:r w:rsidRPr="003C4DCE">
        <w:rPr>
          <w:vertAlign w:val="subscript"/>
        </w:rPr>
        <w:t>2</w:t>
      </w:r>
      <w:r>
        <w:t xml:space="preserve"> emissions from electricity generation system, the overall emissions reductions from the transportation sector would count towards </w:t>
      </w:r>
      <w:proofErr w:type="spellStart"/>
      <w:r w:rsidR="00AC3028">
        <w:t>NicLand</w:t>
      </w:r>
      <w:r>
        <w:t>’s</w:t>
      </w:r>
      <w:proofErr w:type="spellEnd"/>
      <w:r>
        <w:t xml:space="preserve"> economy de-carbonization target. For this reason, </w:t>
      </w:r>
      <w:proofErr w:type="spellStart"/>
      <w:r w:rsidR="00AC3028">
        <w:t>NicLand</w:t>
      </w:r>
      <w:r>
        <w:t>’s</w:t>
      </w:r>
      <w:proofErr w:type="spellEnd"/>
      <w:r>
        <w:t xml:space="preserve"> government may want to subsidize the adoption of electric vehicles through the installation of charging stations throughout </w:t>
      </w:r>
      <w:proofErr w:type="spellStart"/>
      <w:r w:rsidR="00AC3028">
        <w:t>NicLand</w:t>
      </w:r>
      <w:proofErr w:type="spellEnd"/>
      <w:r>
        <w:t xml:space="preserve">. </w:t>
      </w:r>
      <w:proofErr w:type="spellStart"/>
      <w:r>
        <w:t>NicIso</w:t>
      </w:r>
      <w:proofErr w:type="spellEnd"/>
      <w:r>
        <w:t xml:space="preserve"> could pass to electricity consumers the cost of subsidizing the capital cost of EV, if the cost of achieving CO</w:t>
      </w:r>
      <w:r w:rsidRPr="00D46C7D">
        <w:rPr>
          <w:vertAlign w:val="subscript"/>
        </w:rPr>
        <w:t>2</w:t>
      </w:r>
      <w:r>
        <w:t xml:space="preserve"> emissions reductions is lower than with other strategies.  If subsidizing EVs, the target of 95% reduction of CO</w:t>
      </w:r>
      <w:r w:rsidRPr="00D46C7D">
        <w:rPr>
          <w:vertAlign w:val="subscript"/>
        </w:rPr>
        <w:t>2</w:t>
      </w:r>
      <w:r>
        <w:t xml:space="preserve"> emissions from the electricity sector will be reduced because reductions in the transportation sector count the same. Preliminary studies suggest that if the capital cost of EVs starts being subsidized in 202</w:t>
      </w:r>
      <w:r w:rsidR="00D46C7D">
        <w:t>3</w:t>
      </w:r>
      <w:r>
        <w:t xml:space="preserve"> then the market share among all vehicles by 2040 will significantly increase. With subsidies of 20% the EVs share of total Vehicles Miles Travelled by 2040 will be 30% or twice the share achieved under the no-subsidies strategy.  </w:t>
      </w:r>
    </w:p>
    <w:p w14:paraId="28F8CA02" w14:textId="77777777" w:rsidR="001A7D3D" w:rsidRDefault="001A7D3D" w:rsidP="001A7D3D">
      <w:pPr>
        <w:tabs>
          <w:tab w:val="right" w:pos="9360"/>
        </w:tabs>
        <w:rPr>
          <w:rFonts w:ascii="Calibri" w:eastAsia="Calibri" w:hAnsi="Calibri"/>
          <w:sz w:val="20"/>
          <w:szCs w:val="20"/>
        </w:rPr>
      </w:pPr>
      <w:r>
        <w:fldChar w:fldCharType="begin"/>
      </w:r>
      <w:r>
        <w:instrText xml:space="preserve"> LINK Excel.Sheet.12 "C:\\Users\\Rubenka\\Desktop\\Paul and Seth.xlsx" Electricity!R2C1:R7C3 \a \f 5 \h  \* MERGEFORMAT </w:instrText>
      </w:r>
      <w:r>
        <w:fldChar w:fldCharType="separate"/>
      </w:r>
    </w:p>
    <w:p w14:paraId="6B6A88A3" w14:textId="34B1FBC0" w:rsidR="001A7D3D" w:rsidRDefault="001A7D3D" w:rsidP="001A7D3D">
      <w:pPr>
        <w:tabs>
          <w:tab w:val="right" w:pos="9360"/>
        </w:tabs>
      </w:pPr>
      <w:r>
        <w:fldChar w:fldCharType="end"/>
      </w:r>
      <w:r>
        <w:t>These electric vehicles would replace conventional vehicles that have an average fuel economy of 25 miles/gallon, travel on average 18,000 miles per year, and emit CO</w:t>
      </w:r>
      <w:r w:rsidRPr="006615F6">
        <w:rPr>
          <w:vertAlign w:val="subscript"/>
        </w:rPr>
        <w:t>2</w:t>
      </w:r>
      <w:r>
        <w:t xml:space="preserve"> emissions from gasoline combustion at a rate of 8.8 kg/gallon.  It is unclear at this point if the government of </w:t>
      </w:r>
      <w:proofErr w:type="spellStart"/>
      <w:r w:rsidR="00AC3028">
        <w:t>NicLand</w:t>
      </w:r>
      <w:proofErr w:type="spellEnd"/>
      <w:r>
        <w:t xml:space="preserve"> should invest in residential charging stations, or for charging stations at the </w:t>
      </w:r>
      <w:r w:rsidR="00D46C7D">
        <w:t>workplace</w:t>
      </w:r>
      <w:r>
        <w:t xml:space="preserve">. Although some groups say that V2G (vehicle </w:t>
      </w:r>
      <w:r>
        <w:lastRenderedPageBreak/>
        <w:t xml:space="preserve">to grid electricity) could be an alternative for </w:t>
      </w:r>
      <w:proofErr w:type="spellStart"/>
      <w:r>
        <w:t>NicIso</w:t>
      </w:r>
      <w:proofErr w:type="spellEnd"/>
      <w:r>
        <w:t xml:space="preserve">, recent bad press about the accelerated reduction in the lifetime of the batteries associated to this use has reduced the willingness to participate from some future EV users.  It is estimated, that about 40% of the users would be willing to be called to sell electricity to the grid at any hour when their EV is charging.  Officials agree that analysis on electrification of the transportation system is of less importance at this </w:t>
      </w:r>
      <w:r w:rsidR="00D46C7D">
        <w:t>point but</w:t>
      </w:r>
      <w:r>
        <w:t xml:space="preserve"> would be very well received if there is expertise in the team that allows a very </w:t>
      </w:r>
      <w:proofErr w:type="gramStart"/>
      <w:r>
        <w:t>high quality</w:t>
      </w:r>
      <w:proofErr w:type="gramEnd"/>
      <w:r>
        <w:t xml:space="preserve"> report.  </w:t>
      </w:r>
    </w:p>
    <w:p w14:paraId="7108D437" w14:textId="77777777" w:rsidR="001A7D3D" w:rsidRDefault="001A7D3D" w:rsidP="001A7D3D">
      <w:pPr>
        <w:tabs>
          <w:tab w:val="right" w:pos="9360"/>
        </w:tabs>
      </w:pPr>
    </w:p>
    <w:p w14:paraId="7AC23DAF" w14:textId="13B9CFFF" w:rsidR="001A7D3D" w:rsidRDefault="00D46C7D" w:rsidP="001A7D3D">
      <w:pPr>
        <w:tabs>
          <w:tab w:val="right" w:pos="9360"/>
        </w:tabs>
      </w:pPr>
      <w:r>
        <w:t>7</w:t>
      </w:r>
      <w:r w:rsidR="001A7D3D">
        <w:t>. CCS: There is no potential for CO</w:t>
      </w:r>
      <w:r w:rsidR="001A7D3D" w:rsidRPr="00D46C7D">
        <w:rPr>
          <w:vertAlign w:val="subscript"/>
        </w:rPr>
        <w:t xml:space="preserve">2 </w:t>
      </w:r>
      <w:r w:rsidR="001A7D3D">
        <w:t xml:space="preserve">storage or beneficial use in </w:t>
      </w:r>
      <w:proofErr w:type="spellStart"/>
      <w:r w:rsidR="00AC3028">
        <w:t>NicLand</w:t>
      </w:r>
      <w:proofErr w:type="spellEnd"/>
      <w:r w:rsidR="001A7D3D">
        <w:t xml:space="preserve"> so any CO</w:t>
      </w:r>
      <w:r w:rsidR="001A7D3D" w:rsidRPr="00D46C7D">
        <w:rPr>
          <w:vertAlign w:val="subscript"/>
        </w:rPr>
        <w:t>2</w:t>
      </w:r>
      <w:r w:rsidR="001A7D3D">
        <w:t xml:space="preserve"> captured from power plants in </w:t>
      </w:r>
      <w:proofErr w:type="spellStart"/>
      <w:r w:rsidR="001A7D3D">
        <w:t>NicIso</w:t>
      </w:r>
      <w:proofErr w:type="spellEnd"/>
      <w:r w:rsidR="001A7D3D">
        <w:t xml:space="preserve"> would need to be transported at least 1,000 miles for use in enhanced oil recovery or for storage in saline aquifers.  Your boss has also </w:t>
      </w:r>
      <w:r>
        <w:t>discouraged</w:t>
      </w:r>
      <w:r w:rsidR="001A7D3D">
        <w:t xml:space="preserve"> your from consider</w:t>
      </w:r>
      <w:r>
        <w:t>ing</w:t>
      </w:r>
      <w:r w:rsidR="001A7D3D">
        <w:t xml:space="preserve"> this alternative unless you see it is necessary to achieve a solution to </w:t>
      </w:r>
      <w:proofErr w:type="spellStart"/>
      <w:r w:rsidR="001A7D3D">
        <w:t>NicIso’s</w:t>
      </w:r>
      <w:proofErr w:type="spellEnd"/>
      <w:r w:rsidR="001A7D3D">
        <w:t xml:space="preserve"> de-carbonization goals that is both economic and reliable. P</w:t>
      </w:r>
      <w:r w:rsidR="001A7D3D" w:rsidRPr="00801C42">
        <w:t xml:space="preserve">reliminary studies show that all the coal-fired </w:t>
      </w:r>
      <w:r w:rsidR="001A7D3D">
        <w:t xml:space="preserve">and natural gas </w:t>
      </w:r>
      <w:r w:rsidR="001A7D3D" w:rsidRPr="00801C42">
        <w:t xml:space="preserve">plants in </w:t>
      </w:r>
      <w:proofErr w:type="spellStart"/>
      <w:r w:rsidR="001A7D3D" w:rsidRPr="00801C42">
        <w:t>NicIso</w:t>
      </w:r>
      <w:proofErr w:type="spellEnd"/>
      <w:r w:rsidR="001A7D3D" w:rsidRPr="00801C42">
        <w:t xml:space="preserve"> can be retrofitted </w:t>
      </w:r>
      <w:r w:rsidR="001A7D3D">
        <w:t xml:space="preserve">with </w:t>
      </w:r>
      <w:r w:rsidR="001A7D3D" w:rsidRPr="00801C42">
        <w:t>post-combustion CO</w:t>
      </w:r>
      <w:r w:rsidR="001A7D3D" w:rsidRPr="003C4DCE">
        <w:rPr>
          <w:vertAlign w:val="subscript"/>
        </w:rPr>
        <w:t>2</w:t>
      </w:r>
      <w:r w:rsidR="001A7D3D">
        <w:t xml:space="preserve"> emissions control for about 1.3</w:t>
      </w:r>
      <w:r w:rsidR="001A7D3D" w:rsidRPr="00801C42">
        <w:t xml:space="preserve"> times the capital costs of these equipment in a new plant</w:t>
      </w:r>
      <w:r w:rsidR="001A7D3D">
        <w:t xml:space="preserve"> (the costs of a CCS system for a new plant can be found in the ATB). The CCS equipment would capture up to 90% of the CO</w:t>
      </w:r>
      <w:r w:rsidR="001A7D3D" w:rsidRPr="00D46C7D">
        <w:rPr>
          <w:vertAlign w:val="subscript"/>
        </w:rPr>
        <w:t>2</w:t>
      </w:r>
      <w:r w:rsidR="001A7D3D">
        <w:t xml:space="preserve"> emitted. To optimize the conditions for CCS operation these retrofit plants would also control the emissions of SO2, NOx, mercury and particulate matter and the costs would be included in the costs of the CCS retrofit</w:t>
      </w:r>
      <w:r w:rsidR="001A7D3D" w:rsidRPr="00801C42">
        <w:t>.</w:t>
      </w:r>
      <w:r w:rsidR="001A7D3D" w:rsidRPr="00A13BFC">
        <w:t xml:space="preserve"> </w:t>
      </w:r>
    </w:p>
    <w:p w14:paraId="08C55E96" w14:textId="77777777" w:rsidR="001A7D3D" w:rsidRDefault="001A7D3D" w:rsidP="001A7D3D">
      <w:pPr>
        <w:tabs>
          <w:tab w:val="right" w:pos="9360"/>
        </w:tabs>
      </w:pPr>
    </w:p>
    <w:p w14:paraId="16CA4549" w14:textId="258D0405" w:rsidR="001A7D3D" w:rsidRDefault="00D46C7D" w:rsidP="001A7D3D">
      <w:pPr>
        <w:tabs>
          <w:tab w:val="right" w:pos="9360"/>
        </w:tabs>
      </w:pPr>
      <w:r>
        <w:t>8</w:t>
      </w:r>
      <w:r w:rsidR="001A7D3D">
        <w:t xml:space="preserve">. Other information </w:t>
      </w:r>
    </w:p>
    <w:p w14:paraId="68D0BC1C" w14:textId="77777777" w:rsidR="001A7D3D" w:rsidRDefault="001A7D3D" w:rsidP="001A7D3D">
      <w:pPr>
        <w:tabs>
          <w:tab w:val="right" w:pos="9360"/>
        </w:tabs>
      </w:pPr>
      <w:r>
        <w:t xml:space="preserve">Linear distance between nodes in </w:t>
      </w:r>
      <w:proofErr w:type="spellStart"/>
      <w:r>
        <w:t>NicIso</w:t>
      </w:r>
      <w:proofErr w:type="spellEnd"/>
      <w:r>
        <w:t xml:space="preserve"> is about 250 miles.  </w:t>
      </w:r>
    </w:p>
    <w:p w14:paraId="2ACD8006" w14:textId="77777777" w:rsidR="001A7D3D" w:rsidRDefault="001A7D3D" w:rsidP="001A7D3D">
      <w:pPr>
        <w:tabs>
          <w:tab w:val="right" w:pos="9360"/>
        </w:tabs>
      </w:pPr>
    </w:p>
    <w:p w14:paraId="28B537B4" w14:textId="18893B05" w:rsidR="001A7D3D" w:rsidRDefault="001A7D3D" w:rsidP="001A7D3D">
      <w:pPr>
        <w:tabs>
          <w:tab w:val="right" w:pos="9360"/>
        </w:tabs>
      </w:pPr>
      <w:r>
        <w:t xml:space="preserve">Capacity Markets: The association of IPPs has expressed to </w:t>
      </w:r>
      <w:proofErr w:type="spellStart"/>
      <w:r>
        <w:t>NicIso</w:t>
      </w:r>
      <w:proofErr w:type="spellEnd"/>
      <w:r>
        <w:t xml:space="preserve"> officials the concern that current and expected LMP prices in the region and expected </w:t>
      </w:r>
      <w:proofErr w:type="gramStart"/>
      <w:r w:rsidR="00D46C7D">
        <w:t>low capacity</w:t>
      </w:r>
      <w:proofErr w:type="gramEnd"/>
      <w:r>
        <w:t xml:space="preserve"> factors for conventional resources may not provide enough incentives for investment in new plants or for keeping existent plants, and hence, capacity payments may be needed. Analysis on this issue from the perspective of investors/owners and from the perspective of consumers would be very relevant.</w:t>
      </w:r>
    </w:p>
    <w:p w14:paraId="4B26BFD8" w14:textId="77777777" w:rsidR="001A7D3D" w:rsidRDefault="001A7D3D" w:rsidP="001A7D3D">
      <w:pPr>
        <w:tabs>
          <w:tab w:val="right" w:pos="9360"/>
        </w:tabs>
        <w:rPr>
          <w:b/>
        </w:rPr>
      </w:pPr>
    </w:p>
    <w:p w14:paraId="289A97F0" w14:textId="77777777" w:rsidR="001A7D3D" w:rsidRPr="00E64F9A" w:rsidRDefault="001A7D3D" w:rsidP="001A7D3D">
      <w:pPr>
        <w:tabs>
          <w:tab w:val="right" w:pos="9360"/>
        </w:tabs>
        <w:rPr>
          <w:b/>
        </w:rPr>
      </w:pPr>
      <w:r>
        <w:rPr>
          <w:b/>
        </w:rPr>
        <w:t>E</w:t>
      </w:r>
      <w:r w:rsidRPr="00E64F9A">
        <w:rPr>
          <w:b/>
        </w:rPr>
        <w:t>nergy efficiency:</w:t>
      </w:r>
    </w:p>
    <w:p w14:paraId="4DC39D31" w14:textId="2022D9F2" w:rsidR="001A7D3D" w:rsidRDefault="001A7D3D" w:rsidP="001A7D3D">
      <w:pPr>
        <w:tabs>
          <w:tab w:val="right" w:pos="9360"/>
        </w:tabs>
      </w:pPr>
      <w:r>
        <w:t xml:space="preserve">A large share of the population is extremely interested in exploring energy efficiency alternatives for </w:t>
      </w:r>
      <w:proofErr w:type="spellStart"/>
      <w:r w:rsidR="00AC3028">
        <w:t>NicLand</w:t>
      </w:r>
      <w:proofErr w:type="spellEnd"/>
      <w:r>
        <w:t xml:space="preserve">. Your boss has told you that you can focus on this if there is expertise and interest in your team. Due to lack of </w:t>
      </w:r>
      <w:r w:rsidR="00D46C7D">
        <w:t>data,</w:t>
      </w:r>
      <w:r>
        <w:t xml:space="preserve"> he has asked that you please make reasonable and defendable assumptions on the program implementation and potential benefit (</w:t>
      </w:r>
      <w:proofErr w:type="gramStart"/>
      <w:r>
        <w:t>i.e.</w:t>
      </w:r>
      <w:proofErr w:type="gramEnd"/>
      <w:r>
        <w:t xml:space="preserve"> the % reduction in load that is possible given customer behavior, rebound effects, etc.).  For this part you can also use the following information about </w:t>
      </w:r>
      <w:proofErr w:type="spellStart"/>
      <w:r w:rsidR="00AC3028">
        <w:t>NicLand</w:t>
      </w:r>
      <w:proofErr w:type="spellEnd"/>
      <w:r>
        <w:t>:</w:t>
      </w:r>
    </w:p>
    <w:p w14:paraId="647233D2" w14:textId="77777777" w:rsidR="001A7D3D" w:rsidRDefault="001A7D3D" w:rsidP="001A7D3D">
      <w:pPr>
        <w:tabs>
          <w:tab w:val="right" w:pos="9360"/>
        </w:tabs>
      </w:pPr>
    </w:p>
    <w:p w14:paraId="0C3AE306" w14:textId="77777777" w:rsidR="001A7D3D" w:rsidRDefault="001A7D3D" w:rsidP="001A7D3D">
      <w:pPr>
        <w:tabs>
          <w:tab w:val="right" w:pos="9360"/>
        </w:tabs>
      </w:pPr>
      <w:r>
        <w:t>Home appliances:</w:t>
      </w:r>
    </w:p>
    <w:p w14:paraId="4A240797" w14:textId="2A334DEC" w:rsidR="001A7D3D" w:rsidRDefault="001A7D3D" w:rsidP="001A7D3D">
      <w:pPr>
        <w:tabs>
          <w:tab w:val="right" w:pos="9360"/>
        </w:tabs>
      </w:pPr>
      <w:r>
        <w:t xml:space="preserve">20% of households in </w:t>
      </w:r>
      <w:proofErr w:type="spellStart"/>
      <w:r w:rsidR="00AC3028">
        <w:t>NicLand</w:t>
      </w:r>
      <w:proofErr w:type="spellEnd"/>
      <w:r>
        <w:t xml:space="preserve"> have more than one refrigerator.  The median age of primary refrigerators is 7 years while the median of the secondary refrigerator is 15 years.</w:t>
      </w:r>
    </w:p>
    <w:p w14:paraId="6343FE5A" w14:textId="77777777" w:rsidR="001A7D3D" w:rsidRDefault="001A7D3D" w:rsidP="001A7D3D">
      <w:pPr>
        <w:tabs>
          <w:tab w:val="right" w:pos="9360"/>
        </w:tabs>
      </w:pPr>
    </w:p>
    <w:p w14:paraId="42819C03" w14:textId="77777777" w:rsidR="001A7D3D" w:rsidRDefault="001A7D3D" w:rsidP="001A7D3D">
      <w:pPr>
        <w:tabs>
          <w:tab w:val="right" w:pos="9360"/>
        </w:tabs>
      </w:pPr>
      <w:r>
        <w:t xml:space="preserve">Cooling and heating demand: </w:t>
      </w:r>
    </w:p>
    <w:p w14:paraId="014AE65A" w14:textId="7C3D945E" w:rsidR="001A7D3D" w:rsidRDefault="001A7D3D" w:rsidP="001A7D3D">
      <w:pPr>
        <w:tabs>
          <w:tab w:val="right" w:pos="9360"/>
        </w:tabs>
      </w:pPr>
      <w:r>
        <w:lastRenderedPageBreak/>
        <w:t xml:space="preserve">HVAC demand is growing due to ongoing construction of new homes with central </w:t>
      </w:r>
      <w:r w:rsidR="00D46C7D">
        <w:t>AC and</w:t>
      </w:r>
      <w:r>
        <w:t xml:space="preserve"> retrofitting of mini-split systems in existing homes to cope with a warming and humid climate. (Current share of homes with HVAC is 50%). There is only one climate zone in </w:t>
      </w:r>
      <w:proofErr w:type="spellStart"/>
      <w:r w:rsidR="00AC3028">
        <w:t>NicLand</w:t>
      </w:r>
      <w:proofErr w:type="spellEnd"/>
      <w:r>
        <w:t xml:space="preserve"> with 4180 heating degree Days and 1322 cooling degree days (using a 65 F degree base). </w:t>
      </w:r>
    </w:p>
    <w:p w14:paraId="3173B435" w14:textId="77777777" w:rsidR="001A7D3D" w:rsidRDefault="001A7D3D" w:rsidP="001A7D3D">
      <w:pPr>
        <w:tabs>
          <w:tab w:val="right" w:pos="9360"/>
        </w:tabs>
      </w:pPr>
    </w:p>
    <w:p w14:paraId="3ED520DC" w14:textId="77777777" w:rsidR="001A7D3D" w:rsidRDefault="001A7D3D" w:rsidP="001A7D3D">
      <w:pPr>
        <w:tabs>
          <w:tab w:val="right" w:pos="9360"/>
        </w:tabs>
      </w:pPr>
      <w:r>
        <w:t>Lighting:</w:t>
      </w:r>
    </w:p>
    <w:p w14:paraId="115A6178" w14:textId="77777777" w:rsidR="001A7D3D" w:rsidRDefault="001A7D3D" w:rsidP="001A7D3D">
      <w:pPr>
        <w:tabs>
          <w:tab w:val="right" w:pos="9360"/>
        </w:tabs>
      </w:pPr>
      <w:r>
        <w:t>Currently only 25% of households have switched to compact fluorescent lighting (CFL and a negligible amount has switched to LEDs.</w:t>
      </w:r>
    </w:p>
    <w:p w14:paraId="5359E39A" w14:textId="77777777" w:rsidR="001A7D3D" w:rsidRDefault="001A7D3D" w:rsidP="001A7D3D">
      <w:pPr>
        <w:tabs>
          <w:tab w:val="right" w:pos="9360"/>
        </w:tabs>
      </w:pPr>
      <w:r>
        <w:t>Residential demand: Other assumptions about household use of electricity can be made based on the average values for the US presented in the Residential Energy Consumption Survey RECS</w:t>
      </w:r>
      <w:r>
        <w:rPr>
          <w:rStyle w:val="FootnoteReference"/>
        </w:rPr>
        <w:footnoteReference w:id="16"/>
      </w:r>
      <w:r>
        <w:t xml:space="preserve">. </w:t>
      </w:r>
      <w:hyperlink r:id="rId9" w:history="1">
        <w:r w:rsidRPr="00AF0076">
          <w:rPr>
            <w:rStyle w:val="Hyperlink"/>
          </w:rPr>
          <w:t>https://www.eia.gov/consumption/residential/</w:t>
        </w:r>
      </w:hyperlink>
    </w:p>
    <w:p w14:paraId="3A7D6ED3" w14:textId="6171E477" w:rsidR="001A7D3D" w:rsidRDefault="001A7D3D" w:rsidP="001A7D3D">
      <w:pPr>
        <w:tabs>
          <w:tab w:val="right" w:pos="9360"/>
        </w:tabs>
      </w:pPr>
    </w:p>
    <w:p w14:paraId="69568F0E" w14:textId="38BB0685" w:rsidR="00D46C7D" w:rsidRDefault="00D46C7D" w:rsidP="001A7D3D">
      <w:pPr>
        <w:tabs>
          <w:tab w:val="right" w:pos="9360"/>
        </w:tabs>
      </w:pPr>
    </w:p>
    <w:p w14:paraId="79F5EE82" w14:textId="683D4DEB" w:rsidR="00D46C7D" w:rsidRDefault="00D46C7D" w:rsidP="001A7D3D">
      <w:pPr>
        <w:tabs>
          <w:tab w:val="right" w:pos="9360"/>
        </w:tabs>
      </w:pPr>
    </w:p>
    <w:p w14:paraId="7911735C" w14:textId="77777777" w:rsidR="001A7D3D" w:rsidRDefault="001A7D3D" w:rsidP="001A7D3D">
      <w:pPr>
        <w:keepNext/>
        <w:tabs>
          <w:tab w:val="right" w:pos="9360"/>
        </w:tabs>
      </w:pPr>
      <w:r w:rsidRPr="009E4619">
        <w:rPr>
          <w:noProof/>
        </w:rPr>
        <w:lastRenderedPageBreak/>
        <w:drawing>
          <wp:inline distT="0" distB="0" distL="0" distR="0" wp14:anchorId="0D905DC9" wp14:editId="22AB7054">
            <wp:extent cx="5895975" cy="5625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478" cy="5675623"/>
                    </a:xfrm>
                    <a:prstGeom prst="rect">
                      <a:avLst/>
                    </a:prstGeom>
                    <a:noFill/>
                    <a:ln>
                      <a:noFill/>
                    </a:ln>
                  </pic:spPr>
                </pic:pic>
              </a:graphicData>
            </a:graphic>
          </wp:inline>
        </w:drawing>
      </w:r>
    </w:p>
    <w:p w14:paraId="2D83810A" w14:textId="485B549C" w:rsidR="001A7D3D" w:rsidRDefault="001A7D3D" w:rsidP="001A7D3D">
      <w:pPr>
        <w:pStyle w:val="Caption"/>
      </w:pPr>
      <w:r>
        <w:t xml:space="preserve">Figure </w:t>
      </w:r>
      <w:fldSimple w:instr=" SEQ Figure \* ARABIC ">
        <w:r w:rsidR="005C666C">
          <w:rPr>
            <w:noProof/>
          </w:rPr>
          <w:t>2</w:t>
        </w:r>
      </w:fldSimple>
      <w:r w:rsidR="003135F0">
        <w:rPr>
          <w:noProof/>
        </w:rPr>
        <w:t xml:space="preserve">. </w:t>
      </w:r>
      <w:r w:rsidR="003135F0">
        <w:t>Hourly</w:t>
      </w:r>
      <w:r>
        <w:t xml:space="preserve"> electricity consumption patterns from </w:t>
      </w:r>
      <w:r w:rsidR="003135F0">
        <w:t>household appliances</w:t>
      </w:r>
      <w:r>
        <w:t xml:space="preserve"> in </w:t>
      </w:r>
      <w:proofErr w:type="spellStart"/>
      <w:r w:rsidR="00AC3028">
        <w:t>NicLand</w:t>
      </w:r>
      <w:proofErr w:type="spellEnd"/>
    </w:p>
    <w:p w14:paraId="28FA36C6" w14:textId="77777777" w:rsidR="001A7D3D" w:rsidRDefault="001A7D3D" w:rsidP="001A7D3D">
      <w:pPr>
        <w:tabs>
          <w:tab w:val="right" w:pos="9360"/>
        </w:tabs>
      </w:pPr>
    </w:p>
    <w:p w14:paraId="2214111D" w14:textId="77777777" w:rsidR="001A7D3D" w:rsidRPr="00E64F9A" w:rsidRDefault="001A7D3D" w:rsidP="001A7D3D">
      <w:pPr>
        <w:tabs>
          <w:tab w:val="right" w:pos="9360"/>
        </w:tabs>
        <w:rPr>
          <w:b/>
        </w:rPr>
      </w:pPr>
      <w:r w:rsidRPr="00E64F9A">
        <w:rPr>
          <w:b/>
        </w:rPr>
        <w:t>Important:</w:t>
      </w:r>
    </w:p>
    <w:p w14:paraId="76E14E70" w14:textId="77777777" w:rsidR="001A7D3D" w:rsidRDefault="001A7D3D" w:rsidP="001A7D3D">
      <w:pPr>
        <w:tabs>
          <w:tab w:val="right" w:pos="9360"/>
        </w:tabs>
      </w:pPr>
    </w:p>
    <w:p w14:paraId="3C8B14C6" w14:textId="47EFD6A2" w:rsidR="001A7D3D" w:rsidRDefault="001A7D3D" w:rsidP="001A7D3D">
      <w:pPr>
        <w:tabs>
          <w:tab w:val="right" w:pos="9360"/>
        </w:tabs>
      </w:pPr>
      <w:r>
        <w:t xml:space="preserve">Your boss is aware of the complexity of the task and does NOT expect an analysis that considers in depth every single issue raised in current discussions, but he expects a </w:t>
      </w:r>
      <w:r w:rsidRPr="00E64F9A">
        <w:rPr>
          <w:b/>
        </w:rPr>
        <w:t>comprehensive analysis of the many technological, market design</w:t>
      </w:r>
      <w:r>
        <w:rPr>
          <w:b/>
        </w:rPr>
        <w:t>,</w:t>
      </w:r>
      <w:r w:rsidRPr="00E64F9A">
        <w:rPr>
          <w:b/>
        </w:rPr>
        <w:t xml:space="preserve"> and regulatory alternatives to achieve environmental goals, reliability standards</w:t>
      </w:r>
      <w:r>
        <w:rPr>
          <w:b/>
        </w:rPr>
        <w:t>,</w:t>
      </w:r>
      <w:r w:rsidRPr="00E64F9A">
        <w:rPr>
          <w:b/>
        </w:rPr>
        <w:t xml:space="preserve"> and economic efficiency</w:t>
      </w:r>
      <w:r>
        <w:t xml:space="preserve">. When analyzing supply or demand side alternatives to decarbonize and or increase reliability, you must use metrics well understood in the industry such as the LCOE, Cost of Carbon Abatement, total required investment for the </w:t>
      </w:r>
      <w:proofErr w:type="spellStart"/>
      <w:r w:rsidR="00AC3028">
        <w:t>NicLand</w:t>
      </w:r>
      <w:proofErr w:type="spellEnd"/>
      <w:r>
        <w:t xml:space="preserve"> region by 2030 and by 2040, total electricity sold by 2030 and 2040, expected electricity cost increases per costumer, and reliability metrics.</w:t>
      </w:r>
    </w:p>
    <w:p w14:paraId="3EA8D3F6" w14:textId="77777777" w:rsidR="001A7D3D" w:rsidRDefault="001A7D3D" w:rsidP="001A7D3D">
      <w:pPr>
        <w:tabs>
          <w:tab w:val="right" w:pos="9360"/>
        </w:tabs>
      </w:pPr>
    </w:p>
    <w:p w14:paraId="6DD84AA6" w14:textId="00FD5A8F" w:rsidR="001A7D3D" w:rsidRDefault="001A7D3D" w:rsidP="001A7D3D">
      <w:pPr>
        <w:tabs>
          <w:tab w:val="right" w:pos="9360"/>
        </w:tabs>
      </w:pPr>
      <w:r>
        <w:t xml:space="preserve">The clarity of your report is of particular importance.  </w:t>
      </w:r>
      <w:r>
        <w:rPr>
          <w:b/>
        </w:rPr>
        <w:t>Your document should concisely describe the problem,</w:t>
      </w:r>
      <w:r w:rsidRPr="00BC3F53">
        <w:rPr>
          <w:b/>
        </w:rPr>
        <w:t xml:space="preserve"> </w:t>
      </w:r>
      <w:r>
        <w:rPr>
          <w:b/>
        </w:rPr>
        <w:t xml:space="preserve">clearly </w:t>
      </w:r>
      <w:r w:rsidRPr="00BC3F53">
        <w:rPr>
          <w:b/>
        </w:rPr>
        <w:t>state general and specific objectives</w:t>
      </w:r>
      <w:r>
        <w:rPr>
          <w:b/>
        </w:rPr>
        <w:t xml:space="preserve"> and scope, describe the </w:t>
      </w:r>
      <w:r w:rsidRPr="00BC3F53">
        <w:rPr>
          <w:b/>
        </w:rPr>
        <w:t>methods of analysis</w:t>
      </w:r>
      <w:r>
        <w:rPr>
          <w:b/>
        </w:rPr>
        <w:t xml:space="preserve">, and present all assumptions and </w:t>
      </w:r>
      <w:r w:rsidRPr="00BC3F53">
        <w:rPr>
          <w:b/>
        </w:rPr>
        <w:t>results</w:t>
      </w:r>
      <w:r>
        <w:rPr>
          <w:b/>
        </w:rPr>
        <w:t xml:space="preserve"> in a way that makes them comparable with other studies for other regions, and from other analysts</w:t>
      </w:r>
      <w:r w:rsidRPr="00BC3F53">
        <w:rPr>
          <w:b/>
        </w:rPr>
        <w:t>.</w:t>
      </w:r>
      <w:r>
        <w:t xml:space="preserve">  To provide clarity on the methods of analysis and the data used it would be nice to provide a flow chart explaining the process followed to analyze the data and compare strategies. All reports should present results of a </w:t>
      </w:r>
      <w:r w:rsidR="003135F0">
        <w:t>business-as-usual</w:t>
      </w:r>
      <w:r>
        <w:t xml:space="preserve"> case –when there are no new plants of any kind- for years 202</w:t>
      </w:r>
      <w:r w:rsidR="003135F0">
        <w:t>3</w:t>
      </w:r>
      <w:r>
        <w:t xml:space="preserve">, 2030, and 2040 as well as results for different portfolios of demand and supply side alternatives and the associated costs, revenues, </w:t>
      </w:r>
      <w:r w:rsidR="003135F0">
        <w:t>reliability,</w:t>
      </w:r>
      <w:r>
        <w:t xml:space="preserve"> and prices to consumers. Report should clearly recommend a portfolio and a strategy of policy mechanisms and market design changes to achieve it. </w:t>
      </w:r>
    </w:p>
    <w:p w14:paraId="1DB4AAAF" w14:textId="77777777" w:rsidR="001A7D3D" w:rsidRDefault="001A7D3D" w:rsidP="001A7D3D">
      <w:pPr>
        <w:tabs>
          <w:tab w:val="right" w:pos="9360"/>
        </w:tabs>
      </w:pPr>
    </w:p>
    <w:p w14:paraId="3704B01A" w14:textId="77777777" w:rsidR="001A7D3D" w:rsidRDefault="001A7D3D" w:rsidP="001A7D3D">
      <w:pPr>
        <w:tabs>
          <w:tab w:val="right" w:pos="9360"/>
        </w:tabs>
      </w:pPr>
      <w:r>
        <w:t xml:space="preserve">A wide variety of individuals and organizations will scrutinize the report (see instructions below) and will consider it an impartial and credible analysis </w:t>
      </w:r>
      <w:r w:rsidRPr="00BC3F53">
        <w:rPr>
          <w:b/>
        </w:rPr>
        <w:t>if they can understand and find all the information necessary to replicate the calculations presented</w:t>
      </w:r>
      <w:r>
        <w:t>.</w:t>
      </w:r>
    </w:p>
    <w:p w14:paraId="49E49595" w14:textId="77777777" w:rsidR="001A7D3D" w:rsidRDefault="001A7D3D" w:rsidP="001A7D3D">
      <w:pPr>
        <w:tabs>
          <w:tab w:val="right" w:pos="9360"/>
        </w:tabs>
      </w:pPr>
    </w:p>
    <w:p w14:paraId="614B618C" w14:textId="45EA9EC1" w:rsidR="001A7D3D" w:rsidRDefault="001A7D3D" w:rsidP="001A7D3D">
      <w:pPr>
        <w:tabs>
          <w:tab w:val="right" w:pos="9360"/>
        </w:tabs>
      </w:pPr>
      <w:r w:rsidRPr="00BC3F53">
        <w:t xml:space="preserve">You and your team should </w:t>
      </w:r>
      <w:r>
        <w:t xml:space="preserve">submit a written report by the stated deadline and submit a link to a video of a </w:t>
      </w:r>
      <w:r w:rsidR="003135F0">
        <w:t>20</w:t>
      </w:r>
      <w:r>
        <w:t xml:space="preserve"> </w:t>
      </w:r>
      <w:proofErr w:type="gramStart"/>
      <w:r>
        <w:t>minutes</w:t>
      </w:r>
      <w:proofErr w:type="gramEnd"/>
      <w:r>
        <w:t xml:space="preserve"> presentation summarizing your analysis. </w:t>
      </w:r>
    </w:p>
    <w:p w14:paraId="23EA31B2" w14:textId="77777777" w:rsidR="001A7D3D" w:rsidRDefault="001A7D3D" w:rsidP="001A7D3D">
      <w:pPr>
        <w:tabs>
          <w:tab w:val="right" w:pos="9360"/>
        </w:tabs>
      </w:pPr>
    </w:p>
    <w:p w14:paraId="6A813A7A" w14:textId="77777777" w:rsidR="001A7D3D" w:rsidRDefault="001A7D3D" w:rsidP="001A7D3D">
      <w:pPr>
        <w:tabs>
          <w:tab w:val="right" w:pos="9360"/>
        </w:tabs>
      </w:pPr>
      <w:r>
        <w:t xml:space="preserve">Please </w:t>
      </w:r>
      <w:r w:rsidRPr="00543C9A">
        <w:rPr>
          <w:b/>
        </w:rPr>
        <w:t>DO NOT ask questions</w:t>
      </w:r>
      <w:r>
        <w:t xml:space="preserve"> to your Boss about this assignment.  Make and document any necessary assumptions and try your best.</w:t>
      </w:r>
    </w:p>
    <w:p w14:paraId="7AAD38BA" w14:textId="77777777" w:rsidR="001A7D3D" w:rsidRDefault="001A7D3D" w:rsidP="001A7D3D">
      <w:pPr>
        <w:tabs>
          <w:tab w:val="right" w:pos="9360"/>
        </w:tabs>
        <w:rPr>
          <w:b/>
          <w:u w:val="single"/>
        </w:rPr>
      </w:pPr>
    </w:p>
    <w:p w14:paraId="626632AD" w14:textId="77777777" w:rsidR="001A7D3D" w:rsidRPr="00A025D4" w:rsidRDefault="001A7D3D" w:rsidP="001A7D3D">
      <w:pPr>
        <w:tabs>
          <w:tab w:val="right" w:pos="9360"/>
        </w:tabs>
        <w:rPr>
          <w:b/>
          <w:u w:val="single"/>
        </w:rPr>
      </w:pPr>
      <w:r w:rsidRPr="00A025D4">
        <w:rPr>
          <w:b/>
          <w:u w:val="single"/>
        </w:rPr>
        <w:t>Instructions for report:</w:t>
      </w:r>
    </w:p>
    <w:p w14:paraId="05B30179" w14:textId="5AC6DE0A" w:rsidR="001A7D3D" w:rsidRDefault="001A7D3D" w:rsidP="001A7D3D">
      <w:pPr>
        <w:tabs>
          <w:tab w:val="right" w:pos="9360"/>
        </w:tabs>
      </w:pPr>
      <w:r>
        <w:t xml:space="preserve">Please follow the presentation guidelines in the syllabus. </w:t>
      </w:r>
      <w:r w:rsidR="003135F0">
        <w:t>As mentioned above, y</w:t>
      </w:r>
      <w:r>
        <w:t xml:space="preserve">ou and your team should submit a document that does not exceed 8,000 words (tables and figures count as 300 words each). You are allowed (and encouraged) to include all relevant supplemental information in an appendix, but the report should be a standalone document.  </w:t>
      </w:r>
      <w:r w:rsidR="003135F0">
        <w:t>P</w:t>
      </w:r>
      <w:r>
        <w:t>lease add an attachment with a brief description of how the team collaborated to write the report and small photos of all the team members or one group picture and a caption with all the names.</w:t>
      </w:r>
    </w:p>
    <w:p w14:paraId="3F4C44A4" w14:textId="77777777" w:rsidR="001A7D3D" w:rsidRDefault="001A7D3D" w:rsidP="001A7D3D">
      <w:pPr>
        <w:tabs>
          <w:tab w:val="right" w:pos="9360"/>
        </w:tabs>
      </w:pPr>
    </w:p>
    <w:p w14:paraId="6BF21E91" w14:textId="4C9DDF38" w:rsidR="001A7D3D" w:rsidRDefault="001A7D3D" w:rsidP="001A7D3D">
      <w:pPr>
        <w:tabs>
          <w:tab w:val="right" w:pos="9360"/>
        </w:tabs>
      </w:pPr>
      <w:r>
        <w:lastRenderedPageBreak/>
        <w:t xml:space="preserve">You are free to make any assumptions </w:t>
      </w:r>
      <w:r w:rsidR="003135F0">
        <w:t>if</w:t>
      </w:r>
      <w:r>
        <w:t xml:space="preserve"> these do not contradict any of the information presented above, and are reasonable and defendable given data from the continental U.S.  Please focus your analysis on the information provided above. </w:t>
      </w:r>
    </w:p>
    <w:p w14:paraId="428B9C75" w14:textId="77777777" w:rsidR="001A7D3D" w:rsidRDefault="001A7D3D" w:rsidP="001A7D3D">
      <w:pPr>
        <w:tabs>
          <w:tab w:val="right" w:pos="9360"/>
        </w:tabs>
      </w:pPr>
    </w:p>
    <w:p w14:paraId="00FE110B" w14:textId="56E46F05" w:rsidR="001A7D3D" w:rsidRPr="005906F7" w:rsidRDefault="001A7D3D" w:rsidP="001A7D3D">
      <w:pPr>
        <w:keepNext/>
        <w:keepLines/>
        <w:tabs>
          <w:tab w:val="right" w:pos="9360"/>
        </w:tabs>
        <w:rPr>
          <w:b/>
          <w:i/>
        </w:rPr>
      </w:pPr>
      <w:r w:rsidRPr="005906F7">
        <w:rPr>
          <w:b/>
          <w:i/>
        </w:rPr>
        <w:t>For this assignment please upload</w:t>
      </w:r>
      <w:r>
        <w:rPr>
          <w:b/>
          <w:i/>
        </w:rPr>
        <w:t xml:space="preserve"> at least</w:t>
      </w:r>
      <w:r w:rsidRPr="005906F7">
        <w:rPr>
          <w:b/>
          <w:i/>
        </w:rPr>
        <w:t xml:space="preserve"> </w:t>
      </w:r>
      <w:r>
        <w:rPr>
          <w:b/>
          <w:i/>
        </w:rPr>
        <w:t>two</w:t>
      </w:r>
      <w:r w:rsidRPr="005906F7">
        <w:rPr>
          <w:b/>
          <w:i/>
        </w:rPr>
        <w:t xml:space="preserve"> files in Sakai</w:t>
      </w:r>
      <w:r>
        <w:rPr>
          <w:b/>
          <w:i/>
        </w:rPr>
        <w:t xml:space="preserve"> per team</w:t>
      </w:r>
      <w:r w:rsidRPr="005906F7">
        <w:rPr>
          <w:b/>
          <w:i/>
        </w:rPr>
        <w:t xml:space="preserve">: A word file with </w:t>
      </w:r>
      <w:r>
        <w:rPr>
          <w:b/>
          <w:i/>
        </w:rPr>
        <w:t>the</w:t>
      </w:r>
      <w:r w:rsidRPr="005906F7">
        <w:rPr>
          <w:b/>
          <w:i/>
        </w:rPr>
        <w:t xml:space="preserve"> report, and file</w:t>
      </w:r>
      <w:r>
        <w:rPr>
          <w:b/>
          <w:i/>
        </w:rPr>
        <w:t>s</w:t>
      </w:r>
      <w:r w:rsidRPr="005906F7">
        <w:rPr>
          <w:b/>
          <w:i/>
        </w:rPr>
        <w:t xml:space="preserve"> with a</w:t>
      </w:r>
      <w:r>
        <w:rPr>
          <w:b/>
          <w:i/>
        </w:rPr>
        <w:t xml:space="preserve">ll the </w:t>
      </w:r>
      <w:r w:rsidRPr="005906F7">
        <w:rPr>
          <w:b/>
          <w:i/>
        </w:rPr>
        <w:t>model</w:t>
      </w:r>
      <w:r>
        <w:rPr>
          <w:b/>
          <w:i/>
        </w:rPr>
        <w:t>s</w:t>
      </w:r>
      <w:r w:rsidRPr="005906F7">
        <w:rPr>
          <w:b/>
          <w:i/>
        </w:rPr>
        <w:t xml:space="preserve"> </w:t>
      </w:r>
      <w:r>
        <w:rPr>
          <w:b/>
          <w:i/>
        </w:rPr>
        <w:t>for the analysis</w:t>
      </w:r>
      <w:r w:rsidRPr="005906F7">
        <w:rPr>
          <w:b/>
          <w:i/>
        </w:rPr>
        <w:t xml:space="preserve">. </w:t>
      </w:r>
      <w:r>
        <w:rPr>
          <w:b/>
          <w:i/>
        </w:rPr>
        <w:t xml:space="preserve">Your word file should include a link to your </w:t>
      </w:r>
      <w:r w:rsidR="003135F0">
        <w:rPr>
          <w:b/>
          <w:i/>
        </w:rPr>
        <w:t xml:space="preserve">recorded </w:t>
      </w:r>
      <w:r>
        <w:rPr>
          <w:b/>
          <w:i/>
        </w:rPr>
        <w:t xml:space="preserve">15minutes presentation. </w:t>
      </w:r>
      <w:r w:rsidRPr="005906F7">
        <w:rPr>
          <w:b/>
          <w:i/>
        </w:rPr>
        <w:t xml:space="preserve">Your grade depends on the depth and clarity of </w:t>
      </w:r>
      <w:r>
        <w:rPr>
          <w:b/>
          <w:i/>
        </w:rPr>
        <w:t xml:space="preserve">the </w:t>
      </w:r>
      <w:r w:rsidRPr="005906F7">
        <w:rPr>
          <w:b/>
          <w:i/>
        </w:rPr>
        <w:t xml:space="preserve">report, and on the clarity and usefulness of </w:t>
      </w:r>
      <w:r>
        <w:rPr>
          <w:b/>
          <w:i/>
        </w:rPr>
        <w:t>your</w:t>
      </w:r>
      <w:r w:rsidRPr="005906F7">
        <w:rPr>
          <w:b/>
          <w:i/>
        </w:rPr>
        <w:t xml:space="preserve"> mode</w:t>
      </w:r>
      <w:r>
        <w:rPr>
          <w:b/>
          <w:i/>
        </w:rPr>
        <w:t>l</w:t>
      </w:r>
      <w:r w:rsidRPr="005906F7">
        <w:rPr>
          <w:b/>
          <w:i/>
        </w:rPr>
        <w:t xml:space="preserve">s.    </w:t>
      </w:r>
      <w:r>
        <w:rPr>
          <w:b/>
          <w:i/>
        </w:rPr>
        <w:t xml:space="preserve">Teams </w:t>
      </w:r>
      <w:r w:rsidRPr="005906F7">
        <w:rPr>
          <w:b/>
          <w:i/>
        </w:rPr>
        <w:t xml:space="preserve">are NOT allowed to collaborate or share results or insights with </w:t>
      </w:r>
      <w:r>
        <w:rPr>
          <w:b/>
          <w:i/>
        </w:rPr>
        <w:t>others</w:t>
      </w:r>
      <w:r w:rsidRPr="005906F7">
        <w:rPr>
          <w:b/>
          <w:i/>
        </w:rPr>
        <w:t>.</w:t>
      </w:r>
      <w:r>
        <w:rPr>
          <w:b/>
          <w:i/>
        </w:rPr>
        <w:t xml:space="preserve"> </w:t>
      </w:r>
    </w:p>
    <w:p w14:paraId="2DE092FC" w14:textId="1483EC35" w:rsidR="001A7D3D" w:rsidRPr="005906F7" w:rsidRDefault="001A7D3D" w:rsidP="001A7D3D">
      <w:pPr>
        <w:keepNext/>
        <w:keepLines/>
        <w:tabs>
          <w:tab w:val="right" w:pos="9360"/>
        </w:tabs>
        <w:rPr>
          <w:b/>
          <w:i/>
        </w:rPr>
      </w:pPr>
      <w:r w:rsidRPr="005906F7">
        <w:rPr>
          <w:b/>
          <w:i/>
        </w:rPr>
        <w:t>*</w:t>
      </w:r>
      <w:proofErr w:type="gramStart"/>
      <w:r>
        <w:rPr>
          <w:b/>
          <w:i/>
        </w:rPr>
        <w:t>In order t</w:t>
      </w:r>
      <w:r w:rsidRPr="005906F7">
        <w:rPr>
          <w:b/>
          <w:i/>
        </w:rPr>
        <w:t>o</w:t>
      </w:r>
      <w:proofErr w:type="gramEnd"/>
      <w:r w:rsidRPr="005906F7">
        <w:rPr>
          <w:b/>
          <w:i/>
        </w:rPr>
        <w:t xml:space="preserve"> make </w:t>
      </w:r>
      <w:r>
        <w:rPr>
          <w:b/>
          <w:i/>
        </w:rPr>
        <w:t>your models</w:t>
      </w:r>
      <w:r w:rsidRPr="005906F7">
        <w:rPr>
          <w:b/>
          <w:i/>
        </w:rPr>
        <w:t xml:space="preserve"> useful for other users please </w:t>
      </w:r>
      <w:r>
        <w:rPr>
          <w:b/>
          <w:i/>
        </w:rPr>
        <w:t>document them thoroughly, providing</w:t>
      </w:r>
      <w:r w:rsidRPr="005906F7">
        <w:rPr>
          <w:b/>
          <w:i/>
        </w:rPr>
        <w:t xml:space="preserve"> context and instructions.</w:t>
      </w:r>
    </w:p>
    <w:p w14:paraId="1B73AC09" w14:textId="77777777" w:rsidR="001A7D3D" w:rsidRDefault="001A7D3D" w:rsidP="001A7D3D">
      <w:pPr>
        <w:tabs>
          <w:tab w:val="right" w:pos="9360"/>
        </w:tabs>
      </w:pPr>
    </w:p>
    <w:tbl>
      <w:tblPr>
        <w:tblW w:w="9574" w:type="dxa"/>
        <w:tblInd w:w="-30" w:type="dxa"/>
        <w:tblLayout w:type="fixed"/>
        <w:tblCellMar>
          <w:left w:w="30" w:type="dxa"/>
          <w:right w:w="30" w:type="dxa"/>
        </w:tblCellMar>
        <w:tblLook w:val="0000" w:firstRow="0" w:lastRow="0" w:firstColumn="0" w:lastColumn="0" w:noHBand="0" w:noVBand="0"/>
      </w:tblPr>
      <w:tblGrid>
        <w:gridCol w:w="3391"/>
        <w:gridCol w:w="883"/>
        <w:gridCol w:w="884"/>
        <w:gridCol w:w="883"/>
        <w:gridCol w:w="883"/>
        <w:gridCol w:w="883"/>
        <w:gridCol w:w="883"/>
        <w:gridCol w:w="884"/>
      </w:tblGrid>
      <w:tr w:rsidR="001A7D3D" w14:paraId="0FF4878A" w14:textId="77777777" w:rsidTr="00E147EB">
        <w:trPr>
          <w:trHeight w:val="202"/>
        </w:trPr>
        <w:tc>
          <w:tcPr>
            <w:tcW w:w="3391" w:type="dxa"/>
            <w:tcBorders>
              <w:top w:val="nil"/>
              <w:left w:val="nil"/>
              <w:bottom w:val="nil"/>
              <w:right w:val="nil"/>
            </w:tcBorders>
          </w:tcPr>
          <w:p w14:paraId="3F9B961F" w14:textId="77777777" w:rsidR="001A7D3D" w:rsidRDefault="001A7D3D" w:rsidP="00E147EB">
            <w:pPr>
              <w:rPr>
                <w:rFonts w:ascii="Arial" w:eastAsia="Calibri" w:hAnsi="Arial" w:cs="Arial"/>
                <w:color w:val="000000"/>
                <w:sz w:val="16"/>
                <w:szCs w:val="16"/>
              </w:rPr>
            </w:pPr>
          </w:p>
        </w:tc>
        <w:tc>
          <w:tcPr>
            <w:tcW w:w="883" w:type="dxa"/>
            <w:tcBorders>
              <w:top w:val="nil"/>
              <w:left w:val="nil"/>
              <w:bottom w:val="nil"/>
              <w:right w:val="nil"/>
            </w:tcBorders>
          </w:tcPr>
          <w:p w14:paraId="4EDAF1F9" w14:textId="77777777" w:rsidR="001A7D3D" w:rsidRDefault="001A7D3D" w:rsidP="00E147EB">
            <w:pPr>
              <w:autoSpaceDE w:val="0"/>
              <w:autoSpaceDN w:val="0"/>
              <w:adjustRightInd w:val="0"/>
              <w:rPr>
                <w:rFonts w:ascii="Arial" w:eastAsia="Calibri" w:hAnsi="Arial" w:cs="Arial"/>
                <w:color w:val="000000"/>
                <w:sz w:val="16"/>
                <w:szCs w:val="16"/>
              </w:rPr>
            </w:pPr>
          </w:p>
        </w:tc>
        <w:tc>
          <w:tcPr>
            <w:tcW w:w="884" w:type="dxa"/>
            <w:tcBorders>
              <w:top w:val="nil"/>
              <w:left w:val="nil"/>
              <w:bottom w:val="nil"/>
              <w:right w:val="nil"/>
            </w:tcBorders>
          </w:tcPr>
          <w:p w14:paraId="4081C35C"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4D307B76"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57FD2BF1"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268BA0BB"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55A1FA27" w14:textId="77777777" w:rsidR="001A7D3D" w:rsidRDefault="001A7D3D" w:rsidP="00E147EB">
            <w:pPr>
              <w:autoSpaceDE w:val="0"/>
              <w:autoSpaceDN w:val="0"/>
              <w:adjustRightInd w:val="0"/>
              <w:rPr>
                <w:rFonts w:ascii="Arial" w:eastAsia="Calibri" w:hAnsi="Arial" w:cs="Arial"/>
                <w:color w:val="000000"/>
                <w:sz w:val="16"/>
                <w:szCs w:val="16"/>
              </w:rPr>
            </w:pPr>
          </w:p>
        </w:tc>
        <w:tc>
          <w:tcPr>
            <w:tcW w:w="884" w:type="dxa"/>
            <w:tcBorders>
              <w:top w:val="nil"/>
              <w:left w:val="nil"/>
              <w:bottom w:val="nil"/>
              <w:right w:val="nil"/>
            </w:tcBorders>
          </w:tcPr>
          <w:p w14:paraId="42068A4D" w14:textId="77777777" w:rsidR="001A7D3D" w:rsidRDefault="001A7D3D" w:rsidP="00E147EB">
            <w:pPr>
              <w:autoSpaceDE w:val="0"/>
              <w:autoSpaceDN w:val="0"/>
              <w:adjustRightInd w:val="0"/>
              <w:rPr>
                <w:rFonts w:ascii="Arial" w:eastAsia="Calibri" w:hAnsi="Arial" w:cs="Arial"/>
                <w:color w:val="000000"/>
                <w:sz w:val="16"/>
                <w:szCs w:val="16"/>
              </w:rPr>
            </w:pPr>
          </w:p>
        </w:tc>
      </w:tr>
      <w:tr w:rsidR="001A7D3D" w14:paraId="4CA68A2C" w14:textId="77777777" w:rsidTr="00E147EB">
        <w:trPr>
          <w:trHeight w:val="202"/>
        </w:trPr>
        <w:tc>
          <w:tcPr>
            <w:tcW w:w="3391" w:type="dxa"/>
            <w:tcBorders>
              <w:top w:val="nil"/>
              <w:left w:val="nil"/>
              <w:bottom w:val="nil"/>
              <w:right w:val="nil"/>
            </w:tcBorders>
          </w:tcPr>
          <w:p w14:paraId="33006B43"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321FB0AC" w14:textId="77777777" w:rsidR="001A7D3D" w:rsidRDefault="001A7D3D" w:rsidP="00E147EB">
            <w:pPr>
              <w:autoSpaceDE w:val="0"/>
              <w:autoSpaceDN w:val="0"/>
              <w:adjustRightInd w:val="0"/>
              <w:rPr>
                <w:rFonts w:ascii="Arial" w:eastAsia="Calibri" w:hAnsi="Arial" w:cs="Arial"/>
                <w:color w:val="000000"/>
                <w:sz w:val="16"/>
                <w:szCs w:val="16"/>
              </w:rPr>
            </w:pPr>
          </w:p>
        </w:tc>
        <w:tc>
          <w:tcPr>
            <w:tcW w:w="884" w:type="dxa"/>
            <w:tcBorders>
              <w:top w:val="nil"/>
              <w:left w:val="nil"/>
              <w:bottom w:val="nil"/>
              <w:right w:val="nil"/>
            </w:tcBorders>
          </w:tcPr>
          <w:p w14:paraId="04C98D55"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433F96FF"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79909969"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3B5A5D1C" w14:textId="77777777" w:rsidR="001A7D3D" w:rsidRDefault="001A7D3D" w:rsidP="00E147EB">
            <w:pPr>
              <w:autoSpaceDE w:val="0"/>
              <w:autoSpaceDN w:val="0"/>
              <w:adjustRightInd w:val="0"/>
              <w:rPr>
                <w:rFonts w:ascii="Arial" w:eastAsia="Calibri" w:hAnsi="Arial" w:cs="Arial"/>
                <w:color w:val="000000"/>
                <w:sz w:val="16"/>
                <w:szCs w:val="16"/>
              </w:rPr>
            </w:pPr>
          </w:p>
        </w:tc>
        <w:tc>
          <w:tcPr>
            <w:tcW w:w="883" w:type="dxa"/>
            <w:tcBorders>
              <w:top w:val="nil"/>
              <w:left w:val="nil"/>
              <w:bottom w:val="nil"/>
              <w:right w:val="nil"/>
            </w:tcBorders>
          </w:tcPr>
          <w:p w14:paraId="14B2E0B4" w14:textId="77777777" w:rsidR="001A7D3D" w:rsidRDefault="001A7D3D" w:rsidP="00E147EB">
            <w:pPr>
              <w:autoSpaceDE w:val="0"/>
              <w:autoSpaceDN w:val="0"/>
              <w:adjustRightInd w:val="0"/>
              <w:rPr>
                <w:rFonts w:ascii="Arial" w:eastAsia="Calibri" w:hAnsi="Arial" w:cs="Arial"/>
                <w:color w:val="000000"/>
                <w:sz w:val="16"/>
                <w:szCs w:val="16"/>
              </w:rPr>
            </w:pPr>
          </w:p>
        </w:tc>
        <w:tc>
          <w:tcPr>
            <w:tcW w:w="884" w:type="dxa"/>
            <w:tcBorders>
              <w:top w:val="nil"/>
              <w:left w:val="nil"/>
              <w:bottom w:val="nil"/>
              <w:right w:val="nil"/>
            </w:tcBorders>
          </w:tcPr>
          <w:p w14:paraId="2D631197" w14:textId="77777777" w:rsidR="001A7D3D" w:rsidRDefault="001A7D3D" w:rsidP="00E147EB">
            <w:pPr>
              <w:autoSpaceDE w:val="0"/>
              <w:autoSpaceDN w:val="0"/>
              <w:adjustRightInd w:val="0"/>
              <w:rPr>
                <w:rFonts w:ascii="Arial" w:eastAsia="Calibri" w:hAnsi="Arial" w:cs="Arial"/>
                <w:color w:val="000000"/>
                <w:sz w:val="16"/>
                <w:szCs w:val="16"/>
              </w:rPr>
            </w:pPr>
          </w:p>
        </w:tc>
      </w:tr>
    </w:tbl>
    <w:p w14:paraId="2C0F9C4B" w14:textId="77777777" w:rsidR="001A7D3D" w:rsidRDefault="001A7D3D" w:rsidP="001A7D3D">
      <w:pPr>
        <w:keepNext/>
        <w:keepLines/>
        <w:tabs>
          <w:tab w:val="right" w:pos="9360"/>
        </w:tabs>
      </w:pPr>
    </w:p>
    <w:p w14:paraId="79AB77D6" w14:textId="77777777" w:rsidR="001A7D3D" w:rsidRDefault="001A7D3D" w:rsidP="00F9499E">
      <w:pPr>
        <w:keepNext/>
        <w:keepLines/>
        <w:tabs>
          <w:tab w:val="right" w:pos="9360"/>
        </w:tabs>
        <w:rPr>
          <w:sz w:val="22"/>
        </w:rPr>
      </w:pPr>
    </w:p>
    <w:sectPr w:rsidR="001A7D3D" w:rsidSect="007D2AB0">
      <w:pgSz w:w="15840" w:h="12240" w:orient="landscape"/>
      <w:pgMar w:top="1440" w:right="144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10621" w14:textId="77777777" w:rsidR="00212560" w:rsidRDefault="00212560" w:rsidP="005C2619">
      <w:r>
        <w:separator/>
      </w:r>
    </w:p>
  </w:endnote>
  <w:endnote w:type="continuationSeparator" w:id="0">
    <w:p w14:paraId="3C08B8B2" w14:textId="77777777" w:rsidR="00212560" w:rsidRDefault="00212560" w:rsidP="005C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DA0D" w14:textId="77777777" w:rsidR="00212560" w:rsidRDefault="00212560" w:rsidP="005C2619">
      <w:r>
        <w:separator/>
      </w:r>
    </w:p>
  </w:footnote>
  <w:footnote w:type="continuationSeparator" w:id="0">
    <w:p w14:paraId="76E6081E" w14:textId="77777777" w:rsidR="00212560" w:rsidRDefault="00212560" w:rsidP="005C2619">
      <w:r>
        <w:continuationSeparator/>
      </w:r>
    </w:p>
  </w:footnote>
  <w:footnote w:id="1">
    <w:p w14:paraId="62757B6F" w14:textId="44FF1B30" w:rsidR="00500768" w:rsidRDefault="00500768">
      <w:pPr>
        <w:pStyle w:val="FootnoteText"/>
      </w:pPr>
      <w:r>
        <w:rPr>
          <w:rStyle w:val="FootnoteReference"/>
        </w:rPr>
        <w:footnoteRef/>
      </w:r>
      <w:r>
        <w:t xml:space="preserve"> Note that if all the impedances are the same then any impedance value that you assume will result in the same proportional distribution of power across lines. We will use a DC approximation to power flow, where we assume that the resistances of the lines are much smaller than the </w:t>
      </w:r>
      <w:proofErr w:type="spellStart"/>
      <w:r>
        <w:t>reactances</w:t>
      </w:r>
      <w:proofErr w:type="spellEnd"/>
      <w:r>
        <w:t xml:space="preserve"> and hence can be ignored.</w:t>
      </w:r>
    </w:p>
  </w:footnote>
  <w:footnote w:id="2">
    <w:p w14:paraId="1095A9D9" w14:textId="62A4ABD6" w:rsidR="00500768" w:rsidRDefault="00500768">
      <w:pPr>
        <w:pStyle w:val="FootnoteText"/>
      </w:pPr>
    </w:p>
  </w:footnote>
  <w:footnote w:id="3">
    <w:p w14:paraId="52958A52" w14:textId="4E18CD4F" w:rsidR="00500768" w:rsidRDefault="00500768">
      <w:pPr>
        <w:pStyle w:val="FootnoteText"/>
      </w:pPr>
      <w:r>
        <w:rPr>
          <w:rStyle w:val="FootnoteReference"/>
        </w:rPr>
        <w:footnoteRef/>
      </w:r>
      <w:r>
        <w:t xml:space="preserve"> Data on the capacity, location and performance of non-fossil fired resources is being collected by two interns and will be available to you after you present the first report to your boss.</w:t>
      </w:r>
    </w:p>
  </w:footnote>
  <w:footnote w:id="4">
    <w:p w14:paraId="0E5F33A6" w14:textId="4CCB9589" w:rsidR="00500768" w:rsidRDefault="00500768">
      <w:pPr>
        <w:pStyle w:val="FootnoteText"/>
      </w:pPr>
      <w:r>
        <w:rPr>
          <w:rStyle w:val="FootnoteReference"/>
        </w:rPr>
        <w:footnoteRef/>
      </w:r>
      <w:r>
        <w:t xml:space="preserve"> A good report describes the objectives of the analysis, the assumptions, the methods used, the conclusions and recommendations, and the caveats, limitations and opportunities for future analysis.</w:t>
      </w:r>
    </w:p>
  </w:footnote>
  <w:footnote w:id="5">
    <w:p w14:paraId="2486B974" w14:textId="35C27F9D" w:rsidR="004316B3" w:rsidRDefault="004316B3">
      <w:pPr>
        <w:pStyle w:val="FootnoteText"/>
      </w:pPr>
      <w:r>
        <w:rPr>
          <w:rStyle w:val="FootnoteReference"/>
        </w:rPr>
        <w:footnoteRef/>
      </w:r>
      <w:r>
        <w:t xml:space="preserve"> </w:t>
      </w:r>
      <w:hyperlink r:id="rId1" w:history="1">
        <w:r>
          <w:rPr>
            <w:rStyle w:val="Hyperlink"/>
          </w:rPr>
          <w:t>ATB | NREL</w:t>
        </w:r>
      </w:hyperlink>
    </w:p>
  </w:footnote>
  <w:footnote w:id="6">
    <w:p w14:paraId="4D518930" w14:textId="0907C6DB" w:rsidR="00B73413" w:rsidRDefault="00B73413">
      <w:pPr>
        <w:pStyle w:val="FootnoteText"/>
      </w:pPr>
      <w:r>
        <w:rPr>
          <w:rStyle w:val="FootnoteReference"/>
        </w:rPr>
        <w:footnoteRef/>
      </w:r>
      <w:r>
        <w:t xml:space="preserve"> Only 365 days of data are provided for Leap years</w:t>
      </w:r>
    </w:p>
  </w:footnote>
  <w:footnote w:id="7">
    <w:p w14:paraId="6CD459C8" w14:textId="77777777" w:rsidR="001A7D3D" w:rsidRDefault="001A7D3D" w:rsidP="001A7D3D">
      <w:pPr>
        <w:pStyle w:val="FootnoteText"/>
      </w:pPr>
      <w:r>
        <w:rPr>
          <w:rStyle w:val="FootnoteReference"/>
        </w:rPr>
        <w:footnoteRef/>
      </w:r>
      <w:r>
        <w:t xml:space="preserve"> </w:t>
      </w:r>
      <w:hyperlink r:id="rId2" w:history="1">
        <w:r w:rsidRPr="00126316">
          <w:rPr>
            <w:color w:val="0000FF"/>
            <w:sz w:val="24"/>
            <w:szCs w:val="24"/>
            <w:u w:val="single"/>
          </w:rPr>
          <w:t>https://pvwatts.nrel.gov/</w:t>
        </w:r>
      </w:hyperlink>
    </w:p>
  </w:footnote>
  <w:footnote w:id="8">
    <w:p w14:paraId="29854DB6" w14:textId="77777777" w:rsidR="001A7D3D" w:rsidRPr="004171B8" w:rsidRDefault="001A7D3D" w:rsidP="001A7D3D">
      <w:pPr>
        <w:pStyle w:val="FootnoteText"/>
        <w:rPr>
          <w:sz w:val="24"/>
          <w:szCs w:val="24"/>
        </w:rPr>
      </w:pPr>
      <w:r>
        <w:rPr>
          <w:rStyle w:val="FootnoteReference"/>
        </w:rPr>
        <w:footnoteRef/>
      </w:r>
      <w:r>
        <w:t xml:space="preserve"> </w:t>
      </w:r>
      <w:hyperlink r:id="rId3" w:tgtFrame="_blank" w:tooltip="Persistent link using digital object identifier" w:history="1">
        <w:r w:rsidRPr="004171B8">
          <w:rPr>
            <w:rFonts w:ascii="Arial" w:hAnsi="Arial" w:cs="Arial"/>
            <w:color w:val="E9711C"/>
            <w:sz w:val="21"/>
            <w:szCs w:val="21"/>
            <w:u w:val="single"/>
          </w:rPr>
          <w:t>https://doi.org/10.1016/j.apenergy.2016.02.083</w:t>
        </w:r>
      </w:hyperlink>
      <w:r>
        <w:rPr>
          <w:sz w:val="24"/>
          <w:szCs w:val="24"/>
        </w:rPr>
        <w:t xml:space="preserve"> </w:t>
      </w:r>
    </w:p>
  </w:footnote>
  <w:footnote w:id="9">
    <w:p w14:paraId="7A0302ED" w14:textId="77777777" w:rsidR="001A7D3D" w:rsidRDefault="001A7D3D" w:rsidP="001A7D3D">
      <w:pPr>
        <w:pStyle w:val="FootnoteText"/>
      </w:pPr>
      <w:r>
        <w:rPr>
          <w:rStyle w:val="FootnoteReference"/>
        </w:rPr>
        <w:footnoteRef/>
      </w:r>
      <w:r>
        <w:t xml:space="preserve"> </w:t>
      </w:r>
      <w:hyperlink r:id="rId4" w:history="1">
        <w:r w:rsidRPr="00CA0C32">
          <w:rPr>
            <w:color w:val="0000FF"/>
            <w:sz w:val="24"/>
            <w:szCs w:val="24"/>
            <w:u w:val="single"/>
          </w:rPr>
          <w:t>https://business.directenergy.com/large-business/business-solutions/demand-response/demand-response-pjm</w:t>
        </w:r>
      </w:hyperlink>
    </w:p>
  </w:footnote>
  <w:footnote w:id="10">
    <w:p w14:paraId="609426B2" w14:textId="77777777" w:rsidR="001A7D3D" w:rsidRDefault="001A7D3D" w:rsidP="001A7D3D">
      <w:pPr>
        <w:pStyle w:val="FootnoteText"/>
      </w:pPr>
      <w:r>
        <w:rPr>
          <w:rStyle w:val="FootnoteReference"/>
        </w:rPr>
        <w:footnoteRef/>
      </w:r>
      <w:r>
        <w:t xml:space="preserve"> See video and read paper the paper “</w:t>
      </w:r>
      <w:r w:rsidRPr="00CF2540">
        <w:t>How big is the energy efficiency resource?</w:t>
      </w:r>
      <w:r>
        <w:t xml:space="preserve">” by Amory </w:t>
      </w:r>
      <w:proofErr w:type="spellStart"/>
      <w:r>
        <w:t>Lovins</w:t>
      </w:r>
      <w:proofErr w:type="spellEnd"/>
      <w:r>
        <w:t xml:space="preserve"> at: </w:t>
      </w:r>
      <w:hyperlink r:id="rId5" w:history="1">
        <w:r w:rsidRPr="00AF0076">
          <w:rPr>
            <w:rStyle w:val="Hyperlink"/>
          </w:rPr>
          <w:t>https://iopscience.iop.org/article/10.1088/1748-9326/aad965/meta</w:t>
        </w:r>
      </w:hyperlink>
    </w:p>
    <w:p w14:paraId="2E9D6A62" w14:textId="77777777" w:rsidR="001A7D3D" w:rsidRDefault="001A7D3D" w:rsidP="001A7D3D">
      <w:pPr>
        <w:pStyle w:val="FootnoteText"/>
      </w:pPr>
    </w:p>
  </w:footnote>
  <w:footnote w:id="11">
    <w:p w14:paraId="281323EB" w14:textId="1345BFD9" w:rsidR="00A93594" w:rsidRDefault="00A93594">
      <w:pPr>
        <w:pStyle w:val="FootnoteText"/>
      </w:pPr>
      <w:r>
        <w:rPr>
          <w:rStyle w:val="FootnoteReference"/>
        </w:rPr>
        <w:footnoteRef/>
      </w:r>
      <w:r>
        <w:t xml:space="preserve"> </w:t>
      </w:r>
      <w:hyperlink r:id="rId6" w:history="1">
        <w:r w:rsidRPr="0055500B">
          <w:rPr>
            <w:rStyle w:val="Hyperlink"/>
          </w:rPr>
          <w:t>https://www.lazard.com/perspective/levelized-cost-of-energy-levelized-cost-of-storage-and-levelized-cost-of-hydrogen/</w:t>
        </w:r>
      </w:hyperlink>
      <w:r>
        <w:t xml:space="preserve"> </w:t>
      </w:r>
    </w:p>
  </w:footnote>
  <w:footnote w:id="12">
    <w:p w14:paraId="704EEB3B" w14:textId="66854C02" w:rsidR="001A7D3D" w:rsidRDefault="001A7D3D" w:rsidP="001A7D3D">
      <w:pPr>
        <w:pStyle w:val="FootnoteText"/>
      </w:pPr>
      <w:r>
        <w:rPr>
          <w:rStyle w:val="FootnoteReference"/>
        </w:rPr>
        <w:footnoteRef/>
      </w:r>
      <w:r>
        <w:t xml:space="preserve"> </w:t>
      </w:r>
      <w:r w:rsidR="00A93594" w:rsidRPr="00A93594">
        <w:rPr>
          <w:color w:val="0000FF"/>
          <w:sz w:val="24"/>
          <w:szCs w:val="24"/>
          <w:u w:val="single"/>
        </w:rPr>
        <w:t>https://www.nrel.gov/docs/fy21osti/78882.pdf</w:t>
      </w:r>
    </w:p>
  </w:footnote>
  <w:footnote w:id="13">
    <w:p w14:paraId="1EA32554" w14:textId="77777777" w:rsidR="001A7D3D" w:rsidRDefault="001A7D3D" w:rsidP="001A7D3D">
      <w:pPr>
        <w:pStyle w:val="FootnoteText"/>
      </w:pPr>
      <w:r>
        <w:rPr>
          <w:rStyle w:val="FootnoteReference"/>
        </w:rPr>
        <w:footnoteRef/>
      </w:r>
      <w:r>
        <w:t xml:space="preserve"> </w:t>
      </w:r>
      <w:hyperlink r:id="rId7" w:history="1">
        <w:r w:rsidRPr="00AF0076">
          <w:rPr>
            <w:rStyle w:val="Hyperlink"/>
          </w:rPr>
          <w:t>https://www.sciencedirect.com/science/article/pii/S0306261920305237?casa_token=o-M2fRFcLQQAAAAA:8u6t-3JY0eITWIUzOMfQUoQlNychWvFliJoVyCbCMmt98Cz2GMru86WMrpaGtzJ9Y0LJd2Qmkw</w:t>
        </w:r>
      </w:hyperlink>
    </w:p>
    <w:p w14:paraId="73DBDAC2" w14:textId="77777777" w:rsidR="001A7D3D" w:rsidRDefault="001A7D3D" w:rsidP="001A7D3D">
      <w:pPr>
        <w:pStyle w:val="FootnoteText"/>
      </w:pPr>
    </w:p>
  </w:footnote>
  <w:footnote w:id="14">
    <w:p w14:paraId="54643D1C" w14:textId="77777777" w:rsidR="001A7D3D" w:rsidRDefault="001A7D3D" w:rsidP="001A7D3D">
      <w:pPr>
        <w:pStyle w:val="FootnoteText"/>
      </w:pPr>
      <w:r>
        <w:rPr>
          <w:rStyle w:val="FootnoteReference"/>
        </w:rPr>
        <w:footnoteRef/>
      </w:r>
      <w:r>
        <w:t xml:space="preserve"> </w:t>
      </w:r>
      <w:hyperlink r:id="rId8" w:history="1">
        <w:r w:rsidRPr="0086618B">
          <w:rPr>
            <w:color w:val="0000FF"/>
            <w:sz w:val="24"/>
            <w:szCs w:val="24"/>
            <w:u w:val="single"/>
          </w:rPr>
          <w:t>https://www.ferc.gov/industries/hydropower/gen-info/licensing/pump-storage.asp</w:t>
        </w:r>
      </w:hyperlink>
    </w:p>
  </w:footnote>
  <w:footnote w:id="15">
    <w:p w14:paraId="24894619" w14:textId="77777777" w:rsidR="001A7D3D" w:rsidRDefault="001A7D3D" w:rsidP="001A7D3D">
      <w:pPr>
        <w:pStyle w:val="FootnoteText"/>
      </w:pPr>
      <w:r>
        <w:rPr>
          <w:rStyle w:val="FootnoteReference"/>
        </w:rPr>
        <w:footnoteRef/>
      </w:r>
      <w:r>
        <w:t xml:space="preserve"> </w:t>
      </w:r>
      <w:hyperlink r:id="rId9" w:tgtFrame="_blank" w:tooltip="Persistent link using digital object identifier" w:history="1">
        <w:r w:rsidRPr="0086618B">
          <w:rPr>
            <w:rFonts w:ascii="Arial" w:hAnsi="Arial" w:cs="Arial"/>
            <w:color w:val="E9711C"/>
            <w:sz w:val="21"/>
            <w:szCs w:val="21"/>
            <w:u w:val="single"/>
          </w:rPr>
          <w:t>https://doi.org/10.1016/j.apenergy.2013.10.010</w:t>
        </w:r>
      </w:hyperlink>
    </w:p>
  </w:footnote>
  <w:footnote w:id="16">
    <w:p w14:paraId="4152E847" w14:textId="77777777" w:rsidR="001A7D3D" w:rsidRDefault="001A7D3D" w:rsidP="001A7D3D">
      <w:pPr>
        <w:pStyle w:val="FootnoteText"/>
      </w:pPr>
      <w:r>
        <w:rPr>
          <w:rStyle w:val="FootnoteReference"/>
        </w:rPr>
        <w:footnoteRef/>
      </w:r>
      <w:r>
        <w:t xml:space="preserve"> </w:t>
      </w:r>
      <w:hyperlink r:id="rId10" w:history="1">
        <w:r w:rsidRPr="004F4704">
          <w:rPr>
            <w:color w:val="0000FF"/>
            <w:sz w:val="24"/>
            <w:szCs w:val="24"/>
            <w:u w:val="single"/>
          </w:rPr>
          <w:t>https://www.eia.gov/consumption/residential/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07B"/>
    <w:multiLevelType w:val="hybridMultilevel"/>
    <w:tmpl w:val="16E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15D9E"/>
    <w:multiLevelType w:val="hybridMultilevel"/>
    <w:tmpl w:val="D814113C"/>
    <w:lvl w:ilvl="0" w:tplc="837A4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1253B"/>
    <w:multiLevelType w:val="hybridMultilevel"/>
    <w:tmpl w:val="BBE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3331A"/>
    <w:multiLevelType w:val="multilevel"/>
    <w:tmpl w:val="70D6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1047A"/>
    <w:multiLevelType w:val="hybridMultilevel"/>
    <w:tmpl w:val="735C0B3E"/>
    <w:lvl w:ilvl="0" w:tplc="7CB81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B35A7"/>
    <w:multiLevelType w:val="multilevel"/>
    <w:tmpl w:val="E75E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646169">
    <w:abstractNumId w:val="0"/>
  </w:num>
  <w:num w:numId="2" w16cid:durableId="1936356833">
    <w:abstractNumId w:val="4"/>
  </w:num>
  <w:num w:numId="3" w16cid:durableId="161512940">
    <w:abstractNumId w:val="1"/>
  </w:num>
  <w:num w:numId="4" w16cid:durableId="1351027333">
    <w:abstractNumId w:val="5"/>
  </w:num>
  <w:num w:numId="5" w16cid:durableId="1059136146">
    <w:abstractNumId w:val="2"/>
  </w:num>
  <w:num w:numId="6" w16cid:durableId="1865243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QOShkYGpgaWpko6SsGpxcWZ+XkgBYa1ADjlGyMsAAAA"/>
  </w:docVars>
  <w:rsids>
    <w:rsidRoot w:val="002C39FB"/>
    <w:rsid w:val="0000720A"/>
    <w:rsid w:val="00031122"/>
    <w:rsid w:val="000455C0"/>
    <w:rsid w:val="00064928"/>
    <w:rsid w:val="000C652D"/>
    <w:rsid w:val="000D7C64"/>
    <w:rsid w:val="000E36D2"/>
    <w:rsid w:val="000E4A65"/>
    <w:rsid w:val="0011133E"/>
    <w:rsid w:val="00125EB0"/>
    <w:rsid w:val="00126D84"/>
    <w:rsid w:val="001342A1"/>
    <w:rsid w:val="00154112"/>
    <w:rsid w:val="00154B83"/>
    <w:rsid w:val="001670F7"/>
    <w:rsid w:val="00167662"/>
    <w:rsid w:val="00170AE0"/>
    <w:rsid w:val="00175D2E"/>
    <w:rsid w:val="0018634A"/>
    <w:rsid w:val="001A2D55"/>
    <w:rsid w:val="001A7D3D"/>
    <w:rsid w:val="0021006A"/>
    <w:rsid w:val="00212560"/>
    <w:rsid w:val="00224542"/>
    <w:rsid w:val="002250E2"/>
    <w:rsid w:val="002401EA"/>
    <w:rsid w:val="002828D0"/>
    <w:rsid w:val="002912CB"/>
    <w:rsid w:val="002B0DD8"/>
    <w:rsid w:val="002B3242"/>
    <w:rsid w:val="002C39FB"/>
    <w:rsid w:val="002D2BBB"/>
    <w:rsid w:val="002F169A"/>
    <w:rsid w:val="002F1CA7"/>
    <w:rsid w:val="002F3CD9"/>
    <w:rsid w:val="003135F0"/>
    <w:rsid w:val="00330321"/>
    <w:rsid w:val="00335934"/>
    <w:rsid w:val="00337C81"/>
    <w:rsid w:val="003415BA"/>
    <w:rsid w:val="00353E82"/>
    <w:rsid w:val="00357CEB"/>
    <w:rsid w:val="003B4C63"/>
    <w:rsid w:val="003D2BF1"/>
    <w:rsid w:val="003F287B"/>
    <w:rsid w:val="00411C1E"/>
    <w:rsid w:val="00421A5A"/>
    <w:rsid w:val="004316B3"/>
    <w:rsid w:val="004325FC"/>
    <w:rsid w:val="0045232A"/>
    <w:rsid w:val="00461841"/>
    <w:rsid w:val="00461F65"/>
    <w:rsid w:val="004A35E3"/>
    <w:rsid w:val="004C7021"/>
    <w:rsid w:val="004D5782"/>
    <w:rsid w:val="004E61AF"/>
    <w:rsid w:val="004E63BC"/>
    <w:rsid w:val="004F4D23"/>
    <w:rsid w:val="004F7804"/>
    <w:rsid w:val="00500593"/>
    <w:rsid w:val="00500768"/>
    <w:rsid w:val="00530B5D"/>
    <w:rsid w:val="005410BD"/>
    <w:rsid w:val="00553A25"/>
    <w:rsid w:val="00561143"/>
    <w:rsid w:val="005642F6"/>
    <w:rsid w:val="0057383F"/>
    <w:rsid w:val="005775E9"/>
    <w:rsid w:val="00582EF4"/>
    <w:rsid w:val="005A3E6D"/>
    <w:rsid w:val="005C2619"/>
    <w:rsid w:val="005C27E9"/>
    <w:rsid w:val="005C666C"/>
    <w:rsid w:val="005D33EA"/>
    <w:rsid w:val="005D3D77"/>
    <w:rsid w:val="005D4843"/>
    <w:rsid w:val="005D71CD"/>
    <w:rsid w:val="005E6CC3"/>
    <w:rsid w:val="00611EF6"/>
    <w:rsid w:val="00613311"/>
    <w:rsid w:val="00627689"/>
    <w:rsid w:val="00646620"/>
    <w:rsid w:val="00647A9E"/>
    <w:rsid w:val="006A67A5"/>
    <w:rsid w:val="006A6B23"/>
    <w:rsid w:val="006B2D18"/>
    <w:rsid w:val="006B3B61"/>
    <w:rsid w:val="006B6CA8"/>
    <w:rsid w:val="006D5F38"/>
    <w:rsid w:val="006E1BF6"/>
    <w:rsid w:val="006E338C"/>
    <w:rsid w:val="007024B4"/>
    <w:rsid w:val="00713116"/>
    <w:rsid w:val="00714B6E"/>
    <w:rsid w:val="00716707"/>
    <w:rsid w:val="00717050"/>
    <w:rsid w:val="00741C2D"/>
    <w:rsid w:val="0075680D"/>
    <w:rsid w:val="007868C2"/>
    <w:rsid w:val="00797202"/>
    <w:rsid w:val="007A7EC0"/>
    <w:rsid w:val="007C172D"/>
    <w:rsid w:val="007C7384"/>
    <w:rsid w:val="007D2AB0"/>
    <w:rsid w:val="007D317E"/>
    <w:rsid w:val="007F2D0D"/>
    <w:rsid w:val="007F384F"/>
    <w:rsid w:val="00800D1F"/>
    <w:rsid w:val="00803517"/>
    <w:rsid w:val="008103D3"/>
    <w:rsid w:val="00826E7C"/>
    <w:rsid w:val="00851468"/>
    <w:rsid w:val="00853ED7"/>
    <w:rsid w:val="00862496"/>
    <w:rsid w:val="0087368F"/>
    <w:rsid w:val="00886CBE"/>
    <w:rsid w:val="00893911"/>
    <w:rsid w:val="008A36C2"/>
    <w:rsid w:val="008D7513"/>
    <w:rsid w:val="008E12FD"/>
    <w:rsid w:val="008E334A"/>
    <w:rsid w:val="008E5BEE"/>
    <w:rsid w:val="00906600"/>
    <w:rsid w:val="00934008"/>
    <w:rsid w:val="009439FA"/>
    <w:rsid w:val="00944ECE"/>
    <w:rsid w:val="00954E68"/>
    <w:rsid w:val="00957A4C"/>
    <w:rsid w:val="0097211D"/>
    <w:rsid w:val="00972EEB"/>
    <w:rsid w:val="009B0599"/>
    <w:rsid w:val="009B2B9E"/>
    <w:rsid w:val="009E0D35"/>
    <w:rsid w:val="009F0ECE"/>
    <w:rsid w:val="009F222B"/>
    <w:rsid w:val="009F6763"/>
    <w:rsid w:val="00A034C2"/>
    <w:rsid w:val="00A25CC2"/>
    <w:rsid w:val="00A4747A"/>
    <w:rsid w:val="00A93594"/>
    <w:rsid w:val="00AA31E1"/>
    <w:rsid w:val="00AC3028"/>
    <w:rsid w:val="00AC39D6"/>
    <w:rsid w:val="00AC6E6B"/>
    <w:rsid w:val="00AD171C"/>
    <w:rsid w:val="00AD50F2"/>
    <w:rsid w:val="00AE1D83"/>
    <w:rsid w:val="00AE3455"/>
    <w:rsid w:val="00AE6DFE"/>
    <w:rsid w:val="00AF27DE"/>
    <w:rsid w:val="00AF6042"/>
    <w:rsid w:val="00AF74F1"/>
    <w:rsid w:val="00B0550B"/>
    <w:rsid w:val="00B0605C"/>
    <w:rsid w:val="00B07E74"/>
    <w:rsid w:val="00B10E7F"/>
    <w:rsid w:val="00B46838"/>
    <w:rsid w:val="00B50472"/>
    <w:rsid w:val="00B5388C"/>
    <w:rsid w:val="00B53D6F"/>
    <w:rsid w:val="00B62FCE"/>
    <w:rsid w:val="00B65A00"/>
    <w:rsid w:val="00B70572"/>
    <w:rsid w:val="00B73413"/>
    <w:rsid w:val="00B74801"/>
    <w:rsid w:val="00B877EA"/>
    <w:rsid w:val="00BB48BB"/>
    <w:rsid w:val="00BE6E7B"/>
    <w:rsid w:val="00C30E89"/>
    <w:rsid w:val="00C31383"/>
    <w:rsid w:val="00C66875"/>
    <w:rsid w:val="00C66B6C"/>
    <w:rsid w:val="00C92091"/>
    <w:rsid w:val="00C93916"/>
    <w:rsid w:val="00C9463F"/>
    <w:rsid w:val="00CB26D7"/>
    <w:rsid w:val="00CB30BE"/>
    <w:rsid w:val="00CC1D3A"/>
    <w:rsid w:val="00CC7821"/>
    <w:rsid w:val="00CD179D"/>
    <w:rsid w:val="00CD5006"/>
    <w:rsid w:val="00CE057D"/>
    <w:rsid w:val="00D07FED"/>
    <w:rsid w:val="00D46C7D"/>
    <w:rsid w:val="00D52E5E"/>
    <w:rsid w:val="00D72F18"/>
    <w:rsid w:val="00D86F08"/>
    <w:rsid w:val="00DA0A9B"/>
    <w:rsid w:val="00DA0B60"/>
    <w:rsid w:val="00DB30A7"/>
    <w:rsid w:val="00DE578F"/>
    <w:rsid w:val="00E124E6"/>
    <w:rsid w:val="00E23ECD"/>
    <w:rsid w:val="00E25C5D"/>
    <w:rsid w:val="00E570C1"/>
    <w:rsid w:val="00E6317A"/>
    <w:rsid w:val="00E660E7"/>
    <w:rsid w:val="00E71B16"/>
    <w:rsid w:val="00E732F9"/>
    <w:rsid w:val="00E81B20"/>
    <w:rsid w:val="00E85E91"/>
    <w:rsid w:val="00EB3EF4"/>
    <w:rsid w:val="00EB5DD0"/>
    <w:rsid w:val="00EE4041"/>
    <w:rsid w:val="00EF692B"/>
    <w:rsid w:val="00F1745C"/>
    <w:rsid w:val="00F277EB"/>
    <w:rsid w:val="00F31934"/>
    <w:rsid w:val="00F4348E"/>
    <w:rsid w:val="00F504FB"/>
    <w:rsid w:val="00F71765"/>
    <w:rsid w:val="00F80C5C"/>
    <w:rsid w:val="00F8122E"/>
    <w:rsid w:val="00F9499E"/>
    <w:rsid w:val="00FA7BCD"/>
    <w:rsid w:val="00FB5FCE"/>
    <w:rsid w:val="00FE2037"/>
    <w:rsid w:val="00FF5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B66E"/>
  <w15:docId w15:val="{7FA677C4-BE12-4071-9CD6-82FDC05A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9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C39FB"/>
    <w:rPr>
      <w:color w:val="0000FF"/>
      <w:u w:val="single"/>
    </w:rPr>
  </w:style>
  <w:style w:type="table" w:styleId="TableGrid">
    <w:name w:val="Table Grid"/>
    <w:basedOn w:val="TableNormal"/>
    <w:uiPriority w:val="59"/>
    <w:rsid w:val="005D7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5C2619"/>
    <w:rPr>
      <w:sz w:val="20"/>
      <w:szCs w:val="20"/>
    </w:rPr>
  </w:style>
  <w:style w:type="character" w:customStyle="1" w:styleId="EndnoteTextChar">
    <w:name w:val="Endnote Text Char"/>
    <w:basedOn w:val="DefaultParagraphFont"/>
    <w:link w:val="EndnoteText"/>
    <w:uiPriority w:val="99"/>
    <w:semiHidden/>
    <w:rsid w:val="005C261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C2619"/>
    <w:rPr>
      <w:vertAlign w:val="superscript"/>
    </w:rPr>
  </w:style>
  <w:style w:type="character" w:styleId="CommentReference">
    <w:name w:val="annotation reference"/>
    <w:basedOn w:val="DefaultParagraphFont"/>
    <w:uiPriority w:val="99"/>
    <w:semiHidden/>
    <w:unhideWhenUsed/>
    <w:rsid w:val="00530B5D"/>
    <w:rPr>
      <w:sz w:val="16"/>
      <w:szCs w:val="16"/>
    </w:rPr>
  </w:style>
  <w:style w:type="paragraph" w:styleId="CommentText">
    <w:name w:val="annotation text"/>
    <w:basedOn w:val="Normal"/>
    <w:link w:val="CommentTextChar"/>
    <w:uiPriority w:val="99"/>
    <w:semiHidden/>
    <w:unhideWhenUsed/>
    <w:rsid w:val="00530B5D"/>
    <w:rPr>
      <w:sz w:val="20"/>
      <w:szCs w:val="20"/>
    </w:rPr>
  </w:style>
  <w:style w:type="character" w:customStyle="1" w:styleId="CommentTextChar">
    <w:name w:val="Comment Text Char"/>
    <w:basedOn w:val="DefaultParagraphFont"/>
    <w:link w:val="CommentText"/>
    <w:uiPriority w:val="99"/>
    <w:semiHidden/>
    <w:rsid w:val="00530B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30B5D"/>
    <w:rPr>
      <w:b/>
      <w:bCs/>
    </w:rPr>
  </w:style>
  <w:style w:type="character" w:customStyle="1" w:styleId="CommentSubjectChar">
    <w:name w:val="Comment Subject Char"/>
    <w:basedOn w:val="CommentTextChar"/>
    <w:link w:val="CommentSubject"/>
    <w:uiPriority w:val="99"/>
    <w:semiHidden/>
    <w:rsid w:val="00530B5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30B5D"/>
    <w:rPr>
      <w:rFonts w:ascii="Tahoma" w:hAnsi="Tahoma" w:cs="Tahoma"/>
      <w:sz w:val="16"/>
      <w:szCs w:val="16"/>
    </w:rPr>
  </w:style>
  <w:style w:type="character" w:customStyle="1" w:styleId="BalloonTextChar">
    <w:name w:val="Balloon Text Char"/>
    <w:basedOn w:val="DefaultParagraphFont"/>
    <w:link w:val="BalloonText"/>
    <w:uiPriority w:val="99"/>
    <w:semiHidden/>
    <w:rsid w:val="00530B5D"/>
    <w:rPr>
      <w:rFonts w:ascii="Tahoma" w:eastAsia="Times New Roman" w:hAnsi="Tahoma" w:cs="Tahoma"/>
      <w:sz w:val="16"/>
      <w:szCs w:val="16"/>
    </w:rPr>
  </w:style>
  <w:style w:type="paragraph" w:styleId="FootnoteText">
    <w:name w:val="footnote text"/>
    <w:basedOn w:val="Normal"/>
    <w:link w:val="FootnoteTextChar"/>
    <w:uiPriority w:val="99"/>
    <w:unhideWhenUsed/>
    <w:rsid w:val="004F4D23"/>
    <w:rPr>
      <w:sz w:val="20"/>
      <w:szCs w:val="20"/>
    </w:rPr>
  </w:style>
  <w:style w:type="character" w:customStyle="1" w:styleId="FootnoteTextChar">
    <w:name w:val="Footnote Text Char"/>
    <w:basedOn w:val="DefaultParagraphFont"/>
    <w:link w:val="FootnoteText"/>
    <w:uiPriority w:val="99"/>
    <w:rsid w:val="004F4D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4D23"/>
    <w:rPr>
      <w:vertAlign w:val="superscript"/>
    </w:rPr>
  </w:style>
  <w:style w:type="paragraph" w:styleId="NoSpacing">
    <w:name w:val="No Spacing"/>
    <w:uiPriority w:val="1"/>
    <w:qFormat/>
    <w:rsid w:val="004F4D23"/>
    <w:pPr>
      <w:spacing w:after="0" w:line="240" w:lineRule="auto"/>
    </w:pPr>
    <w:rPr>
      <w:rFonts w:eastAsiaTheme="minorEastAsia"/>
    </w:rPr>
  </w:style>
  <w:style w:type="paragraph" w:styleId="Caption">
    <w:name w:val="caption"/>
    <w:basedOn w:val="Normal"/>
    <w:next w:val="Normal"/>
    <w:uiPriority w:val="35"/>
    <w:unhideWhenUsed/>
    <w:qFormat/>
    <w:rsid w:val="00031122"/>
    <w:pPr>
      <w:spacing w:after="200"/>
    </w:pPr>
    <w:rPr>
      <w:b/>
      <w:bCs/>
      <w:color w:val="4F81BD" w:themeColor="accent1"/>
      <w:sz w:val="18"/>
      <w:szCs w:val="18"/>
    </w:rPr>
  </w:style>
  <w:style w:type="paragraph" w:styleId="ListParagraph">
    <w:name w:val="List Paragraph"/>
    <w:basedOn w:val="Normal"/>
    <w:uiPriority w:val="34"/>
    <w:qFormat/>
    <w:rsid w:val="009F222B"/>
    <w:pPr>
      <w:ind w:left="720"/>
      <w:contextualSpacing/>
    </w:pPr>
  </w:style>
  <w:style w:type="paragraph" w:styleId="NormalWeb">
    <w:name w:val="Normal (Web)"/>
    <w:basedOn w:val="Normal"/>
    <w:uiPriority w:val="99"/>
    <w:semiHidden/>
    <w:unhideWhenUsed/>
    <w:rsid w:val="001A7D3D"/>
    <w:pPr>
      <w:spacing w:before="100" w:beforeAutospacing="1" w:after="100" w:afterAutospacing="1"/>
    </w:pPr>
  </w:style>
  <w:style w:type="character" w:styleId="UnresolvedMention">
    <w:name w:val="Unresolved Mention"/>
    <w:basedOn w:val="DefaultParagraphFont"/>
    <w:uiPriority w:val="99"/>
    <w:semiHidden/>
    <w:unhideWhenUsed/>
    <w:rsid w:val="00A93594"/>
    <w:rPr>
      <w:color w:val="605E5C"/>
      <w:shd w:val="clear" w:color="auto" w:fill="E1DFDD"/>
    </w:rPr>
  </w:style>
  <w:style w:type="character" w:styleId="FollowedHyperlink">
    <w:name w:val="FollowedHyperlink"/>
    <w:basedOn w:val="DefaultParagraphFont"/>
    <w:uiPriority w:val="99"/>
    <w:semiHidden/>
    <w:unhideWhenUsed/>
    <w:rsid w:val="00A935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077">
      <w:bodyDiv w:val="1"/>
      <w:marLeft w:val="0"/>
      <w:marRight w:val="0"/>
      <w:marTop w:val="0"/>
      <w:marBottom w:val="0"/>
      <w:divBdr>
        <w:top w:val="none" w:sz="0" w:space="0" w:color="auto"/>
        <w:left w:val="none" w:sz="0" w:space="0" w:color="auto"/>
        <w:bottom w:val="none" w:sz="0" w:space="0" w:color="auto"/>
        <w:right w:val="none" w:sz="0" w:space="0" w:color="auto"/>
      </w:divBdr>
    </w:div>
    <w:div w:id="183909045">
      <w:bodyDiv w:val="1"/>
      <w:marLeft w:val="0"/>
      <w:marRight w:val="0"/>
      <w:marTop w:val="0"/>
      <w:marBottom w:val="0"/>
      <w:divBdr>
        <w:top w:val="none" w:sz="0" w:space="0" w:color="auto"/>
        <w:left w:val="none" w:sz="0" w:space="0" w:color="auto"/>
        <w:bottom w:val="none" w:sz="0" w:space="0" w:color="auto"/>
        <w:right w:val="none" w:sz="0" w:space="0" w:color="auto"/>
      </w:divBdr>
    </w:div>
    <w:div w:id="382608218">
      <w:bodyDiv w:val="1"/>
      <w:marLeft w:val="0"/>
      <w:marRight w:val="0"/>
      <w:marTop w:val="0"/>
      <w:marBottom w:val="0"/>
      <w:divBdr>
        <w:top w:val="none" w:sz="0" w:space="0" w:color="auto"/>
        <w:left w:val="none" w:sz="0" w:space="0" w:color="auto"/>
        <w:bottom w:val="none" w:sz="0" w:space="0" w:color="auto"/>
        <w:right w:val="none" w:sz="0" w:space="0" w:color="auto"/>
      </w:divBdr>
    </w:div>
    <w:div w:id="601955797">
      <w:bodyDiv w:val="1"/>
      <w:marLeft w:val="0"/>
      <w:marRight w:val="0"/>
      <w:marTop w:val="0"/>
      <w:marBottom w:val="0"/>
      <w:divBdr>
        <w:top w:val="none" w:sz="0" w:space="0" w:color="auto"/>
        <w:left w:val="none" w:sz="0" w:space="0" w:color="auto"/>
        <w:bottom w:val="none" w:sz="0" w:space="0" w:color="auto"/>
        <w:right w:val="none" w:sz="0" w:space="0" w:color="auto"/>
      </w:divBdr>
    </w:div>
    <w:div w:id="740637887">
      <w:bodyDiv w:val="1"/>
      <w:marLeft w:val="0"/>
      <w:marRight w:val="0"/>
      <w:marTop w:val="0"/>
      <w:marBottom w:val="0"/>
      <w:divBdr>
        <w:top w:val="none" w:sz="0" w:space="0" w:color="auto"/>
        <w:left w:val="none" w:sz="0" w:space="0" w:color="auto"/>
        <w:bottom w:val="none" w:sz="0" w:space="0" w:color="auto"/>
        <w:right w:val="none" w:sz="0" w:space="0" w:color="auto"/>
      </w:divBdr>
    </w:div>
    <w:div w:id="763264224">
      <w:bodyDiv w:val="1"/>
      <w:marLeft w:val="0"/>
      <w:marRight w:val="0"/>
      <w:marTop w:val="0"/>
      <w:marBottom w:val="0"/>
      <w:divBdr>
        <w:top w:val="none" w:sz="0" w:space="0" w:color="auto"/>
        <w:left w:val="none" w:sz="0" w:space="0" w:color="auto"/>
        <w:bottom w:val="none" w:sz="0" w:space="0" w:color="auto"/>
        <w:right w:val="none" w:sz="0" w:space="0" w:color="auto"/>
      </w:divBdr>
    </w:div>
    <w:div w:id="984160948">
      <w:bodyDiv w:val="1"/>
      <w:marLeft w:val="0"/>
      <w:marRight w:val="0"/>
      <w:marTop w:val="0"/>
      <w:marBottom w:val="0"/>
      <w:divBdr>
        <w:top w:val="none" w:sz="0" w:space="0" w:color="auto"/>
        <w:left w:val="none" w:sz="0" w:space="0" w:color="auto"/>
        <w:bottom w:val="none" w:sz="0" w:space="0" w:color="auto"/>
        <w:right w:val="none" w:sz="0" w:space="0" w:color="auto"/>
      </w:divBdr>
    </w:div>
    <w:div w:id="996153572">
      <w:bodyDiv w:val="1"/>
      <w:marLeft w:val="0"/>
      <w:marRight w:val="0"/>
      <w:marTop w:val="0"/>
      <w:marBottom w:val="0"/>
      <w:divBdr>
        <w:top w:val="none" w:sz="0" w:space="0" w:color="auto"/>
        <w:left w:val="none" w:sz="0" w:space="0" w:color="auto"/>
        <w:bottom w:val="none" w:sz="0" w:space="0" w:color="auto"/>
        <w:right w:val="none" w:sz="0" w:space="0" w:color="auto"/>
      </w:divBdr>
    </w:div>
    <w:div w:id="1096825087">
      <w:bodyDiv w:val="1"/>
      <w:marLeft w:val="0"/>
      <w:marRight w:val="0"/>
      <w:marTop w:val="0"/>
      <w:marBottom w:val="0"/>
      <w:divBdr>
        <w:top w:val="none" w:sz="0" w:space="0" w:color="auto"/>
        <w:left w:val="none" w:sz="0" w:space="0" w:color="auto"/>
        <w:bottom w:val="none" w:sz="0" w:space="0" w:color="auto"/>
        <w:right w:val="none" w:sz="0" w:space="0" w:color="auto"/>
      </w:divBdr>
    </w:div>
    <w:div w:id="1108161882">
      <w:bodyDiv w:val="1"/>
      <w:marLeft w:val="0"/>
      <w:marRight w:val="0"/>
      <w:marTop w:val="0"/>
      <w:marBottom w:val="0"/>
      <w:divBdr>
        <w:top w:val="none" w:sz="0" w:space="0" w:color="auto"/>
        <w:left w:val="none" w:sz="0" w:space="0" w:color="auto"/>
        <w:bottom w:val="none" w:sz="0" w:space="0" w:color="auto"/>
        <w:right w:val="none" w:sz="0" w:space="0" w:color="auto"/>
      </w:divBdr>
    </w:div>
    <w:div w:id="1126585601">
      <w:bodyDiv w:val="1"/>
      <w:marLeft w:val="0"/>
      <w:marRight w:val="0"/>
      <w:marTop w:val="0"/>
      <w:marBottom w:val="0"/>
      <w:divBdr>
        <w:top w:val="none" w:sz="0" w:space="0" w:color="auto"/>
        <w:left w:val="none" w:sz="0" w:space="0" w:color="auto"/>
        <w:bottom w:val="none" w:sz="0" w:space="0" w:color="auto"/>
        <w:right w:val="none" w:sz="0" w:space="0" w:color="auto"/>
      </w:divBdr>
    </w:div>
    <w:div w:id="1235358390">
      <w:bodyDiv w:val="1"/>
      <w:marLeft w:val="0"/>
      <w:marRight w:val="0"/>
      <w:marTop w:val="0"/>
      <w:marBottom w:val="0"/>
      <w:divBdr>
        <w:top w:val="none" w:sz="0" w:space="0" w:color="auto"/>
        <w:left w:val="none" w:sz="0" w:space="0" w:color="auto"/>
        <w:bottom w:val="none" w:sz="0" w:space="0" w:color="auto"/>
        <w:right w:val="none" w:sz="0" w:space="0" w:color="auto"/>
      </w:divBdr>
    </w:div>
    <w:div w:id="1244529635">
      <w:bodyDiv w:val="1"/>
      <w:marLeft w:val="0"/>
      <w:marRight w:val="0"/>
      <w:marTop w:val="0"/>
      <w:marBottom w:val="0"/>
      <w:divBdr>
        <w:top w:val="none" w:sz="0" w:space="0" w:color="auto"/>
        <w:left w:val="none" w:sz="0" w:space="0" w:color="auto"/>
        <w:bottom w:val="none" w:sz="0" w:space="0" w:color="auto"/>
        <w:right w:val="none" w:sz="0" w:space="0" w:color="auto"/>
      </w:divBdr>
    </w:div>
    <w:div w:id="1278873083">
      <w:bodyDiv w:val="1"/>
      <w:marLeft w:val="0"/>
      <w:marRight w:val="0"/>
      <w:marTop w:val="0"/>
      <w:marBottom w:val="0"/>
      <w:divBdr>
        <w:top w:val="none" w:sz="0" w:space="0" w:color="auto"/>
        <w:left w:val="none" w:sz="0" w:space="0" w:color="auto"/>
        <w:bottom w:val="none" w:sz="0" w:space="0" w:color="auto"/>
        <w:right w:val="none" w:sz="0" w:space="0" w:color="auto"/>
      </w:divBdr>
    </w:div>
    <w:div w:id="1339697124">
      <w:bodyDiv w:val="1"/>
      <w:marLeft w:val="0"/>
      <w:marRight w:val="0"/>
      <w:marTop w:val="0"/>
      <w:marBottom w:val="0"/>
      <w:divBdr>
        <w:top w:val="none" w:sz="0" w:space="0" w:color="auto"/>
        <w:left w:val="none" w:sz="0" w:space="0" w:color="auto"/>
        <w:bottom w:val="none" w:sz="0" w:space="0" w:color="auto"/>
        <w:right w:val="none" w:sz="0" w:space="0" w:color="auto"/>
      </w:divBdr>
    </w:div>
    <w:div w:id="1458910121">
      <w:bodyDiv w:val="1"/>
      <w:marLeft w:val="0"/>
      <w:marRight w:val="0"/>
      <w:marTop w:val="0"/>
      <w:marBottom w:val="0"/>
      <w:divBdr>
        <w:top w:val="none" w:sz="0" w:space="0" w:color="auto"/>
        <w:left w:val="none" w:sz="0" w:space="0" w:color="auto"/>
        <w:bottom w:val="none" w:sz="0" w:space="0" w:color="auto"/>
        <w:right w:val="none" w:sz="0" w:space="0" w:color="auto"/>
      </w:divBdr>
    </w:div>
    <w:div w:id="1570843559">
      <w:bodyDiv w:val="1"/>
      <w:marLeft w:val="0"/>
      <w:marRight w:val="0"/>
      <w:marTop w:val="0"/>
      <w:marBottom w:val="0"/>
      <w:divBdr>
        <w:top w:val="none" w:sz="0" w:space="0" w:color="auto"/>
        <w:left w:val="none" w:sz="0" w:space="0" w:color="auto"/>
        <w:bottom w:val="none" w:sz="0" w:space="0" w:color="auto"/>
        <w:right w:val="none" w:sz="0" w:space="0" w:color="auto"/>
      </w:divBdr>
    </w:div>
    <w:div w:id="1589390336">
      <w:bodyDiv w:val="1"/>
      <w:marLeft w:val="0"/>
      <w:marRight w:val="0"/>
      <w:marTop w:val="0"/>
      <w:marBottom w:val="0"/>
      <w:divBdr>
        <w:top w:val="none" w:sz="0" w:space="0" w:color="auto"/>
        <w:left w:val="none" w:sz="0" w:space="0" w:color="auto"/>
        <w:bottom w:val="none" w:sz="0" w:space="0" w:color="auto"/>
        <w:right w:val="none" w:sz="0" w:space="0" w:color="auto"/>
      </w:divBdr>
    </w:div>
    <w:div w:id="1688365038">
      <w:bodyDiv w:val="1"/>
      <w:marLeft w:val="0"/>
      <w:marRight w:val="0"/>
      <w:marTop w:val="0"/>
      <w:marBottom w:val="0"/>
      <w:divBdr>
        <w:top w:val="none" w:sz="0" w:space="0" w:color="auto"/>
        <w:left w:val="none" w:sz="0" w:space="0" w:color="auto"/>
        <w:bottom w:val="none" w:sz="0" w:space="0" w:color="auto"/>
        <w:right w:val="none" w:sz="0" w:space="0" w:color="auto"/>
      </w:divBdr>
    </w:div>
    <w:div w:id="1938444438">
      <w:bodyDiv w:val="1"/>
      <w:marLeft w:val="0"/>
      <w:marRight w:val="0"/>
      <w:marTop w:val="0"/>
      <w:marBottom w:val="0"/>
      <w:divBdr>
        <w:top w:val="none" w:sz="0" w:space="0" w:color="auto"/>
        <w:left w:val="none" w:sz="0" w:space="0" w:color="auto"/>
        <w:bottom w:val="none" w:sz="0" w:space="0" w:color="auto"/>
        <w:right w:val="none" w:sz="0" w:space="0" w:color="auto"/>
      </w:divBdr>
    </w:div>
    <w:div w:id="1957175401">
      <w:bodyDiv w:val="1"/>
      <w:marLeft w:val="0"/>
      <w:marRight w:val="0"/>
      <w:marTop w:val="0"/>
      <w:marBottom w:val="0"/>
      <w:divBdr>
        <w:top w:val="none" w:sz="0" w:space="0" w:color="auto"/>
        <w:left w:val="none" w:sz="0" w:space="0" w:color="auto"/>
        <w:bottom w:val="none" w:sz="0" w:space="0" w:color="auto"/>
        <w:right w:val="none" w:sz="0" w:space="0" w:color="auto"/>
      </w:divBdr>
    </w:div>
    <w:div w:id="1984115947">
      <w:bodyDiv w:val="1"/>
      <w:marLeft w:val="0"/>
      <w:marRight w:val="0"/>
      <w:marTop w:val="0"/>
      <w:marBottom w:val="0"/>
      <w:divBdr>
        <w:top w:val="none" w:sz="0" w:space="0" w:color="auto"/>
        <w:left w:val="none" w:sz="0" w:space="0" w:color="auto"/>
        <w:bottom w:val="none" w:sz="0" w:space="0" w:color="auto"/>
        <w:right w:val="none" w:sz="0" w:space="0" w:color="auto"/>
      </w:divBdr>
    </w:div>
    <w:div w:id="2027511128">
      <w:bodyDiv w:val="1"/>
      <w:marLeft w:val="0"/>
      <w:marRight w:val="0"/>
      <w:marTop w:val="0"/>
      <w:marBottom w:val="0"/>
      <w:divBdr>
        <w:top w:val="none" w:sz="0" w:space="0" w:color="auto"/>
        <w:left w:val="none" w:sz="0" w:space="0" w:color="auto"/>
        <w:bottom w:val="none" w:sz="0" w:space="0" w:color="auto"/>
        <w:right w:val="none" w:sz="0" w:space="0" w:color="auto"/>
      </w:divBdr>
    </w:div>
    <w:div w:id="2043162193">
      <w:bodyDiv w:val="1"/>
      <w:marLeft w:val="0"/>
      <w:marRight w:val="0"/>
      <w:marTop w:val="0"/>
      <w:marBottom w:val="0"/>
      <w:divBdr>
        <w:top w:val="none" w:sz="0" w:space="0" w:color="auto"/>
        <w:left w:val="none" w:sz="0" w:space="0" w:color="auto"/>
        <w:bottom w:val="none" w:sz="0" w:space="0" w:color="auto"/>
        <w:right w:val="none" w:sz="0" w:space="0" w:color="auto"/>
      </w:divBdr>
    </w:div>
    <w:div w:id="21327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eia.gov/consumption/residentia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ferc.gov/industries/hydropower/gen-info/licensing/pump-storage.asp" TargetMode="External"/><Relationship Id="rId3" Type="http://schemas.openxmlformats.org/officeDocument/2006/relationships/hyperlink" Target="https://doi.org/10.1016/j.apenergy.2016.02.083" TargetMode="External"/><Relationship Id="rId7" Type="http://schemas.openxmlformats.org/officeDocument/2006/relationships/hyperlink" Target="https://www.sciencedirect.com/science/article/pii/S0306261920305237?casa_token=o-M2fRFcLQQAAAAA:8u6t-3JY0eITWIUzOMfQUoQlNychWvFliJoVyCbCMmt98Cz2GMru86WMrpaGtzJ9Y0LJd2Qmkw" TargetMode="External"/><Relationship Id="rId2" Type="http://schemas.openxmlformats.org/officeDocument/2006/relationships/hyperlink" Target="https://pvwatts.nrel.gov/" TargetMode="External"/><Relationship Id="rId1" Type="http://schemas.openxmlformats.org/officeDocument/2006/relationships/hyperlink" Target="https://atb.nrel.gov/" TargetMode="External"/><Relationship Id="rId6" Type="http://schemas.openxmlformats.org/officeDocument/2006/relationships/hyperlink" Target="https://www.lazard.com/perspective/levelized-cost-of-energy-levelized-cost-of-storage-and-levelized-cost-of-hydrogen/" TargetMode="External"/><Relationship Id="rId5" Type="http://schemas.openxmlformats.org/officeDocument/2006/relationships/hyperlink" Target="https://iopscience.iop.org/article/10.1088/1748-9326/aad965/meta" TargetMode="External"/><Relationship Id="rId10" Type="http://schemas.openxmlformats.org/officeDocument/2006/relationships/hyperlink" Target="https://www.eia.gov/consumption/residential/" TargetMode="External"/><Relationship Id="rId4" Type="http://schemas.openxmlformats.org/officeDocument/2006/relationships/hyperlink" Target="https://business.directenergy.com/large-business/business-solutions/demand-response/demand-response-pjm" TargetMode="External"/><Relationship Id="rId9" Type="http://schemas.openxmlformats.org/officeDocument/2006/relationships/hyperlink" Target="https://doi.org/10.1016/j.apenergy.2013.1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CE7C4-0B8F-4252-928B-CA279101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17</Pages>
  <Words>4604</Words>
  <Characters>26244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Dalia</dc:creator>
  <cp:lastModifiedBy>Dalia Patino Echeverri, Ph.D.</cp:lastModifiedBy>
  <cp:revision>5</cp:revision>
  <cp:lastPrinted>2022-04-16T14:11:00Z</cp:lastPrinted>
  <dcterms:created xsi:type="dcterms:W3CDTF">2022-04-21T23:05:00Z</dcterms:created>
  <dcterms:modified xsi:type="dcterms:W3CDTF">2022-04-22T02:17:00Z</dcterms:modified>
</cp:coreProperties>
</file>