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sz w:val="20"/>
        </w:rPr>
        <w:t>Table 1. Sample characteristics (analytic sample, N = 87).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3969"/>
          </w:tcPr>
          <w:p>
            <w:r>
              <w:rPr>
                <w:b/>
                <w:sz w:val="18"/>
              </w:rPr>
              <w:t>Characteristic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Total responses collected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131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Completed (Finished = True)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93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Excluded (duration filter)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Analytic sample (N)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87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Set A / Set B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44 / 43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Age, M (SD)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27.4 (9.9), range 18–63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English proficiency (1–7), M (SD)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4.56 (1.87)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AI familiarity (1–7), M (SD)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4.44 (1.96)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Completion time, median (min)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12.2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Trial-level observations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1,740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