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90098A" w14:textId="77777777" w:rsidR="00E14FD1" w:rsidRDefault="00000000">
      <w:pPr>
        <w:jc w:val="center"/>
      </w:pPr>
      <w:r>
        <w:rPr>
          <w:b/>
          <w:sz w:val="32"/>
        </w:rPr>
        <w:t>Software Project Management</w:t>
      </w:r>
    </w:p>
    <w:p w14:paraId="4ECABDB0" w14:textId="77777777" w:rsidR="00E14FD1" w:rsidRDefault="00000000">
      <w:pPr>
        <w:jc w:val="center"/>
      </w:pPr>
      <w:r>
        <w:rPr>
          <w:b/>
          <w:sz w:val="26"/>
        </w:rPr>
        <w:t>M1 — Project Initiation Report</w:t>
      </w:r>
    </w:p>
    <w:p w14:paraId="52DBD883" w14:textId="77777777" w:rsidR="00E14FD1" w:rsidRDefault="00E14FD1"/>
    <w:p w14:paraId="570DEFAE" w14:textId="77777777" w:rsidR="00E14FD1" w:rsidRDefault="00000000">
      <w:r>
        <w:t>Project title: GoodTracker - Mobile Equipment Reservation Application</w:t>
      </w:r>
    </w:p>
    <w:p w14:paraId="4CB0DB19" w14:textId="7A58B15E" w:rsidR="00E14FD1" w:rsidRDefault="00000000">
      <w:r>
        <w:t>Team name/number: GoodTracker</w:t>
      </w:r>
    </w:p>
    <w:p w14:paraId="37D235B5" w14:textId="77777777" w:rsidR="00E14FD1" w:rsidRDefault="00000000">
      <w:r>
        <w:t>Team members and roles: Talha Yılmaz - mobile UI; Eylül Melda Çakmak - mobile integration and testing; Kerem Tuna - database and equipment API; Kardelen Darğın - reservation API and project tracking</w:t>
      </w:r>
    </w:p>
    <w:p w14:paraId="1663429D" w14:textId="77777777" w:rsidR="00E14FD1" w:rsidRDefault="00000000">
      <w:r>
        <w:t>Submission date: Pending; DYS deadline 22 October 2026 (one team member submits)</w:t>
      </w:r>
    </w:p>
    <w:p w14:paraId="78FF3D0D" w14:textId="77777777" w:rsidR="00E14FD1" w:rsidRDefault="00000000">
      <w:r>
        <w:t>Document version: 0.2 - team review draft, 21 October 2026</w:t>
      </w:r>
    </w:p>
    <w:p w14:paraId="72D60884" w14:textId="4A2B5C38" w:rsidR="00E14FD1" w:rsidRDefault="00000000">
      <w:r>
        <w:t>Repository/project board link: https://github.com/keremtuna0/good_tracker | https://github.com/users/keremtuna0/projects/2</w:t>
      </w:r>
    </w:p>
    <w:p w14:paraId="1811A645" w14:textId="77777777" w:rsidR="00E14FD1" w:rsidRDefault="00E14FD1"/>
    <w:p w14:paraId="78245159" w14:textId="77777777" w:rsidR="00E14FD1" w:rsidRDefault="00000000">
      <w:pPr>
        <w:pStyle w:val="Balk1"/>
        <w:keepNext/>
      </w:pPr>
      <w:r>
        <w:t>1. Executive Summary</w:t>
      </w:r>
    </w:p>
    <w:p w14:paraId="2451AA96" w14:textId="77777777" w:rsidR="00E14FD1" w:rsidRDefault="00000000">
      <w:r>
        <w:t>GoodTracker is our planned Android app for reserving shared laboratory and office equipment. Borrowers need a simple way to see what is available and request an item without creating overlapping bookings. Staff need a way to keep equipment records and decide on requests. For the first version, we will focus on sign-in, equipment browsing, availability, reservation requests and cancellation, and staff approval. Payments, university single sign-on, push notifications and an app-store release are outside this scope. In M1, we set the project objectives and boundaries, mapped the main stakeholder groups, chose a hybrid delivery approach, and listed success checks and initial risks. These are planning decisions; the app and its tests are not complete yet. The stakeholder needs are initial assumptions because no interview evidence is recorded. Our next steps are to review this report as a team and submit it through DYS by 22 October 2026, then prepare the M2 backlog, estimates, schedule and quality plan for 1 November. We will use repository commits and the project board to track actual work.</w:t>
      </w:r>
    </w:p>
    <w:p w14:paraId="6C09FB81" w14:textId="77777777" w:rsidR="00E14FD1" w:rsidRDefault="00000000">
      <w:pPr>
        <w:pStyle w:val="Balk1"/>
        <w:keepNext/>
      </w:pPr>
      <w:r>
        <w:t>2. Project Charter</w:t>
      </w:r>
    </w:p>
    <w:p w14:paraId="56027AD9" w14:textId="77777777" w:rsidR="00E14FD1" w:rsidRDefault="00E14FD1"/>
    <w:p w14:paraId="382FC1C1" w14:textId="77777777" w:rsidR="00E14FD1" w:rsidRDefault="00000000">
      <w:pPr>
        <w:pStyle w:val="Balk1"/>
        <w:keepNext/>
      </w:pPr>
      <w:r>
        <w:t>2.1 Objectives</w:t>
      </w:r>
    </w:p>
    <w:tbl>
      <w:tblPr>
        <w:tblStyle w:val="TabloKlavuzu"/>
        <w:tblW w:w="0" w:type="auto"/>
        <w:tblLayout w:type="fixed"/>
        <w:tblLook w:val="04A0" w:firstRow="1" w:lastRow="0" w:firstColumn="1" w:lastColumn="0" w:noHBand="0" w:noVBand="1"/>
      </w:tblPr>
      <w:tblGrid>
        <w:gridCol w:w="2376"/>
        <w:gridCol w:w="4536"/>
        <w:gridCol w:w="3312"/>
      </w:tblGrid>
      <w:tr w:rsidR="00E14FD1" w14:paraId="22188F41" w14:textId="77777777">
        <w:trPr>
          <w:cantSplit/>
          <w:tblHeader w:val="true"/>
        </w:trPr>
        <w:tc>
          <w:tcPr>
            <w:tcW w:w="2376" w:type="dxa"/>
          </w:tcPr>
          <w:p w14:paraId="1B28EAAC" w14:textId="77777777" w:rsidR="00E14FD1" w:rsidRDefault="00000000">
            <w:r>
              <w:rPr>
                <w:b/>
                <w:sz w:val="18"/>
              </w:rPr>
              <w:t>Objective</w:t>
            </w:r>
          </w:p>
        </w:tc>
        <w:tc>
          <w:tcPr>
            <w:tcW w:w="4536" w:type="dxa"/>
          </w:tcPr>
          <w:p w14:paraId="0BBF8EFF" w14:textId="77777777" w:rsidR="00E14FD1" w:rsidRDefault="00000000">
            <w:r>
              <w:rPr>
                <w:b/>
                <w:sz w:val="18"/>
              </w:rPr>
              <w:t>Success measure</w:t>
            </w:r>
          </w:p>
        </w:tc>
        <w:tc>
          <w:tcPr>
            <w:tcW w:w="3312" w:type="dxa"/>
          </w:tcPr>
          <w:p w14:paraId="4EDD7D31" w14:textId="77777777" w:rsidR="00E14FD1" w:rsidRDefault="00000000">
            <w:r>
              <w:rPr>
                <w:b/>
                <w:sz w:val="18"/>
              </w:rPr>
              <w:t>Target</w:t>
            </w:r>
          </w:p>
        </w:tc>
      </w:tr>
      <w:tr w:rsidR="00E14FD1" w14:paraId="73A2AA80" w14:textId="77777777">
        <w:trPr>
          <w:cantSplit/>
        </w:trPr>
        <w:tc>
          <w:tcPr>
            <w:tcW w:w="2376" w:type="dxa"/>
            <w:vAlign w:val="center"/>
          </w:tcPr>
          <w:p>
            <w:pPr>
              <w:spacing w:after="0" w:before="0"/>
            </w:pPr>
            <w:r>
              <w:rPr>
                <w:sz w:val="18"/>
              </w:rPr>
              <w:t>Find and reserve an item</w:t>
            </w:r>
          </w:p>
        </w:tc>
        <w:tc>
          <w:tcPr>
            <w:tcW w:w="4536" w:type="dxa"/>
            <w:vAlign w:val="center"/>
          </w:tcPr>
          <w:p>
            <w:pPr>
              <w:spacing w:after="0" w:before="0"/>
            </w:pPr>
            <w:r>
              <w:rPr>
                <w:sz w:val="18"/>
              </w:rPr>
              <w:t>Walk through sign-in, finding an item, availability, request and cancellation on Android.</w:t>
            </w:r>
          </w:p>
        </w:tc>
        <w:tc>
          <w:tcPr>
            <w:tcW w:w="3312" w:type="dxa"/>
            <w:vAlign w:val="center"/>
          </w:tcPr>
          <w:p>
            <w:pPr>
              <w:spacing w:after="0" w:before="0"/>
            </w:pPr>
            <w:r>
              <w:rPr>
                <w:sz w:val="18"/>
              </w:rPr>
              <w:t>The full flow works for a sample item.</w:t>
            </w:r>
          </w:p>
        </w:tc>
      </w:tr>
      <w:tr w:rsidR="00E14FD1" w14:paraId="49D9F44B" w14:textId="77777777">
        <w:trPr>
          <w:cantSplit/>
        </w:trPr>
        <w:tc>
          <w:tcPr>
            <w:tcW w:w="2376" w:type="dxa"/>
            <w:vAlign w:val="center"/>
          </w:tcPr>
          <w:p>
            <w:pPr>
              <w:spacing w:after="0" w:before="0"/>
            </w:pPr>
            <w:r>
              <w:rPr>
                <w:sz w:val="18"/>
              </w:rPr>
              <w:t>Prevent double bookings</w:t>
            </w:r>
          </w:p>
        </w:tc>
        <w:tc>
          <w:tcPr>
            <w:tcW w:w="4536" w:type="dxa"/>
            <w:vAlign w:val="center"/>
          </w:tcPr>
          <w:p>
            <w:pPr>
              <w:spacing w:after="0" w:before="0"/>
            </w:pPr>
            <w:r>
              <w:rPr>
                <w:sz w:val="18"/>
              </w:rPr>
              <w:t>Submit two overlapping requests for one item and time slot.</w:t>
            </w:r>
          </w:p>
        </w:tc>
        <w:tc>
          <w:tcPr>
            <w:tcW w:w="3312" w:type="dxa"/>
            <w:vAlign w:val="center"/>
          </w:tcPr>
          <w:p>
            <w:pPr>
              <w:spacing w:after="0" w:before="0"/>
            </w:pPr>
            <w:r>
              <w:rPr>
                <w:sz w:val="18"/>
              </w:rPr>
              <w:t>At most one request is accepted.</w:t>
            </w:r>
          </w:p>
        </w:tc>
      </w:tr>
      <w:tr>
        <w:trPr>
          <w:cantSplit/>
        </w:trPr>
        <w:tc>
          <w:tcPr>
            <w:tcW w:type="dxa" w:w="2376"/>
            <w:vAlign w:val="center"/>
          </w:tcPr>
          <w:p>
            <w:pPr>
              <w:spacing w:after="0" w:before="0"/>
            </w:pPr>
            <w:r>
              <w:rPr>
                <w:sz w:val="18"/>
              </w:rPr>
              <w:t>Separate staff and user actions</w:t>
            </w:r>
          </w:p>
        </w:tc>
        <w:tc>
          <w:tcPr>
            <w:tcW w:type="dxa" w:w="4536"/>
            <w:vAlign w:val="center"/>
          </w:tcPr>
          <w:p>
            <w:pPr>
              <w:spacing w:after="0" w:before="0"/>
            </w:pPr>
            <w:r>
              <w:rPr>
                <w:sz w:val="18"/>
              </w:rPr>
              <w:t>Try staff actions with staff and regular user accounts.</w:t>
            </w:r>
          </w:p>
        </w:tc>
        <w:tc>
          <w:tcPr>
            <w:tcW w:type="dxa" w:w="3312"/>
            <w:vAlign w:val="center"/>
          </w:tcPr>
          <w:p>
            <w:pPr>
              <w:spacing w:after="0" w:before="0"/>
            </w:pPr>
            <w:r>
              <w:rPr>
                <w:sz w:val="18"/>
              </w:rPr>
              <w:t>Only staff manage items and approvals; users change only their own requests.</w:t>
            </w:r>
          </w:p>
        </w:tc>
      </w:tr>
    </w:tbl>
    <w:p w14:paraId="497DCE7E" w14:textId="77777777" w:rsidR="00E14FD1" w:rsidRDefault="00E14FD1"/>
    <w:p>
      <w:pPr>
        <w:spacing w:after="100"/>
      </w:pPr>
      <w:r>
        <w:rPr>
          <w:i/>
        </w:rPr>
        <w:t>The targets above will be checked on a working build. They are not test results yet.</w:t>
      </w:r>
    </w:p>
    <w:p w14:paraId="7A678B2A" w14:textId="77777777" w:rsidR="00E14FD1" w:rsidRDefault="00000000">
      <w:pPr>
        <w:pStyle w:val="Balk1"/>
        <w:keepNext/>
      </w:pPr>
      <w:r>
        <w:t>2.2 Scope</w:t>
      </w:r>
    </w:p>
    <w:tbl>
      <w:tblPr>
        <w:tblStyle w:val="TabloKlavuzu"/>
        <w:tblW w:w="0" w:type="auto"/>
        <w:tblLayout w:type="fixed"/>
        <w:tblLook w:val="04A0" w:firstRow="1" w:lastRow="0" w:firstColumn="1" w:lastColumn="0" w:noHBand="0" w:noVBand="1"/>
      </w:tblPr>
      <w:tblGrid>
        <w:gridCol w:w="5112"/>
        <w:gridCol w:w="5112"/>
      </w:tblGrid>
      <w:tr w:rsidR="00E14FD1" w14:paraId="68B9CA4D" w14:textId="77777777">
        <w:trPr>
          <w:cantSplit/>
          <w:tblHeader w:val="true"/>
        </w:trPr>
        <w:tc>
          <w:tcPr>
            <w:tcW w:w="5112" w:type="dxa"/>
          </w:tcPr>
          <w:p w14:paraId="7152D0D4" w14:textId="77777777" w:rsidR="00E14FD1" w:rsidRDefault="00000000">
            <w:r>
              <w:rPr>
                <w:b/>
                <w:sz w:val="18"/>
              </w:rPr>
              <w:t>In scope</w:t>
            </w:r>
          </w:p>
        </w:tc>
        <w:tc>
          <w:tcPr>
            <w:tcW w:w="5112" w:type="dxa"/>
          </w:tcPr>
          <w:p w14:paraId="1122378D" w14:textId="77777777" w:rsidR="00E14FD1" w:rsidRDefault="00000000">
            <w:r>
              <w:rPr>
                <w:b/>
                <w:sz w:val="18"/>
              </w:rPr>
              <w:t>Out of scope</w:t>
            </w:r>
          </w:p>
        </w:tc>
      </w:tr>
      <w:tr w:rsidR="00E14FD1" w14:paraId="33249380" w14:textId="77777777">
        <w:trPr>
          <w:cantSplit/>
        </w:trPr>
        <w:tc>
          <w:tcPr>
            <w:tcW w:w="5112" w:type="dxa"/>
            <w:vAlign w:val="center"/>
          </w:tcPr>
          <w:p>
            <w:pPr>
              <w:spacing w:after="0" w:before="0"/>
            </w:pPr>
            <w:r>
              <w:rPr>
                <w:sz w:val="18"/>
              </w:rPr>
              <w:t>Sign-in, equipment browsing, search by category or location, and availability.</w:t>
            </w:r>
          </w:p>
        </w:tc>
        <w:tc>
          <w:tcPr>
            <w:tcW w:w="5112" w:type="dxa"/>
            <w:vAlign w:val="center"/>
          </w:tcPr>
          <w:p>
            <w:pPr>
              <w:spacing w:after="0" w:before="0"/>
            </w:pPr>
            <w:r>
              <w:rPr>
                <w:sz w:val="18"/>
              </w:rPr>
              <w:t>Payments and university single sign-on.</w:t>
            </w:r>
          </w:p>
        </w:tc>
      </w:tr>
      <w:tr w:rsidR="00E14FD1" w14:paraId="4CE2B59B" w14:textId="77777777">
        <w:trPr>
          <w:cantSplit/>
        </w:trPr>
        <w:tc>
          <w:tcPr>
            <w:tcW w:w="5112" w:type="dxa"/>
            <w:vAlign w:val="center"/>
          </w:tcPr>
          <w:p>
            <w:pPr>
              <w:spacing w:after="0" w:before="0"/>
            </w:pPr>
            <w:r>
              <w:rPr>
                <w:sz w:val="18"/>
              </w:rPr>
              <w:t>Reservation requests, cancellation, status, and conflict prevention.</w:t>
            </w:r>
          </w:p>
        </w:tc>
        <w:tc>
          <w:tcPr>
            <w:tcW w:w="5112" w:type="dxa"/>
            <w:vAlign w:val="center"/>
          </w:tcPr>
          <w:p>
            <w:pPr>
              <w:spacing w:after="0" w:before="0"/>
            </w:pPr>
            <w:r>
              <w:rPr>
                <w:sz w:val="18"/>
              </w:rPr>
              <w:t>Push notifications and an app-store release.</w:t>
            </w:r>
          </w:p>
        </w:tc>
      </w:tr>
      <w:tr w:rsidR="00E14FD1" w14:paraId="1C4A84DA" w14:textId="77777777">
        <w:trPr>
          <w:cantSplit/>
        </w:trPr>
        <w:tc>
          <w:tcPr>
            <w:tcW w:w="5112" w:type="dxa"/>
            <w:vAlign w:val="center"/>
          </w:tcPr>
          <w:p>
            <w:pPr>
              <w:spacing w:after="0" w:before="0"/>
            </w:pPr>
            <w:r>
              <w:rPr>
                <w:sz w:val="18"/>
              </w:rPr>
              <w:t>Staff equipment management and approval or rejection of requests.</w:t>
            </w:r>
          </w:p>
        </w:tc>
        <w:tc>
          <w:tcPr>
            <w:tcW w:w="5112" w:type="dxa"/>
            <w:vAlign w:val="center"/>
          </w:tcPr>
          <w:p>
            <w:pPr>
              <w:spacing w:after="0" w:before="0"/>
            </w:pPr>
            <w:r>
              <w:rPr>
                <w:sz w:val="18"/>
              </w:rPr>
              <w:t>A production rollout across campus.</w:t>
            </w:r>
          </w:p>
        </w:tc>
      </w:tr>
    </w:tbl>
    <w:p w14:paraId="71D75BCF" w14:textId="77777777" w:rsidR="00E14FD1" w:rsidRDefault="00E14FD1"/>
    <w:p>
      <w:pPr>
        <w:spacing w:after="100"/>
      </w:pPr>
      <w:r>
        <w:t>The proposed stack is React Native with Expo and TypeScript, Node.js with Express, and Supabase for data and sign-in. We will check it with a small prototype before committing to it.</w:t>
      </w:r>
    </w:p>
    <w:p w14:paraId="6DEA1260" w14:textId="77777777" w:rsidR="00E14FD1" w:rsidRDefault="00000000">
      <w:pPr>
        <w:pStyle w:val="Balk1"/>
        <w:keepNext/>
      </w:pPr>
      <w:r>
        <w:t>2.3 Constraints</w:t>
      </w:r>
    </w:p>
    <w:p w14:paraId="47CFE895" w14:textId="77777777" w:rsidR="00E14FD1" w:rsidRDefault="00000000">
      <w:r>
        <w:t>The work must fit the SE3003 milestones and a four-person student team. The M1 report is due through DYS on 22 October 2026, with one team member submitting for the group. The first demo is limited to Android. We do not yet have confirmed access to real equipment records or users, and no paid-service budget is recorded. The app and backend have not been built yet.</w:t>
      </w:r>
    </w:p>
    <w:p w14:paraId="0E1A71C6" w14:textId="77777777" w:rsidR="00E14FD1" w:rsidRDefault="00000000">
      <w:pPr>
        <w:pStyle w:val="Balk1"/>
        <w:keepNext/>
      </w:pPr>
      <w:r>
        <w:t>2.4 Assumptions</w:t>
      </w:r>
    </w:p>
    <w:tbl>
      <w:tblPr>
        <w:tblStyle w:val="TabloKlavuzu"/>
        <w:tblW w:w="0" w:type="auto"/>
        <w:tblLayout w:type="fixed"/>
        <w:tblLook w:val="04A0" w:firstRow="1" w:lastRow="0" w:firstColumn="1" w:lastColumn="0" w:noHBand="0" w:noVBand="1"/>
      </w:tblPr>
      <w:tblGrid>
        <w:gridCol w:w="936"/>
        <w:gridCol w:w="5040"/>
        <w:gridCol w:w="4248"/>
      </w:tblGrid>
      <w:tr w:rsidR="00E14FD1" w14:paraId="51364981" w14:textId="77777777">
        <w:trPr>
          <w:cantSplit/>
          <w:tblHeader w:val="true"/>
        </w:trPr>
        <w:tc>
          <w:tcPr>
            <w:tcW w:w="936" w:type="dxa"/>
          </w:tcPr>
          <w:p w14:paraId="278B8402" w14:textId="77777777" w:rsidR="00E14FD1" w:rsidRDefault="00000000">
            <w:r>
              <w:rPr>
                <w:b/>
                <w:sz w:val="18"/>
              </w:rPr>
              <w:t>ID</w:t>
            </w:r>
          </w:p>
        </w:tc>
        <w:tc>
          <w:tcPr>
            <w:tcW w:w="5040" w:type="dxa"/>
          </w:tcPr>
          <w:p w14:paraId="2E541AB8" w14:textId="77777777" w:rsidR="00E14FD1" w:rsidRDefault="00000000">
            <w:r>
              <w:rPr>
                <w:b/>
                <w:sz w:val="18"/>
              </w:rPr>
              <w:t>Assumption</w:t>
            </w:r>
          </w:p>
        </w:tc>
        <w:tc>
          <w:tcPr>
            <w:tcW w:w="4248" w:type="dxa"/>
          </w:tcPr>
          <w:p w14:paraId="6B91BE16" w14:textId="77777777" w:rsidR="00E14FD1" w:rsidRDefault="00000000">
            <w:r>
              <w:rPr>
                <w:b/>
                <w:sz w:val="18"/>
              </w:rPr>
              <w:t>If incorrect, what may happen?</w:t>
            </w:r>
          </w:p>
        </w:tc>
      </w:tr>
      <w:tr w:rsidR="00E14FD1" w14:paraId="5A6A40EB" w14:textId="77777777">
        <w:trPr>
          <w:cantSplit/>
        </w:trPr>
        <w:tc>
          <w:tcPr>
            <w:tcW w:w="936" w:type="dxa"/>
            <w:vAlign w:val="center"/>
          </w:tcPr>
          <w:p>
            <w:pPr>
              <w:spacing w:after="0" w:before="0"/>
            </w:pPr>
            <w:r>
              <w:rPr>
                <w:sz w:val="18"/>
              </w:rPr>
              <w:t>A-01</w:t>
            </w:r>
          </w:p>
        </w:tc>
        <w:tc>
          <w:tcPr>
            <w:tcW w:w="5040" w:type="dxa"/>
            <w:vAlign w:val="center"/>
          </w:tcPr>
          <w:p>
            <w:pPr>
              <w:spacing w:after="0" w:before="0"/>
            </w:pPr>
            <w:r>
              <w:rPr>
                <w:sz w:val="18"/>
              </w:rPr>
              <w:t>Students or staff need to see availability and request shared equipment; user feedback is still needed.</w:t>
            </w:r>
          </w:p>
        </w:tc>
        <w:tc>
          <w:tcPr>
            <w:tcW w:w="4248" w:type="dxa"/>
            <w:vAlign w:val="center"/>
          </w:tcPr>
          <w:p>
            <w:pPr>
              <w:spacing w:after="0" w:before="0"/>
            </w:pPr>
            <w:r>
              <w:rPr>
                <w:sz w:val="18"/>
              </w:rPr>
              <w:t>The target users or flow may change.</w:t>
            </w:r>
          </w:p>
        </w:tc>
      </w:tr>
      <w:tr w:rsidR="00E14FD1" w14:paraId="38E8323F" w14:textId="77777777">
        <w:trPr>
          <w:cantSplit/>
        </w:trPr>
        <w:tc>
          <w:tcPr>
            <w:tcW w:w="936" w:type="dxa"/>
            <w:vAlign w:val="center"/>
          </w:tcPr>
          <w:p>
            <w:pPr>
              <w:spacing w:after="0" w:before="0"/>
            </w:pPr>
            <w:r>
              <w:rPr>
                <w:sz w:val="18"/>
              </w:rPr>
              <w:t>A-02</w:t>
            </w:r>
          </w:p>
        </w:tc>
        <w:tc>
          <w:tcPr>
            <w:tcW w:w="5040" w:type="dxa"/>
            <w:vAlign w:val="center"/>
          </w:tcPr>
          <w:p>
            <w:pPr>
              <w:spacing w:after="0" w:before="0"/>
            </w:pPr>
            <w:r>
              <w:rPr>
                <w:sz w:val="18"/>
              </w:rPr>
              <w:t>A staff member will maintain item records and approve or reject requests.</w:t>
            </w:r>
          </w:p>
        </w:tc>
        <w:tc>
          <w:tcPr>
            <w:tcW w:w="4248" w:type="dxa"/>
            <w:vAlign w:val="center"/>
          </w:tcPr>
          <w:p>
            <w:pPr>
              <w:spacing w:after="0" w:before="0"/>
            </w:pPr>
            <w:r>
              <w:rPr>
                <w:sz w:val="18"/>
              </w:rPr>
              <w:t>Roles or approvals may need to change.</w:t>
            </w:r>
          </w:p>
        </w:tc>
      </w:tr>
      <w:tr>
        <w:trPr>
          <w:cantSplit/>
        </w:trPr>
        <w:tc>
          <w:tcPr>
            <w:tcW w:type="dxa" w:w="936"/>
            <w:vAlign w:val="center"/>
          </w:tcPr>
          <w:p>
            <w:pPr>
              <w:spacing w:after="0" w:before="0"/>
            </w:pPr>
            <w:r>
              <w:rPr>
                <w:sz w:val="18"/>
              </w:rPr>
              <w:t>A-03</w:t>
            </w:r>
          </w:p>
        </w:tc>
        <w:tc>
          <w:tcPr>
            <w:tcW w:type="dxa" w:w="5040"/>
            <w:vAlign w:val="center"/>
          </w:tcPr>
          <w:p>
            <w:pPr>
              <w:spacing w:after="0" w:before="0"/>
            </w:pPr>
            <w:r>
              <w:rPr>
                <w:sz w:val="18"/>
              </w:rPr>
              <w:t>Expo, Express and Supabase will support a small Android demo within available limits.</w:t>
            </w:r>
          </w:p>
        </w:tc>
        <w:tc>
          <w:tcPr>
            <w:tcW w:type="dxa" w:w="4248"/>
            <w:vAlign w:val="center"/>
          </w:tcPr>
          <w:p>
            <w:pPr>
              <w:spacing w:after="0" w:before="0"/>
            </w:pPr>
            <w:r>
              <w:rPr>
                <w:sz w:val="18"/>
              </w:rPr>
              <w:t>We may need to change the setup or scope.</w:t>
            </w:r>
          </w:p>
        </w:tc>
      </w:tr>
      <w:tr>
        <w:trPr>
          <w:cantSplit/>
        </w:trPr>
        <w:tc>
          <w:tcPr>
            <w:tcW w:type="dxa" w:w="936"/>
            <w:vAlign w:val="center"/>
          </w:tcPr>
          <w:p>
            <w:pPr>
              <w:spacing w:after="0" w:before="0"/>
            </w:pPr>
            <w:r>
              <w:rPr>
                <w:sz w:val="18"/>
              </w:rPr>
              <w:t>A-04</w:t>
            </w:r>
          </w:p>
        </w:tc>
        <w:tc>
          <w:tcPr>
            <w:tcW w:type="dxa" w:w="5040"/>
            <w:vAlign w:val="center"/>
          </w:tcPr>
          <w:p>
            <w:pPr>
              <w:spacing w:after="0" w:before="0"/>
            </w:pPr>
            <w:r>
              <w:rPr>
                <w:sz w:val="18"/>
              </w:rPr>
              <w:t>We can prepare sample equipment and reservation data.</w:t>
            </w:r>
          </w:p>
        </w:tc>
        <w:tc>
          <w:tcPr>
            <w:tcW w:type="dxa" w:w="4248"/>
            <w:vAlign w:val="center"/>
          </w:tcPr>
          <w:p>
            <w:pPr>
              <w:spacing w:after="0" w:before="0"/>
            </w:pPr>
            <w:r>
              <w:rPr>
                <w:sz w:val="18"/>
              </w:rPr>
              <w:t>Data preparation may take extra time.</w:t>
            </w:r>
          </w:p>
        </w:tc>
      </w:tr>
    </w:tbl>
    <w:p w14:paraId="3EDC65BE" w14:textId="77777777" w:rsidR="00E14FD1" w:rsidRDefault="00E14FD1"/>
    <w:p w14:paraId="2837EF1C" w14:textId="77777777" w:rsidR="00E14FD1" w:rsidRDefault="00000000">
      <w:pPr>
        <w:pStyle w:val="Balk1"/>
        <w:keepNext/>
      </w:pPr>
      <w:r>
        <w:t>3. Stakeholder Analysis</w:t>
      </w:r>
    </w:p>
    <w:tbl>
      <w:tblPr>
        <w:tblStyle w:val="TabloKlavuzu"/>
        <w:tblW w:w="0" w:type="auto"/>
        <w:tblLayout w:type="fixed"/>
        <w:tblLook w:val="04A0" w:firstRow="1" w:lastRow="0" w:firstColumn="1" w:lastColumn="0" w:noHBand="0" w:noVBand="1"/>
      </w:tblPr>
      <w:tblGrid>
        <w:gridCol w:w="1800"/>
        <w:gridCol w:w="3096"/>
        <w:gridCol w:w="1296"/>
        <w:gridCol w:w="4032"/>
      </w:tblGrid>
      <w:tr w:rsidR="00E14FD1" w14:paraId="229D6F85" w14:textId="77777777">
        <w:trPr>
          <w:cantSplit/>
          <w:tblHeader w:val="true"/>
        </w:trPr>
        <w:tc>
          <w:tcPr>
            <w:tcW w:w="1800" w:type="dxa"/>
          </w:tcPr>
          <w:p w14:paraId="04DCCAC9" w14:textId="77777777" w:rsidR="00E14FD1" w:rsidRDefault="00000000">
            <w:r>
              <w:rPr>
                <w:b/>
                <w:sz w:val="17"/>
              </w:rPr>
              <w:t>Stakeholder</w:t>
            </w:r>
          </w:p>
        </w:tc>
        <w:tc>
          <w:tcPr>
            <w:tcW w:w="3096" w:type="dxa"/>
          </w:tcPr>
          <w:p w14:paraId="255C2AAE" w14:textId="77777777" w:rsidR="00E14FD1" w:rsidRDefault="00000000">
            <w:r>
              <w:rPr>
                <w:b/>
                <w:sz w:val="17"/>
              </w:rPr>
              <w:t>Interest / Need</w:t>
            </w:r>
          </w:p>
        </w:tc>
        <w:tc>
          <w:tcPr>
            <w:tcW w:w="1296" w:type="dxa"/>
          </w:tcPr>
          <w:p w14:paraId="5BDE2EC0" w14:textId="77777777" w:rsidR="00E14FD1" w:rsidRDefault="00000000">
            <w:r>
              <w:rPr>
                <w:b/>
                <w:sz w:val="17"/>
              </w:rPr>
              <w:t>Influence</w:t>
            </w:r>
          </w:p>
        </w:tc>
        <w:tc>
          <w:tcPr>
            <w:tcW w:w="4032" w:type="dxa"/>
          </w:tcPr>
          <w:p w14:paraId="75B457E9" w14:textId="77777777" w:rsidR="00E14FD1" w:rsidRDefault="00000000">
            <w:r>
              <w:rPr>
                <w:b/>
                <w:sz w:val="17"/>
              </w:rPr>
              <w:t>Engagement approach</w:t>
            </w:r>
          </w:p>
        </w:tc>
      </w:tr>
      <w:tr w:rsidR="00E14FD1" w14:paraId="69913026" w14:textId="77777777">
        <w:trPr>
          <w:cantSplit/>
        </w:trPr>
        <w:tc>
          <w:tcPr>
            <w:tcW w:w="1800" w:type="dxa"/>
            <w:vAlign w:val="center"/>
          </w:tcPr>
          <w:p>
            <w:pPr>
              <w:spacing w:after="0" w:before="0"/>
            </w:pPr>
            <w:r>
              <w:rPr>
                <w:sz w:val="17"/>
              </w:rPr>
              <w:t>Borrowers / end users</w:t>
            </w:r>
          </w:p>
        </w:tc>
        <w:tc>
          <w:tcPr>
            <w:tcW w:w="3096" w:type="dxa"/>
            <w:vAlign w:val="center"/>
          </w:tcPr>
          <w:p>
            <w:pPr>
              <w:spacing w:after="0" w:before="0"/>
            </w:pPr>
            <w:r>
              <w:rPr>
                <w:sz w:val="17"/>
              </w:rPr>
              <w:t>Availability and a clear request process (assumed)</w:t>
            </w:r>
          </w:p>
        </w:tc>
        <w:tc>
          <w:tcPr>
            <w:tcW w:w="1296" w:type="dxa"/>
            <w:vAlign w:val="center"/>
          </w:tcPr>
          <w:p>
            <w:pPr>
              <w:spacing w:after="0" w:before="0"/>
            </w:pPr>
            <w:r>
              <w:rPr>
                <w:sz w:val="17"/>
              </w:rPr>
              <w:t>High</w:t>
            </w:r>
          </w:p>
        </w:tc>
        <w:tc>
          <w:tcPr>
            <w:tcW w:w="4032" w:type="dxa"/>
            <w:vAlign w:val="center"/>
          </w:tcPr>
          <w:p>
            <w:pPr>
              <w:spacing w:after="0" w:before="0"/>
            </w:pPr>
            <w:r>
              <w:rPr>
                <w:sz w:val="17"/>
              </w:rPr>
              <w:t>Ask potential users to try a prototype and comment on the flow.</w:t>
            </w:r>
          </w:p>
        </w:tc>
      </w:tr>
      <w:tr w:rsidR="00E14FD1" w14:paraId="32ACD4C9" w14:textId="77777777">
        <w:trPr>
          <w:cantSplit/>
        </w:trPr>
        <w:tc>
          <w:tcPr>
            <w:tcW w:w="1800" w:type="dxa"/>
            <w:vAlign w:val="center"/>
          </w:tcPr>
          <w:p>
            <w:pPr>
              <w:spacing w:after="0" w:before="0"/>
            </w:pPr>
            <w:r>
              <w:rPr>
                <w:sz w:val="17"/>
              </w:rPr>
              <w:t>Inventory staff</w:t>
            </w:r>
          </w:p>
        </w:tc>
        <w:tc>
          <w:tcPr>
            <w:tcW w:w="3096" w:type="dxa"/>
            <w:vAlign w:val="center"/>
          </w:tcPr>
          <w:p>
            <w:pPr>
              <w:spacing w:after="0" w:before="0"/>
            </w:pPr>
            <w:r>
              <w:rPr>
                <w:sz w:val="17"/>
              </w:rPr>
              <w:t>Accurate item records and request decisions (assumed)</w:t>
            </w:r>
          </w:p>
        </w:tc>
        <w:tc>
          <w:tcPr>
            <w:tcW w:w="1296" w:type="dxa"/>
            <w:vAlign w:val="center"/>
          </w:tcPr>
          <w:p>
            <w:pPr>
              <w:spacing w:after="0" w:before="0"/>
            </w:pPr>
            <w:r>
              <w:rPr>
                <w:sz w:val="17"/>
              </w:rPr>
              <w:t>High</w:t>
            </w:r>
          </w:p>
        </w:tc>
        <w:tc>
          <w:tcPr>
            <w:tcW w:w="4032" w:type="dxa"/>
            <w:vAlign w:val="center"/>
          </w:tcPr>
          <w:p>
            <w:pPr>
              <w:spacing w:after="0" w:before="0"/>
            </w:pPr>
            <w:r>
              <w:rPr>
                <w:sz w:val="17"/>
              </w:rPr>
              <w:t>Check the proposed approval flow with a staff representative.</w:t>
            </w:r>
          </w:p>
        </w:tc>
      </w:tr>
      <w:tr>
        <w:trPr>
          <w:cantSplit/>
        </w:trPr>
        <w:tc>
          <w:tcPr>
            <w:tcW w:type="dxa" w:w="1800"/>
            <w:vAlign w:val="center"/>
          </w:tcPr>
          <w:p>
            <w:pPr>
              <w:spacing w:after="0" w:before="0"/>
            </w:pPr>
            <w:r>
              <w:rPr>
                <w:sz w:val="17"/>
              </w:rPr>
              <w:t>Development team</w:t>
            </w:r>
          </w:p>
        </w:tc>
        <w:tc>
          <w:tcPr>
            <w:tcW w:type="dxa" w:w="3096"/>
            <w:vAlign w:val="center"/>
          </w:tcPr>
          <w:p>
            <w:pPr>
              <w:spacing w:after="0" w:before="0"/>
            </w:pPr>
            <w:r>
              <w:rPr>
                <w:sz w:val="17"/>
              </w:rPr>
              <w:t>Clear scope, roles and decisions</w:t>
            </w:r>
          </w:p>
        </w:tc>
        <w:tc>
          <w:tcPr>
            <w:tcW w:type="dxa" w:w="1296"/>
            <w:vAlign w:val="center"/>
          </w:tcPr>
          <w:p>
            <w:pPr>
              <w:spacing w:after="0" w:before="0"/>
            </w:pPr>
            <w:r>
              <w:rPr>
                <w:sz w:val="17"/>
              </w:rPr>
              <w:t>High</w:t>
            </w:r>
          </w:p>
        </w:tc>
        <w:tc>
          <w:tcPr>
            <w:tcW w:type="dxa" w:w="4032"/>
            <w:vAlign w:val="center"/>
          </w:tcPr>
          <w:p>
            <w:pPr>
              <w:spacing w:after="0" w:before="0"/>
            </w:pPr>
            <w:r>
              <w:rPr>
                <w:sz w:val="17"/>
              </w:rPr>
              <w:t>Use issues, the board and reviews to coordinate work.</w:t>
            </w:r>
          </w:p>
        </w:tc>
      </w:tr>
      <w:tr>
        <w:trPr>
          <w:cantSplit/>
        </w:trPr>
        <w:tc>
          <w:tcPr>
            <w:tcW w:type="dxa" w:w="1800"/>
            <w:vAlign w:val="center"/>
          </w:tcPr>
          <w:p>
            <w:pPr>
              <w:spacing w:after="0" w:before="0"/>
            </w:pPr>
            <w:r>
              <w:rPr>
                <w:sz w:val="17"/>
              </w:rPr>
              <w:t>Instructor / TAs</w:t>
            </w:r>
          </w:p>
        </w:tc>
        <w:tc>
          <w:tcPr>
            <w:tcW w:type="dxa" w:w="3096"/>
            <w:vAlign w:val="center"/>
          </w:tcPr>
          <w:p>
            <w:pPr>
              <w:spacing w:after="0" w:before="0"/>
            </w:pPr>
            <w:r>
              <w:rPr>
                <w:sz w:val="17"/>
              </w:rPr>
              <w:t>Milestone evidence and course requirements</w:t>
            </w:r>
          </w:p>
        </w:tc>
        <w:tc>
          <w:tcPr>
            <w:tcW w:type="dxa" w:w="1296"/>
            <w:vAlign w:val="center"/>
          </w:tcPr>
          <w:p>
            <w:pPr>
              <w:spacing w:after="0" w:before="0"/>
            </w:pPr>
            <w:r>
              <w:rPr>
                <w:sz w:val="17"/>
              </w:rPr>
              <w:t>High</w:t>
            </w:r>
          </w:p>
        </w:tc>
        <w:tc>
          <w:tcPr>
            <w:tcW w:type="dxa" w:w="4032"/>
            <w:vAlign w:val="center"/>
          </w:tcPr>
          <w:p>
            <w:pPr>
              <w:spacing w:after="0" w:before="0"/>
            </w:pPr>
            <w:r>
              <w:rPr>
                <w:sz w:val="17"/>
              </w:rPr>
              <w:t>Submit the official report through the required course channel.</w:t>
            </w:r>
          </w:p>
        </w:tc>
      </w:tr>
    </w:tbl>
    <w:p w14:paraId="2B6BE3AF" w14:textId="77777777" w:rsidR="00E14FD1" w:rsidRDefault="00E14FD1"/>
    <w:p>
      <w:pPr>
        <w:spacing w:after="100"/>
      </w:pPr>
      <w:r>
        <w:t>Stakeholder map: Manage closely - borrowers, the development team and course staff. Keep satisfied - inventory staff. Keep informed - the wider campus community. Monitor - external service providers. Needs attributed to borrowers and inventory staff are assumptions until we collect feedback.</w:t>
      </w:r>
    </w:p>
    <w:p w14:paraId="650A810C" w14:textId="77777777" w:rsidR="00E14FD1" w:rsidRDefault="00000000">
      <w:pPr>
        <w:pStyle w:val="Balk1"/>
        <w:keepNext/>
      </w:pPr>
      <w:r>
        <w:t>4. Delivery Approach Decision</w:t>
      </w:r>
    </w:p>
    <w:p w14:paraId="5F058658" w14:textId="77777777" w:rsidR="00E14FD1" w:rsidRDefault="00000000">
      <w:r>
        <w:t>Predictive is too rigid for an untested booking flow; pure Agile misses the fixed M1-M5 reports. We chose Hybrid so our four-person team can plan milestones and refine the app in short cycles. We will detail these cycles in M2.</w:t>
      </w:r>
    </w:p>
    <w:p w14:paraId="71FFC7C4" w14:textId="77777777" w:rsidR="00E14FD1" w:rsidRDefault="00000000">
      <w:pPr>
        <w:pStyle w:val="Balk1"/>
        <w:keepNext/>
      </w:pPr>
      <w:r>
        <w:t>5. Initial Success Criteria</w:t>
      </w:r>
    </w:p>
    <w:tbl>
      <w:tblPr>
        <w:tblStyle w:val="TabloKlavuzu"/>
        <w:tblW w:w="0" w:type="auto"/>
        <w:tblLayout w:type="fixed"/>
        <w:tblLook w:val="04A0" w:firstRow="1" w:lastRow="0" w:firstColumn="1" w:lastColumn="0" w:noHBand="0" w:noVBand="1"/>
      </w:tblPr>
      <w:tblGrid>
        <w:gridCol w:w="1728"/>
        <w:gridCol w:w="3960"/>
        <w:gridCol w:w="4536"/>
      </w:tblGrid>
      <w:tr w:rsidR="00E14FD1" w14:paraId="508A230D" w14:textId="77777777">
        <w:trPr>
          <w:cantSplit/>
          <w:tblHeader w:val="true"/>
        </w:trPr>
        <w:tc>
          <w:tcPr>
            <w:tcW w:w="1728" w:type="dxa"/>
          </w:tcPr>
          <w:p w14:paraId="7C9F9652" w14:textId="77777777" w:rsidR="00E14FD1" w:rsidRDefault="00000000">
            <w:r>
              <w:rPr>
                <w:b/>
                <w:sz w:val="17"/>
              </w:rPr>
              <w:t>Area</w:t>
            </w:r>
          </w:p>
        </w:tc>
        <w:tc>
          <w:tcPr>
            <w:tcW w:w="3960" w:type="dxa"/>
          </w:tcPr>
          <w:p w14:paraId="1156CC31" w14:textId="77777777" w:rsidR="00E14FD1" w:rsidRDefault="00000000">
            <w:r>
              <w:rPr>
                <w:b/>
                <w:sz w:val="17"/>
              </w:rPr>
              <w:t>Criterion</w:t>
            </w:r>
          </w:p>
        </w:tc>
        <w:tc>
          <w:tcPr>
            <w:tcW w:w="4536" w:type="dxa"/>
          </w:tcPr>
          <w:p w14:paraId="49E425C7" w14:textId="77777777" w:rsidR="00E14FD1" w:rsidRDefault="00000000">
            <w:r>
              <w:rPr>
                <w:b/>
                <w:sz w:val="17"/>
              </w:rPr>
              <w:t>How it will be verified</w:t>
            </w:r>
          </w:p>
        </w:tc>
      </w:tr>
      <w:tr w:rsidR="00E14FD1" w14:paraId="63B13BAE" w14:textId="77777777">
        <w:trPr>
          <w:cantSplit/>
        </w:trPr>
        <w:tc>
          <w:tcPr>
            <w:tcW w:w="1728" w:type="dxa"/>
            <w:vAlign w:val="center"/>
          </w:tcPr>
          <w:p>
            <w:pPr>
              <w:spacing w:after="0" w:before="0"/>
            </w:pPr>
            <w:r>
              <w:rPr>
                <w:sz w:val="17"/>
              </w:rPr>
              <w:t>Product</w:t>
            </w:r>
          </w:p>
        </w:tc>
        <w:tc>
          <w:tcPr>
            <w:tcW w:w="3960" w:type="dxa"/>
            <w:vAlign w:val="center"/>
          </w:tcPr>
          <w:p>
            <w:pPr>
              <w:spacing w:after="0" w:before="0"/>
            </w:pPr>
            <w:r>
              <w:rPr>
                <w:sz w:val="17"/>
              </w:rPr>
              <w:t>No overlapping confirmed reservations for one item and time slot.</w:t>
            </w:r>
          </w:p>
        </w:tc>
        <w:tc>
          <w:tcPr>
            <w:tcW w:w="4536" w:type="dxa"/>
            <w:vAlign w:val="center"/>
          </w:tcPr>
          <w:p>
            <w:pPr>
              <w:spacing w:after="0" w:before="0"/>
            </w:pPr>
            <w:r>
              <w:rPr>
                <w:sz w:val="17"/>
              </w:rPr>
              <w:t>Submit overlapping requests and check that at most one succeeds.</w:t>
            </w:r>
          </w:p>
        </w:tc>
      </w:tr>
      <w:tr w:rsidR="00E14FD1" w14:paraId="6AE5D868" w14:textId="77777777">
        <w:trPr>
          <w:cantSplit/>
        </w:trPr>
        <w:tc>
          <w:tcPr>
            <w:tcW w:w="1728" w:type="dxa"/>
            <w:vAlign w:val="center"/>
          </w:tcPr>
          <w:p>
            <w:pPr>
              <w:spacing w:after="0" w:before="0"/>
            </w:pPr>
            <w:r>
              <w:rPr>
                <w:sz w:val="17"/>
              </w:rPr>
              <w:t>Product</w:t>
            </w:r>
          </w:p>
        </w:tc>
        <w:tc>
          <w:tcPr>
            <w:tcW w:w="3960" w:type="dxa"/>
            <w:vAlign w:val="center"/>
          </w:tcPr>
          <w:p>
            <w:pPr>
              <w:spacing w:after="0" w:before="0"/>
            </w:pPr>
            <w:r>
              <w:rPr>
                <w:sz w:val="17"/>
              </w:rPr>
              <w:t>Regular users cannot use staff actions or change others' requests.</w:t>
            </w:r>
          </w:p>
        </w:tc>
        <w:tc>
          <w:tcPr>
            <w:tcW w:w="4536" w:type="dxa"/>
            <w:vAlign w:val="center"/>
          </w:tcPr>
          <w:p>
            <w:pPr>
              <w:spacing w:after="0" w:before="0"/>
            </w:pPr>
            <w:r>
              <w:rPr>
                <w:sz w:val="17"/>
              </w:rPr>
              <w:t>Try protected actions using a regular user account and check rejection.</w:t>
            </w:r>
          </w:p>
        </w:tc>
      </w:tr>
      <w:tr w:rsidR="00E14FD1" w14:paraId="048C3FFD" w14:textId="77777777">
        <w:trPr>
          <w:cantSplit/>
        </w:trPr>
        <w:tc>
          <w:tcPr>
            <w:tcW w:w="1728" w:type="dxa"/>
            <w:vAlign w:val="center"/>
          </w:tcPr>
          <w:p>
            <w:pPr>
              <w:spacing w:after="0" w:before="0"/>
            </w:pPr>
            <w:r>
              <w:rPr>
                <w:sz w:val="17"/>
              </w:rPr>
              <w:t>Product</w:t>
            </w:r>
          </w:p>
        </w:tc>
        <w:tc>
          <w:tcPr>
            <w:tcW w:w="3960" w:type="dxa"/>
            <w:vAlign w:val="center"/>
          </w:tcPr>
          <w:p>
            <w:pPr>
              <w:spacing w:after="0" w:before="0"/>
            </w:pPr>
            <w:r>
              <w:rPr>
                <w:sz w:val="17"/>
              </w:rPr>
              <w:t>The Android demo supports the core reservation flow.</w:t>
            </w:r>
          </w:p>
        </w:tc>
        <w:tc>
          <w:tcPr>
            <w:tcW w:w="4536" w:type="dxa"/>
            <w:vAlign w:val="center"/>
          </w:tcPr>
          <w:p>
            <w:pPr>
              <w:spacing w:after="0" w:before="0"/>
            </w:pPr>
            <w:r>
              <w:rPr>
                <w:sz w:val="17"/>
              </w:rPr>
              <w:t>Walk through sign-in, browsing, availability and requesting on a named build.</w:t>
            </w:r>
          </w:p>
        </w:tc>
      </w:tr>
      <w:tr>
        <w:trPr>
          <w:cantSplit/>
        </w:trPr>
        <w:tc>
          <w:tcPr>
            <w:tcW w:type="dxa" w:w="1728"/>
            <w:vAlign w:val="center"/>
          </w:tcPr>
          <w:p>
            <w:pPr>
              <w:spacing w:after="0" w:before="0"/>
            </w:pPr>
            <w:r>
              <w:rPr>
                <w:sz w:val="17"/>
              </w:rPr>
              <w:t>Project management</w:t>
            </w:r>
          </w:p>
        </w:tc>
        <w:tc>
          <w:tcPr>
            <w:tcW w:type="dxa" w:w="3960"/>
            <w:vAlign w:val="center"/>
          </w:tcPr>
          <w:p>
            <w:pPr>
              <w:spacing w:after="0" w:before="0"/>
            </w:pPr>
            <w:r>
              <w:rPr>
                <w:sz w:val="17"/>
              </w:rPr>
              <w:t>The demo stays within the agreed Android, API and database scope.</w:t>
            </w:r>
          </w:p>
        </w:tc>
        <w:tc>
          <w:tcPr>
            <w:tcW w:type="dxa" w:w="4536"/>
            <w:vAlign w:val="center"/>
          </w:tcPr>
          <w:p>
            <w:pPr>
              <w:spacing w:after="0" w:before="0"/>
            </w:pPr>
            <w:r>
              <w:rPr>
                <w:sz w:val="17"/>
              </w:rPr>
              <w:t>Compare completed backlog items with the M1 scope.</w:t>
            </w:r>
          </w:p>
        </w:tc>
      </w:tr>
      <w:tr>
        <w:trPr>
          <w:cantSplit/>
        </w:trPr>
        <w:tc>
          <w:tcPr>
            <w:tcW w:type="dxa" w:w="1728"/>
            <w:vAlign w:val="center"/>
          </w:tcPr>
          <w:p>
            <w:pPr>
              <w:spacing w:after="0" w:before="0"/>
            </w:pPr>
            <w:r>
              <w:rPr>
                <w:sz w:val="17"/>
              </w:rPr>
              <w:t>Quality</w:t>
            </w:r>
          </w:p>
        </w:tc>
        <w:tc>
          <w:tcPr>
            <w:tcW w:type="dxa" w:w="3960"/>
            <w:vAlign w:val="center"/>
          </w:tcPr>
          <w:p>
            <w:pPr>
              <w:spacing w:after="0" w:before="0"/>
            </w:pPr>
            <w:r>
              <w:rPr>
                <w:sz w:val="17"/>
              </w:rPr>
              <w:t>Changes have a visible review and result record.</w:t>
            </w:r>
          </w:p>
        </w:tc>
        <w:tc>
          <w:tcPr>
            <w:tcW w:type="dxa" w:w="4536"/>
            <w:vAlign w:val="center"/>
          </w:tcPr>
          <w:p>
            <w:pPr>
              <w:spacing w:after="0" w:before="0"/>
            </w:pPr>
            <w:r>
              <w:rPr>
                <w:sz w:val="17"/>
              </w:rPr>
              <w:t>Check commits, reviews and test notes before closing work.</w:t>
            </w:r>
          </w:p>
        </w:tc>
      </w:tr>
    </w:tbl>
    <w:p w14:paraId="137F7872" w14:textId="77777777" w:rsidR="00E14FD1" w:rsidRDefault="00E14FD1"/>
    <w:p>
      <w:pPr>
        <w:spacing w:after="100"/>
      </w:pPr>
      <w:r>
        <w:rPr>
          <w:i/>
        </w:rPr>
        <w:t>These are checks for later builds. No application test results are claimed in this M1 report.</w:t>
      </w:r>
    </w:p>
    <w:p w14:paraId="1C3C7559" w14:textId="77777777" w:rsidR="00E14FD1" w:rsidRDefault="00000000">
      <w:pPr>
        <w:pStyle w:val="Balk1"/>
        <w:keepNext/>
      </w:pPr>
      <w:r>
        <w:t>6. Initial Risk Register</w:t>
      </w:r>
    </w:p>
    <w:tbl>
      <w:tblPr>
        <w:tblStyle w:val="TabloKlavuzu"/>
        <w:tblW w:w="0" w:type="auto"/>
        <w:tblLayout w:type="fixed"/>
        <w:tblLook w:val="04A0" w:firstRow="1" w:lastRow="0" w:firstColumn="1" w:lastColumn="0" w:noHBand="0" w:noVBand="1"/>
      </w:tblPr>
      <w:tblGrid>
        <w:gridCol w:w="605"/>
        <w:gridCol w:w="1944"/>
        <w:gridCol w:w="1152"/>
        <w:gridCol w:w="821"/>
        <w:gridCol w:w="3643"/>
        <w:gridCol w:w="1008"/>
        <w:gridCol w:w="792"/>
      </w:tblGrid>
      <w:tr w:rsidR="00E14FD1" w14:paraId="6EB9F9FD" w14:textId="77777777">
        <w:trPr>
          <w:cantSplit/>
          <w:tblHeader w:val="true"/>
        </w:trPr>
        <w:tc>
          <w:tcPr>
            <w:tcW w:w="605" w:type="dxa"/>
          </w:tcPr>
          <w:p w14:paraId="566E9931" w14:textId="77777777" w:rsidR="00E14FD1" w:rsidRDefault="00000000">
            <w:r>
              <w:rPr>
                <w:b/>
                <w:sz w:val="16"/>
              </w:rPr>
              <w:t>ID</w:t>
            </w:r>
          </w:p>
        </w:tc>
        <w:tc>
          <w:tcPr>
            <w:tcW w:w="1944" w:type="dxa"/>
          </w:tcPr>
          <w:p w14:paraId="6BF7E00A" w14:textId="77777777" w:rsidR="00E14FD1" w:rsidRDefault="00000000">
            <w:r>
              <w:rPr>
                <w:b/>
                <w:sz w:val="16"/>
              </w:rPr>
              <w:t>Risk</w:t>
            </w:r>
          </w:p>
        </w:tc>
        <w:tc>
          <w:tcPr>
            <w:tcW w:w="1152" w:type="dxa"/>
          </w:tcPr>
          <w:p w14:paraId="1F5AC769" w14:textId="77777777" w:rsidR="00E14FD1" w:rsidRDefault="00000000">
            <w:r>
              <w:rPr>
                <w:b/>
                <w:sz w:val="16"/>
              </w:rPr>
              <w:t>Probability</w:t>
            </w:r>
          </w:p>
        </w:tc>
        <w:tc>
          <w:tcPr>
            <w:tcW w:w="821" w:type="dxa"/>
          </w:tcPr>
          <w:p w14:paraId="78A0D0A5" w14:textId="77777777" w:rsidR="00E14FD1" w:rsidRDefault="00000000">
            <w:r>
              <w:rPr>
                <w:b/>
                <w:sz w:val="16"/>
              </w:rPr>
              <w:t>Impact</w:t>
            </w:r>
          </w:p>
        </w:tc>
        <w:tc>
          <w:tcPr>
            <w:tcW w:w="3643" w:type="dxa"/>
          </w:tcPr>
          <w:p w14:paraId="4C715169" w14:textId="77777777" w:rsidR="00E14FD1" w:rsidRDefault="00000000">
            <w:r>
              <w:rPr>
                <w:b/>
                <w:sz w:val="16"/>
              </w:rPr>
              <w:t>Response</w:t>
            </w:r>
          </w:p>
        </w:tc>
        <w:tc>
          <w:tcPr>
            <w:tcW w:w="1008" w:type="dxa"/>
          </w:tcPr>
          <w:p w14:paraId="324D1292" w14:textId="77777777" w:rsidR="00E14FD1" w:rsidRDefault="00000000">
            <w:r>
              <w:rPr>
                <w:b/>
                <w:sz w:val="16"/>
              </w:rPr>
              <w:t>Owner</w:t>
            </w:r>
          </w:p>
        </w:tc>
        <w:tc>
          <w:tcPr>
            <w:tcW w:w="792" w:type="dxa"/>
          </w:tcPr>
          <w:p w14:paraId="51CE3451" w14:textId="77777777" w:rsidR="00E14FD1" w:rsidRDefault="00000000">
            <w:r>
              <w:rPr>
                <w:b/>
                <w:sz w:val="16"/>
              </w:rPr>
              <w:t>Status</w:t>
            </w:r>
          </w:p>
        </w:tc>
      </w:tr>
      <w:tr w:rsidR="00E14FD1" w14:paraId="23CD6363" w14:textId="77777777">
        <w:trPr>
          <w:cantSplit/>
        </w:trPr>
        <w:tc>
          <w:tcPr>
            <w:tcW w:w="605" w:type="dxa"/>
            <w:vAlign w:val="center"/>
          </w:tcPr>
          <w:p>
            <w:pPr>
              <w:spacing w:after="0" w:before="0"/>
            </w:pPr>
            <w:r>
              <w:rPr>
                <w:sz w:val="16"/>
              </w:rPr>
              <w:t>R-01</w:t>
            </w:r>
          </w:p>
        </w:tc>
        <w:tc>
          <w:tcPr>
            <w:tcW w:w="1944" w:type="dxa"/>
            <w:vAlign w:val="center"/>
          </w:tcPr>
          <w:p>
            <w:pPr>
              <w:spacing w:after="0" w:before="0"/>
            </w:pPr>
            <w:r>
              <w:rPr>
                <w:sz w:val="16"/>
              </w:rPr>
              <w:t>Exam and coursework load delays tasks</w:t>
            </w:r>
          </w:p>
        </w:tc>
        <w:tc>
          <w:tcPr>
            <w:tcW w:w="1152" w:type="dxa"/>
            <w:vAlign w:val="center"/>
          </w:tcPr>
          <w:p>
            <w:pPr>
              <w:spacing w:after="0" w:before="0"/>
            </w:pPr>
            <w:r>
              <w:rPr>
                <w:sz w:val="16"/>
              </w:rPr>
              <w:t>High</w:t>
            </w:r>
          </w:p>
        </w:tc>
        <w:tc>
          <w:tcPr>
            <w:tcW w:w="821" w:type="dxa"/>
            <w:vAlign w:val="center"/>
          </w:tcPr>
          <w:p>
            <w:pPr>
              <w:spacing w:after="0" w:before="0"/>
            </w:pPr>
            <w:r>
              <w:rPr>
                <w:sz w:val="16"/>
              </w:rPr>
              <w:t>Medium</w:t>
            </w:r>
          </w:p>
        </w:tc>
        <w:tc>
          <w:tcPr>
            <w:tcW w:w="3643" w:type="dxa"/>
            <w:vAlign w:val="center"/>
          </w:tcPr>
          <w:p>
            <w:pPr>
              <w:spacing w:after="0" w:before="0"/>
            </w:pPr>
            <w:r>
              <w:rPr>
                <w:sz w:val="16"/>
              </w:rPr>
              <w:t>Keep tasks small and plan around exam weeks.</w:t>
            </w:r>
          </w:p>
        </w:tc>
        <w:tc>
          <w:tcPr>
            <w:tcW w:w="1008" w:type="dxa"/>
            <w:vAlign w:val="center"/>
          </w:tcPr>
          <w:p>
            <w:pPr>
              <w:spacing w:after="0" w:before="0"/>
            </w:pPr>
            <w:r>
              <w:rPr>
                <w:sz w:val="16"/>
              </w:rPr>
              <w:t>Kardelen</w:t>
            </w:r>
          </w:p>
        </w:tc>
        <w:tc>
          <w:tcPr>
            <w:tcW w:w="792" w:type="dxa"/>
            <w:vAlign w:val="center"/>
          </w:tcPr>
          <w:p>
            <w:pPr>
              <w:spacing w:after="0" w:before="0"/>
            </w:pPr>
            <w:r>
              <w:rPr>
                <w:sz w:val="16"/>
              </w:rPr>
              <w:t>Open</w:t>
            </w:r>
          </w:p>
        </w:tc>
      </w:tr>
      <w:tr w:rsidR="00E14FD1" w14:paraId="3DA08EE8" w14:textId="77777777">
        <w:trPr>
          <w:cantSplit/>
        </w:trPr>
        <w:tc>
          <w:tcPr>
            <w:tcW w:w="605" w:type="dxa"/>
            <w:vAlign w:val="center"/>
          </w:tcPr>
          <w:p>
            <w:pPr>
              <w:spacing w:after="0" w:before="0"/>
            </w:pPr>
            <w:r>
              <w:rPr>
                <w:sz w:val="16"/>
              </w:rPr>
              <w:t>R-02</w:t>
            </w:r>
          </w:p>
        </w:tc>
        <w:tc>
          <w:tcPr>
            <w:tcW w:w="1944" w:type="dxa"/>
            <w:vAlign w:val="center"/>
          </w:tcPr>
          <w:p>
            <w:pPr>
              <w:spacing w:after="0" w:before="0"/>
            </w:pPr>
            <w:r>
              <w:rPr>
                <w:sz w:val="16"/>
              </w:rPr>
              <w:t>Supabase limits affect the demo</w:t>
            </w:r>
          </w:p>
        </w:tc>
        <w:tc>
          <w:tcPr>
            <w:tcW w:w="1152" w:type="dxa"/>
            <w:vAlign w:val="center"/>
          </w:tcPr>
          <w:p>
            <w:pPr>
              <w:spacing w:after="0" w:before="0"/>
            </w:pPr>
            <w:r>
              <w:rPr>
                <w:sz w:val="16"/>
              </w:rPr>
              <w:t>Medium</w:t>
            </w:r>
          </w:p>
        </w:tc>
        <w:tc>
          <w:tcPr>
            <w:tcW w:w="821" w:type="dxa"/>
            <w:vAlign w:val="center"/>
          </w:tcPr>
          <w:p>
            <w:pPr>
              <w:spacing w:after="0" w:before="0"/>
            </w:pPr>
            <w:r>
              <w:rPr>
                <w:sz w:val="16"/>
              </w:rPr>
              <w:t>High</w:t>
            </w:r>
          </w:p>
        </w:tc>
        <w:tc>
          <w:tcPr>
            <w:tcW w:w="3643" w:type="dxa"/>
            <w:vAlign w:val="center"/>
          </w:tcPr>
          <w:p>
            <w:pPr>
              <w:spacing w:after="0" w:before="0"/>
            </w:pPr>
            <w:r>
              <w:rPr>
                <w:sz w:val="16"/>
              </w:rPr>
              <w:t>Try the stack early and track service usage.</w:t>
            </w:r>
          </w:p>
        </w:tc>
        <w:tc>
          <w:tcPr>
            <w:tcW w:w="1008" w:type="dxa"/>
            <w:vAlign w:val="center"/>
          </w:tcPr>
          <w:p>
            <w:pPr>
              <w:spacing w:after="0" w:before="0"/>
            </w:pPr>
            <w:r>
              <w:rPr>
                <w:sz w:val="16"/>
              </w:rPr>
              <w:t>Kerem</w:t>
            </w:r>
          </w:p>
        </w:tc>
        <w:tc>
          <w:tcPr>
            <w:tcW w:w="792" w:type="dxa"/>
            <w:vAlign w:val="center"/>
          </w:tcPr>
          <w:p>
            <w:pPr>
              <w:spacing w:after="0" w:before="0"/>
            </w:pPr>
            <w:r>
              <w:rPr>
                <w:sz w:val="16"/>
              </w:rPr>
              <w:t>Open</w:t>
            </w:r>
          </w:p>
        </w:tc>
      </w:tr>
      <w:tr>
        <w:trPr>
          <w:cantSplit/>
        </w:trPr>
        <w:tc>
          <w:tcPr>
            <w:tcW w:type="dxa" w:w="605"/>
            <w:vAlign w:val="center"/>
          </w:tcPr>
          <w:p>
            <w:pPr>
              <w:spacing w:after="0" w:before="0"/>
            </w:pPr>
            <w:r>
              <w:rPr>
                <w:sz w:val="16"/>
              </w:rPr>
              <w:t>R-03</w:t>
            </w:r>
          </w:p>
        </w:tc>
        <w:tc>
          <w:tcPr>
            <w:tcW w:type="dxa" w:w="1944"/>
            <w:vAlign w:val="center"/>
          </w:tcPr>
          <w:p>
            <w:pPr>
              <w:spacing w:after="0" w:before="0"/>
            </w:pPr>
            <w:r>
              <w:rPr>
                <w:sz w:val="16"/>
              </w:rPr>
              <w:t>Two users book one slot</w:t>
            </w:r>
          </w:p>
        </w:tc>
        <w:tc>
          <w:tcPr>
            <w:tcW w:type="dxa" w:w="1152"/>
            <w:vAlign w:val="center"/>
          </w:tcPr>
          <w:p>
            <w:pPr>
              <w:spacing w:after="0" w:before="0"/>
            </w:pPr>
            <w:r>
              <w:rPr>
                <w:sz w:val="16"/>
              </w:rPr>
              <w:t>Medium</w:t>
            </w:r>
          </w:p>
        </w:tc>
        <w:tc>
          <w:tcPr>
            <w:tcW w:type="dxa" w:w="821"/>
            <w:vAlign w:val="center"/>
          </w:tcPr>
          <w:p>
            <w:pPr>
              <w:spacing w:after="0" w:before="0"/>
            </w:pPr>
            <w:r>
              <w:rPr>
                <w:sz w:val="16"/>
              </w:rPr>
              <w:t>High</w:t>
            </w:r>
          </w:p>
        </w:tc>
        <w:tc>
          <w:tcPr>
            <w:tcW w:type="dxa" w:w="3643"/>
            <w:vAlign w:val="center"/>
          </w:tcPr>
          <w:p>
            <w:pPr>
              <w:spacing w:after="0" w:before="0"/>
            </w:pPr>
            <w:r>
              <w:rPr>
                <w:sz w:val="16"/>
              </w:rPr>
              <w:t>Use an atomic booking rule and test simultaneous requests.</w:t>
            </w:r>
          </w:p>
        </w:tc>
        <w:tc>
          <w:tcPr>
            <w:tcW w:type="dxa" w:w="1008"/>
            <w:vAlign w:val="center"/>
          </w:tcPr>
          <w:p>
            <w:pPr>
              <w:spacing w:after="0" w:before="0"/>
            </w:pPr>
            <w:r>
              <w:rPr>
                <w:sz w:val="16"/>
              </w:rPr>
              <w:t>Kardelen</w:t>
            </w:r>
          </w:p>
        </w:tc>
        <w:tc>
          <w:tcPr>
            <w:tcW w:type="dxa" w:w="792"/>
            <w:vAlign w:val="center"/>
          </w:tcPr>
          <w:p>
            <w:pPr>
              <w:spacing w:after="0" w:before="0"/>
            </w:pPr>
            <w:r>
              <w:rPr>
                <w:sz w:val="16"/>
              </w:rPr>
              <w:t>Open</w:t>
            </w:r>
          </w:p>
        </w:tc>
      </w:tr>
      <w:tr>
        <w:trPr>
          <w:cantSplit/>
        </w:trPr>
        <w:tc>
          <w:tcPr>
            <w:tcW w:type="dxa" w:w="605"/>
            <w:vAlign w:val="center"/>
          </w:tcPr>
          <w:p>
            <w:pPr>
              <w:spacing w:after="0" w:before="0"/>
            </w:pPr>
            <w:r>
              <w:rPr>
                <w:sz w:val="16"/>
              </w:rPr>
              <w:t>R-04</w:t>
            </w:r>
          </w:p>
        </w:tc>
        <w:tc>
          <w:tcPr>
            <w:tcW w:type="dxa" w:w="1944"/>
            <w:vAlign w:val="center"/>
          </w:tcPr>
          <w:p>
            <w:pPr>
              <w:spacing w:after="0" w:before="0"/>
            </w:pPr>
            <w:r>
              <w:rPr>
                <w:sz w:val="16"/>
              </w:rPr>
              <w:t>Android screens display poorly</w:t>
            </w:r>
          </w:p>
        </w:tc>
        <w:tc>
          <w:tcPr>
            <w:tcW w:type="dxa" w:w="1152"/>
            <w:vAlign w:val="center"/>
          </w:tcPr>
          <w:p>
            <w:pPr>
              <w:spacing w:after="0" w:before="0"/>
            </w:pPr>
            <w:r>
              <w:rPr>
                <w:sz w:val="16"/>
              </w:rPr>
              <w:t>Medium</w:t>
            </w:r>
          </w:p>
        </w:tc>
        <w:tc>
          <w:tcPr>
            <w:tcW w:type="dxa" w:w="821"/>
            <w:vAlign w:val="center"/>
          </w:tcPr>
          <w:p>
            <w:pPr>
              <w:spacing w:after="0" w:before="0"/>
            </w:pPr>
            <w:r>
              <w:rPr>
                <w:sz w:val="16"/>
              </w:rPr>
              <w:t>Medium</w:t>
            </w:r>
          </w:p>
        </w:tc>
        <w:tc>
          <w:tcPr>
            <w:tcW w:type="dxa" w:w="3643"/>
            <w:vAlign w:val="center"/>
          </w:tcPr>
          <w:p>
            <w:pPr>
              <w:spacing w:after="0" w:before="0"/>
            </w:pPr>
            <w:r>
              <w:rPr>
                <w:sz w:val="16"/>
              </w:rPr>
              <w:t>Check the demo on different screen sizes.</w:t>
            </w:r>
          </w:p>
        </w:tc>
        <w:tc>
          <w:tcPr>
            <w:tcW w:type="dxa" w:w="1008"/>
            <w:vAlign w:val="center"/>
          </w:tcPr>
          <w:p>
            <w:pPr>
              <w:spacing w:after="0" w:before="0"/>
            </w:pPr>
            <w:r>
              <w:rPr>
                <w:sz w:val="16"/>
              </w:rPr>
              <w:t>Eylül</w:t>
            </w:r>
          </w:p>
        </w:tc>
        <w:tc>
          <w:tcPr>
            <w:tcW w:type="dxa" w:w="792"/>
            <w:vAlign w:val="center"/>
          </w:tcPr>
          <w:p>
            <w:pPr>
              <w:spacing w:after="0" w:before="0"/>
            </w:pPr>
            <w:r>
              <w:rPr>
                <w:sz w:val="16"/>
              </w:rPr>
              <w:t>Open</w:t>
            </w:r>
          </w:p>
        </w:tc>
      </w:tr>
      <w:tr>
        <w:trPr>
          <w:cantSplit/>
        </w:trPr>
        <w:tc>
          <w:tcPr>
            <w:tcW w:type="dxa" w:w="605"/>
            <w:vAlign w:val="center"/>
          </w:tcPr>
          <w:p>
            <w:pPr>
              <w:spacing w:after="0" w:before="0"/>
            </w:pPr>
            <w:r>
              <w:rPr>
                <w:sz w:val="16"/>
              </w:rPr>
              <w:t>R-05</w:t>
            </w:r>
          </w:p>
        </w:tc>
        <w:tc>
          <w:tcPr>
            <w:tcW w:type="dxa" w:w="1944"/>
            <w:vAlign w:val="center"/>
          </w:tcPr>
          <w:p>
            <w:pPr>
              <w:spacing w:after="0" w:before="0"/>
            </w:pPr>
            <w:r>
              <w:rPr>
                <w:sz w:val="16"/>
              </w:rPr>
              <w:t>Mobile work waits for API design</w:t>
            </w:r>
          </w:p>
        </w:tc>
        <w:tc>
          <w:tcPr>
            <w:tcW w:type="dxa" w:w="1152"/>
            <w:vAlign w:val="center"/>
          </w:tcPr>
          <w:p>
            <w:pPr>
              <w:spacing w:after="0" w:before="0"/>
            </w:pPr>
            <w:r>
              <w:rPr>
                <w:sz w:val="16"/>
              </w:rPr>
              <w:t>Medium</w:t>
            </w:r>
          </w:p>
        </w:tc>
        <w:tc>
          <w:tcPr>
            <w:tcW w:type="dxa" w:w="821"/>
            <w:vAlign w:val="center"/>
          </w:tcPr>
          <w:p>
            <w:pPr>
              <w:spacing w:after="0" w:before="0"/>
            </w:pPr>
            <w:r>
              <w:rPr>
                <w:sz w:val="16"/>
              </w:rPr>
              <w:t>High</w:t>
            </w:r>
          </w:p>
        </w:tc>
        <w:tc>
          <w:tcPr>
            <w:tcW w:type="dxa" w:w="3643"/>
            <w:vAlign w:val="center"/>
          </w:tcPr>
          <w:p>
            <w:pPr>
              <w:spacing w:after="0" w:before="0"/>
            </w:pPr>
            <w:r>
              <w:rPr>
                <w:sz w:val="16"/>
              </w:rPr>
              <w:t>Agree API contracts and use sample responses early.</w:t>
            </w:r>
          </w:p>
        </w:tc>
        <w:tc>
          <w:tcPr>
            <w:tcW w:type="dxa" w:w="1008"/>
            <w:vAlign w:val="center"/>
          </w:tcPr>
          <w:p>
            <w:pPr>
              <w:spacing w:after="0" w:before="0"/>
            </w:pPr>
            <w:r>
              <w:rPr>
                <w:sz w:val="16"/>
              </w:rPr>
              <w:t>Talha</w:t>
            </w:r>
          </w:p>
        </w:tc>
        <w:tc>
          <w:tcPr>
            <w:tcW w:type="dxa" w:w="792"/>
            <w:vAlign w:val="center"/>
          </w:tcPr>
          <w:p>
            <w:pPr>
              <w:spacing w:after="0" w:before="0"/>
            </w:pPr>
            <w:r>
              <w:rPr>
                <w:sz w:val="16"/>
              </w:rPr>
              <w:t>Open</w:t>
            </w:r>
          </w:p>
        </w:tc>
      </w:tr>
      <w:tr>
        <w:trPr>
          <w:cantSplit/>
        </w:trPr>
        <w:tc>
          <w:tcPr>
            <w:tcW w:type="dxa" w:w="605"/>
            <w:vAlign w:val="center"/>
          </w:tcPr>
          <w:p>
            <w:pPr>
              <w:spacing w:after="0" w:before="0"/>
            </w:pPr>
            <w:r>
              <w:rPr>
                <w:sz w:val="16"/>
              </w:rPr>
              <w:t>R-06</w:t>
            </w:r>
          </w:p>
        </w:tc>
        <w:tc>
          <w:tcPr>
            <w:tcW w:type="dxa" w:w="1944"/>
            <w:vAlign w:val="center"/>
          </w:tcPr>
          <w:p>
            <w:pPr>
              <w:spacing w:after="0" w:before="0"/>
            </w:pPr>
            <w:r>
              <w:rPr>
                <w:sz w:val="16"/>
              </w:rPr>
              <w:t>Extra features delay the core flow</w:t>
            </w:r>
          </w:p>
        </w:tc>
        <w:tc>
          <w:tcPr>
            <w:tcW w:type="dxa" w:w="1152"/>
            <w:vAlign w:val="center"/>
          </w:tcPr>
          <w:p>
            <w:pPr>
              <w:spacing w:after="0" w:before="0"/>
            </w:pPr>
            <w:r>
              <w:rPr>
                <w:sz w:val="16"/>
              </w:rPr>
              <w:t>Medium</w:t>
            </w:r>
          </w:p>
        </w:tc>
        <w:tc>
          <w:tcPr>
            <w:tcW w:type="dxa" w:w="821"/>
            <w:vAlign w:val="center"/>
          </w:tcPr>
          <w:p>
            <w:pPr>
              <w:spacing w:after="0" w:before="0"/>
            </w:pPr>
            <w:r>
              <w:rPr>
                <w:sz w:val="16"/>
              </w:rPr>
              <w:t>Medium</w:t>
            </w:r>
          </w:p>
        </w:tc>
        <w:tc>
          <w:tcPr>
            <w:tcW w:type="dxa" w:w="3643"/>
            <w:vAlign w:val="center"/>
          </w:tcPr>
          <w:p>
            <w:pPr>
              <w:spacing w:after="0" w:before="0"/>
            </w:pPr>
            <w:r>
              <w:rPr>
                <w:sz w:val="16"/>
              </w:rPr>
              <w:t>Prioritize the MVP in M2 and defer extras.</w:t>
            </w:r>
          </w:p>
        </w:tc>
        <w:tc>
          <w:tcPr>
            <w:tcW w:type="dxa" w:w="1008"/>
            <w:vAlign w:val="center"/>
          </w:tcPr>
          <w:p>
            <w:pPr>
              <w:spacing w:after="0" w:before="0"/>
            </w:pPr>
            <w:r>
              <w:rPr>
                <w:sz w:val="16"/>
              </w:rPr>
              <w:t>Kerem</w:t>
            </w:r>
          </w:p>
        </w:tc>
        <w:tc>
          <w:tcPr>
            <w:tcW w:type="dxa" w:w="792"/>
            <w:vAlign w:val="center"/>
          </w:tcPr>
          <w:p>
            <w:pPr>
              <w:spacing w:after="0" w:before="0"/>
            </w:pPr>
            <w:r>
              <w:rPr>
                <w:sz w:val="16"/>
              </w:rPr>
              <w:t>Open</w:t>
            </w:r>
          </w:p>
        </w:tc>
      </w:tr>
    </w:tbl>
    <w:p w14:paraId="53973219" w14:textId="77777777" w:rsidR="00E14FD1" w:rsidRDefault="00E14FD1"/>
    <w:p w14:paraId="6A69BE6C" w14:textId="77777777" w:rsidR="00E14FD1" w:rsidRDefault="00000000">
      <w:pPr>
        <w:pStyle w:val="Balk1"/>
        <w:keepNext/>
      </w:pPr>
      <w:r>
        <w:t>7. Planned vs. Actual</w:t>
      </w:r>
    </w:p>
    <w:p>
      <w:pPr>
        <w:spacing w:after="100"/>
      </w:pPr>
      <w:r>
        <w:t>This comparison uses the assigned M1 outputs and repository history. We do not have a dated effort baseline, so it would be misleading to claim a schedule variance in hours or days.</w:t>
      </w:r>
    </w:p>
    <w:tbl>
      <w:tblPr>
        <w:tblStyle w:val="TabloKlavuzu"/>
        <w:tblW w:w="0" w:type="auto"/>
        <w:tblLayout w:type="fixed"/>
        <w:tblLook w:val="04A0" w:firstRow="1" w:lastRow="0" w:firstColumn="1" w:lastColumn="0" w:noHBand="0" w:noVBand="1"/>
      </w:tblPr>
      <w:tblGrid>
        <w:gridCol w:w="1584"/>
        <w:gridCol w:w="2808"/>
        <w:gridCol w:w="1800"/>
        <w:gridCol w:w="1944"/>
        <w:gridCol w:w="2088"/>
      </w:tblGrid>
      <w:tr w:rsidR="00E14FD1" w14:paraId="7D92184D" w14:textId="77777777">
        <w:trPr>
          <w:cantSplit/>
          <w:tblHeader w:val="true"/>
        </w:trPr>
        <w:tc>
          <w:tcPr>
            <w:tcW w:w="1584" w:type="dxa"/>
          </w:tcPr>
          <w:p w14:paraId="75BB312A" w14:textId="77777777" w:rsidR="00E14FD1" w:rsidRDefault="00000000">
            <w:r>
              <w:rPr>
                <w:b/>
                <w:sz w:val="16"/>
              </w:rPr>
              <w:t>Planned activity</w:t>
            </w:r>
          </w:p>
        </w:tc>
        <w:tc>
          <w:tcPr>
            <w:tcW w:w="2808" w:type="dxa"/>
          </w:tcPr>
          <w:p w14:paraId="295A02BC" w14:textId="77777777" w:rsidR="00E14FD1" w:rsidRDefault="00000000">
            <w:r>
              <w:rPr>
                <w:b/>
                <w:sz w:val="16"/>
              </w:rPr>
              <w:t>Actual result</w:t>
            </w:r>
          </w:p>
        </w:tc>
        <w:tc>
          <w:tcPr>
            <w:tcW w:w="1800" w:type="dxa"/>
          </w:tcPr>
          <w:p w14:paraId="7D279E1D" w14:textId="77777777" w:rsidR="00E14FD1" w:rsidRDefault="00000000">
            <w:r>
              <w:rPr>
                <w:b/>
                <w:sz w:val="16"/>
              </w:rPr>
              <w:t>Deviation</w:t>
            </w:r>
          </w:p>
        </w:tc>
        <w:tc>
          <w:tcPr>
            <w:tcW w:w="1944" w:type="dxa"/>
          </w:tcPr>
          <w:p w14:paraId="73E9CB19" w14:textId="77777777" w:rsidR="00E14FD1" w:rsidRDefault="00000000">
            <w:r>
              <w:rPr>
                <w:b/>
                <w:sz w:val="16"/>
              </w:rPr>
              <w:t>Reason</w:t>
            </w:r>
          </w:p>
        </w:tc>
        <w:tc>
          <w:tcPr>
            <w:tcW w:w="2088" w:type="dxa"/>
          </w:tcPr>
          <w:p w14:paraId="6B2174FE" w14:textId="77777777" w:rsidR="00E14FD1" w:rsidRDefault="00000000">
            <w:r>
              <w:rPr>
                <w:b/>
                <w:sz w:val="16"/>
              </w:rPr>
              <w:t>Corrective action</w:t>
            </w:r>
          </w:p>
        </w:tc>
      </w:tr>
      <w:tr w:rsidR="00E14FD1" w14:paraId="3DAC285C" w14:textId="77777777">
        <w:trPr>
          <w:cantSplit/>
        </w:trPr>
        <w:tc>
          <w:tcPr>
            <w:tcW w:w="1584" w:type="dxa"/>
            <w:vAlign w:val="center"/>
          </w:tcPr>
          <w:p>
            <w:pPr>
              <w:spacing w:after="0" w:before="0"/>
            </w:pPr>
            <w:r>
              <w:rPr>
                <w:sz w:val="16"/>
              </w:rPr>
              <w:t>Project charter</w:t>
            </w:r>
          </w:p>
        </w:tc>
        <w:tc>
          <w:tcPr>
            <w:tcW w:w="2808" w:type="dxa"/>
            <w:vAlign w:val="center"/>
          </w:tcPr>
          <w:p>
            <w:pPr>
              <w:spacing w:after="0" w:before="0"/>
            </w:pPr>
            <w:r>
              <w:rPr>
                <w:sz w:val="16"/>
              </w:rPr>
              <w:t>Charter added to main (a3496ca).</w:t>
            </w:r>
          </w:p>
        </w:tc>
        <w:tc>
          <w:tcPr>
            <w:tcW w:w="1800" w:type="dxa"/>
            <w:vAlign w:val="center"/>
          </w:tcPr>
          <w:p>
            <w:pPr>
              <w:spacing w:after="0" w:before="0"/>
            </w:pPr>
            <w:r>
              <w:rPr>
                <w:sz w:val="16"/>
              </w:rPr>
              <w:t>Team review pending</w:t>
            </w:r>
          </w:p>
        </w:tc>
        <w:tc>
          <w:tcPr>
            <w:tcW w:w="1944" w:type="dxa"/>
            <w:vAlign w:val="center"/>
          </w:tcPr>
          <w:p>
            <w:pPr>
              <w:spacing w:after="0" w:before="0"/>
            </w:pPr>
            <w:r>
              <w:rPr>
                <w:sz w:val="16"/>
              </w:rPr>
              <w:t>The section was drafted first.</w:t>
            </w:r>
          </w:p>
        </w:tc>
        <w:tc>
          <w:tcPr>
            <w:tcW w:w="2088" w:type="dxa"/>
            <w:vAlign w:val="center"/>
          </w:tcPr>
          <w:p>
            <w:pPr>
              <w:spacing w:after="0" w:before="0"/>
            </w:pPr>
            <w:r>
              <w:rPr>
                <w:sz w:val="16"/>
              </w:rPr>
              <w:t>Review it in the shared report.</w:t>
            </w:r>
          </w:p>
        </w:tc>
      </w:tr>
      <w:tr>
        <w:trPr>
          <w:cantSplit/>
        </w:trPr>
        <w:tc>
          <w:tcPr>
            <w:tcW w:type="dxa" w:w="1584"/>
            <w:vAlign w:val="center"/>
          </w:tcPr>
          <w:p>
            <w:pPr>
              <w:spacing w:after="0" w:before="0"/>
            </w:pPr>
            <w:r>
              <w:rPr>
                <w:sz w:val="16"/>
              </w:rPr>
              <w:t>Stakeholder analysis</w:t>
            </w:r>
          </w:p>
        </w:tc>
        <w:tc>
          <w:tcPr>
            <w:tcW w:type="dxa" w:w="2808"/>
            <w:vAlign w:val="center"/>
          </w:tcPr>
          <w:p>
            <w:pPr>
              <w:spacing w:after="0" w:before="0"/>
            </w:pPr>
            <w:r>
              <w:rPr>
                <w:sz w:val="16"/>
              </w:rPr>
              <w:t>Talha added the stakeholder section (9301b96).</w:t>
            </w:r>
          </w:p>
        </w:tc>
        <w:tc>
          <w:tcPr>
            <w:tcW w:type="dxa" w:w="1800"/>
            <w:vAlign w:val="center"/>
          </w:tcPr>
          <w:p>
            <w:pPr>
              <w:spacing w:after="0" w:before="0"/>
            </w:pPr>
            <w:r>
              <w:rPr>
                <w:sz w:val="16"/>
              </w:rPr>
              <w:t>Needs unverified</w:t>
            </w:r>
          </w:p>
        </w:tc>
        <w:tc>
          <w:tcPr>
            <w:tcW w:type="dxa" w:w="1944"/>
            <w:vAlign w:val="center"/>
          </w:tcPr>
          <w:p>
            <w:pPr>
              <w:spacing w:after="0" w:before="0"/>
            </w:pPr>
            <w:r>
              <w:rPr>
                <w:sz w:val="16"/>
              </w:rPr>
              <w:t>No interview evidence is recorded.</w:t>
            </w:r>
          </w:p>
        </w:tc>
        <w:tc>
          <w:tcPr>
            <w:tcW w:type="dxa" w:w="2088"/>
            <w:vAlign w:val="center"/>
          </w:tcPr>
          <w:p>
            <w:pPr>
              <w:spacing w:after="0" w:before="0"/>
            </w:pPr>
            <w:r>
              <w:rPr>
                <w:sz w:val="16"/>
              </w:rPr>
              <w:t>Seek feedback on a prototype.</w:t>
            </w:r>
          </w:p>
        </w:tc>
      </w:tr>
      <w:tr>
        <w:trPr>
          <w:cantSplit/>
        </w:trPr>
        <w:tc>
          <w:tcPr>
            <w:tcW w:type="dxa" w:w="1584"/>
            <w:vAlign w:val="center"/>
          </w:tcPr>
          <w:p>
            <w:pPr>
              <w:spacing w:after="0" w:before="0"/>
            </w:pPr>
            <w:r>
              <w:rPr>
                <w:sz w:val="16"/>
              </w:rPr>
              <w:t>Success criteria</w:t>
            </w:r>
          </w:p>
        </w:tc>
        <w:tc>
          <w:tcPr>
            <w:tcW w:type="dxa" w:w="2808"/>
            <w:vAlign w:val="center"/>
          </w:tcPr>
          <w:p>
            <w:pPr>
              <w:spacing w:after="0" w:before="0"/>
            </w:pPr>
            <w:r>
              <w:rPr>
                <w:sz w:val="16"/>
              </w:rPr>
              <w:t>Eylül added criteria (4d9ba27).</w:t>
            </w:r>
          </w:p>
        </w:tc>
        <w:tc>
          <w:tcPr>
            <w:tcW w:type="dxa" w:w="1800"/>
            <w:vAlign w:val="center"/>
          </w:tcPr>
          <w:p>
            <w:pPr>
              <w:spacing w:after="0" w:before="0"/>
            </w:pPr>
            <w:r>
              <w:rPr>
                <w:sz w:val="16"/>
              </w:rPr>
              <w:t>Tests not run</w:t>
            </w:r>
          </w:p>
        </w:tc>
        <w:tc>
          <w:tcPr>
            <w:tcW w:type="dxa" w:w="1944"/>
            <w:vAlign w:val="center"/>
          </w:tcPr>
          <w:p>
            <w:pPr>
              <w:spacing w:after="0" w:before="0"/>
            </w:pPr>
            <w:r>
              <w:rPr>
                <w:sz w:val="16"/>
              </w:rPr>
              <w:t>No app build exists yet.</w:t>
            </w:r>
          </w:p>
        </w:tc>
        <w:tc>
          <w:tcPr>
            <w:tcW w:type="dxa" w:w="2088"/>
            <w:vAlign w:val="center"/>
          </w:tcPr>
          <w:p>
            <w:pPr>
              <w:spacing w:after="0" w:before="0"/>
            </w:pPr>
            <w:r>
              <w:rPr>
                <w:sz w:val="16"/>
              </w:rPr>
              <w:t>Run checks on a named build.</w:t>
            </w:r>
          </w:p>
        </w:tc>
      </w:tr>
      <w:tr>
        <w:trPr>
          <w:cantSplit/>
        </w:trPr>
        <w:tc>
          <w:tcPr>
            <w:tcW w:type="dxa" w:w="1584"/>
            <w:vAlign w:val="center"/>
          </w:tcPr>
          <w:p>
            <w:pPr>
              <w:spacing w:after="0" w:before="0"/>
            </w:pPr>
            <w:r>
              <w:rPr>
                <w:sz w:val="16"/>
              </w:rPr>
              <w:t>Delivery approach and risks</w:t>
            </w:r>
          </w:p>
        </w:tc>
        <w:tc>
          <w:tcPr>
            <w:tcW w:type="dxa" w:w="2808"/>
            <w:vAlign w:val="center"/>
          </w:tcPr>
          <w:p>
            <w:pPr>
              <w:spacing w:after="0" w:before="0"/>
            </w:pPr>
            <w:r>
              <w:rPr>
                <w:sz w:val="16"/>
              </w:rPr>
              <w:t>Kardelen added the section; PR #26 was merged.</w:t>
            </w:r>
          </w:p>
        </w:tc>
        <w:tc>
          <w:tcPr>
            <w:tcW w:type="dxa" w:w="1800"/>
            <w:vAlign w:val="center"/>
          </w:tcPr>
          <w:p>
            <w:pPr>
              <w:spacing w:after="0" w:before="0"/>
            </w:pPr>
            <w:r>
              <w:rPr>
                <w:sz w:val="16"/>
              </w:rPr>
              <w:t>Review record absent</w:t>
            </w:r>
          </w:p>
        </w:tc>
        <w:tc>
          <w:tcPr>
            <w:tcW w:type="dxa" w:w="1944"/>
            <w:vAlign w:val="center"/>
          </w:tcPr>
          <w:p>
            <w:pPr>
              <w:spacing w:after="0" w:before="0"/>
            </w:pPr>
            <w:r>
              <w:rPr>
                <w:sz w:val="16"/>
              </w:rPr>
              <w:t>No peer review is recorded on the PR.</w:t>
            </w:r>
          </w:p>
        </w:tc>
        <w:tc>
          <w:tcPr>
            <w:tcW w:type="dxa" w:w="2088"/>
            <w:vAlign w:val="center"/>
          </w:tcPr>
          <w:p>
            <w:pPr>
              <w:spacing w:after="0" w:before="0"/>
            </w:pPr>
            <w:r>
              <w:rPr>
                <w:sz w:val="16"/>
              </w:rPr>
              <w:t>Team to review this report.</w:t>
            </w:r>
          </w:p>
        </w:tc>
      </w:tr>
      <w:tr>
        <w:trPr>
          <w:cantSplit/>
        </w:trPr>
        <w:tc>
          <w:tcPr>
            <w:tcW w:type="dxa" w:w="1584"/>
            <w:vAlign w:val="center"/>
          </w:tcPr>
          <w:p>
            <w:pPr>
              <w:spacing w:after="0" w:before="0"/>
            </w:pPr>
            <w:r>
              <w:rPr>
                <w:sz w:val="16"/>
              </w:rPr>
              <w:t>M1 report</w:t>
            </w:r>
          </w:p>
        </w:tc>
        <w:tc>
          <w:tcPr>
            <w:tcW w:type="dxa" w:w="2808"/>
            <w:vAlign w:val="center"/>
          </w:tcPr>
          <w:p>
            <w:pPr>
              <w:spacing w:after="0"/>
            </w:pPr>
            <w:r>
              <w:rPr>
                <w:sz w:val="16"/>
              </w:rPr>
              <w:t>Word and PDF draft assembled; DYS deadline confirmed.</w:t>
            </w:r>
          </w:p>
        </w:tc>
        <w:tc>
          <w:tcPr>
            <w:tcW w:type="dxa" w:w="1800"/>
            <w:vAlign w:val="center"/>
          </w:tcPr>
          <w:p>
            <w:pPr>
              <w:spacing w:after="0"/>
            </w:pPr>
            <w:r>
              <w:rPr>
                <w:sz w:val="16"/>
              </w:rPr>
              <w:t>Team review and DYS submission pending</w:t>
            </w:r>
          </w:p>
        </w:tc>
        <w:tc>
          <w:tcPr>
            <w:tcW w:type="dxa" w:w="1944"/>
            <w:vAlign w:val="center"/>
          </w:tcPr>
          <w:p>
            <w:pPr>
              <w:spacing w:after="0"/>
            </w:pPr>
            <w:r>
              <w:rPr>
                <w:sz w:val="16"/>
              </w:rPr>
              <w:t>Approval and upload are not recorded yet.</w:t>
            </w:r>
          </w:p>
        </w:tc>
        <w:tc>
          <w:tcPr>
            <w:tcW w:type="dxa" w:w="2088"/>
            <w:vAlign w:val="center"/>
          </w:tcPr>
          <w:p>
            <w:pPr>
              <w:spacing w:after="0"/>
            </w:pPr>
            <w:r>
              <w:rPr>
                <w:sz w:val="16"/>
              </w:rPr>
              <w:t>Review and submit once through DYS by 22 October.</w:t>
            </w:r>
          </w:p>
        </w:tc>
      </w:tr>
    </w:tbl>
    <w:p w14:paraId="10952964" w14:textId="77777777" w:rsidR="00E14FD1" w:rsidRDefault="00E14FD1"/>
    <w:p w14:paraId="45619E3F" w14:textId="77777777" w:rsidR="00E14FD1" w:rsidRDefault="00000000">
      <w:pPr>
        <w:pStyle w:val="Balk1"/>
        <w:keepNext/>
        <w:pageBreakBefore/>
      </w:pPr>
      <w:r>
        <w:t>8. Next Milestone Plan</w:t>
      </w:r>
    </w:p>
    <w:tbl>
      <w:tblPr>
        <w:tblStyle w:val="TabloKlavuzu"/>
        <w:tblW w:w="0" w:type="auto"/>
        <w:tblLayout w:type="fixed"/>
        <w:tblLook w:val="04A0" w:firstRow="1" w:lastRow="0" w:firstColumn="1" w:lastColumn="0" w:noHBand="0" w:noVBand="1"/>
      </w:tblPr>
      <w:tblGrid>
        <w:gridCol w:w="3168"/>
        <w:gridCol w:w="1080"/>
        <w:gridCol w:w="2520"/>
        <w:gridCol w:w="3456"/>
      </w:tblGrid>
      <w:tr w:rsidR="00E14FD1" w14:paraId="5652EDED" w14:textId="77777777">
        <w:trPr>
          <w:cantSplit/>
          <w:tblHeader w:val="true"/>
        </w:trPr>
        <w:tc>
          <w:tcPr>
            <w:tcW w:w="3168" w:type="dxa"/>
          </w:tcPr>
          <w:p w14:paraId="4D00A436" w14:textId="77777777" w:rsidR="00E14FD1" w:rsidRDefault="00000000">
            <w:r>
              <w:rPr>
                <w:b/>
                <w:sz w:val="17"/>
              </w:rPr>
              <w:t>Item</w:t>
            </w:r>
          </w:p>
        </w:tc>
        <w:tc>
          <w:tcPr>
            <w:tcW w:w="1080" w:type="dxa"/>
          </w:tcPr>
          <w:p w14:paraId="2CA896D7" w14:textId="77777777" w:rsidR="00E14FD1" w:rsidRDefault="00000000">
            <w:r>
              <w:rPr>
                <w:b/>
                <w:sz w:val="17"/>
              </w:rPr>
              <w:t>Owner</w:t>
            </w:r>
          </w:p>
        </w:tc>
        <w:tc>
          <w:tcPr>
            <w:tcW w:w="2520" w:type="dxa"/>
          </w:tcPr>
          <w:p w14:paraId="5AAF8D2C" w14:textId="77777777" w:rsidR="00E14FD1" w:rsidRDefault="00000000">
            <w:r>
              <w:rPr>
                <w:b/>
                <w:sz w:val="17"/>
              </w:rPr>
              <w:t>Target date</w:t>
            </w:r>
          </w:p>
        </w:tc>
        <w:tc>
          <w:tcPr>
            <w:tcW w:w="3456" w:type="dxa"/>
          </w:tcPr>
          <w:p w14:paraId="1BC7AD60" w14:textId="77777777" w:rsidR="00E14FD1" w:rsidRDefault="00000000">
            <w:r>
              <w:rPr>
                <w:b/>
                <w:sz w:val="17"/>
              </w:rPr>
              <w:t>Expected evidence</w:t>
            </w:r>
          </w:p>
        </w:tc>
      </w:tr>
      <w:tr w:rsidR="00E14FD1" w14:paraId="59818BF9" w14:textId="77777777">
        <w:trPr>
          <w:cantSplit/>
        </w:trPr>
        <w:tc>
          <w:tcPr>
            <w:tcW w:w="3168" w:type="dxa"/>
            <w:vAlign w:val="center"/>
          </w:tcPr>
          <w:p>
            <w:pPr>
              <w:spacing w:after="0" w:before="0"/>
            </w:pPr>
            <w:r>
              <w:rPr>
                <w:sz w:val="17"/>
              </w:rPr>
              <w:t>Prioritized backlog and acceptance criteria</w:t>
            </w:r>
          </w:p>
        </w:tc>
        <w:tc>
          <w:tcPr>
            <w:tcW w:w="1080" w:type="dxa"/>
            <w:vAlign w:val="center"/>
          </w:tcPr>
          <w:p>
            <w:pPr>
              <w:spacing w:after="0" w:before="0"/>
            </w:pPr>
            <w:r>
              <w:rPr>
                <w:sz w:val="17"/>
              </w:rPr>
              <w:t>Talha</w:t>
            </w:r>
          </w:p>
        </w:tc>
        <w:tc>
          <w:tcPr>
            <w:tcW w:w="2520" w:type="dxa"/>
            <w:vAlign w:val="center"/>
          </w:tcPr>
          <w:p>
            <w:pPr>
              <w:spacing w:after="0"/>
            </w:pPr>
            <w:r>
              <w:rPr>
                <w:sz w:val="17"/>
              </w:rPr>
              <w:t>1 November 2026 (DYS)</w:t>
            </w:r>
          </w:p>
        </w:tc>
        <w:tc>
          <w:tcPr>
            <w:tcW w:w="3456" w:type="dxa"/>
            <w:vAlign w:val="center"/>
          </w:tcPr>
          <w:p>
            <w:pPr>
              <w:spacing w:after="0" w:before="0"/>
            </w:pPr>
            <w:r>
              <w:rPr>
                <w:sz w:val="17"/>
              </w:rPr>
              <w:t>Backlog linked to issues (#6).</w:t>
            </w:r>
          </w:p>
        </w:tc>
      </w:tr>
      <w:tr>
        <w:trPr>
          <w:cantSplit/>
        </w:trPr>
        <w:tc>
          <w:tcPr>
            <w:tcW w:type="dxa" w:w="3168"/>
            <w:vAlign w:val="center"/>
          </w:tcPr>
          <w:p>
            <w:pPr>
              <w:spacing w:after="0" w:before="0"/>
            </w:pPr>
            <w:r>
              <w:rPr>
                <w:sz w:val="17"/>
              </w:rPr>
              <w:t>Effort estimates and assumptions</w:t>
            </w:r>
          </w:p>
        </w:tc>
        <w:tc>
          <w:tcPr>
            <w:tcW w:type="dxa" w:w="1080"/>
            <w:vAlign w:val="center"/>
          </w:tcPr>
          <w:p>
            <w:pPr>
              <w:spacing w:after="0" w:before="0"/>
            </w:pPr>
            <w:r>
              <w:rPr>
                <w:sz w:val="17"/>
              </w:rPr>
              <w:t>Kerem</w:t>
            </w:r>
          </w:p>
        </w:tc>
        <w:tc>
          <w:tcPr>
            <w:tcW w:type="dxa" w:w="2520"/>
            <w:vAlign w:val="center"/>
          </w:tcPr>
          <w:p>
            <w:pPr>
              <w:spacing w:after="0"/>
            </w:pPr>
            <w:r>
              <w:rPr>
                <w:sz w:val="17"/>
              </w:rPr>
              <w:t>1 November 2026 (DYS)</w:t>
            </w:r>
          </w:p>
        </w:tc>
        <w:tc>
          <w:tcPr>
            <w:tcW w:type="dxa" w:w="3456"/>
            <w:vAlign w:val="center"/>
          </w:tcPr>
          <w:p>
            <w:pPr>
              <w:spacing w:after="0" w:before="0"/>
            </w:pPr>
            <w:r>
              <w:rPr>
                <w:sz w:val="17"/>
              </w:rPr>
              <w:t>Estimates and assumption log (#7).</w:t>
            </w:r>
          </w:p>
        </w:tc>
      </w:tr>
      <w:tr>
        <w:trPr>
          <w:cantSplit/>
        </w:trPr>
        <w:tc>
          <w:tcPr>
            <w:tcW w:type="dxa" w:w="3168"/>
            <w:vAlign w:val="center"/>
          </w:tcPr>
          <w:p>
            <w:pPr>
              <w:spacing w:after="0" w:before="0"/>
            </w:pPr>
            <w:r>
              <w:rPr>
                <w:sz w:val="17"/>
              </w:rPr>
              <w:t>Schedule, RACI and communication plan</w:t>
            </w:r>
          </w:p>
        </w:tc>
        <w:tc>
          <w:tcPr>
            <w:tcW w:type="dxa" w:w="1080"/>
            <w:vAlign w:val="center"/>
          </w:tcPr>
          <w:p>
            <w:pPr>
              <w:spacing w:after="0" w:before="0"/>
            </w:pPr>
            <w:r>
              <w:rPr>
                <w:sz w:val="17"/>
              </w:rPr>
              <w:t>Kardelen</w:t>
            </w:r>
          </w:p>
        </w:tc>
        <w:tc>
          <w:tcPr>
            <w:tcW w:type="dxa" w:w="2520"/>
            <w:vAlign w:val="center"/>
          </w:tcPr>
          <w:p>
            <w:pPr>
              <w:spacing w:after="0"/>
            </w:pPr>
            <w:r>
              <w:rPr>
                <w:sz w:val="17"/>
              </w:rPr>
              <w:t>1 November 2026 (DYS)</w:t>
            </w:r>
          </w:p>
        </w:tc>
        <w:tc>
          <w:tcPr>
            <w:tcW w:type="dxa" w:w="3456"/>
            <w:vAlign w:val="center"/>
          </w:tcPr>
          <w:p>
            <w:pPr>
              <w:spacing w:after="0" w:before="0"/>
            </w:pPr>
            <w:r>
              <w:rPr>
                <w:sz w:val="17"/>
              </w:rPr>
              <w:t>Schedule and team documents (#8).</w:t>
            </w:r>
          </w:p>
        </w:tc>
      </w:tr>
      <w:tr>
        <w:trPr>
          <w:cantSplit/>
        </w:trPr>
        <w:tc>
          <w:tcPr>
            <w:tcW w:type="dxa" w:w="3168"/>
            <w:vAlign w:val="center"/>
          </w:tcPr>
          <w:p>
            <w:pPr>
              <w:spacing w:after="0" w:before="0"/>
            </w:pPr>
            <w:r>
              <w:rPr>
                <w:sz w:val="17"/>
              </w:rPr>
              <w:t>Quality plan and baseline report</w:t>
            </w:r>
          </w:p>
        </w:tc>
        <w:tc>
          <w:tcPr>
            <w:tcW w:type="dxa" w:w="1080"/>
            <w:vAlign w:val="center"/>
          </w:tcPr>
          <w:p>
            <w:pPr>
              <w:spacing w:after="0" w:before="0"/>
            </w:pPr>
            <w:r>
              <w:rPr>
                <w:sz w:val="17"/>
              </w:rPr>
              <w:t>Eylül</w:t>
            </w:r>
          </w:p>
        </w:tc>
        <w:tc>
          <w:tcPr>
            <w:tcW w:type="dxa" w:w="2520"/>
            <w:vAlign w:val="center"/>
          </w:tcPr>
          <w:p>
            <w:pPr>
              <w:spacing w:after="0"/>
            </w:pPr>
            <w:r>
              <w:rPr>
                <w:sz w:val="17"/>
              </w:rPr>
              <w:t>1 November 2026 (DYS)</w:t>
            </w:r>
          </w:p>
        </w:tc>
        <w:tc>
          <w:tcPr>
            <w:tcW w:type="dxa" w:w="3456"/>
            <w:vAlign w:val="center"/>
          </w:tcPr>
          <w:p>
            <w:pPr>
              <w:spacing w:after="0" w:before="0"/>
            </w:pPr>
            <w:r>
              <w:rPr>
                <w:sz w:val="17"/>
              </w:rPr>
              <w:t>Quality plan and M2 report (#9).</w:t>
            </w:r>
          </w:p>
        </w:tc>
      </w:tr>
    </w:tbl>
    <w:p w14:paraId="59E3AEFE" w14:textId="77777777" w:rsidR="00E14FD1" w:rsidRDefault="00E14FD1"/>
    <w:p>
      <w:pPr>
        <w:spacing w:after="100"/>
      </w:pPr>
      <w:r>
        <w:t>The weekly report for 19-25 October is a separate submission due through DYS on 26 October 2026 at 23:59.</w:t>
      </w:r>
    </w:p>
    <w:p w14:paraId="0EBD2775" w14:textId="77777777" w:rsidR="00E14FD1" w:rsidRDefault="00000000">
      <w:pPr>
        <w:pStyle w:val="Balk1"/>
        <w:keepNext/>
      </w:pPr>
      <w:r>
        <w:t>9. Individual Contributions</w:t>
      </w:r>
    </w:p>
    <w:tbl>
      <w:tblPr>
        <w:tblStyle w:val="TabloKlavuzu"/>
        <w:tblW w:w="0" w:type="auto"/>
        <w:tblLayout w:type="fixed"/>
        <w:tblLook w:val="04A0" w:firstRow="1" w:lastRow="0" w:firstColumn="1" w:lastColumn="0" w:noHBand="0" w:noVBand="1"/>
      </w:tblPr>
      <w:tblGrid>
        <w:gridCol w:w="2160"/>
        <w:gridCol w:w="4032"/>
        <w:gridCol w:w="4032"/>
      </w:tblGrid>
      <w:tr w:rsidR="00E14FD1" w14:paraId="1459A38A" w14:textId="77777777">
        <w:trPr>
          <w:cantSplit/>
          <w:tblHeader w:val="true"/>
        </w:trPr>
        <w:tc>
          <w:tcPr>
            <w:tcW w:w="2160" w:type="dxa"/>
          </w:tcPr>
          <w:p w14:paraId="099F7D89" w14:textId="77777777" w:rsidR="00E14FD1" w:rsidRDefault="00000000">
            <w:r>
              <w:rPr>
                <w:b/>
                <w:sz w:val="17"/>
              </w:rPr>
              <w:t>Team member</w:t>
            </w:r>
          </w:p>
        </w:tc>
        <w:tc>
          <w:tcPr>
            <w:tcW w:w="4032" w:type="dxa"/>
          </w:tcPr>
          <w:p w14:paraId="469FB5EE" w14:textId="77777777" w:rsidR="00E14FD1" w:rsidRDefault="00000000">
            <w:r>
              <w:rPr>
                <w:b/>
                <w:sz w:val="17"/>
              </w:rPr>
              <w:t>Contribution</w:t>
            </w:r>
          </w:p>
        </w:tc>
        <w:tc>
          <w:tcPr>
            <w:tcW w:w="4032" w:type="dxa"/>
          </w:tcPr>
          <w:p w14:paraId="78133809" w14:textId="77777777" w:rsidR="00E14FD1" w:rsidRDefault="00000000">
            <w:r>
              <w:rPr>
                <w:b/>
                <w:sz w:val="17"/>
              </w:rPr>
              <w:t>Evidence</w:t>
            </w:r>
          </w:p>
        </w:tc>
      </w:tr>
      <w:tr w:rsidR="00E14FD1" w14:paraId="4A05B70D" w14:textId="77777777">
        <w:trPr>
          <w:cantSplit/>
        </w:trPr>
        <w:tc>
          <w:tcPr>
            <w:tcW w:w="2160" w:type="dxa"/>
            <w:vAlign w:val="center"/>
          </w:tcPr>
          <w:p>
            <w:pPr>
              <w:spacing w:after="0" w:before="0"/>
            </w:pPr>
            <w:r>
              <w:rPr>
                <w:sz w:val="17"/>
              </w:rPr>
              <w:t>Talha Yılmaz</w:t>
            </w:r>
          </w:p>
        </w:tc>
        <w:tc>
          <w:tcPr>
            <w:tcW w:w="4032" w:type="dxa"/>
            <w:vAlign w:val="center"/>
          </w:tcPr>
          <w:p>
            <w:pPr>
              <w:spacing w:after="0" w:before="0"/>
            </w:pPr>
            <w:r>
              <w:rPr>
                <w:sz w:val="17"/>
              </w:rPr>
              <w:t>Stakeholder analysis and map.</w:t>
            </w:r>
          </w:p>
        </w:tc>
        <w:tc>
          <w:tcPr>
            <w:tcW w:w="4032" w:type="dxa"/>
            <w:vAlign w:val="center"/>
          </w:tcPr>
          <w:p>
            <w:pPr>
              <w:spacing w:after="0" w:before="0"/>
            </w:pPr>
            <w:r>
              <w:rPr>
                <w:sz w:val="17"/>
              </w:rPr>
              <w:t>stakeholders.md; commit 9301b96</w:t>
            </w:r>
          </w:p>
        </w:tc>
      </w:tr>
      <w:tr w:rsidR="00E14FD1" w14:paraId="59D3300C" w14:textId="77777777">
        <w:trPr>
          <w:cantSplit/>
        </w:trPr>
        <w:tc>
          <w:tcPr>
            <w:tcW w:w="2160" w:type="dxa"/>
            <w:vAlign w:val="center"/>
          </w:tcPr>
          <w:p>
            <w:pPr>
              <w:spacing w:after="0" w:before="0"/>
            </w:pPr>
            <w:r>
              <w:rPr>
                <w:sz w:val="17"/>
              </w:rPr>
              <w:t>Eylül Melda Çakmak</w:t>
            </w:r>
          </w:p>
        </w:tc>
        <w:tc>
          <w:tcPr>
            <w:tcW w:w="4032" w:type="dxa"/>
            <w:vAlign w:val="center"/>
          </w:tcPr>
          <w:p>
            <w:pPr>
              <w:spacing w:after="0" w:before="0"/>
            </w:pPr>
            <w:r>
              <w:rPr>
                <w:sz w:val="17"/>
              </w:rPr>
              <w:t>Initial success criteria and planned checks.</w:t>
            </w:r>
          </w:p>
        </w:tc>
        <w:tc>
          <w:tcPr>
            <w:tcW w:w="4032" w:type="dxa"/>
            <w:vAlign w:val="center"/>
          </w:tcPr>
          <w:p>
            <w:pPr>
              <w:spacing w:after="0" w:before="0"/>
            </w:pPr>
            <w:r>
              <w:rPr>
                <w:sz w:val="17"/>
              </w:rPr>
              <w:t>success-criteria.md; commit 4d9ba27</w:t>
            </w:r>
          </w:p>
        </w:tc>
      </w:tr>
      <w:tr>
        <w:trPr>
          <w:cantSplit/>
        </w:trPr>
        <w:tc>
          <w:tcPr>
            <w:tcW w:type="dxa" w:w="2160"/>
            <w:vAlign w:val="center"/>
          </w:tcPr>
          <w:p>
            <w:pPr>
              <w:spacing w:after="0" w:before="0"/>
            </w:pPr>
            <w:r>
              <w:rPr>
                <w:sz w:val="17"/>
              </w:rPr>
              <w:t>Kardelen Darğın</w:t>
            </w:r>
          </w:p>
        </w:tc>
        <w:tc>
          <w:tcPr>
            <w:tcW w:type="dxa" w:w="4032"/>
            <w:vAlign w:val="center"/>
          </w:tcPr>
          <w:p>
            <w:pPr>
              <w:spacing w:after="0" w:before="0"/>
            </w:pPr>
            <w:r>
              <w:rPr>
                <w:sz w:val="17"/>
              </w:rPr>
              <w:t>Delivery approach and initial risk register.</w:t>
            </w:r>
          </w:p>
        </w:tc>
        <w:tc>
          <w:tcPr>
            <w:tcW w:type="dxa" w:w="4032"/>
            <w:vAlign w:val="center"/>
          </w:tcPr>
          <w:p>
            <w:pPr>
              <w:spacing w:after="0" w:before="0"/>
            </w:pPr>
            <w:r>
              <w:rPr>
                <w:sz w:val="17"/>
              </w:rPr>
              <w:t>approach-and-risks.md; commit f9e9e7e; PR #26</w:t>
            </w:r>
          </w:p>
        </w:tc>
      </w:tr>
      <w:tr>
        <w:trPr>
          <w:cantSplit/>
        </w:trPr>
        <w:tc>
          <w:tcPr>
            <w:tcW w:type="dxa" w:w="2160"/>
            <w:vAlign w:val="center"/>
          </w:tcPr>
          <w:p>
            <w:pPr>
              <w:spacing w:after="0" w:before="0"/>
            </w:pPr>
            <w:r>
              <w:rPr>
                <w:sz w:val="17"/>
              </w:rPr>
              <w:t>Kerem Tuna</w:t>
            </w:r>
          </w:p>
        </w:tc>
        <w:tc>
          <w:tcPr>
            <w:tcW w:type="dxa" w:w="4032"/>
            <w:vAlign w:val="center"/>
          </w:tcPr>
          <w:p>
            <w:pPr>
              <w:spacing w:after="0" w:before="0"/>
            </w:pPr>
            <w:r>
              <w:rPr>
                <w:sz w:val="17"/>
              </w:rPr>
              <w:t>Project charter, risk wording alignment and coordination of this report draft.</w:t>
            </w:r>
          </w:p>
        </w:tc>
        <w:tc>
          <w:tcPr>
            <w:tcW w:type="dxa" w:w="4032"/>
            <w:vAlign w:val="center"/>
          </w:tcPr>
          <w:p>
            <w:pPr>
              <w:spacing w:after="0" w:before="0"/>
            </w:pPr>
            <w:r>
              <w:rPr>
                <w:sz w:val="17"/>
              </w:rPr>
              <w:t>charter.md; commits a3496ca and 6851aab; this report</w:t>
            </w:r>
          </w:p>
        </w:tc>
      </w:tr>
    </w:tbl>
    <w:p w14:paraId="15E72A22" w14:textId="77777777" w:rsidR="00E14FD1" w:rsidRDefault="00E14FD1"/>
    <w:p w14:paraId="604811CC" w14:textId="77777777" w:rsidR="00E14FD1" w:rsidRDefault="00000000">
      <w:pPr>
        <w:pStyle w:val="Balk1"/>
        <w:keepNext/>
      </w:pPr>
      <w:r>
        <w:lastRenderedPageBreak/>
        <w:t>Appendix: Evidence</w:t>
      </w:r>
    </w:p>
    <w:p w14:paraId="47DFA8D5" w14:textId="77777777" w:rsidR="00E14FD1" w:rsidRDefault="00000000">
      <w:r>
        <w:t>The links below show the work available in the repository and the DYS deadline announcement. Interview notes, executed tests, a team review record and a DYS submission receipt are not available yet.</w:t>
      </w:r>
    </w:p>
    <w:p>
      <w:pPr/>
      <w:hyperlink r:id="rId8">
        <w:r>
          <w:rPr>
            <w:color w:val="365F91"/>
          </w:rPr>
          <w:t>Repository and project documents</w:t>
        </w:r>
      </w:hyperlink>
      <w:r>
        <w:t xml:space="preserve"> - current project source and M1 files.</w:t>
      </w:r>
    </w:p>
    <w:p>
      <w:pPr/>
      <w:hyperlink r:id="rId9">
        <w:r>
          <w:rPr>
            <w:color w:val="365F91"/>
          </w:rPr>
          <w:t>Project board</w:t>
        </w:r>
      </w:hyperlink>
      <w:r>
        <w:t xml:space="preserve"> - task workflow and future progress tracking.</w:t>
      </w:r>
    </w:p>
    <w:p>
      <w:pPr/>
      <w:hyperlink r:id="rId10">
        <w:r>
          <w:rPr>
            <w:color w:val="365F91"/>
          </w:rPr>
          <w:t>Charter commit</w:t>
        </w:r>
      </w:hyperlink>
      <w:r>
        <w:t xml:space="preserve"> - objectives, scope, constraints and assumptions.</w:t>
      </w:r>
    </w:p>
    <w:p>
      <w:pPr/>
      <w:hyperlink r:id="rId11">
        <w:r>
          <w:rPr>
            <w:color w:val="365F91"/>
          </w:rPr>
          <w:t>Stakeholder commit</w:t>
        </w:r>
      </w:hyperlink>
      <w:r>
        <w:t xml:space="preserve"> - stakeholder analysis by Talha.</w:t>
      </w:r>
    </w:p>
    <w:p>
      <w:pPr/>
      <w:hyperlink r:id="rId12">
        <w:r>
          <w:rPr>
            <w:color w:val="365F91"/>
          </w:rPr>
          <w:t>Success criteria commit</w:t>
        </w:r>
      </w:hyperlink>
      <w:r>
        <w:t xml:space="preserve"> - initial checks by Eylul.</w:t>
      </w:r>
    </w:p>
    <w:p>
      <w:pPr/>
      <w:hyperlink r:id="rId13">
        <w:r>
          <w:rPr>
            <w:color w:val="365F91"/>
          </w:rPr>
          <w:t>Delivery approach PR</w:t>
        </w:r>
      </w:hyperlink>
      <w:r>
        <w:t xml:space="preserve"> - approach and risk section by Kardelen, merged into main.</w:t>
      </w:r>
    </w:p>
    <w:p>
      <w:pPr/>
      <w:hyperlink r:id="rId14">
        <w:r>
          <w:rPr>
            <w:color w:val="365F91"/>
          </w:rPr>
          <w:t>DYS deadline announcement</w:t>
        </w:r>
      </w:hyperlink>
      <w:r>
        <w:t xml:space="preserve"> - shows M1 due 22 October, M2 due 1 November, and the separate weekly report due 26 October 2026 at 23:59.</w:t>
      </w:r>
    </w:p>
    <w:sectPr w:rsidR="00E14FD1"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458987635">
    <w:abstractNumId w:val="8"/>
  </w:num>
  <w:num w:numId="2" w16cid:durableId="1067269269">
    <w:abstractNumId w:val="6"/>
  </w:num>
  <w:num w:numId="3" w16cid:durableId="982002540">
    <w:abstractNumId w:val="5"/>
  </w:num>
  <w:num w:numId="4" w16cid:durableId="1668942145">
    <w:abstractNumId w:val="4"/>
  </w:num>
  <w:num w:numId="5" w16cid:durableId="929974209">
    <w:abstractNumId w:val="7"/>
  </w:num>
  <w:num w:numId="6" w16cid:durableId="1226910642">
    <w:abstractNumId w:val="3"/>
  </w:num>
  <w:num w:numId="7" w16cid:durableId="554196787">
    <w:abstractNumId w:val="2"/>
  </w:num>
  <w:num w:numId="8" w16cid:durableId="1199127657">
    <w:abstractNumId w:val="1"/>
  </w:num>
  <w:num w:numId="9" w16cid:durableId="71435048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598"/>
    <w:rsid w:val="0029639D"/>
    <w:rsid w:val="00326F90"/>
    <w:rsid w:val="007F74A8"/>
    <w:rsid w:val="00AA1D8D"/>
    <w:rsid w:val="00B47730"/>
    <w:rsid w:val="00CB0664"/>
    <w:rsid w:val="00E14F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5C88B8"/>
  <w14:defaultImageDpi w14:val="300"/>
  <w15:docId w15:val="{687CA073-1824-114A-9DC4-6C851D3B6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github.com/keremtuna0/good_tracker" TargetMode="External"/><Relationship Id="rId9" Type="http://schemas.openxmlformats.org/officeDocument/2006/relationships/hyperlink" Target="https://github.com/users/keremtuna0/projects/2" TargetMode="External"/><Relationship Id="rId10" Type="http://schemas.openxmlformats.org/officeDocument/2006/relationships/hyperlink" Target="https://github.com/keremtuna0/good_tracker/commit/a3496ca" TargetMode="External"/><Relationship Id="rId11" Type="http://schemas.openxmlformats.org/officeDocument/2006/relationships/hyperlink" Target="https://github.com/keremtuna0/good_tracker/commit/9301b96" TargetMode="External"/><Relationship Id="rId12" Type="http://schemas.openxmlformats.org/officeDocument/2006/relationships/hyperlink" Target="https://github.com/keremtuna0/good_tracker/commit/4d9ba27" TargetMode="External"/><Relationship Id="rId13" Type="http://schemas.openxmlformats.org/officeDocument/2006/relationships/hyperlink" Target="https://github.com/keremtuna0/good_tracker/pull/26" TargetMode="External"/><Relationship Id="rId14" Type="http://schemas.openxmlformats.org/officeDocument/2006/relationships/hyperlink" Target="https://github.com/keremtuna0/good_tracker/blob/main/docs/m1/evidence/dys-milestone-deadlines-2026-10-21.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231</Words>
  <Characters>1462</Characters>
  <Application>Microsoft Office Word</Application>
  <DocSecurity>0</DocSecurity>
  <Lines>141</Lines>
  <Paragraphs>75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Erkut</dc:creator>
  <cp:keywords/>
  <dc:description/>
  <cp:lastModifiedBy>ERKUT TEKELİ</cp:lastModifiedBy>
  <cp:revision>2</cp:revision>
  <dcterms:created xsi:type="dcterms:W3CDTF">2013-12-23T23:15:00Z</dcterms:created>
  <dcterms:modified xsi:type="dcterms:W3CDTF">2026-09-18T17:51:00Z</dcterms:modified>
  <cp:category/>
</cp:coreProperties>
</file>